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47F6" w:rsidRPr="002114C8" w:rsidRDefault="003547F6" w:rsidP="003547F6">
      <w:pPr>
        <w:spacing w:after="0" w:line="360" w:lineRule="auto"/>
        <w:jc w:val="center"/>
        <w:rPr>
          <w:rFonts w:ascii="Times New Roman" w:eastAsia="Calibri" w:hAnsi="Times New Roman" w:cs="Times New Roman"/>
          <w:b/>
          <w:bCs/>
          <w:i/>
          <w:iCs/>
          <w:sz w:val="28"/>
          <w:szCs w:val="28"/>
          <w:lang w:val="uk-UA"/>
        </w:rPr>
      </w:pPr>
      <w:bookmarkStart w:id="0" w:name="_GoBack"/>
      <w:bookmarkEnd w:id="0"/>
      <w:r w:rsidRPr="002114C8">
        <w:rPr>
          <w:rFonts w:ascii="Times New Roman" w:eastAsia="Calibri" w:hAnsi="Times New Roman" w:cs="Times New Roman"/>
          <w:sz w:val="28"/>
          <w:szCs w:val="28"/>
          <w:lang w:val="uk-UA"/>
        </w:rPr>
        <w:t>ОДЕСЬКИЙ НАЦІОНАЛЬНИЙ УНІВЕРСИТЕТ ІМЕНІ І. І. МЕЧНИКОВА</w:t>
      </w:r>
    </w:p>
    <w:p w:rsidR="003547F6" w:rsidRPr="002114C8" w:rsidRDefault="003547F6" w:rsidP="003547F6">
      <w:pPr>
        <w:spacing w:after="0" w:line="360" w:lineRule="auto"/>
        <w:jc w:val="center"/>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Факультет міжнародних відносин, політології та соціології</w:t>
      </w:r>
    </w:p>
    <w:p w:rsidR="003547F6" w:rsidRPr="002114C8" w:rsidRDefault="003547F6" w:rsidP="003547F6">
      <w:pPr>
        <w:spacing w:after="0" w:line="360" w:lineRule="auto"/>
        <w:jc w:val="center"/>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Кафедра світового господарства і міжнародних економічних відносин</w:t>
      </w:r>
    </w:p>
    <w:p w:rsidR="003547F6" w:rsidRPr="002114C8" w:rsidRDefault="003547F6" w:rsidP="003547F6">
      <w:pPr>
        <w:spacing w:after="0" w:line="240" w:lineRule="auto"/>
        <w:rPr>
          <w:rFonts w:ascii="Times New Roman" w:eastAsia="Calibri" w:hAnsi="Times New Roman" w:cs="Times New Roman"/>
          <w:sz w:val="28"/>
          <w:szCs w:val="28"/>
          <w:u w:val="single"/>
          <w:lang w:val="uk-UA"/>
        </w:rPr>
      </w:pPr>
    </w:p>
    <w:p w:rsidR="003547F6" w:rsidRPr="002114C8" w:rsidRDefault="003547F6" w:rsidP="003547F6">
      <w:pPr>
        <w:spacing w:after="0" w:line="240" w:lineRule="auto"/>
        <w:jc w:val="center"/>
        <w:rPr>
          <w:rFonts w:ascii="Times New Roman" w:eastAsia="Calibri" w:hAnsi="Times New Roman" w:cs="Times New Roman"/>
          <w:sz w:val="28"/>
          <w:szCs w:val="28"/>
          <w:u w:val="single"/>
          <w:lang w:val="uk-UA"/>
        </w:rPr>
      </w:pPr>
    </w:p>
    <w:p w:rsidR="003547F6" w:rsidRPr="002114C8" w:rsidRDefault="003547F6" w:rsidP="003547F6">
      <w:pPr>
        <w:spacing w:after="0" w:line="240" w:lineRule="auto"/>
        <w:jc w:val="center"/>
        <w:rPr>
          <w:rFonts w:ascii="Times New Roman" w:eastAsia="Calibri" w:hAnsi="Times New Roman" w:cs="Times New Roman"/>
          <w:sz w:val="28"/>
          <w:szCs w:val="28"/>
          <w:u w:val="single"/>
          <w:lang w:val="uk-UA"/>
        </w:rPr>
      </w:pPr>
    </w:p>
    <w:p w:rsidR="003547F6" w:rsidRPr="002114C8" w:rsidRDefault="003547F6" w:rsidP="003547F6">
      <w:pPr>
        <w:spacing w:after="0" w:line="240" w:lineRule="auto"/>
        <w:jc w:val="center"/>
        <w:rPr>
          <w:rFonts w:ascii="Times New Roman" w:eastAsia="Calibri" w:hAnsi="Times New Roman" w:cs="Times New Roman"/>
          <w:sz w:val="28"/>
          <w:szCs w:val="28"/>
          <w:u w:val="single"/>
          <w:lang w:val="uk-UA"/>
        </w:rPr>
      </w:pPr>
    </w:p>
    <w:p w:rsidR="003547F6" w:rsidRPr="002114C8" w:rsidRDefault="003547F6" w:rsidP="003547F6">
      <w:pPr>
        <w:spacing w:after="0" w:line="360" w:lineRule="auto"/>
        <w:jc w:val="center"/>
        <w:rPr>
          <w:rFonts w:ascii="Times New Roman" w:eastAsia="Calibri" w:hAnsi="Times New Roman" w:cs="Times New Roman"/>
          <w:b/>
          <w:bCs/>
          <w:sz w:val="32"/>
          <w:szCs w:val="32"/>
          <w:lang w:val="uk-UA"/>
        </w:rPr>
      </w:pPr>
      <w:r w:rsidRPr="002114C8">
        <w:rPr>
          <w:rFonts w:ascii="Times New Roman" w:eastAsia="Calibri" w:hAnsi="Times New Roman" w:cs="Times New Roman"/>
          <w:b/>
          <w:bCs/>
          <w:sz w:val="32"/>
          <w:szCs w:val="32"/>
          <w:lang w:val="uk-UA"/>
        </w:rPr>
        <w:t>Кваліфікаційна робота</w:t>
      </w:r>
    </w:p>
    <w:p w:rsidR="003547F6" w:rsidRPr="002114C8" w:rsidRDefault="003547F6" w:rsidP="003547F6">
      <w:pPr>
        <w:spacing w:after="0" w:line="360" w:lineRule="auto"/>
        <w:jc w:val="center"/>
        <w:rPr>
          <w:rFonts w:ascii="Times New Roman" w:eastAsia="Calibri" w:hAnsi="Times New Roman" w:cs="Times New Roman"/>
          <w:sz w:val="28"/>
          <w:szCs w:val="28"/>
          <w:lang w:val="uk-UA" w:eastAsia="en-US"/>
        </w:rPr>
      </w:pPr>
      <w:r w:rsidRPr="002114C8">
        <w:rPr>
          <w:rFonts w:ascii="Times New Roman" w:eastAsia="Calibri" w:hAnsi="Times New Roman" w:cs="Times New Roman"/>
          <w:sz w:val="28"/>
          <w:szCs w:val="28"/>
          <w:lang w:val="uk-UA"/>
        </w:rPr>
        <w:t xml:space="preserve">на здобуття ступеня вищої освіти </w:t>
      </w:r>
      <w:r w:rsidRPr="002114C8">
        <w:rPr>
          <w:rFonts w:ascii="Times New Roman" w:eastAsia="Calibri" w:hAnsi="Times New Roman" w:cs="Times New Roman"/>
          <w:sz w:val="28"/>
          <w:szCs w:val="28"/>
          <w:lang w:val="uk-UA" w:eastAsia="uk-UA"/>
        </w:rPr>
        <w:t>«</w:t>
      </w:r>
      <w:r w:rsidRPr="002114C8">
        <w:rPr>
          <w:rFonts w:ascii="Times New Roman" w:eastAsia="Calibri" w:hAnsi="Times New Roman" w:cs="Times New Roman"/>
          <w:sz w:val="28"/>
          <w:szCs w:val="28"/>
          <w:lang w:val="uk-UA"/>
        </w:rPr>
        <w:t>бакалавр</w:t>
      </w:r>
      <w:r w:rsidRPr="002114C8">
        <w:rPr>
          <w:rFonts w:ascii="Times New Roman" w:eastAsia="Calibri" w:hAnsi="Times New Roman" w:cs="Times New Roman"/>
          <w:sz w:val="28"/>
          <w:szCs w:val="28"/>
          <w:lang w:val="uk-UA" w:eastAsia="en-US"/>
        </w:rPr>
        <w:t>»</w:t>
      </w:r>
    </w:p>
    <w:p w:rsidR="003547F6" w:rsidRPr="002114C8" w:rsidRDefault="003547F6" w:rsidP="003547F6">
      <w:pPr>
        <w:spacing w:after="0" w:line="360" w:lineRule="auto"/>
        <w:jc w:val="center"/>
        <w:rPr>
          <w:rFonts w:ascii="Times New Roman" w:eastAsia="Calibri" w:hAnsi="Times New Roman" w:cs="Times New Roman"/>
          <w:b/>
          <w:bCs/>
          <w:sz w:val="28"/>
          <w:szCs w:val="28"/>
          <w:lang w:val="uk-UA" w:eastAsia="en-US"/>
        </w:rPr>
      </w:pPr>
      <w:r w:rsidRPr="002114C8">
        <w:rPr>
          <w:rFonts w:ascii="Times New Roman" w:eastAsia="Calibri" w:hAnsi="Times New Roman" w:cs="Times New Roman"/>
          <w:b/>
          <w:bCs/>
          <w:sz w:val="28"/>
          <w:szCs w:val="28"/>
          <w:lang w:val="uk-UA" w:eastAsia="uk-UA"/>
        </w:rPr>
        <w:t>«</w:t>
      </w:r>
      <w:r w:rsidRPr="002114C8">
        <w:rPr>
          <w:rFonts w:ascii="Times New Roman" w:eastAsia="Calibri" w:hAnsi="Times New Roman" w:cs="Times New Roman"/>
          <w:b/>
          <w:color w:val="000000"/>
          <w:sz w:val="28"/>
          <w:szCs w:val="28"/>
          <w:lang w:val="uk-UA" w:eastAsia="en-US"/>
        </w:rPr>
        <w:t>Розвиток зовнішньоекономічних зв’язків Великої Британії та Ірландії у сучасних умовах</w:t>
      </w:r>
      <w:r w:rsidRPr="002114C8">
        <w:rPr>
          <w:rFonts w:ascii="Times New Roman" w:eastAsia="Calibri" w:hAnsi="Times New Roman" w:cs="Times New Roman"/>
          <w:b/>
          <w:bCs/>
          <w:sz w:val="28"/>
          <w:szCs w:val="28"/>
          <w:lang w:val="uk-UA" w:eastAsia="en-US"/>
        </w:rPr>
        <w:t>»</w:t>
      </w:r>
    </w:p>
    <w:p w:rsidR="003547F6" w:rsidRPr="002114C8" w:rsidRDefault="003547F6" w:rsidP="003547F6">
      <w:pPr>
        <w:spacing w:after="0" w:line="360" w:lineRule="auto"/>
        <w:jc w:val="center"/>
        <w:rPr>
          <w:rFonts w:ascii="Times New Roman" w:eastAsia="Calibri" w:hAnsi="Times New Roman" w:cs="Times New Roman"/>
          <w:b/>
          <w:color w:val="000000"/>
          <w:sz w:val="28"/>
          <w:szCs w:val="28"/>
          <w:lang w:val="uk-UA" w:eastAsia="en-US"/>
        </w:rPr>
      </w:pPr>
      <w:r w:rsidRPr="002114C8">
        <w:rPr>
          <w:rFonts w:ascii="Times New Roman" w:eastAsia="Calibri" w:hAnsi="Times New Roman" w:cs="Times New Roman"/>
          <w:b/>
          <w:sz w:val="28"/>
          <w:szCs w:val="28"/>
          <w:lang w:val="uk-UA" w:eastAsia="en-US"/>
        </w:rPr>
        <w:t>«</w:t>
      </w:r>
      <w:r w:rsidRPr="002114C8">
        <w:rPr>
          <w:rFonts w:ascii="Times New Roman" w:eastAsia="Calibri" w:hAnsi="Times New Roman" w:cs="Times New Roman"/>
          <w:b/>
          <w:color w:val="000000"/>
          <w:sz w:val="28"/>
          <w:szCs w:val="28"/>
          <w:lang w:val="uk-UA" w:eastAsia="en-US"/>
        </w:rPr>
        <w:t>Development of Foreign Economic Relations of Great Britain and Ireland in Modern Conditions</w:t>
      </w:r>
      <w:r w:rsidRPr="002114C8">
        <w:rPr>
          <w:rFonts w:ascii="Times New Roman" w:eastAsia="Calibri" w:hAnsi="Times New Roman" w:cs="Times New Roman"/>
          <w:b/>
          <w:sz w:val="28"/>
          <w:szCs w:val="28"/>
          <w:lang w:val="uk-UA" w:eastAsia="en-US"/>
        </w:rPr>
        <w:t>»</w:t>
      </w:r>
    </w:p>
    <w:p w:rsidR="003547F6" w:rsidRPr="002114C8" w:rsidRDefault="003547F6" w:rsidP="003547F6">
      <w:pPr>
        <w:spacing w:after="0" w:line="240" w:lineRule="auto"/>
        <w:rPr>
          <w:rFonts w:ascii="Times New Roman" w:eastAsia="Calibri" w:hAnsi="Times New Roman" w:cs="Times New Roman"/>
          <w:sz w:val="28"/>
          <w:szCs w:val="28"/>
          <w:lang w:val="uk-UA"/>
        </w:rPr>
      </w:pPr>
    </w:p>
    <w:p w:rsidR="003547F6" w:rsidRPr="002114C8" w:rsidRDefault="003547F6" w:rsidP="003547F6">
      <w:pPr>
        <w:spacing w:after="0" w:line="360" w:lineRule="auto"/>
        <w:rPr>
          <w:rFonts w:ascii="Times New Roman" w:eastAsia="Calibri" w:hAnsi="Times New Roman" w:cs="Times New Roman"/>
          <w:sz w:val="28"/>
          <w:szCs w:val="28"/>
          <w:lang w:val="uk-UA"/>
        </w:rPr>
      </w:pPr>
    </w:p>
    <w:p w:rsidR="003547F6" w:rsidRPr="002114C8" w:rsidRDefault="003547F6" w:rsidP="003547F6">
      <w:pPr>
        <w:spacing w:after="0" w:line="360" w:lineRule="auto"/>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 xml:space="preserve">                                       Виконала: здобувачка заочної форми навчання</w:t>
      </w:r>
    </w:p>
    <w:p w:rsidR="003547F6" w:rsidRPr="002114C8" w:rsidRDefault="003547F6" w:rsidP="003547F6">
      <w:pPr>
        <w:spacing w:after="0" w:line="360" w:lineRule="auto"/>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 xml:space="preserve">                                       спеціальності 292 «Міжнародні економічні відносини»</w:t>
      </w:r>
    </w:p>
    <w:p w:rsidR="003547F6" w:rsidRPr="002114C8" w:rsidRDefault="003547F6" w:rsidP="003547F6">
      <w:pPr>
        <w:spacing w:after="0" w:line="360" w:lineRule="auto"/>
        <w:jc w:val="center"/>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 xml:space="preserve">                                       Освітня програма «Міжнародні економічні відносини»</w:t>
      </w:r>
    </w:p>
    <w:p w:rsidR="003547F6" w:rsidRPr="002114C8" w:rsidRDefault="003547F6" w:rsidP="003547F6">
      <w:pPr>
        <w:spacing w:after="0" w:line="360" w:lineRule="auto"/>
        <w:jc w:val="both"/>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 xml:space="preserve">                                     Царія Христина Робертівна</w:t>
      </w:r>
    </w:p>
    <w:p w:rsidR="003547F6" w:rsidRPr="002114C8" w:rsidRDefault="003547F6" w:rsidP="003547F6">
      <w:pPr>
        <w:spacing w:after="0" w:line="360" w:lineRule="auto"/>
        <w:jc w:val="both"/>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 xml:space="preserve">                                     Керівник: д.е.н., проф. </w:t>
      </w:r>
      <w:r w:rsidRPr="002114C8">
        <w:rPr>
          <w:rFonts w:ascii="Times New Roman" w:eastAsia="Calibri" w:hAnsi="Times New Roman" w:cs="Times New Roman"/>
          <w:color w:val="000000"/>
          <w:sz w:val="28"/>
          <w:szCs w:val="28"/>
          <w:shd w:val="clear" w:color="auto" w:fill="FFFFFF"/>
          <w:lang w:val="uk-UA" w:eastAsia="en-US"/>
        </w:rPr>
        <w:t>Маслій</w:t>
      </w:r>
      <w:r w:rsidRPr="002114C8">
        <w:rPr>
          <w:rFonts w:ascii="Times New Roman" w:eastAsia="Calibri" w:hAnsi="Times New Roman" w:cs="Times New Roman"/>
          <w:sz w:val="28"/>
          <w:szCs w:val="28"/>
          <w:lang w:val="uk-UA"/>
        </w:rPr>
        <w:t xml:space="preserve"> Н.Д._________</w:t>
      </w:r>
    </w:p>
    <w:p w:rsidR="003547F6" w:rsidRPr="002114C8" w:rsidRDefault="003547F6" w:rsidP="003547F6">
      <w:pPr>
        <w:spacing w:after="0" w:line="360" w:lineRule="auto"/>
        <w:jc w:val="both"/>
        <w:rPr>
          <w:rFonts w:ascii="Times New Roman" w:eastAsia="Calibri" w:hAnsi="Times New Roman" w:cs="Times New Roman"/>
          <w:sz w:val="28"/>
          <w:szCs w:val="28"/>
          <w:lang w:val="uk-UA"/>
        </w:rPr>
      </w:pPr>
      <w:r w:rsidRPr="002114C8">
        <w:rPr>
          <w:rFonts w:ascii="Times New Roman" w:eastAsia="Calibri" w:hAnsi="Times New Roman" w:cs="Times New Roman"/>
          <w:sz w:val="28"/>
          <w:szCs w:val="28"/>
          <w:lang w:val="uk-UA"/>
        </w:rPr>
        <w:t xml:space="preserve">                                     Рецензент: д.е.н., проф. Горняк О.В.</w:t>
      </w:r>
    </w:p>
    <w:p w:rsidR="003547F6" w:rsidRPr="002114C8" w:rsidRDefault="003547F6" w:rsidP="003547F6">
      <w:pPr>
        <w:spacing w:after="0" w:line="240" w:lineRule="auto"/>
        <w:ind w:firstLine="240"/>
        <w:jc w:val="both"/>
        <w:rPr>
          <w:rFonts w:ascii="Times New Roman" w:eastAsia="Calibri" w:hAnsi="Times New Roman" w:cs="Times New Roman"/>
          <w:sz w:val="20"/>
          <w:szCs w:val="20"/>
          <w:lang w:val="uk-UA"/>
        </w:rPr>
      </w:pPr>
      <w:r w:rsidRPr="002114C8">
        <w:rPr>
          <w:rFonts w:ascii="Times New Roman" w:eastAsia="Calibri" w:hAnsi="Times New Roman" w:cs="Times New Roman"/>
          <w:sz w:val="28"/>
          <w:szCs w:val="28"/>
          <w:lang w:val="uk-UA"/>
        </w:rPr>
        <w:t>.</w:t>
      </w:r>
      <w:r w:rsidRPr="002114C8">
        <w:rPr>
          <w:rFonts w:ascii="Times New Roman" w:eastAsia="Calibri" w:hAnsi="Times New Roman" w:cs="Times New Roman"/>
          <w:sz w:val="20"/>
          <w:szCs w:val="20"/>
          <w:lang w:val="uk-UA"/>
        </w:rPr>
        <w:t xml:space="preserve">                           </w:t>
      </w:r>
    </w:p>
    <w:p w:rsidR="003547F6" w:rsidRPr="002114C8" w:rsidRDefault="003547F6" w:rsidP="003547F6">
      <w:pPr>
        <w:spacing w:after="0" w:line="240" w:lineRule="auto"/>
        <w:ind w:firstLine="709"/>
        <w:jc w:val="both"/>
        <w:rPr>
          <w:rFonts w:ascii="Times New Roman" w:eastAsia="Calibri" w:hAnsi="Times New Roman" w:cs="Times New Roman"/>
          <w:sz w:val="20"/>
          <w:szCs w:val="20"/>
          <w:lang w:val="uk-UA"/>
        </w:rPr>
      </w:pPr>
      <w:r w:rsidRPr="002114C8">
        <w:rPr>
          <w:rFonts w:ascii="Times New Roman" w:eastAsia="Calibri" w:hAnsi="Times New Roman" w:cs="Times New Roman"/>
          <w:sz w:val="20"/>
          <w:szCs w:val="20"/>
          <w:lang w:val="uk-UA"/>
        </w:rPr>
        <w:t xml:space="preserve">                                                                                                   </w:t>
      </w:r>
      <w:r w:rsidRPr="002114C8">
        <w:rPr>
          <w:rFonts w:ascii="Times New Roman" w:eastAsia="Calibri" w:hAnsi="Times New Roman" w:cs="Times New Roman"/>
          <w:sz w:val="28"/>
          <w:szCs w:val="28"/>
          <w:lang w:val="uk-UA"/>
        </w:rPr>
        <w:t xml:space="preserve">                                      </w:t>
      </w:r>
    </w:p>
    <w:p w:rsidR="003547F6" w:rsidRPr="002114C8" w:rsidRDefault="003547F6" w:rsidP="003547F6">
      <w:pPr>
        <w:spacing w:after="0" w:line="240" w:lineRule="auto"/>
        <w:ind w:firstLine="709"/>
        <w:jc w:val="both"/>
        <w:rPr>
          <w:rFonts w:ascii="Times New Roman" w:eastAsia="Calibri" w:hAnsi="Times New Roman" w:cs="Times New Roman"/>
          <w:sz w:val="28"/>
          <w:szCs w:val="28"/>
          <w:lang w:val="uk-UA"/>
        </w:rPr>
      </w:pPr>
    </w:p>
    <w:p w:rsidR="003547F6" w:rsidRPr="002114C8" w:rsidRDefault="003547F6" w:rsidP="003547F6">
      <w:pPr>
        <w:spacing w:after="0" w:line="240" w:lineRule="auto"/>
        <w:ind w:firstLine="709"/>
        <w:jc w:val="both"/>
        <w:rPr>
          <w:rFonts w:ascii="Times New Roman" w:eastAsia="Calibri" w:hAnsi="Times New Roman" w:cs="Times New Roman"/>
          <w:sz w:val="28"/>
          <w:szCs w:val="28"/>
          <w:lang w:val="uk-UA"/>
        </w:rPr>
      </w:pPr>
    </w:p>
    <w:p w:rsidR="003547F6" w:rsidRPr="002114C8" w:rsidRDefault="003547F6" w:rsidP="003547F6">
      <w:pPr>
        <w:widowControl w:val="0"/>
        <w:spacing w:after="0" w:line="360" w:lineRule="auto"/>
        <w:jc w:val="both"/>
        <w:rPr>
          <w:rFonts w:ascii="Times New Roman" w:eastAsia="Calibri" w:hAnsi="Times New Roman" w:cs="Times New Roman"/>
          <w:color w:val="000000"/>
          <w:sz w:val="28"/>
          <w:szCs w:val="28"/>
          <w:lang w:val="uk-UA" w:eastAsia="en-US"/>
        </w:rPr>
      </w:pPr>
      <w:r w:rsidRPr="002114C8">
        <w:rPr>
          <w:rFonts w:ascii="Times New Roman" w:eastAsia="Calibri" w:hAnsi="Times New Roman" w:cs="Times New Roman"/>
          <w:color w:val="000000"/>
          <w:sz w:val="28"/>
          <w:szCs w:val="28"/>
          <w:lang w:val="uk-UA" w:eastAsia="en-US"/>
        </w:rPr>
        <w:t>Рекомендовано до захисту:                 Захищено на засіданні ЕК №</w:t>
      </w:r>
      <w:r w:rsidRPr="002114C8">
        <w:rPr>
          <w:rFonts w:ascii="Times New Roman" w:eastAsia="Calibri" w:hAnsi="Times New Roman" w:cs="Times New Roman"/>
          <w:color w:val="000000"/>
          <w:sz w:val="28"/>
          <w:szCs w:val="28"/>
          <w:highlight w:val="yellow"/>
          <w:lang w:val="uk-UA" w:eastAsia="en-US"/>
        </w:rPr>
        <w:t xml:space="preserve"> </w:t>
      </w:r>
    </w:p>
    <w:p w:rsidR="003547F6" w:rsidRPr="002114C8" w:rsidRDefault="003547F6" w:rsidP="003547F6">
      <w:pPr>
        <w:widowControl w:val="0"/>
        <w:spacing w:after="0" w:line="360" w:lineRule="auto"/>
        <w:jc w:val="both"/>
        <w:rPr>
          <w:rFonts w:ascii="Times New Roman" w:eastAsia="Calibri" w:hAnsi="Times New Roman" w:cs="Times New Roman"/>
          <w:color w:val="000000"/>
          <w:sz w:val="28"/>
          <w:szCs w:val="28"/>
          <w:lang w:val="uk-UA" w:eastAsia="en-US"/>
        </w:rPr>
      </w:pPr>
      <w:r w:rsidRPr="002114C8">
        <w:rPr>
          <w:rFonts w:ascii="Times New Roman" w:eastAsia="Calibri" w:hAnsi="Times New Roman" w:cs="Times New Roman"/>
          <w:color w:val="000000"/>
          <w:sz w:val="28"/>
          <w:szCs w:val="28"/>
          <w:lang w:val="uk-UA" w:eastAsia="en-US"/>
        </w:rPr>
        <w:t>Протокол засідання кафедри               протокол №___від _____06.2023 р.</w:t>
      </w:r>
    </w:p>
    <w:p w:rsidR="003547F6" w:rsidRPr="002114C8" w:rsidRDefault="003547F6" w:rsidP="003547F6">
      <w:pPr>
        <w:widowControl w:val="0"/>
        <w:spacing w:after="0" w:line="360" w:lineRule="auto"/>
        <w:jc w:val="both"/>
        <w:rPr>
          <w:rFonts w:ascii="Times New Roman" w:eastAsia="Calibri" w:hAnsi="Times New Roman" w:cs="Times New Roman"/>
          <w:color w:val="000000"/>
          <w:sz w:val="28"/>
          <w:szCs w:val="28"/>
          <w:lang w:val="uk-UA" w:eastAsia="en-US"/>
        </w:rPr>
      </w:pPr>
      <w:r w:rsidRPr="002114C8">
        <w:rPr>
          <w:rFonts w:ascii="Times New Roman" w:eastAsia="Calibri" w:hAnsi="Times New Roman" w:cs="Times New Roman"/>
          <w:color w:val="000000"/>
          <w:sz w:val="28"/>
          <w:szCs w:val="28"/>
          <w:lang w:val="uk-UA" w:eastAsia="en-US"/>
        </w:rPr>
        <w:t xml:space="preserve">№ 9 від 31.05.2023 р.                          Оцінка____________/______/______                         </w:t>
      </w:r>
    </w:p>
    <w:p w:rsidR="003547F6" w:rsidRPr="002114C8" w:rsidRDefault="003547F6" w:rsidP="003547F6">
      <w:pPr>
        <w:widowControl w:val="0"/>
        <w:spacing w:after="0" w:line="360" w:lineRule="auto"/>
        <w:jc w:val="both"/>
        <w:rPr>
          <w:rFonts w:ascii="Times New Roman" w:eastAsia="Calibri" w:hAnsi="Times New Roman" w:cs="Times New Roman"/>
          <w:color w:val="000000"/>
          <w:sz w:val="28"/>
          <w:szCs w:val="28"/>
          <w:lang w:val="uk-UA" w:eastAsia="en-US"/>
        </w:rPr>
      </w:pPr>
      <w:r w:rsidRPr="002114C8">
        <w:rPr>
          <w:rFonts w:ascii="Times New Roman" w:eastAsia="Calibri" w:hAnsi="Times New Roman" w:cs="Times New Roman"/>
          <w:color w:val="000000"/>
          <w:sz w:val="28"/>
          <w:szCs w:val="28"/>
          <w:lang w:val="uk-UA" w:eastAsia="en-US"/>
        </w:rPr>
        <w:t>Завідувач кафедри                               Голова ЕК</w:t>
      </w:r>
    </w:p>
    <w:p w:rsidR="003547F6" w:rsidRPr="002114C8" w:rsidRDefault="003547F6" w:rsidP="003547F6">
      <w:pPr>
        <w:widowControl w:val="0"/>
        <w:spacing w:after="0" w:line="360" w:lineRule="auto"/>
        <w:jc w:val="both"/>
        <w:rPr>
          <w:rFonts w:ascii="Times New Roman" w:eastAsia="Calibri" w:hAnsi="Times New Roman" w:cs="Times New Roman"/>
          <w:color w:val="000000"/>
          <w:sz w:val="28"/>
          <w:szCs w:val="28"/>
          <w:lang w:val="uk-UA" w:eastAsia="en-US"/>
        </w:rPr>
      </w:pPr>
    </w:p>
    <w:p w:rsidR="003547F6" w:rsidRPr="002114C8" w:rsidRDefault="003547F6" w:rsidP="003547F6">
      <w:pPr>
        <w:widowControl w:val="0"/>
        <w:spacing w:after="0" w:line="360" w:lineRule="auto"/>
        <w:jc w:val="both"/>
        <w:rPr>
          <w:rFonts w:ascii="Times New Roman" w:eastAsia="Calibri" w:hAnsi="Times New Roman" w:cs="Times New Roman"/>
          <w:color w:val="000000"/>
          <w:sz w:val="28"/>
          <w:szCs w:val="28"/>
          <w:lang w:val="uk-UA" w:eastAsia="en-US"/>
        </w:rPr>
      </w:pPr>
      <w:r w:rsidRPr="002114C8">
        <w:rPr>
          <w:rFonts w:ascii="Times New Roman" w:eastAsia="Calibri" w:hAnsi="Times New Roman" w:cs="Times New Roman"/>
          <w:color w:val="000000"/>
          <w:sz w:val="28"/>
          <w:szCs w:val="28"/>
          <w:lang w:val="uk-UA" w:eastAsia="en-US"/>
        </w:rPr>
        <w:t>_________ЯКУБОВСЬКИЙ Сергій       __________ ПІЧУГІНА Юлія</w:t>
      </w:r>
    </w:p>
    <w:p w:rsidR="003547F6" w:rsidRPr="002114C8" w:rsidRDefault="003547F6" w:rsidP="003547F6">
      <w:pPr>
        <w:spacing w:after="0" w:line="240" w:lineRule="auto"/>
        <w:ind w:firstLine="709"/>
        <w:jc w:val="center"/>
        <w:rPr>
          <w:rFonts w:ascii="Times New Roman" w:eastAsia="Calibri" w:hAnsi="Times New Roman" w:cs="Times New Roman"/>
          <w:sz w:val="28"/>
          <w:szCs w:val="28"/>
          <w:lang w:val="uk-UA"/>
        </w:rPr>
      </w:pPr>
    </w:p>
    <w:p w:rsidR="003547F6" w:rsidRPr="002114C8" w:rsidRDefault="003547F6" w:rsidP="003547F6">
      <w:pPr>
        <w:spacing w:after="0" w:line="240" w:lineRule="auto"/>
        <w:jc w:val="center"/>
        <w:rPr>
          <w:rFonts w:ascii="Times New Roman" w:eastAsia="Calibri" w:hAnsi="Times New Roman" w:cs="Times New Roman"/>
          <w:sz w:val="28"/>
          <w:szCs w:val="28"/>
          <w:lang w:val="uk-UA"/>
        </w:rPr>
      </w:pPr>
    </w:p>
    <w:p w:rsidR="003547F6" w:rsidRPr="002114C8" w:rsidRDefault="003547F6" w:rsidP="003547F6">
      <w:pPr>
        <w:spacing w:after="0" w:line="240" w:lineRule="auto"/>
        <w:jc w:val="center"/>
        <w:rPr>
          <w:rFonts w:ascii="Times New Roman" w:eastAsia="Calibri" w:hAnsi="Times New Roman" w:cs="Times New Roman"/>
          <w:sz w:val="28"/>
          <w:szCs w:val="28"/>
          <w:lang w:val="uk-UA" w:eastAsia="en-US"/>
        </w:rPr>
      </w:pPr>
      <w:r w:rsidRPr="002114C8">
        <w:rPr>
          <w:rFonts w:ascii="Times New Roman" w:eastAsia="Calibri" w:hAnsi="Times New Roman" w:cs="Times New Roman"/>
          <w:sz w:val="28"/>
          <w:szCs w:val="28"/>
          <w:lang w:val="uk-UA"/>
        </w:rPr>
        <w:t>Одеса – 2023</w:t>
      </w:r>
    </w:p>
    <w:p w:rsidR="003547F6" w:rsidRPr="002114C8" w:rsidRDefault="003547F6" w:rsidP="003547F6">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rPr>
      </w:pPr>
      <w:r w:rsidRPr="002114C8">
        <w:rPr>
          <w:rFonts w:ascii="Times New Roman" w:eastAsia="Calibri" w:hAnsi="Times New Roman" w:cs="Times New Roman"/>
          <w:b/>
          <w:bCs/>
          <w:color w:val="000000"/>
          <w:sz w:val="28"/>
          <w:szCs w:val="28"/>
          <w:lang w:val="uk-UA"/>
        </w:rPr>
        <w:lastRenderedPageBreak/>
        <w:t>ЗМІСТ</w:t>
      </w:r>
    </w:p>
    <w:p w:rsidR="003547F6" w:rsidRPr="002114C8" w:rsidRDefault="003547F6" w:rsidP="003547F6">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rPr>
      </w:pPr>
    </w:p>
    <w:tbl>
      <w:tblPr>
        <w:tblW w:w="10221" w:type="dxa"/>
        <w:tblInd w:w="-431" w:type="dxa"/>
        <w:tblLook w:val="00A0" w:firstRow="1" w:lastRow="0" w:firstColumn="1" w:lastColumn="0" w:noHBand="0" w:noVBand="0"/>
      </w:tblPr>
      <w:tblGrid>
        <w:gridCol w:w="9767"/>
        <w:gridCol w:w="496"/>
      </w:tblGrid>
      <w:tr w:rsidR="003547F6" w:rsidRPr="002114C8" w:rsidTr="003547F6">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ВСТУП……………………………………………………………………………...</w:t>
            </w:r>
          </w:p>
        </w:tc>
        <w:tc>
          <w:tcPr>
            <w:tcW w:w="496" w:type="dxa"/>
          </w:tcPr>
          <w:p w:rsidR="003547F6" w:rsidRPr="002114C8" w:rsidRDefault="003547F6" w:rsidP="003547F6">
            <w:pPr>
              <w:spacing w:after="0" w:line="360" w:lineRule="auto"/>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3</w:t>
            </w:r>
          </w:p>
        </w:tc>
      </w:tr>
      <w:tr w:rsidR="003547F6" w:rsidRPr="002114C8" w:rsidTr="003547F6">
        <w:tc>
          <w:tcPr>
            <w:tcW w:w="9725" w:type="dxa"/>
          </w:tcPr>
          <w:p w:rsidR="003547F6" w:rsidRPr="002114C8" w:rsidRDefault="003547F6" w:rsidP="003547F6">
            <w:pPr>
              <w:suppressAutoHyphens/>
              <w:spacing w:after="0" w:line="360" w:lineRule="auto"/>
              <w:rPr>
                <w:rFonts w:ascii="Times New Roman" w:eastAsia="Calibri" w:hAnsi="Times New Roman" w:cs="Times New Roman"/>
                <w:color w:val="000000"/>
                <w:sz w:val="28"/>
                <w:szCs w:val="28"/>
                <w:lang w:val="uk-UA"/>
              </w:rPr>
            </w:pPr>
          </w:p>
          <w:p w:rsidR="003547F6" w:rsidRPr="002114C8" w:rsidRDefault="003547F6" w:rsidP="003547F6">
            <w:pPr>
              <w:suppressAutoHyphens/>
              <w:spacing w:after="0" w:line="360" w:lineRule="auto"/>
              <w:rPr>
                <w:rFonts w:ascii="Times New Roman" w:eastAsia="Calibri" w:hAnsi="Times New Roman" w:cs="Times New Roman"/>
                <w:sz w:val="28"/>
                <w:szCs w:val="28"/>
                <w:lang w:val="uk-UA"/>
              </w:rPr>
            </w:pPr>
            <w:r w:rsidRPr="002114C8">
              <w:rPr>
                <w:rFonts w:ascii="Times New Roman" w:eastAsia="Calibri" w:hAnsi="Times New Roman" w:cs="Times New Roman"/>
                <w:color w:val="000000"/>
                <w:sz w:val="28"/>
                <w:szCs w:val="28"/>
                <w:lang w:val="uk-UA"/>
              </w:rPr>
              <w:t>РОЗДІЛ 1. ТЕОРЕТИЧНІ ОСНОВИ АНАЛІЗУ ЗОВНІШНЬОЕКОНОМІЧНИХ ЗВ’ЯЗКІВ ВЕЛИКОЇ БРИТАНІЇ ТА ІРЛАНДІЇ …………………….…….………</w:t>
            </w:r>
          </w:p>
        </w:tc>
        <w:tc>
          <w:tcPr>
            <w:tcW w:w="496" w:type="dxa"/>
          </w:tcPr>
          <w:p w:rsidR="003547F6" w:rsidRPr="002114C8" w:rsidRDefault="003547F6" w:rsidP="003547F6">
            <w:pPr>
              <w:spacing w:after="0" w:line="360" w:lineRule="auto"/>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w:t>
            </w:r>
          </w:p>
          <w:p w:rsidR="003547F6" w:rsidRPr="002114C8" w:rsidRDefault="003547F6" w:rsidP="003547F6">
            <w:pPr>
              <w:spacing w:after="0" w:line="360" w:lineRule="auto"/>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w:t>
            </w:r>
          </w:p>
          <w:p w:rsidR="003547F6" w:rsidRPr="002114C8" w:rsidRDefault="003547F6" w:rsidP="003547F6">
            <w:pPr>
              <w:spacing w:after="0" w:line="360" w:lineRule="auto"/>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5</w:t>
            </w:r>
          </w:p>
        </w:tc>
      </w:tr>
      <w:tr w:rsidR="003547F6" w:rsidRPr="002114C8" w:rsidTr="003547F6">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p>
          <w:p w:rsidR="003547F6" w:rsidRPr="002114C8" w:rsidRDefault="003547F6" w:rsidP="002114C8">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РОЗДІЛ 2. ПОРІВНЯЛЬНИЙ АНАЛІЗ ОСНОВНИХ СКЛАДОВИХ ЗОВНІШНЬОЕКОНОМІЧНИХ ОПЕРАЦІЙ ВЕЛИКОЇ БРИТАНІЇ ТА ІРЛАНДІЇ………………………..……………………………………………...……..</w:t>
            </w:r>
          </w:p>
        </w:tc>
        <w:tc>
          <w:tcPr>
            <w:tcW w:w="496"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w:t>
            </w:r>
          </w:p>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w:t>
            </w:r>
          </w:p>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12</w:t>
            </w:r>
          </w:p>
        </w:tc>
      </w:tr>
      <w:tr w:rsidR="003547F6" w:rsidRPr="002114C8" w:rsidTr="003547F6">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2.1. </w:t>
            </w:r>
            <w:r w:rsidR="002114C8" w:rsidRPr="002114C8">
              <w:rPr>
                <w:rFonts w:ascii="Times New Roman" w:eastAsia="Calibri" w:hAnsi="Times New Roman" w:cs="Times New Roman"/>
                <w:color w:val="000000"/>
                <w:sz w:val="28"/>
                <w:szCs w:val="28"/>
                <w:lang w:val="uk-UA"/>
              </w:rPr>
              <w:t xml:space="preserve">Структура та динаміка поточних операцій </w:t>
            </w:r>
            <w:r w:rsidRPr="002114C8">
              <w:rPr>
                <w:rFonts w:ascii="Times New Roman" w:eastAsia="Calibri" w:hAnsi="Times New Roman" w:cs="Times New Roman"/>
                <w:color w:val="000000"/>
                <w:sz w:val="28"/>
                <w:szCs w:val="28"/>
                <w:lang w:val="uk-UA"/>
              </w:rPr>
              <w:t>Великої Британії та Ірландії….</w:t>
            </w:r>
          </w:p>
        </w:tc>
        <w:tc>
          <w:tcPr>
            <w:tcW w:w="496"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12</w:t>
            </w:r>
          </w:p>
        </w:tc>
      </w:tr>
      <w:tr w:rsidR="003547F6" w:rsidRPr="002114C8" w:rsidTr="003547F6">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2.2. Порівняльний аналіз фінансових рахунків Великої Британії та Ірландії……</w:t>
            </w:r>
          </w:p>
        </w:tc>
        <w:tc>
          <w:tcPr>
            <w:tcW w:w="496" w:type="dxa"/>
          </w:tcPr>
          <w:p w:rsidR="003547F6" w:rsidRPr="002114C8" w:rsidRDefault="003547F6" w:rsidP="000358E9">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2</w:t>
            </w:r>
            <w:r w:rsidR="000358E9">
              <w:rPr>
                <w:rFonts w:ascii="Times New Roman" w:eastAsia="Calibri" w:hAnsi="Times New Roman" w:cs="Times New Roman"/>
                <w:color w:val="000000"/>
                <w:sz w:val="28"/>
                <w:szCs w:val="28"/>
                <w:lang w:val="uk-UA"/>
              </w:rPr>
              <w:t>1</w:t>
            </w:r>
          </w:p>
        </w:tc>
      </w:tr>
      <w:tr w:rsidR="003547F6" w:rsidRPr="002114C8" w:rsidTr="003547F6">
        <w:tc>
          <w:tcPr>
            <w:tcW w:w="9725" w:type="dxa"/>
          </w:tcPr>
          <w:p w:rsidR="003547F6" w:rsidRPr="002114C8" w:rsidRDefault="003547F6" w:rsidP="00B16FB3">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2.3. </w:t>
            </w:r>
            <w:r w:rsidR="00B16FB3">
              <w:rPr>
                <w:rFonts w:ascii="Times New Roman" w:eastAsia="Calibri" w:hAnsi="Times New Roman" w:cs="Times New Roman"/>
                <w:color w:val="000000"/>
                <w:sz w:val="28"/>
                <w:szCs w:val="28"/>
                <w:lang w:val="uk-UA"/>
              </w:rPr>
              <w:t>Р</w:t>
            </w:r>
            <w:r w:rsidRPr="002114C8">
              <w:rPr>
                <w:rFonts w:ascii="Times New Roman" w:eastAsia="Calibri" w:hAnsi="Times New Roman" w:cs="Times New Roman"/>
                <w:color w:val="000000"/>
                <w:sz w:val="28"/>
                <w:szCs w:val="28"/>
                <w:lang w:val="uk-UA"/>
              </w:rPr>
              <w:t>езультат операцій «Carry Trade» з державними облігаціями Великої Британії, Ірландії та України…..………………</w:t>
            </w:r>
            <w:r w:rsidR="000358E9">
              <w:rPr>
                <w:rFonts w:ascii="Times New Roman" w:eastAsia="Calibri" w:hAnsi="Times New Roman" w:cs="Times New Roman"/>
                <w:color w:val="000000"/>
                <w:sz w:val="28"/>
                <w:szCs w:val="28"/>
                <w:lang w:val="uk-UA"/>
              </w:rPr>
              <w:t>………………………</w:t>
            </w:r>
            <w:r w:rsidRPr="002114C8">
              <w:rPr>
                <w:rFonts w:ascii="Times New Roman" w:eastAsia="Calibri" w:hAnsi="Times New Roman" w:cs="Times New Roman"/>
                <w:color w:val="000000"/>
                <w:sz w:val="28"/>
                <w:szCs w:val="28"/>
                <w:lang w:val="uk-UA"/>
              </w:rPr>
              <w:t>……….……</w:t>
            </w:r>
          </w:p>
        </w:tc>
        <w:tc>
          <w:tcPr>
            <w:tcW w:w="496"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28</w:t>
            </w:r>
          </w:p>
        </w:tc>
      </w:tr>
      <w:tr w:rsidR="003547F6" w:rsidRPr="002114C8" w:rsidTr="003547F6">
        <w:trPr>
          <w:trHeight w:val="1461"/>
        </w:trPr>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p>
          <w:p w:rsidR="003547F6" w:rsidRPr="002114C8" w:rsidRDefault="003547F6" w:rsidP="003547F6">
            <w:pPr>
              <w:spacing w:after="0" w:line="360" w:lineRule="auto"/>
              <w:jc w:val="both"/>
              <w:rPr>
                <w:rFonts w:ascii="Times New Roman" w:eastAsia="Calibri" w:hAnsi="Times New Roman" w:cs="Times New Roman"/>
                <w:sz w:val="28"/>
                <w:szCs w:val="28"/>
                <w:lang w:val="uk-UA" w:eastAsia="en-US"/>
              </w:rPr>
            </w:pPr>
            <w:r w:rsidRPr="002114C8">
              <w:rPr>
                <w:rFonts w:ascii="Times New Roman" w:eastAsia="Calibri" w:hAnsi="Times New Roman" w:cs="Times New Roman"/>
                <w:color w:val="000000"/>
                <w:sz w:val="28"/>
                <w:szCs w:val="28"/>
                <w:lang w:val="uk-UA"/>
              </w:rPr>
              <w:t xml:space="preserve">РОЗДІЛ 3. </w:t>
            </w:r>
            <w:r w:rsidRPr="002114C8">
              <w:rPr>
                <w:rFonts w:ascii="Times New Roman" w:eastAsia="Calibri" w:hAnsi="Times New Roman" w:cs="Times New Roman"/>
                <w:sz w:val="28"/>
                <w:szCs w:val="28"/>
                <w:lang w:val="uk-UA" w:eastAsia="en-US"/>
              </w:rPr>
              <w:t>ОСОБЛИВОСТІ ЗОВНІШНЬОЕКОНОМІЧНИХ ОПЕРАЦІЙ В</w:t>
            </w:r>
            <w:r w:rsidRPr="002114C8">
              <w:rPr>
                <w:rFonts w:ascii="Times New Roman" w:eastAsia="Calibri" w:hAnsi="Times New Roman" w:cs="Times New Roman"/>
                <w:sz w:val="28"/>
                <w:szCs w:val="28"/>
                <w:lang w:val="uk-UA" w:eastAsia="en-US"/>
              </w:rPr>
              <w:t>Е</w:t>
            </w:r>
            <w:r w:rsidRPr="002114C8">
              <w:rPr>
                <w:rFonts w:ascii="Times New Roman" w:eastAsia="Calibri" w:hAnsi="Times New Roman" w:cs="Times New Roman"/>
                <w:sz w:val="28"/>
                <w:szCs w:val="28"/>
                <w:lang w:val="uk-UA" w:eastAsia="en-US"/>
              </w:rPr>
              <w:t>ЛИКОЇ БРИТАНІЇ ТА ІРЛАНДІЇ З УКРАЇНОЮ…………………………..………</w:t>
            </w:r>
          </w:p>
        </w:tc>
        <w:tc>
          <w:tcPr>
            <w:tcW w:w="496"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w:t>
            </w:r>
          </w:p>
          <w:p w:rsidR="003547F6" w:rsidRPr="002114C8" w:rsidRDefault="003547F6" w:rsidP="000358E9">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3</w:t>
            </w:r>
            <w:r w:rsidR="000358E9">
              <w:rPr>
                <w:rFonts w:ascii="Times New Roman" w:eastAsia="Calibri" w:hAnsi="Times New Roman" w:cs="Times New Roman"/>
                <w:color w:val="000000"/>
                <w:sz w:val="28"/>
                <w:szCs w:val="28"/>
                <w:lang w:val="uk-UA"/>
              </w:rPr>
              <w:t>1</w:t>
            </w:r>
          </w:p>
        </w:tc>
      </w:tr>
      <w:tr w:rsidR="003547F6" w:rsidRPr="002114C8" w:rsidTr="003547F6">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p>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ВИСНОВКИ…………………………………………………………………………</w:t>
            </w:r>
          </w:p>
        </w:tc>
        <w:tc>
          <w:tcPr>
            <w:tcW w:w="496" w:type="dxa"/>
          </w:tcPr>
          <w:p w:rsidR="003547F6" w:rsidRPr="002114C8" w:rsidRDefault="003547F6" w:rsidP="000358E9">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3</w:t>
            </w:r>
            <w:r w:rsidR="000358E9">
              <w:rPr>
                <w:rFonts w:ascii="Times New Roman" w:eastAsia="Calibri" w:hAnsi="Times New Roman" w:cs="Times New Roman"/>
                <w:color w:val="000000"/>
                <w:sz w:val="28"/>
                <w:szCs w:val="28"/>
                <w:lang w:val="uk-UA"/>
              </w:rPr>
              <w:t>7</w:t>
            </w:r>
          </w:p>
        </w:tc>
      </w:tr>
      <w:tr w:rsidR="003547F6" w:rsidRPr="002114C8" w:rsidTr="003547F6">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p>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СПИСОК ВИКОРИСТАНИХ ДЖЕРЕЛ……………………………………...…...</w:t>
            </w:r>
          </w:p>
        </w:tc>
        <w:tc>
          <w:tcPr>
            <w:tcW w:w="496" w:type="dxa"/>
          </w:tcPr>
          <w:p w:rsidR="003547F6" w:rsidRPr="002114C8" w:rsidRDefault="003547F6" w:rsidP="000358E9">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4</w:t>
            </w:r>
            <w:r w:rsidR="000358E9">
              <w:rPr>
                <w:rFonts w:ascii="Times New Roman" w:eastAsia="Calibri" w:hAnsi="Times New Roman" w:cs="Times New Roman"/>
                <w:color w:val="000000"/>
                <w:sz w:val="28"/>
                <w:szCs w:val="28"/>
                <w:lang w:val="uk-UA"/>
              </w:rPr>
              <w:t>0</w:t>
            </w:r>
          </w:p>
        </w:tc>
      </w:tr>
      <w:tr w:rsidR="003547F6" w:rsidRPr="002114C8" w:rsidTr="003547F6">
        <w:tc>
          <w:tcPr>
            <w:tcW w:w="9725"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p>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ДОДАТКИ……………………………………...…………………………………....</w:t>
            </w:r>
          </w:p>
        </w:tc>
        <w:tc>
          <w:tcPr>
            <w:tcW w:w="496" w:type="dxa"/>
          </w:tcPr>
          <w:p w:rsidR="003547F6" w:rsidRPr="002114C8" w:rsidRDefault="003547F6" w:rsidP="003547F6">
            <w:pPr>
              <w:suppressAutoHyphens/>
              <w:spacing w:after="0" w:line="360" w:lineRule="auto"/>
              <w:jc w:val="both"/>
              <w:rPr>
                <w:rFonts w:ascii="Times New Roman" w:eastAsia="Calibri" w:hAnsi="Times New Roman" w:cs="Times New Roman"/>
                <w:color w:val="000000"/>
                <w:sz w:val="28"/>
                <w:szCs w:val="28"/>
                <w:lang w:val="uk-UA"/>
              </w:rPr>
            </w:pPr>
            <w:r w:rsidRPr="002114C8">
              <w:rPr>
                <w:rFonts w:ascii="Times New Roman" w:eastAsia="Calibri" w:hAnsi="Times New Roman" w:cs="Times New Roman"/>
                <w:color w:val="000000"/>
                <w:sz w:val="28"/>
                <w:szCs w:val="28"/>
                <w:lang w:val="uk-UA"/>
              </w:rPr>
              <w:t xml:space="preserve"> 44</w:t>
            </w:r>
          </w:p>
        </w:tc>
      </w:tr>
    </w:tbl>
    <w:p w:rsidR="003547F6" w:rsidRPr="002114C8" w:rsidRDefault="003547F6" w:rsidP="003547F6">
      <w:pPr>
        <w:suppressAutoHyphens/>
        <w:spacing w:after="0" w:line="360" w:lineRule="auto"/>
        <w:jc w:val="center"/>
        <w:rPr>
          <w:rFonts w:ascii="Times New Roman" w:eastAsia="Times New Roman" w:hAnsi="Times New Roman" w:cs="Times New Roman"/>
          <w:b/>
          <w:sz w:val="28"/>
          <w:szCs w:val="28"/>
          <w:lang w:val="uk-UA"/>
        </w:rPr>
      </w:pPr>
    </w:p>
    <w:p w:rsidR="003547F6" w:rsidRPr="002114C8" w:rsidRDefault="003547F6">
      <w:pPr>
        <w:spacing w:after="0" w:line="360" w:lineRule="auto"/>
        <w:ind w:leftChars="-200" w:left="436" w:hangingChars="365" w:hanging="876"/>
        <w:contextualSpacing/>
        <w:jc w:val="center"/>
        <w:rPr>
          <w:rFonts w:ascii="Times New Roman" w:hAnsi="Times New Roman" w:cs="Times New Roman"/>
          <w:sz w:val="24"/>
          <w:szCs w:val="24"/>
          <w:lang w:val="uk-UA"/>
        </w:rPr>
      </w:pPr>
    </w:p>
    <w:p w:rsidR="003547F6" w:rsidRPr="002114C8" w:rsidRDefault="003547F6">
      <w:pPr>
        <w:spacing w:after="0" w:line="360" w:lineRule="auto"/>
        <w:ind w:leftChars="-200" w:left="436" w:hangingChars="365" w:hanging="876"/>
        <w:contextualSpacing/>
        <w:jc w:val="center"/>
        <w:rPr>
          <w:rFonts w:ascii="Times New Roman" w:hAnsi="Times New Roman" w:cs="Times New Roman"/>
          <w:sz w:val="24"/>
          <w:szCs w:val="24"/>
          <w:lang w:val="uk-UA"/>
        </w:rPr>
      </w:pPr>
    </w:p>
    <w:p w:rsidR="00E63F46" w:rsidRPr="002114C8" w:rsidRDefault="00912E07">
      <w:pPr>
        <w:rPr>
          <w:rFonts w:ascii="Times New Roman" w:hAnsi="Times New Roman" w:cs="Times New Roman"/>
          <w:sz w:val="24"/>
          <w:szCs w:val="24"/>
          <w:lang w:val="uk-UA"/>
        </w:rPr>
      </w:pPr>
      <w:r w:rsidRPr="002114C8">
        <w:rPr>
          <w:rFonts w:ascii="Times New Roman" w:hAnsi="Times New Roman" w:cs="Times New Roman"/>
          <w:sz w:val="24"/>
          <w:szCs w:val="24"/>
          <w:lang w:val="uk-UA"/>
        </w:rPr>
        <w:br w:type="page"/>
      </w:r>
    </w:p>
    <w:p w:rsidR="00E63F46" w:rsidRPr="002114C8" w:rsidRDefault="00912E07">
      <w:pPr>
        <w:spacing w:after="0" w:line="240" w:lineRule="auto"/>
        <w:jc w:val="center"/>
        <w:rPr>
          <w:rFonts w:ascii="Times New Roman" w:eastAsia="Times New Roman" w:hAnsi="Times New Roman" w:cs="Times New Roman"/>
          <w:b/>
          <w:sz w:val="28"/>
          <w:szCs w:val="28"/>
          <w:lang w:val="uk-UA"/>
        </w:rPr>
      </w:pPr>
      <w:r w:rsidRPr="002114C8">
        <w:rPr>
          <w:rFonts w:ascii="Times New Roman" w:eastAsia="Times New Roman" w:hAnsi="Times New Roman" w:cs="Times New Roman"/>
          <w:b/>
          <w:sz w:val="28"/>
          <w:szCs w:val="28"/>
          <w:lang w:val="uk-UA"/>
        </w:rPr>
        <w:lastRenderedPageBreak/>
        <w:t>ВСТУП</w:t>
      </w:r>
    </w:p>
    <w:p w:rsidR="001E5EEE" w:rsidRPr="002114C8" w:rsidRDefault="001E5EEE">
      <w:pPr>
        <w:spacing w:after="0" w:line="240" w:lineRule="auto"/>
        <w:jc w:val="center"/>
        <w:rPr>
          <w:rFonts w:ascii="Times New Roman" w:eastAsia="Times New Roman" w:hAnsi="Times New Roman" w:cs="Times New Roman"/>
          <w:b/>
          <w:sz w:val="28"/>
          <w:szCs w:val="28"/>
          <w:lang w:val="uk-UA"/>
        </w:rPr>
      </w:pPr>
    </w:p>
    <w:p w:rsidR="001E5EEE" w:rsidRPr="002114C8" w:rsidRDefault="001E5EEE" w:rsidP="001E5EEE">
      <w:pPr>
        <w:widowControl w:val="0"/>
        <w:autoSpaceDE w:val="0"/>
        <w:autoSpaceDN w:val="0"/>
        <w:spacing w:after="0" w:line="360" w:lineRule="auto"/>
        <w:ind w:firstLine="720"/>
        <w:jc w:val="both"/>
        <w:rPr>
          <w:rFonts w:ascii="Times New Roman" w:eastAsia="Times New Roman" w:hAnsi="Times New Roman" w:cs="Times New Roman"/>
          <w:sz w:val="28"/>
          <w:szCs w:val="28"/>
          <w:lang w:val="uk-UA" w:eastAsia="en-US"/>
        </w:rPr>
      </w:pPr>
      <w:r w:rsidRPr="001E5EEE">
        <w:rPr>
          <w:rFonts w:ascii="Times New Roman" w:eastAsia="Times New Roman" w:hAnsi="Times New Roman" w:cs="Times New Roman"/>
          <w:b/>
          <w:sz w:val="28"/>
          <w:szCs w:val="28"/>
          <w:lang w:val="uk-UA" w:eastAsia="en-US"/>
        </w:rPr>
        <w:t xml:space="preserve">Актуальність теми дипломної роботи </w:t>
      </w:r>
      <w:r w:rsidRPr="001E5EEE">
        <w:rPr>
          <w:rFonts w:ascii="Times New Roman" w:eastAsia="Times New Roman" w:hAnsi="Times New Roman" w:cs="Times New Roman"/>
          <w:sz w:val="28"/>
          <w:szCs w:val="28"/>
          <w:lang w:val="uk-UA" w:eastAsia="en-US"/>
        </w:rPr>
        <w:t xml:space="preserve">полягає в тому що, </w:t>
      </w:r>
      <w:r w:rsidRPr="002114C8">
        <w:rPr>
          <w:rFonts w:ascii="Times New Roman" w:eastAsia="Times New Roman" w:hAnsi="Times New Roman" w:cs="Times New Roman"/>
          <w:sz w:val="28"/>
          <w:szCs w:val="28"/>
          <w:lang w:val="uk-UA" w:eastAsia="en-US"/>
        </w:rPr>
        <w:t>Велика Бр</w:t>
      </w:r>
      <w:r w:rsidRPr="002114C8">
        <w:rPr>
          <w:rFonts w:ascii="Times New Roman" w:eastAsia="Times New Roman" w:hAnsi="Times New Roman" w:cs="Times New Roman"/>
          <w:sz w:val="28"/>
          <w:szCs w:val="28"/>
          <w:lang w:val="uk-UA" w:eastAsia="en-US"/>
        </w:rPr>
        <w:t>и</w:t>
      </w:r>
      <w:r w:rsidRPr="002114C8">
        <w:rPr>
          <w:rFonts w:ascii="Times New Roman" w:eastAsia="Times New Roman" w:hAnsi="Times New Roman" w:cs="Times New Roman"/>
          <w:sz w:val="28"/>
          <w:szCs w:val="28"/>
          <w:lang w:val="uk-UA" w:eastAsia="en-US"/>
        </w:rPr>
        <w:t>танія та Ірландія є високорозвинутими країнами, більш глибока співпраця з якими дозволить Україні вийти на новий якісний рівень технологічного розв</w:t>
      </w:r>
      <w:r w:rsidRPr="002114C8">
        <w:rPr>
          <w:rFonts w:ascii="Times New Roman" w:eastAsia="Times New Roman" w:hAnsi="Times New Roman" w:cs="Times New Roman"/>
          <w:sz w:val="28"/>
          <w:szCs w:val="28"/>
          <w:lang w:val="uk-UA" w:eastAsia="en-US"/>
        </w:rPr>
        <w:t>и</w:t>
      </w:r>
      <w:r w:rsidRPr="002114C8">
        <w:rPr>
          <w:rFonts w:ascii="Times New Roman" w:eastAsia="Times New Roman" w:hAnsi="Times New Roman" w:cs="Times New Roman"/>
          <w:sz w:val="28"/>
          <w:szCs w:val="28"/>
          <w:lang w:val="uk-UA" w:eastAsia="en-US"/>
        </w:rPr>
        <w:t>тку національної економіки. Важливим є також той фактор, що Велика Брит</w:t>
      </w:r>
      <w:r w:rsidRPr="002114C8">
        <w:rPr>
          <w:rFonts w:ascii="Times New Roman" w:eastAsia="Times New Roman" w:hAnsi="Times New Roman" w:cs="Times New Roman"/>
          <w:sz w:val="28"/>
          <w:szCs w:val="28"/>
          <w:lang w:val="uk-UA" w:eastAsia="en-US"/>
        </w:rPr>
        <w:t>а</w:t>
      </w:r>
      <w:r w:rsidRPr="002114C8">
        <w:rPr>
          <w:rFonts w:ascii="Times New Roman" w:eastAsia="Times New Roman" w:hAnsi="Times New Roman" w:cs="Times New Roman"/>
          <w:sz w:val="28"/>
          <w:szCs w:val="28"/>
          <w:lang w:val="uk-UA" w:eastAsia="en-US"/>
        </w:rPr>
        <w:t>нія та Ірландія повністю підтримують незалежність України та допомагають їй у війні проти Росії.</w:t>
      </w:r>
    </w:p>
    <w:p w:rsidR="00E63F46" w:rsidRPr="002114C8" w:rsidRDefault="00912E07">
      <w:pPr>
        <w:spacing w:after="0" w:line="360" w:lineRule="auto"/>
        <w:ind w:firstLine="708"/>
        <w:jc w:val="both"/>
        <w:rPr>
          <w:rFonts w:ascii="Times New Roman" w:eastAsia="Times New Roman" w:hAnsi="Times New Roman"/>
          <w:sz w:val="28"/>
          <w:szCs w:val="28"/>
          <w:lang w:val="uk-UA"/>
        </w:rPr>
      </w:pPr>
      <w:r w:rsidRPr="002114C8">
        <w:rPr>
          <w:rFonts w:ascii="Times New Roman" w:eastAsia="Times New Roman" w:hAnsi="Times New Roman" w:cs="Times New Roman"/>
          <w:sz w:val="28"/>
          <w:szCs w:val="28"/>
          <w:lang w:val="uk-UA"/>
        </w:rPr>
        <w:t>Сполучене Королівство та Ірландська Республіка мають не лише спіл</w:t>
      </w:r>
      <w:r w:rsidRPr="002114C8">
        <w:rPr>
          <w:rFonts w:ascii="Times New Roman" w:eastAsia="Times New Roman" w:hAnsi="Times New Roman" w:cs="Times New Roman"/>
          <w:sz w:val="28"/>
          <w:szCs w:val="28"/>
          <w:lang w:val="uk-UA"/>
        </w:rPr>
        <w:t>ь</w:t>
      </w:r>
      <w:r w:rsidRPr="002114C8">
        <w:rPr>
          <w:rFonts w:ascii="Times New Roman" w:eastAsia="Times New Roman" w:hAnsi="Times New Roman" w:cs="Times New Roman"/>
          <w:sz w:val="28"/>
          <w:szCs w:val="28"/>
          <w:lang w:val="uk-UA"/>
        </w:rPr>
        <w:t xml:space="preserve">ний кордон, а й тісні соціально-економічні </w:t>
      </w:r>
      <w:r w:rsidR="001E5EEE" w:rsidRPr="002114C8">
        <w:rPr>
          <w:rFonts w:ascii="Times New Roman" w:eastAsia="Times New Roman" w:hAnsi="Times New Roman" w:cs="Times New Roman"/>
          <w:sz w:val="28"/>
          <w:szCs w:val="28"/>
          <w:lang w:val="uk-UA"/>
        </w:rPr>
        <w:t>зв’язки</w:t>
      </w:r>
      <w:r w:rsidRPr="002114C8">
        <w:rPr>
          <w:rFonts w:ascii="Times New Roman" w:eastAsia="Times New Roman" w:hAnsi="Times New Roman" w:cs="Times New Roman"/>
          <w:sz w:val="28"/>
          <w:szCs w:val="28"/>
          <w:lang w:val="uk-UA"/>
        </w:rPr>
        <w:t xml:space="preserve">. </w:t>
      </w:r>
      <w:r w:rsidRPr="002114C8">
        <w:rPr>
          <w:rFonts w:ascii="Times New Roman" w:eastAsia="Times New Roman" w:hAnsi="Times New Roman"/>
          <w:sz w:val="28"/>
          <w:szCs w:val="28"/>
          <w:lang w:val="uk-UA"/>
        </w:rPr>
        <w:t>З початком дебатів щодо рішення  Великої Британії вийти зі складу Європейського Союзу, опоненти підняли тему ризику не лише для миру та примирення в конфлікті з Ірландією, а й ускладнення економічного співробітництва і безпосередньо негативних н</w:t>
      </w:r>
      <w:r w:rsidRPr="002114C8">
        <w:rPr>
          <w:rFonts w:ascii="Times New Roman" w:eastAsia="Times New Roman" w:hAnsi="Times New Roman"/>
          <w:sz w:val="28"/>
          <w:szCs w:val="28"/>
          <w:lang w:val="uk-UA"/>
        </w:rPr>
        <w:t>а</w:t>
      </w:r>
      <w:r w:rsidRPr="002114C8">
        <w:rPr>
          <w:rFonts w:ascii="Times New Roman" w:eastAsia="Times New Roman" w:hAnsi="Times New Roman"/>
          <w:sz w:val="28"/>
          <w:szCs w:val="28"/>
          <w:lang w:val="uk-UA"/>
        </w:rPr>
        <w:t>слідків для економік обох країн, якщо Велика Британія залишить Європейс</w:t>
      </w:r>
      <w:r w:rsidRPr="002114C8">
        <w:rPr>
          <w:rFonts w:ascii="Times New Roman" w:eastAsia="Times New Roman" w:hAnsi="Times New Roman"/>
          <w:sz w:val="28"/>
          <w:szCs w:val="28"/>
          <w:lang w:val="uk-UA"/>
        </w:rPr>
        <w:t>ь</w:t>
      </w:r>
      <w:r w:rsidRPr="002114C8">
        <w:rPr>
          <w:rFonts w:ascii="Times New Roman" w:eastAsia="Times New Roman" w:hAnsi="Times New Roman"/>
          <w:sz w:val="28"/>
          <w:szCs w:val="28"/>
          <w:lang w:val="uk-UA"/>
        </w:rPr>
        <w:t>кий Союз (ЄС). Членство Великобританії та Республіки Ірландія в ЄС сприяло укладенню мирної угоди, яка багато в чому залежала від відкритого кордону між Північчю та Півднем.</w:t>
      </w:r>
    </w:p>
    <w:p w:rsidR="00E63F46" w:rsidRPr="002114C8" w:rsidRDefault="00912E07">
      <w:pPr>
        <w:spacing w:after="0" w:line="360" w:lineRule="auto"/>
        <w:ind w:firstLine="708"/>
        <w:jc w:val="both"/>
        <w:rPr>
          <w:rFonts w:ascii="Times New Roman" w:eastAsia="Times New Roman" w:hAnsi="Times New Roman"/>
          <w:sz w:val="28"/>
          <w:szCs w:val="28"/>
          <w:lang w:val="uk-UA"/>
        </w:rPr>
      </w:pPr>
      <w:r w:rsidRPr="002114C8">
        <w:rPr>
          <w:rFonts w:ascii="Times New Roman" w:eastAsia="Times New Roman" w:hAnsi="Times New Roman"/>
          <w:sz w:val="28"/>
          <w:szCs w:val="28"/>
          <w:lang w:val="uk-UA"/>
        </w:rPr>
        <w:t xml:space="preserve"> Стосовно торгівлі було три найважливіші цілі: 1) уникнення жорсткого кордону між Північчю та Півднем та інших загроз для мирного врегулювання; 2) збереження права ЄС на дотримання своїх законів і правила щодо товарів, які можуть надходити на ринок ЄС в Ірландію або через неї; 3) забезпечення необмеженої торгівлі між Північною Ірландією та Великою Британією. </w:t>
      </w:r>
    </w:p>
    <w:p w:rsidR="00E63F46" w:rsidRPr="002114C8" w:rsidRDefault="00912E07">
      <w:pPr>
        <w:spacing w:after="0" w:line="360" w:lineRule="auto"/>
        <w:ind w:firstLine="567"/>
        <w:jc w:val="both"/>
        <w:rPr>
          <w:rFonts w:ascii="Times New Roman" w:eastAsia="Times New Roman" w:hAnsi="Times New Roman"/>
          <w:sz w:val="28"/>
          <w:szCs w:val="28"/>
          <w:lang w:val="uk-UA"/>
        </w:rPr>
      </w:pPr>
      <w:r w:rsidRPr="002114C8">
        <w:rPr>
          <w:rFonts w:ascii="Times New Roman" w:eastAsia="Times New Roman" w:hAnsi="Times New Roman"/>
          <w:sz w:val="28"/>
          <w:szCs w:val="28"/>
          <w:lang w:val="uk-UA"/>
        </w:rPr>
        <w:t>Значна частина проблеми збалансування цілей випливає з політичного рішення у Великій Британії фактично відмовитися від рішення після Brexit, яке збереже гармонізацію регулятивних стандартів з ЄС, принаймні тих, які особливо стосуються товарів, що торгуються між Великою Британією та Ірл</w:t>
      </w:r>
      <w:r w:rsidRPr="002114C8">
        <w:rPr>
          <w:rFonts w:ascii="Times New Roman" w:eastAsia="Times New Roman" w:hAnsi="Times New Roman"/>
          <w:sz w:val="28"/>
          <w:szCs w:val="28"/>
          <w:lang w:val="uk-UA"/>
        </w:rPr>
        <w:t>а</w:t>
      </w:r>
      <w:r w:rsidRPr="002114C8">
        <w:rPr>
          <w:rFonts w:ascii="Times New Roman" w:eastAsia="Times New Roman" w:hAnsi="Times New Roman"/>
          <w:sz w:val="28"/>
          <w:szCs w:val="28"/>
          <w:lang w:val="uk-UA"/>
        </w:rPr>
        <w:t>ндією. Незважаючи на те, що TCA дозволив би безмитну торгівлю між Вел</w:t>
      </w:r>
      <w:r w:rsidRPr="002114C8">
        <w:rPr>
          <w:rFonts w:ascii="Times New Roman" w:eastAsia="Times New Roman" w:hAnsi="Times New Roman"/>
          <w:sz w:val="28"/>
          <w:szCs w:val="28"/>
          <w:lang w:val="uk-UA"/>
        </w:rPr>
        <w:t>и</w:t>
      </w:r>
      <w:r w:rsidRPr="002114C8">
        <w:rPr>
          <w:rFonts w:ascii="Times New Roman" w:eastAsia="Times New Roman" w:hAnsi="Times New Roman"/>
          <w:sz w:val="28"/>
          <w:szCs w:val="28"/>
          <w:lang w:val="uk-UA"/>
        </w:rPr>
        <w:t xml:space="preserve">кою Британією та ЄС, переважна політична ідеологія Brexit наклала табу на гармонізацію. </w:t>
      </w:r>
    </w:p>
    <w:p w:rsidR="001E5EEE" w:rsidRPr="002114C8" w:rsidRDefault="001E5EEE" w:rsidP="001E5EEE">
      <w:pPr>
        <w:spacing w:after="0" w:line="360" w:lineRule="auto"/>
        <w:ind w:firstLine="567"/>
        <w:jc w:val="both"/>
        <w:rPr>
          <w:rFonts w:ascii="Times New Roman" w:eastAsia="Times New Roman" w:hAnsi="Times New Roman" w:cs="Times New Roman"/>
          <w:sz w:val="28"/>
          <w:szCs w:val="28"/>
          <w:lang w:val="uk-UA"/>
        </w:rPr>
      </w:pPr>
      <w:r w:rsidRPr="002114C8">
        <w:rPr>
          <w:rFonts w:ascii="Times New Roman" w:eastAsia="Times New Roman" w:hAnsi="Times New Roman" w:cs="Times New Roman"/>
          <w:sz w:val="28"/>
          <w:szCs w:val="28"/>
          <w:lang w:val="uk-UA"/>
        </w:rPr>
        <w:lastRenderedPageBreak/>
        <w:t xml:space="preserve">Таким чином, тема кваліфікаційної роботи є актуальною для сучасних міжнародних економічних відносин та України. </w:t>
      </w:r>
      <w:r w:rsidRPr="002114C8">
        <w:rPr>
          <w:rFonts w:ascii="Times New Roman" w:eastAsia="Times New Roman" w:hAnsi="Times New Roman" w:cs="Times New Roman"/>
          <w:b/>
          <w:sz w:val="28"/>
          <w:szCs w:val="28"/>
          <w:lang w:val="uk-UA"/>
        </w:rPr>
        <w:t>Метою роботи</w:t>
      </w:r>
      <w:r w:rsidRPr="002114C8">
        <w:rPr>
          <w:rFonts w:ascii="Times New Roman" w:eastAsia="Times New Roman" w:hAnsi="Times New Roman" w:cs="Times New Roman"/>
          <w:sz w:val="28"/>
          <w:szCs w:val="28"/>
          <w:lang w:val="uk-UA"/>
        </w:rPr>
        <w:t xml:space="preserve"> є аналіз суча</w:t>
      </w:r>
      <w:r w:rsidRPr="002114C8">
        <w:rPr>
          <w:rFonts w:ascii="Times New Roman" w:eastAsia="Times New Roman" w:hAnsi="Times New Roman" w:cs="Times New Roman"/>
          <w:sz w:val="28"/>
          <w:szCs w:val="28"/>
          <w:lang w:val="uk-UA"/>
        </w:rPr>
        <w:t>с</w:t>
      </w:r>
      <w:r w:rsidRPr="002114C8">
        <w:rPr>
          <w:rFonts w:ascii="Times New Roman" w:eastAsia="Times New Roman" w:hAnsi="Times New Roman" w:cs="Times New Roman"/>
          <w:sz w:val="28"/>
          <w:szCs w:val="28"/>
          <w:lang w:val="uk-UA"/>
        </w:rPr>
        <w:t>ного стану зовнішньоекономічних операцій Великої Британії та Ірландії.</w:t>
      </w:r>
    </w:p>
    <w:p w:rsidR="001E5EEE" w:rsidRPr="002114C8" w:rsidRDefault="001E5EEE" w:rsidP="001E5EEE">
      <w:pPr>
        <w:spacing w:after="0" w:line="360" w:lineRule="auto"/>
        <w:ind w:firstLine="567"/>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sz w:val="28"/>
          <w:szCs w:val="28"/>
          <w:lang w:val="uk-UA"/>
        </w:rPr>
        <w:t xml:space="preserve">Досягнення поставленої мети передбачає вирішення у </w:t>
      </w:r>
      <w:r w:rsidRPr="002114C8">
        <w:rPr>
          <w:rFonts w:ascii="Times New Roman" w:eastAsia="Times New Roman" w:hAnsi="Times New Roman" w:cs="Times New Roman"/>
          <w:sz w:val="28"/>
          <w:szCs w:val="28"/>
          <w:lang w:val="uk-UA"/>
        </w:rPr>
        <w:t>кваліфікаційній</w:t>
      </w:r>
      <w:r w:rsidRPr="001E5EEE">
        <w:rPr>
          <w:rFonts w:ascii="Times New Roman" w:eastAsia="Times New Roman" w:hAnsi="Times New Roman" w:cs="Times New Roman"/>
          <w:sz w:val="28"/>
          <w:szCs w:val="28"/>
          <w:lang w:val="uk-UA"/>
        </w:rPr>
        <w:t xml:space="preserve"> р</w:t>
      </w:r>
      <w:r w:rsidRPr="001E5EEE">
        <w:rPr>
          <w:rFonts w:ascii="Times New Roman" w:eastAsia="Times New Roman" w:hAnsi="Times New Roman" w:cs="Times New Roman"/>
          <w:sz w:val="28"/>
          <w:szCs w:val="28"/>
          <w:lang w:val="uk-UA"/>
        </w:rPr>
        <w:t>о</w:t>
      </w:r>
      <w:r w:rsidRPr="001E5EEE">
        <w:rPr>
          <w:rFonts w:ascii="Times New Roman" w:eastAsia="Times New Roman" w:hAnsi="Times New Roman" w:cs="Times New Roman"/>
          <w:sz w:val="28"/>
          <w:szCs w:val="28"/>
          <w:lang w:val="uk-UA"/>
        </w:rPr>
        <w:t xml:space="preserve">боті наступних </w:t>
      </w:r>
      <w:r w:rsidRPr="001E5EEE">
        <w:rPr>
          <w:rFonts w:ascii="Times New Roman" w:eastAsia="Times New Roman" w:hAnsi="Times New Roman" w:cs="Times New Roman"/>
          <w:b/>
          <w:sz w:val="28"/>
          <w:szCs w:val="28"/>
          <w:lang w:val="uk-UA"/>
        </w:rPr>
        <w:t>завдань</w:t>
      </w:r>
      <w:r w:rsidRPr="001E5EEE">
        <w:rPr>
          <w:rFonts w:ascii="Times New Roman" w:eastAsia="Times New Roman" w:hAnsi="Times New Roman" w:cs="Times New Roman"/>
          <w:sz w:val="28"/>
          <w:szCs w:val="28"/>
          <w:lang w:val="uk-UA"/>
        </w:rPr>
        <w:t>:</w:t>
      </w:r>
    </w:p>
    <w:p w:rsidR="001E5EEE" w:rsidRPr="001E5EEE" w:rsidRDefault="001E5EEE" w:rsidP="001E5EEE">
      <w:pPr>
        <w:numPr>
          <w:ilvl w:val="0"/>
          <w:numId w:val="2"/>
        </w:numPr>
        <w:suppressAutoHyphens/>
        <w:spacing w:after="0" w:line="360" w:lineRule="auto"/>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sz w:val="28"/>
          <w:szCs w:val="28"/>
          <w:lang w:val="uk-UA"/>
        </w:rPr>
        <w:t xml:space="preserve">вивчити теоретичні основи аналізу зовнішньоекономічних операцій </w:t>
      </w:r>
      <w:r w:rsidRPr="002114C8">
        <w:rPr>
          <w:rFonts w:ascii="Times New Roman" w:eastAsia="Times New Roman" w:hAnsi="Times New Roman" w:cs="Times New Roman"/>
          <w:sz w:val="28"/>
          <w:szCs w:val="28"/>
          <w:lang w:val="uk-UA"/>
        </w:rPr>
        <w:t>Великої Британії та Ірландії</w:t>
      </w:r>
      <w:r w:rsidRPr="001E5EEE">
        <w:rPr>
          <w:rFonts w:ascii="Times New Roman" w:eastAsia="Times New Roman" w:hAnsi="Times New Roman" w:cs="Times New Roman"/>
          <w:sz w:val="28"/>
          <w:szCs w:val="28"/>
          <w:lang w:val="uk-UA"/>
        </w:rPr>
        <w:t>;</w:t>
      </w:r>
    </w:p>
    <w:p w:rsidR="001E5EEE" w:rsidRPr="001E5EEE" w:rsidRDefault="001E5EEE" w:rsidP="001E5EEE">
      <w:pPr>
        <w:numPr>
          <w:ilvl w:val="0"/>
          <w:numId w:val="2"/>
        </w:numPr>
        <w:suppressAutoHyphens/>
        <w:spacing w:after="0" w:line="360" w:lineRule="auto"/>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sz w:val="28"/>
          <w:szCs w:val="28"/>
          <w:lang w:val="uk-UA"/>
        </w:rPr>
        <w:t xml:space="preserve">провести порівняльний аналіз поточних рахунків </w:t>
      </w:r>
      <w:r w:rsidRPr="002114C8">
        <w:rPr>
          <w:rFonts w:ascii="Times New Roman" w:eastAsia="Times New Roman" w:hAnsi="Times New Roman" w:cs="Times New Roman"/>
          <w:sz w:val="28"/>
          <w:szCs w:val="28"/>
          <w:lang w:val="uk-UA"/>
        </w:rPr>
        <w:t>Великої Британії та Ірландії</w:t>
      </w:r>
      <w:r w:rsidRPr="001E5EEE">
        <w:rPr>
          <w:rFonts w:ascii="Times New Roman" w:eastAsia="Times New Roman" w:hAnsi="Times New Roman" w:cs="Times New Roman"/>
          <w:sz w:val="28"/>
          <w:szCs w:val="28"/>
          <w:lang w:val="uk-UA"/>
        </w:rPr>
        <w:t>;</w:t>
      </w:r>
    </w:p>
    <w:p w:rsidR="001E5EEE" w:rsidRPr="001E5EEE" w:rsidRDefault="001E5EEE" w:rsidP="001E5EEE">
      <w:pPr>
        <w:numPr>
          <w:ilvl w:val="0"/>
          <w:numId w:val="2"/>
        </w:numPr>
        <w:suppressAutoHyphens/>
        <w:spacing w:after="0" w:line="360" w:lineRule="auto"/>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sz w:val="28"/>
          <w:szCs w:val="28"/>
          <w:lang w:val="uk-UA"/>
        </w:rPr>
        <w:t xml:space="preserve"> визначити особливості формування фінансових рахунків </w:t>
      </w:r>
      <w:r w:rsidRPr="002114C8">
        <w:rPr>
          <w:rFonts w:ascii="Times New Roman" w:eastAsia="Times New Roman" w:hAnsi="Times New Roman" w:cs="Times New Roman"/>
          <w:sz w:val="28"/>
          <w:szCs w:val="28"/>
          <w:lang w:val="uk-UA"/>
        </w:rPr>
        <w:t>Великої Британії та Ірландії</w:t>
      </w:r>
      <w:r w:rsidRPr="001E5EEE">
        <w:rPr>
          <w:rFonts w:ascii="Times New Roman" w:eastAsia="Times New Roman" w:hAnsi="Times New Roman" w:cs="Times New Roman"/>
          <w:sz w:val="28"/>
          <w:szCs w:val="28"/>
          <w:lang w:val="uk-UA"/>
        </w:rPr>
        <w:t>;</w:t>
      </w:r>
    </w:p>
    <w:p w:rsidR="001E5EEE" w:rsidRPr="001E5EEE" w:rsidRDefault="001E5EEE" w:rsidP="001E5EEE">
      <w:pPr>
        <w:numPr>
          <w:ilvl w:val="0"/>
          <w:numId w:val="2"/>
        </w:numPr>
        <w:suppressAutoHyphens/>
        <w:spacing w:after="0" w:line="360" w:lineRule="auto"/>
        <w:jc w:val="both"/>
        <w:rPr>
          <w:rFonts w:ascii="Times New Roman" w:eastAsia="Times New Roman" w:hAnsi="Times New Roman" w:cs="Times New Roman"/>
          <w:sz w:val="28"/>
          <w:szCs w:val="28"/>
          <w:lang w:val="uk-UA"/>
        </w:rPr>
      </w:pPr>
      <w:r w:rsidRPr="002114C8">
        <w:rPr>
          <w:rFonts w:ascii="Times New Roman" w:eastAsia="Times New Roman" w:hAnsi="Times New Roman" w:cs="Times New Roman"/>
          <w:sz w:val="28"/>
          <w:szCs w:val="28"/>
          <w:lang w:val="uk-UA"/>
        </w:rPr>
        <w:t>в</w:t>
      </w:r>
      <w:r w:rsidRPr="001E5EEE">
        <w:rPr>
          <w:rFonts w:ascii="Times New Roman" w:eastAsia="Times New Roman" w:hAnsi="Times New Roman" w:cs="Times New Roman"/>
          <w:sz w:val="28"/>
          <w:szCs w:val="28"/>
          <w:lang w:val="uk-UA"/>
        </w:rPr>
        <w:t xml:space="preserve">изначити результат операцій «Carry Trade» з державними облігаціями </w:t>
      </w:r>
      <w:r w:rsidRPr="002114C8">
        <w:rPr>
          <w:rFonts w:ascii="Times New Roman" w:eastAsia="Times New Roman" w:hAnsi="Times New Roman" w:cs="Times New Roman"/>
          <w:sz w:val="28"/>
          <w:szCs w:val="28"/>
          <w:lang w:val="uk-UA"/>
        </w:rPr>
        <w:t xml:space="preserve">Великої Британії, Ірландії </w:t>
      </w:r>
      <w:r w:rsidRPr="001E5EEE">
        <w:rPr>
          <w:rFonts w:ascii="Times New Roman" w:eastAsia="Times New Roman" w:hAnsi="Times New Roman" w:cs="Times New Roman"/>
          <w:sz w:val="28"/>
          <w:szCs w:val="28"/>
          <w:lang w:val="uk-UA"/>
        </w:rPr>
        <w:t>та України;</w:t>
      </w:r>
    </w:p>
    <w:p w:rsidR="001E5EEE" w:rsidRPr="001E5EEE" w:rsidRDefault="001E5EEE" w:rsidP="001E5EEE">
      <w:pPr>
        <w:numPr>
          <w:ilvl w:val="0"/>
          <w:numId w:val="2"/>
        </w:numPr>
        <w:suppressAutoHyphens/>
        <w:spacing w:after="0" w:line="360" w:lineRule="auto"/>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sz w:val="28"/>
          <w:szCs w:val="28"/>
          <w:lang w:val="uk-UA"/>
        </w:rPr>
        <w:t xml:space="preserve">дослідити особливості зовнішньоекономічних операцій </w:t>
      </w:r>
      <w:r w:rsidRPr="002114C8">
        <w:rPr>
          <w:rFonts w:ascii="Times New Roman" w:eastAsia="Times New Roman" w:hAnsi="Times New Roman" w:cs="Times New Roman"/>
          <w:sz w:val="28"/>
          <w:szCs w:val="28"/>
          <w:lang w:val="uk-UA"/>
        </w:rPr>
        <w:t>Великої Британії та Ірландії</w:t>
      </w:r>
      <w:r w:rsidRPr="001E5EEE">
        <w:rPr>
          <w:rFonts w:ascii="Times New Roman" w:eastAsia="Times New Roman" w:hAnsi="Times New Roman" w:cs="Times New Roman"/>
          <w:sz w:val="28"/>
          <w:szCs w:val="28"/>
          <w:lang w:val="uk-UA"/>
        </w:rPr>
        <w:t xml:space="preserve"> з Україною.</w:t>
      </w:r>
    </w:p>
    <w:p w:rsidR="001E5EEE" w:rsidRPr="001E5EEE" w:rsidRDefault="001E5EEE" w:rsidP="001E5EEE">
      <w:pPr>
        <w:spacing w:after="0" w:line="360" w:lineRule="auto"/>
        <w:ind w:firstLine="567"/>
        <w:jc w:val="both"/>
        <w:rPr>
          <w:rFonts w:ascii="Times New Roman" w:eastAsia="Times New Roman" w:hAnsi="Times New Roman" w:cs="Times New Roman"/>
          <w:b/>
          <w:sz w:val="10"/>
          <w:szCs w:val="10"/>
          <w:lang w:val="uk-UA"/>
        </w:rPr>
      </w:pPr>
    </w:p>
    <w:p w:rsidR="001E5EEE" w:rsidRPr="001E5EEE" w:rsidRDefault="001E5EEE" w:rsidP="001E5EEE">
      <w:pPr>
        <w:spacing w:after="0" w:line="360" w:lineRule="auto"/>
        <w:ind w:firstLine="709"/>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b/>
          <w:sz w:val="28"/>
          <w:szCs w:val="28"/>
          <w:lang w:val="uk-UA"/>
        </w:rPr>
        <w:t>Об’єктом дослідження</w:t>
      </w:r>
      <w:r w:rsidRPr="001E5EEE">
        <w:rPr>
          <w:rFonts w:ascii="Times New Roman" w:eastAsia="Times New Roman" w:hAnsi="Times New Roman" w:cs="Times New Roman"/>
          <w:sz w:val="28"/>
          <w:szCs w:val="28"/>
          <w:lang w:val="uk-UA"/>
        </w:rPr>
        <w:t xml:space="preserve"> –  є економіки </w:t>
      </w:r>
      <w:r w:rsidRPr="002114C8">
        <w:rPr>
          <w:rFonts w:ascii="Times New Roman" w:eastAsia="Times New Roman" w:hAnsi="Times New Roman" w:cs="Times New Roman"/>
          <w:sz w:val="28"/>
          <w:szCs w:val="28"/>
          <w:lang w:val="uk-UA"/>
        </w:rPr>
        <w:t>Великої Британії та Ірландії</w:t>
      </w:r>
      <w:r w:rsidRPr="001E5EEE">
        <w:rPr>
          <w:rFonts w:ascii="Times New Roman" w:eastAsia="Times New Roman" w:hAnsi="Times New Roman" w:cs="Times New Roman"/>
          <w:sz w:val="28"/>
          <w:szCs w:val="28"/>
          <w:lang w:val="uk-UA"/>
        </w:rPr>
        <w:t>.</w:t>
      </w:r>
    </w:p>
    <w:p w:rsidR="001E5EEE" w:rsidRPr="001E5EEE" w:rsidRDefault="001E5EEE" w:rsidP="001E5EEE">
      <w:pPr>
        <w:spacing w:after="0" w:line="360" w:lineRule="auto"/>
        <w:ind w:firstLine="709"/>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b/>
          <w:sz w:val="28"/>
          <w:szCs w:val="28"/>
          <w:lang w:val="uk-UA"/>
        </w:rPr>
        <w:t>Предметом дослідження</w:t>
      </w:r>
      <w:r w:rsidRPr="001E5EEE">
        <w:rPr>
          <w:rFonts w:ascii="Times New Roman" w:eastAsia="Times New Roman" w:hAnsi="Times New Roman" w:cs="Times New Roman"/>
          <w:sz w:val="28"/>
          <w:szCs w:val="28"/>
          <w:lang w:val="uk-UA"/>
        </w:rPr>
        <w:t xml:space="preserve"> – є теоретичні основи та прикладні аспекти трансформації зовнішньоекономічних операцій </w:t>
      </w:r>
      <w:r w:rsidRPr="002114C8">
        <w:rPr>
          <w:rFonts w:ascii="Times New Roman" w:eastAsia="Times New Roman" w:hAnsi="Times New Roman" w:cs="Times New Roman"/>
          <w:sz w:val="28"/>
          <w:szCs w:val="28"/>
          <w:lang w:val="uk-UA"/>
        </w:rPr>
        <w:t xml:space="preserve">Великої Британії та Ірландії </w:t>
      </w:r>
      <w:r w:rsidRPr="001E5EEE">
        <w:rPr>
          <w:rFonts w:ascii="Times New Roman" w:eastAsia="Times New Roman" w:hAnsi="Times New Roman" w:cs="Times New Roman"/>
          <w:sz w:val="28"/>
          <w:szCs w:val="28"/>
          <w:lang w:val="uk-UA"/>
        </w:rPr>
        <w:t>в сучасних умовах.</w:t>
      </w:r>
    </w:p>
    <w:p w:rsidR="001E5EEE" w:rsidRPr="001E5EEE" w:rsidRDefault="001E5EEE" w:rsidP="001E5EEE">
      <w:pPr>
        <w:spacing w:after="0" w:line="360" w:lineRule="auto"/>
        <w:ind w:firstLine="709"/>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sz w:val="28"/>
          <w:szCs w:val="28"/>
          <w:lang w:val="uk-UA"/>
        </w:rPr>
        <w:t xml:space="preserve">При виконанні поставлених завдань були використані дані та матеріали з таких джерел: сайти Центральних банків країн, сайт Міжнародного валютного фонду, наукова література. </w:t>
      </w:r>
    </w:p>
    <w:p w:rsidR="001E5EEE" w:rsidRPr="002114C8" w:rsidRDefault="001E5EEE" w:rsidP="001E5EEE">
      <w:pPr>
        <w:spacing w:after="0" w:line="360" w:lineRule="auto"/>
        <w:ind w:firstLine="709"/>
        <w:jc w:val="both"/>
        <w:rPr>
          <w:rFonts w:ascii="Times New Roman" w:eastAsia="Times New Roman" w:hAnsi="Times New Roman" w:cs="Times New Roman"/>
          <w:sz w:val="28"/>
          <w:szCs w:val="28"/>
          <w:lang w:val="uk-UA"/>
        </w:rPr>
      </w:pPr>
      <w:r w:rsidRPr="001E5EEE">
        <w:rPr>
          <w:rFonts w:ascii="Times New Roman" w:eastAsia="Times New Roman" w:hAnsi="Times New Roman" w:cs="Times New Roman"/>
          <w:sz w:val="28"/>
          <w:szCs w:val="28"/>
          <w:lang w:val="uk-UA"/>
        </w:rPr>
        <w:t>У роботі були використані наступні методи дослідження: теоретико-</w:t>
      </w:r>
      <w:r w:rsidRPr="002114C8">
        <w:rPr>
          <w:rFonts w:ascii="Times New Roman" w:eastAsia="Times New Roman" w:hAnsi="Times New Roman" w:cs="Times New Roman"/>
          <w:sz w:val="28"/>
          <w:szCs w:val="28"/>
          <w:lang w:val="uk-UA"/>
        </w:rPr>
        <w:t>практичний</w:t>
      </w:r>
      <w:r w:rsidRPr="001E5EEE">
        <w:rPr>
          <w:rFonts w:ascii="Times New Roman" w:eastAsia="Times New Roman" w:hAnsi="Times New Roman" w:cs="Times New Roman"/>
          <w:sz w:val="28"/>
          <w:szCs w:val="28"/>
          <w:lang w:val="uk-UA"/>
        </w:rPr>
        <w:t xml:space="preserve"> аналіз джерел за темою дослідження, узагальнення і синтезування отриманої інформації, графічний метод</w:t>
      </w:r>
      <w:r w:rsidRPr="002114C8">
        <w:rPr>
          <w:rFonts w:ascii="Times New Roman" w:eastAsia="Times New Roman" w:hAnsi="Times New Roman" w:cs="Times New Roman"/>
          <w:sz w:val="28"/>
          <w:szCs w:val="28"/>
          <w:lang w:val="uk-UA"/>
        </w:rPr>
        <w:t>.</w:t>
      </w:r>
    </w:p>
    <w:p w:rsidR="00E63F46" w:rsidRPr="002114C8" w:rsidRDefault="00912E07">
      <w:pPr>
        <w:rPr>
          <w:rFonts w:ascii="Times New Roman" w:hAnsi="Times New Roman" w:cs="Times New Roman"/>
          <w:sz w:val="28"/>
          <w:szCs w:val="28"/>
          <w:lang w:val="uk-UA"/>
        </w:rPr>
      </w:pPr>
      <w:r w:rsidRPr="002114C8">
        <w:rPr>
          <w:rFonts w:ascii="Times New Roman" w:hAnsi="Times New Roman" w:cs="Times New Roman"/>
          <w:sz w:val="28"/>
          <w:szCs w:val="28"/>
          <w:lang w:val="uk-UA"/>
        </w:rPr>
        <w:br w:type="page"/>
      </w:r>
    </w:p>
    <w:p w:rsidR="00E63F46" w:rsidRPr="002114C8" w:rsidRDefault="00912E07">
      <w:pPr>
        <w:spacing w:after="0" w:line="360" w:lineRule="auto"/>
        <w:ind w:left="113" w:right="57"/>
        <w:jc w:val="center"/>
        <w:rPr>
          <w:rFonts w:ascii="Times New Roman" w:hAnsi="Times New Roman" w:cs="Times New Roman"/>
          <w:b/>
          <w:sz w:val="28"/>
          <w:szCs w:val="28"/>
          <w:lang w:val="uk-UA"/>
        </w:rPr>
      </w:pPr>
      <w:r w:rsidRPr="002114C8">
        <w:rPr>
          <w:rFonts w:ascii="Times New Roman" w:hAnsi="Times New Roman"/>
          <w:b/>
          <w:sz w:val="28"/>
          <w:szCs w:val="28"/>
          <w:lang w:val="uk-UA"/>
        </w:rPr>
        <w:lastRenderedPageBreak/>
        <w:t>РОЗДІЛ 1</w:t>
      </w:r>
      <w:r w:rsidRPr="002114C8">
        <w:rPr>
          <w:rFonts w:ascii="Times New Roman" w:hAnsi="Times New Roman" w:cs="Times New Roman"/>
          <w:b/>
          <w:sz w:val="28"/>
          <w:szCs w:val="28"/>
          <w:lang w:val="uk-UA"/>
        </w:rPr>
        <w:t xml:space="preserve"> </w:t>
      </w:r>
    </w:p>
    <w:p w:rsidR="00E63F46" w:rsidRPr="002114C8" w:rsidRDefault="00912E07" w:rsidP="00465D9D">
      <w:pPr>
        <w:spacing w:afterLines="50" w:after="120" w:line="360" w:lineRule="auto"/>
        <w:ind w:left="143" w:hangingChars="50" w:hanging="143"/>
        <w:jc w:val="center"/>
        <w:rPr>
          <w:rFonts w:ascii="Times New Roman" w:hAnsi="Times New Roman"/>
          <w:b/>
          <w:bCs/>
          <w:spacing w:val="4"/>
          <w:sz w:val="28"/>
          <w:szCs w:val="28"/>
          <w:lang w:val="uk-UA"/>
        </w:rPr>
      </w:pPr>
      <w:r w:rsidRPr="002114C8">
        <w:rPr>
          <w:rFonts w:ascii="Times New Roman" w:hAnsi="Times New Roman"/>
          <w:b/>
          <w:bCs/>
          <w:spacing w:val="4"/>
          <w:sz w:val="28"/>
          <w:szCs w:val="28"/>
          <w:lang w:val="uk-UA"/>
        </w:rPr>
        <w:t xml:space="preserve">ТЕОРЕТИЧНІ ОСНОВИ АНАЛІЗУ ЗОВНІШНЬОЕКОНОМІЧНИХ </w:t>
      </w:r>
      <w:r w:rsidR="002114C8" w:rsidRPr="002114C8">
        <w:rPr>
          <w:rFonts w:ascii="Times New Roman" w:hAnsi="Times New Roman"/>
          <w:b/>
          <w:bCs/>
          <w:spacing w:val="4"/>
          <w:sz w:val="28"/>
          <w:szCs w:val="28"/>
          <w:lang w:val="uk-UA"/>
        </w:rPr>
        <w:t xml:space="preserve">ЗВ’ЯЗКІВ </w:t>
      </w:r>
      <w:r w:rsidRPr="002114C8">
        <w:rPr>
          <w:rFonts w:ascii="Times New Roman" w:hAnsi="Times New Roman"/>
          <w:b/>
          <w:bCs/>
          <w:spacing w:val="4"/>
          <w:sz w:val="28"/>
          <w:szCs w:val="28"/>
          <w:lang w:val="uk-UA"/>
        </w:rPr>
        <w:t>ВЕЛИКОЇ БРИТАНІЇ ТА ІРЛАНДІЇ</w:t>
      </w:r>
    </w:p>
    <w:p w:rsidR="002114C8" w:rsidRPr="002114C8" w:rsidRDefault="002114C8" w:rsidP="00465D9D">
      <w:pPr>
        <w:spacing w:afterLines="50" w:after="120" w:line="360" w:lineRule="auto"/>
        <w:ind w:left="143" w:hangingChars="50" w:hanging="143"/>
        <w:jc w:val="center"/>
        <w:rPr>
          <w:rFonts w:ascii="Times New Roman" w:hAnsi="Times New Roman"/>
          <w:b/>
          <w:bCs/>
          <w:spacing w:val="4"/>
          <w:sz w:val="28"/>
          <w:szCs w:val="28"/>
          <w:lang w:val="uk-UA"/>
        </w:rPr>
      </w:pPr>
    </w:p>
    <w:p w:rsidR="00E63F46" w:rsidRPr="002114C8" w:rsidRDefault="00912E07" w:rsidP="002114C8">
      <w:pPr>
        <w:spacing w:after="0" w:line="360" w:lineRule="auto"/>
        <w:ind w:left="142" w:hangingChars="50" w:hanging="142"/>
        <w:jc w:val="both"/>
        <w:rPr>
          <w:rFonts w:ascii="Times New Roman" w:hAnsi="Times New Roman"/>
          <w:spacing w:val="4"/>
          <w:sz w:val="28"/>
          <w:szCs w:val="28"/>
          <w:lang w:val="uk-UA"/>
        </w:rPr>
      </w:pPr>
      <w:r w:rsidRPr="002114C8">
        <w:rPr>
          <w:rFonts w:ascii="Times New Roman" w:hAnsi="Times New Roman"/>
          <w:spacing w:val="4"/>
          <w:sz w:val="28"/>
          <w:szCs w:val="28"/>
          <w:lang w:val="uk-UA"/>
        </w:rPr>
        <w:tab/>
      </w:r>
      <w:r w:rsidRPr="002114C8">
        <w:rPr>
          <w:rFonts w:ascii="Times New Roman" w:hAnsi="Times New Roman"/>
          <w:spacing w:val="4"/>
          <w:sz w:val="28"/>
          <w:szCs w:val="28"/>
          <w:lang w:val="uk-UA"/>
        </w:rPr>
        <w:tab/>
        <w:t>З ухваленням рішення про Brexit, вихід Сполученого королівства зі складу Європейського Союзу, від 23 червня 2016 року основна увага у зо</w:t>
      </w:r>
      <w:r w:rsidRPr="002114C8">
        <w:rPr>
          <w:rFonts w:ascii="Times New Roman" w:hAnsi="Times New Roman"/>
          <w:spacing w:val="4"/>
          <w:sz w:val="28"/>
          <w:szCs w:val="28"/>
          <w:lang w:val="uk-UA"/>
        </w:rPr>
        <w:t>в</w:t>
      </w:r>
      <w:r w:rsidRPr="002114C8">
        <w:rPr>
          <w:rFonts w:ascii="Times New Roman" w:hAnsi="Times New Roman"/>
          <w:spacing w:val="4"/>
          <w:sz w:val="28"/>
          <w:szCs w:val="28"/>
          <w:lang w:val="uk-UA"/>
        </w:rPr>
        <w:t>нішньоекономічних відносинах була прикута до наслідків референдуму та нового зовнішньоекономічного напрямку Великої Британії. Окрім цього, ситуація загострилась з початком пандемії COVID-19 та майже повним блокуванням на початку торгівлі. Глобальна пандемія, на рівні з Brexit, м</w:t>
      </w:r>
      <w:r w:rsidRPr="002114C8">
        <w:rPr>
          <w:rFonts w:ascii="Times New Roman" w:hAnsi="Times New Roman"/>
          <w:spacing w:val="4"/>
          <w:sz w:val="28"/>
          <w:szCs w:val="28"/>
          <w:lang w:val="uk-UA"/>
        </w:rPr>
        <w:t>а</w:t>
      </w:r>
      <w:r w:rsidRPr="002114C8">
        <w:rPr>
          <w:rFonts w:ascii="Times New Roman" w:hAnsi="Times New Roman"/>
          <w:spacing w:val="4"/>
          <w:sz w:val="28"/>
          <w:szCs w:val="28"/>
          <w:lang w:val="uk-UA"/>
        </w:rPr>
        <w:t>ла вплив не лише на економіку Великої Британії, а й в певній мірі на Ірл</w:t>
      </w:r>
      <w:r w:rsidRPr="002114C8">
        <w:rPr>
          <w:rFonts w:ascii="Times New Roman" w:hAnsi="Times New Roman"/>
          <w:spacing w:val="4"/>
          <w:sz w:val="28"/>
          <w:szCs w:val="28"/>
          <w:lang w:val="uk-UA"/>
        </w:rPr>
        <w:t>а</w:t>
      </w:r>
      <w:r w:rsidRPr="002114C8">
        <w:rPr>
          <w:rFonts w:ascii="Times New Roman" w:hAnsi="Times New Roman"/>
          <w:spacing w:val="4"/>
          <w:sz w:val="28"/>
          <w:szCs w:val="28"/>
          <w:lang w:val="uk-UA"/>
        </w:rPr>
        <w:t>ндську Республіку.</w:t>
      </w:r>
    </w:p>
    <w:p w:rsidR="00E63F46" w:rsidRPr="002114C8" w:rsidRDefault="00912E07" w:rsidP="00465D9D">
      <w:pPr>
        <w:spacing w:after="0" w:line="360" w:lineRule="auto"/>
        <w:ind w:left="142" w:hangingChars="50" w:hanging="142"/>
        <w:jc w:val="both"/>
        <w:rPr>
          <w:rFonts w:ascii="Times New Roman" w:hAnsi="Times New Roman"/>
          <w:spacing w:val="4"/>
          <w:sz w:val="28"/>
          <w:szCs w:val="28"/>
          <w:lang w:val="uk-UA"/>
        </w:rPr>
      </w:pPr>
      <w:r w:rsidRPr="002114C8">
        <w:rPr>
          <w:rFonts w:ascii="Times New Roman" w:hAnsi="Times New Roman"/>
          <w:spacing w:val="4"/>
          <w:sz w:val="28"/>
          <w:szCs w:val="28"/>
          <w:lang w:val="uk-UA"/>
        </w:rPr>
        <w:tab/>
      </w:r>
      <w:r w:rsidRPr="002114C8">
        <w:rPr>
          <w:rFonts w:ascii="Times New Roman" w:hAnsi="Times New Roman"/>
          <w:spacing w:val="4"/>
          <w:sz w:val="28"/>
          <w:szCs w:val="28"/>
          <w:lang w:val="uk-UA"/>
        </w:rPr>
        <w:tab/>
        <w:t>Як передбачалося в багатьох торговельних дослідженнях, опубліков</w:t>
      </w:r>
      <w:r w:rsidRPr="002114C8">
        <w:rPr>
          <w:rFonts w:ascii="Times New Roman" w:hAnsi="Times New Roman"/>
          <w:spacing w:val="4"/>
          <w:sz w:val="28"/>
          <w:szCs w:val="28"/>
          <w:lang w:val="uk-UA"/>
        </w:rPr>
        <w:t>а</w:t>
      </w:r>
      <w:r w:rsidRPr="002114C8">
        <w:rPr>
          <w:rFonts w:ascii="Times New Roman" w:hAnsi="Times New Roman"/>
          <w:spacing w:val="4"/>
          <w:sz w:val="28"/>
          <w:szCs w:val="28"/>
          <w:lang w:val="uk-UA"/>
        </w:rPr>
        <w:t>них між референдумом щодо Брексіт та фактичним виходом Великої Бр</w:t>
      </w:r>
      <w:r w:rsidRPr="002114C8">
        <w:rPr>
          <w:rFonts w:ascii="Times New Roman" w:hAnsi="Times New Roman"/>
          <w:spacing w:val="4"/>
          <w:sz w:val="28"/>
          <w:szCs w:val="28"/>
          <w:lang w:val="uk-UA"/>
        </w:rPr>
        <w:t>и</w:t>
      </w:r>
      <w:r w:rsidRPr="002114C8">
        <w:rPr>
          <w:rFonts w:ascii="Times New Roman" w:hAnsi="Times New Roman"/>
          <w:spacing w:val="4"/>
          <w:sz w:val="28"/>
          <w:szCs w:val="28"/>
          <w:lang w:val="uk-UA"/>
        </w:rPr>
        <w:t>танії з ЄС у січні 2020 року, вплив на міжнародну торгівлю справді був руйнівний. Залишаючи осторонь вплив кризи COVID-19 на міжнародну т</w:t>
      </w:r>
      <w:r w:rsidRPr="002114C8">
        <w:rPr>
          <w:rFonts w:ascii="Times New Roman" w:hAnsi="Times New Roman"/>
          <w:spacing w:val="4"/>
          <w:sz w:val="28"/>
          <w:szCs w:val="28"/>
          <w:lang w:val="uk-UA"/>
        </w:rPr>
        <w:t>о</w:t>
      </w:r>
      <w:r w:rsidRPr="002114C8">
        <w:rPr>
          <w:rFonts w:ascii="Times New Roman" w:hAnsi="Times New Roman"/>
          <w:spacing w:val="4"/>
          <w:sz w:val="28"/>
          <w:szCs w:val="28"/>
          <w:lang w:val="uk-UA"/>
        </w:rPr>
        <w:t>ргівлю, Brexit особливо зашкодив міжнародній торгівлі самої Великої Бр</w:t>
      </w:r>
      <w:r w:rsidRPr="002114C8">
        <w:rPr>
          <w:rFonts w:ascii="Times New Roman" w:hAnsi="Times New Roman"/>
          <w:spacing w:val="4"/>
          <w:sz w:val="28"/>
          <w:szCs w:val="28"/>
          <w:lang w:val="uk-UA"/>
        </w:rPr>
        <w:t>и</w:t>
      </w:r>
      <w:r w:rsidRPr="002114C8">
        <w:rPr>
          <w:rFonts w:ascii="Times New Roman" w:hAnsi="Times New Roman"/>
          <w:spacing w:val="4"/>
          <w:sz w:val="28"/>
          <w:szCs w:val="28"/>
          <w:lang w:val="uk-UA"/>
        </w:rPr>
        <w:t>танії.</w:t>
      </w:r>
    </w:p>
    <w:p w:rsidR="00E63F46" w:rsidRPr="002114C8" w:rsidRDefault="00912E07" w:rsidP="00465D9D">
      <w:pPr>
        <w:spacing w:after="0" w:line="360" w:lineRule="auto"/>
        <w:ind w:left="142" w:hangingChars="50" w:hanging="142"/>
        <w:jc w:val="both"/>
        <w:rPr>
          <w:rFonts w:ascii="Times New Roman" w:hAnsi="Times New Roman"/>
          <w:spacing w:val="4"/>
          <w:sz w:val="28"/>
          <w:szCs w:val="28"/>
          <w:lang w:val="uk-UA"/>
        </w:rPr>
      </w:pPr>
      <w:r w:rsidRPr="002114C8">
        <w:rPr>
          <w:rFonts w:ascii="Times New Roman" w:hAnsi="Times New Roman"/>
          <w:spacing w:val="4"/>
          <w:sz w:val="28"/>
          <w:szCs w:val="28"/>
          <w:lang w:val="uk-UA"/>
        </w:rPr>
        <w:tab/>
      </w:r>
      <w:r w:rsidRPr="002114C8">
        <w:rPr>
          <w:rFonts w:ascii="Times New Roman" w:hAnsi="Times New Roman"/>
          <w:spacing w:val="4"/>
          <w:sz w:val="28"/>
          <w:szCs w:val="28"/>
          <w:lang w:val="uk-UA"/>
        </w:rPr>
        <w:tab/>
        <w:t>Створення СОТ у 1995 році змусило ЄС (тодішні Європейські співт</w:t>
      </w:r>
      <w:r w:rsidRPr="002114C8">
        <w:rPr>
          <w:rFonts w:ascii="Times New Roman" w:hAnsi="Times New Roman"/>
          <w:spacing w:val="4"/>
          <w:sz w:val="28"/>
          <w:szCs w:val="28"/>
          <w:lang w:val="uk-UA"/>
        </w:rPr>
        <w:t>о</w:t>
      </w:r>
      <w:r w:rsidRPr="002114C8">
        <w:rPr>
          <w:rFonts w:ascii="Times New Roman" w:hAnsi="Times New Roman"/>
          <w:spacing w:val="4"/>
          <w:sz w:val="28"/>
          <w:szCs w:val="28"/>
          <w:lang w:val="uk-UA"/>
        </w:rPr>
        <w:t>вариства) нотифікувати Договір про Європейські співтовариства як Ми</w:t>
      </w:r>
      <w:r w:rsidRPr="002114C8">
        <w:rPr>
          <w:rFonts w:ascii="Times New Roman" w:hAnsi="Times New Roman"/>
          <w:spacing w:val="4"/>
          <w:sz w:val="28"/>
          <w:szCs w:val="28"/>
          <w:lang w:val="uk-UA"/>
        </w:rPr>
        <w:t>т</w:t>
      </w:r>
      <w:r w:rsidRPr="002114C8">
        <w:rPr>
          <w:rFonts w:ascii="Times New Roman" w:hAnsi="Times New Roman"/>
          <w:spacing w:val="4"/>
          <w:sz w:val="28"/>
          <w:szCs w:val="28"/>
          <w:lang w:val="uk-UA"/>
        </w:rPr>
        <w:t>ний союз відповідно до статті XXIV Генеральної угоди з тарифів і торгівлі (ГАТТ), а також як Угоду про економічну інтеграцію відповідно до статті V Генеральної угоди про торгівлю послугами (ГАТС)[1,167]. Будучи ча</w:t>
      </w:r>
      <w:r w:rsidRPr="002114C8">
        <w:rPr>
          <w:rFonts w:ascii="Times New Roman" w:hAnsi="Times New Roman"/>
          <w:spacing w:val="4"/>
          <w:sz w:val="28"/>
          <w:szCs w:val="28"/>
          <w:lang w:val="uk-UA"/>
        </w:rPr>
        <w:t>с</w:t>
      </w:r>
      <w:r w:rsidRPr="002114C8">
        <w:rPr>
          <w:rFonts w:ascii="Times New Roman" w:hAnsi="Times New Roman"/>
          <w:spacing w:val="4"/>
          <w:sz w:val="28"/>
          <w:szCs w:val="28"/>
          <w:lang w:val="uk-UA"/>
        </w:rPr>
        <w:t>тиною Митного союзу, Велика Британія та решта ЄС функціонували в р</w:t>
      </w:r>
      <w:r w:rsidRPr="002114C8">
        <w:rPr>
          <w:rFonts w:ascii="Times New Roman" w:hAnsi="Times New Roman"/>
          <w:spacing w:val="4"/>
          <w:sz w:val="28"/>
          <w:szCs w:val="28"/>
          <w:lang w:val="uk-UA"/>
        </w:rPr>
        <w:t>а</w:t>
      </w:r>
      <w:r w:rsidRPr="002114C8">
        <w:rPr>
          <w:rFonts w:ascii="Times New Roman" w:hAnsi="Times New Roman"/>
          <w:spacing w:val="4"/>
          <w:sz w:val="28"/>
          <w:szCs w:val="28"/>
          <w:lang w:val="uk-UA"/>
        </w:rPr>
        <w:t>мках СОТ через інтегрований набір Переліку поступок ГАТТ і Розкладу зобов’язань ГАТС. Рішення виходу Сполученого Королівства з ЄС безп</w:t>
      </w:r>
      <w:r w:rsidRPr="002114C8">
        <w:rPr>
          <w:rFonts w:ascii="Times New Roman" w:hAnsi="Times New Roman"/>
          <w:spacing w:val="4"/>
          <w:sz w:val="28"/>
          <w:szCs w:val="28"/>
          <w:lang w:val="uk-UA"/>
        </w:rPr>
        <w:t>о</w:t>
      </w:r>
      <w:r w:rsidRPr="002114C8">
        <w:rPr>
          <w:rFonts w:ascii="Times New Roman" w:hAnsi="Times New Roman"/>
          <w:spacing w:val="4"/>
          <w:sz w:val="28"/>
          <w:szCs w:val="28"/>
          <w:lang w:val="uk-UA"/>
        </w:rPr>
        <w:t>середньо зіткнулось з низкою юридичних проблем у рамках міжнародних договорів. У контексті Brexit, Велика Британія стикнулась з унікальною проблемою — сертифікувати свої графіки до виходу з ЄС.</w:t>
      </w:r>
    </w:p>
    <w:p w:rsidR="00E63F46" w:rsidRPr="002114C8" w:rsidRDefault="00912E07">
      <w:pPr>
        <w:spacing w:after="0" w:line="360" w:lineRule="auto"/>
        <w:ind w:firstLine="708"/>
        <w:jc w:val="both"/>
        <w:rPr>
          <w:rFonts w:ascii="Times New Roman" w:hAnsi="Times New Roman"/>
          <w:spacing w:val="4"/>
          <w:sz w:val="28"/>
          <w:szCs w:val="28"/>
          <w:lang w:val="uk-UA"/>
        </w:rPr>
      </w:pPr>
      <w:r w:rsidRPr="002114C8">
        <w:rPr>
          <w:rFonts w:ascii="Times New Roman" w:hAnsi="Times New Roman"/>
          <w:spacing w:val="4"/>
          <w:sz w:val="28"/>
          <w:szCs w:val="28"/>
          <w:lang w:val="uk-UA"/>
        </w:rPr>
        <w:lastRenderedPageBreak/>
        <w:t>У 2018 році Велика Британія подала на сертифікацію свої незалежні графіки ГАТТ та ГАТС. Однак, це викликало занепокоєння з боку низки країн, у тому числі Індії, особливо щодо розподілу квот на сільськогосп</w:t>
      </w:r>
      <w:r w:rsidRPr="002114C8">
        <w:rPr>
          <w:rFonts w:ascii="Times New Roman" w:hAnsi="Times New Roman"/>
          <w:spacing w:val="4"/>
          <w:sz w:val="28"/>
          <w:szCs w:val="28"/>
          <w:lang w:val="uk-UA"/>
        </w:rPr>
        <w:t>о</w:t>
      </w:r>
      <w:r w:rsidRPr="002114C8">
        <w:rPr>
          <w:rFonts w:ascii="Times New Roman" w:hAnsi="Times New Roman"/>
          <w:spacing w:val="4"/>
          <w:sz w:val="28"/>
          <w:szCs w:val="28"/>
          <w:lang w:val="uk-UA"/>
        </w:rPr>
        <w:t>дарську продукцію та певною мірою на послуги. Це є прямим наслідком т</w:t>
      </w:r>
      <w:r w:rsidRPr="002114C8">
        <w:rPr>
          <w:rFonts w:ascii="Times New Roman" w:hAnsi="Times New Roman"/>
          <w:spacing w:val="4"/>
          <w:sz w:val="28"/>
          <w:szCs w:val="28"/>
          <w:lang w:val="uk-UA"/>
        </w:rPr>
        <w:t>о</w:t>
      </w:r>
      <w:r w:rsidRPr="002114C8">
        <w:rPr>
          <w:rFonts w:ascii="Times New Roman" w:hAnsi="Times New Roman"/>
          <w:spacing w:val="4"/>
          <w:sz w:val="28"/>
          <w:szCs w:val="28"/>
          <w:lang w:val="uk-UA"/>
        </w:rPr>
        <w:t>ргівлі на основі власних графіків і юридично відокремлених від графіків ЄС, що вимагає від учасників переговорів доброї співпраці та доброї волі з боку інших членів СОТ.</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pacing w:val="4"/>
          <w:sz w:val="28"/>
          <w:szCs w:val="28"/>
          <w:lang w:val="uk-UA"/>
        </w:rPr>
        <w:t xml:space="preserve">Як стверджують Стівен Брекман, Гаррі Гарретсен та Трістан Коль у своїй праці </w:t>
      </w:r>
      <w:r w:rsidRPr="002114C8">
        <w:rPr>
          <w:rFonts w:ascii="Times New Roman" w:hAnsi="Times New Roman" w:cs="Times New Roman"/>
          <w:sz w:val="28"/>
          <w:szCs w:val="28"/>
          <w:lang w:val="uk-UA"/>
        </w:rPr>
        <w:t>«E</w:t>
      </w:r>
      <w:r w:rsidRPr="002114C8">
        <w:rPr>
          <w:rFonts w:ascii="Times New Roman" w:hAnsi="Times New Roman"/>
          <w:sz w:val="28"/>
          <w:szCs w:val="28"/>
          <w:lang w:val="uk-UA"/>
        </w:rPr>
        <w:t>xititis у Великої Британії: оцінки тяжкості після Brexit</w:t>
      </w:r>
      <w:r w:rsidRPr="002114C8">
        <w:rPr>
          <w:rFonts w:ascii="Times New Roman" w:hAnsi="Times New Roman" w:cs="Times New Roman"/>
          <w:sz w:val="28"/>
          <w:szCs w:val="28"/>
          <w:lang w:val="uk-UA"/>
        </w:rPr>
        <w:t xml:space="preserve">» (2021), </w:t>
      </w:r>
      <w:r w:rsidRPr="002114C8">
        <w:rPr>
          <w:rFonts w:ascii="Times New Roman" w:hAnsi="Times New Roman"/>
          <w:sz w:val="28"/>
          <w:szCs w:val="28"/>
          <w:lang w:val="uk-UA"/>
        </w:rPr>
        <w:t>два одночасних торгових потрясіння, оскільки термін членства Великої Брит</w:t>
      </w:r>
      <w:r w:rsidRPr="002114C8">
        <w:rPr>
          <w:rFonts w:ascii="Times New Roman" w:hAnsi="Times New Roman"/>
          <w:sz w:val="28"/>
          <w:szCs w:val="28"/>
          <w:lang w:val="uk-UA"/>
        </w:rPr>
        <w:t>а</w:t>
      </w:r>
      <w:r w:rsidRPr="002114C8">
        <w:rPr>
          <w:rFonts w:ascii="Times New Roman" w:hAnsi="Times New Roman"/>
          <w:sz w:val="28"/>
          <w:szCs w:val="28"/>
          <w:lang w:val="uk-UA"/>
        </w:rPr>
        <w:t>нії в ЄС формально закінчився за кілька тижнів до того, як пандемія COVID-19 спричинила безпрецедентний спад у світовій торгівлі, емпірично ускладнюють справедливу оцінку наслідків виходу Великої Британії зі складу ЄС для мі</w:t>
      </w:r>
      <w:r w:rsidRPr="002114C8">
        <w:rPr>
          <w:rFonts w:ascii="Times New Roman" w:hAnsi="Times New Roman"/>
          <w:sz w:val="28"/>
          <w:szCs w:val="28"/>
          <w:lang w:val="uk-UA"/>
        </w:rPr>
        <w:t>ж</w:t>
      </w:r>
      <w:r w:rsidRPr="002114C8">
        <w:rPr>
          <w:rFonts w:ascii="Times New Roman" w:hAnsi="Times New Roman"/>
          <w:sz w:val="28"/>
          <w:szCs w:val="28"/>
          <w:lang w:val="uk-UA"/>
        </w:rPr>
        <w:t xml:space="preserve">народної торгівлі. </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Згідно з оцінками вчених, найбільших втрат зазнало саме Сполучене К</w:t>
      </w:r>
      <w:r w:rsidRPr="002114C8">
        <w:rPr>
          <w:rFonts w:ascii="Times New Roman" w:hAnsi="Times New Roman"/>
          <w:sz w:val="28"/>
          <w:szCs w:val="28"/>
          <w:lang w:val="uk-UA"/>
        </w:rPr>
        <w:t>о</w:t>
      </w:r>
      <w:r w:rsidRPr="002114C8">
        <w:rPr>
          <w:rFonts w:ascii="Times New Roman" w:hAnsi="Times New Roman"/>
          <w:sz w:val="28"/>
          <w:szCs w:val="28"/>
          <w:lang w:val="uk-UA"/>
        </w:rPr>
        <w:t xml:space="preserve">ролівство, було зафіксоване падіння міжнародної торгівлі </w:t>
      </w:r>
      <w:r w:rsidRPr="002114C8">
        <w:rPr>
          <w:rFonts w:ascii="Times New Roman" w:hAnsi="Times New Roman" w:cs="Times New Roman"/>
          <w:sz w:val="28"/>
          <w:szCs w:val="28"/>
          <w:lang w:val="uk-UA"/>
        </w:rPr>
        <w:t xml:space="preserve">̶ </w:t>
      </w:r>
      <w:r w:rsidRPr="002114C8">
        <w:rPr>
          <w:rFonts w:ascii="Times New Roman" w:hAnsi="Times New Roman"/>
          <w:sz w:val="28"/>
          <w:szCs w:val="28"/>
          <w:lang w:val="uk-UA"/>
        </w:rPr>
        <w:t>близько 29%, а т</w:t>
      </w:r>
      <w:r w:rsidRPr="002114C8">
        <w:rPr>
          <w:rFonts w:ascii="Times New Roman" w:hAnsi="Times New Roman"/>
          <w:sz w:val="28"/>
          <w:szCs w:val="28"/>
          <w:lang w:val="uk-UA"/>
        </w:rPr>
        <w:t>а</w:t>
      </w:r>
      <w:r w:rsidRPr="002114C8">
        <w:rPr>
          <w:rFonts w:ascii="Times New Roman" w:hAnsi="Times New Roman"/>
          <w:sz w:val="28"/>
          <w:szCs w:val="28"/>
          <w:lang w:val="uk-UA"/>
        </w:rPr>
        <w:t xml:space="preserve">кож істотне скорочення торгівлі між членами ЄС. Окрім Великої Британії, найбільших втрат також зазнали Ірландія, Кіпр і Мальта, тоді як середній член ЄС бачить падіння торгівлі на 1,85%, то вище зазначені країни зіткнулися з найсильнішим падінням, що дорівнювало приблизно 4% [2, 10]. При цьому парадоксальним є те, що Сполучене Королівство повністю покладається на членів Європейського Союзу щодо реалізації торговельної угоди, яка може компенсувати завдані собі економічні збити [3]. </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 xml:space="preserve"> За оцінками Родольфо Кампоса і Якопо Тіміні у </w:t>
      </w:r>
      <w:r w:rsidRPr="002114C8">
        <w:rPr>
          <w:rFonts w:ascii="Times New Roman" w:hAnsi="Times New Roman" w:cs="Times New Roman"/>
          <w:sz w:val="28"/>
          <w:szCs w:val="28"/>
          <w:lang w:val="uk-UA"/>
        </w:rPr>
        <w:t>«О</w:t>
      </w:r>
      <w:r w:rsidRPr="002114C8">
        <w:rPr>
          <w:rFonts w:ascii="Times New Roman" w:hAnsi="Times New Roman"/>
          <w:sz w:val="28"/>
          <w:szCs w:val="28"/>
          <w:lang w:val="uk-UA"/>
        </w:rPr>
        <w:t>цінка впливу Brexit на торгівлю та міграцію</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(2019), у середньострокових та довгострокових пер</w:t>
      </w:r>
      <w:r w:rsidRPr="002114C8">
        <w:rPr>
          <w:rFonts w:ascii="Times New Roman" w:hAnsi="Times New Roman"/>
          <w:sz w:val="28"/>
          <w:szCs w:val="28"/>
          <w:lang w:val="uk-UA"/>
        </w:rPr>
        <w:t>с</w:t>
      </w:r>
      <w:r w:rsidRPr="002114C8">
        <w:rPr>
          <w:rFonts w:ascii="Times New Roman" w:hAnsi="Times New Roman"/>
          <w:sz w:val="28"/>
          <w:szCs w:val="28"/>
          <w:lang w:val="uk-UA"/>
        </w:rPr>
        <w:t>пективах двосторонні торговельні потоки між Великою Британією та рештою світу впадуть приблизно на 30% за обсягом. ЄС також побачить скорочення своїх двосторонніх торговельних потоків під впливом тих самих сил, але дуже помірних за відносним розміром, зі зниженням приблизно на 2%. Результати для єврозони суттєво не відрізняються від результатів ЄС загалом. Також оч</w:t>
      </w:r>
      <w:r w:rsidRPr="002114C8">
        <w:rPr>
          <w:rFonts w:ascii="Times New Roman" w:hAnsi="Times New Roman"/>
          <w:sz w:val="28"/>
          <w:szCs w:val="28"/>
          <w:lang w:val="uk-UA"/>
        </w:rPr>
        <w:t>і</w:t>
      </w:r>
      <w:r w:rsidRPr="002114C8">
        <w:rPr>
          <w:rFonts w:ascii="Times New Roman" w:hAnsi="Times New Roman"/>
          <w:sz w:val="28"/>
          <w:szCs w:val="28"/>
          <w:lang w:val="uk-UA"/>
        </w:rPr>
        <w:lastRenderedPageBreak/>
        <w:t>кується, що в США та решті світу двосторонні торговельні потоки зростуть значно менше, ніж на 0,5%. Brexit також вплине у довгостроковій перспективі на загальну світову торгівлю, яка скоротиться майже на 2% [4, 16].</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 xml:space="preserve">Несподіване голосування Великої Британії за Brexit також призвело до різкого та неочікуваного зниження курсу фунта стерлінгів. Згідно з Хольгером Брайнліхом та Ельзою Леромейн, </w:t>
      </w:r>
      <w:r w:rsidRPr="002114C8">
        <w:rPr>
          <w:rFonts w:ascii="Times New Roman" w:hAnsi="Times New Roman" w:cs="Times New Roman"/>
          <w:sz w:val="28"/>
          <w:szCs w:val="28"/>
          <w:lang w:val="uk-UA"/>
        </w:rPr>
        <w:t>«К</w:t>
      </w:r>
      <w:r w:rsidRPr="002114C8">
        <w:rPr>
          <w:rFonts w:ascii="Times New Roman" w:hAnsi="Times New Roman"/>
          <w:sz w:val="28"/>
          <w:szCs w:val="28"/>
          <w:lang w:val="uk-UA"/>
        </w:rPr>
        <w:t>урси валют і споживчі ціни: докази Brexit</w:t>
      </w:r>
      <w:r w:rsidRPr="002114C8">
        <w:rPr>
          <w:rFonts w:ascii="Times New Roman" w:hAnsi="Times New Roman" w:cs="Times New Roman"/>
          <w:sz w:val="28"/>
          <w:szCs w:val="28"/>
          <w:lang w:val="uk-UA"/>
        </w:rPr>
        <w:t>» (2019)</w:t>
      </w:r>
      <w:r w:rsidRPr="002114C8">
        <w:rPr>
          <w:rFonts w:ascii="Times New Roman" w:hAnsi="Times New Roman"/>
          <w:sz w:val="28"/>
          <w:szCs w:val="28"/>
          <w:lang w:val="uk-UA"/>
        </w:rPr>
        <w:t>,  застосована ними модель показала, що протягом двох років п</w:t>
      </w:r>
      <w:r w:rsidRPr="002114C8">
        <w:rPr>
          <w:rFonts w:ascii="Times New Roman" w:hAnsi="Times New Roman"/>
          <w:sz w:val="28"/>
          <w:szCs w:val="28"/>
          <w:lang w:val="uk-UA"/>
        </w:rPr>
        <w:t>і</w:t>
      </w:r>
      <w:r w:rsidRPr="002114C8">
        <w:rPr>
          <w:rFonts w:ascii="Times New Roman" w:hAnsi="Times New Roman"/>
          <w:sz w:val="28"/>
          <w:szCs w:val="28"/>
          <w:lang w:val="uk-UA"/>
        </w:rPr>
        <w:t>сля референдуму інфляція споживчих цін зросла більше для товарів з більшою часткою імпорту, а інфляція цін виробників зросла більше для продуктів, де імпортні ресурси становлять більшу частку виробничих витрат. Кількісно було визначено, як приблизно 10-відсоткове зниження курсу фунта стерлінгів відр</w:t>
      </w:r>
      <w:r w:rsidRPr="002114C8">
        <w:rPr>
          <w:rFonts w:ascii="Times New Roman" w:hAnsi="Times New Roman"/>
          <w:sz w:val="28"/>
          <w:szCs w:val="28"/>
          <w:lang w:val="uk-UA"/>
        </w:rPr>
        <w:t>а</w:t>
      </w:r>
      <w:r w:rsidRPr="002114C8">
        <w:rPr>
          <w:rFonts w:ascii="Times New Roman" w:hAnsi="Times New Roman"/>
          <w:sz w:val="28"/>
          <w:szCs w:val="28"/>
          <w:lang w:val="uk-UA"/>
        </w:rPr>
        <w:t>зу після референдуму про Brexit вплинуло на вартість життя у Великобританії. Девальвація підвищила споживчі ціни на 2,9 відсотка і це призвело до порі</w:t>
      </w:r>
      <w:r w:rsidRPr="002114C8">
        <w:rPr>
          <w:rFonts w:ascii="Times New Roman" w:hAnsi="Times New Roman"/>
          <w:sz w:val="28"/>
          <w:szCs w:val="28"/>
          <w:lang w:val="uk-UA"/>
        </w:rPr>
        <w:t>в</w:t>
      </w:r>
      <w:r w:rsidRPr="002114C8">
        <w:rPr>
          <w:rFonts w:ascii="Times New Roman" w:hAnsi="Times New Roman"/>
          <w:sz w:val="28"/>
          <w:szCs w:val="28"/>
          <w:lang w:val="uk-UA"/>
        </w:rPr>
        <w:t>нянного зниження зростання реальної заробітної плати        [5, c.29-30]. Зро</w:t>
      </w:r>
      <w:r w:rsidRPr="002114C8">
        <w:rPr>
          <w:rFonts w:ascii="Times New Roman" w:hAnsi="Times New Roman"/>
          <w:sz w:val="28"/>
          <w:szCs w:val="28"/>
          <w:lang w:val="uk-UA"/>
        </w:rPr>
        <w:t>с</w:t>
      </w:r>
      <w:r w:rsidRPr="002114C8">
        <w:rPr>
          <w:rFonts w:ascii="Times New Roman" w:hAnsi="Times New Roman"/>
          <w:sz w:val="28"/>
          <w:szCs w:val="28"/>
          <w:lang w:val="uk-UA"/>
        </w:rPr>
        <w:t>тання вартості життя було однаковим для домогосподарств у різних децилях розподілу доходів, але не для регіонів. Найменше постраждав Лондон, а найб</w:t>
      </w:r>
      <w:r w:rsidRPr="002114C8">
        <w:rPr>
          <w:rFonts w:ascii="Times New Roman" w:hAnsi="Times New Roman"/>
          <w:sz w:val="28"/>
          <w:szCs w:val="28"/>
          <w:lang w:val="uk-UA"/>
        </w:rPr>
        <w:t>і</w:t>
      </w:r>
      <w:r w:rsidRPr="002114C8">
        <w:rPr>
          <w:rFonts w:ascii="Times New Roman" w:hAnsi="Times New Roman"/>
          <w:sz w:val="28"/>
          <w:szCs w:val="28"/>
          <w:lang w:val="uk-UA"/>
        </w:rPr>
        <w:t>льше постраждали Північна Ірландія та Уельс.</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Законопроект про торгівлю, внесений до Палати громад у листопаді 2017 року, покликаний забезпечити Великій Британії необхідні повноваження для проведення незалежної торговельної політики після її виходу з ЄС. На додаток до створення Управління із захисту прав торгівлі та надання нормативних а</w:t>
      </w:r>
      <w:r w:rsidRPr="002114C8">
        <w:rPr>
          <w:rFonts w:ascii="Times New Roman" w:hAnsi="Times New Roman"/>
          <w:sz w:val="28"/>
          <w:szCs w:val="28"/>
          <w:lang w:val="uk-UA"/>
        </w:rPr>
        <w:t>к</w:t>
      </w:r>
      <w:r w:rsidRPr="002114C8">
        <w:rPr>
          <w:rFonts w:ascii="Times New Roman" w:hAnsi="Times New Roman"/>
          <w:sz w:val="28"/>
          <w:szCs w:val="28"/>
          <w:lang w:val="uk-UA"/>
        </w:rPr>
        <w:t>тів, які повинні бути прийняті для забезпечення виконання Сполученим Кор</w:t>
      </w:r>
      <w:r w:rsidRPr="002114C8">
        <w:rPr>
          <w:rFonts w:ascii="Times New Roman" w:hAnsi="Times New Roman"/>
          <w:sz w:val="28"/>
          <w:szCs w:val="28"/>
          <w:lang w:val="uk-UA"/>
        </w:rPr>
        <w:t>о</w:t>
      </w:r>
      <w:r w:rsidRPr="002114C8">
        <w:rPr>
          <w:rFonts w:ascii="Times New Roman" w:hAnsi="Times New Roman"/>
          <w:sz w:val="28"/>
          <w:szCs w:val="28"/>
          <w:lang w:val="uk-UA"/>
        </w:rPr>
        <w:t>лівством Угоди про державні закупівлі Світової організації торгівлі, це також дозволяє прийняти нормативні акти для забезпечення безперервності, існу</w:t>
      </w:r>
      <w:r w:rsidRPr="002114C8">
        <w:rPr>
          <w:rFonts w:ascii="Times New Roman" w:hAnsi="Times New Roman"/>
          <w:sz w:val="28"/>
          <w:szCs w:val="28"/>
          <w:lang w:val="uk-UA"/>
        </w:rPr>
        <w:t>ю</w:t>
      </w:r>
      <w:r w:rsidRPr="002114C8">
        <w:rPr>
          <w:rFonts w:ascii="Times New Roman" w:hAnsi="Times New Roman"/>
          <w:sz w:val="28"/>
          <w:szCs w:val="28"/>
          <w:lang w:val="uk-UA"/>
        </w:rPr>
        <w:t>чих торговельних угод, до яких приєдналась Велика Британія. Підхід до нових торговельних угод був викладений міністром міжнародної торгівлі у заяві до Палати громад від 16 липня 2018 року, в якій пообіцяв, що парламент, децен</w:t>
      </w:r>
      <w:r w:rsidRPr="002114C8">
        <w:rPr>
          <w:rFonts w:ascii="Times New Roman" w:hAnsi="Times New Roman"/>
          <w:sz w:val="28"/>
          <w:szCs w:val="28"/>
          <w:lang w:val="uk-UA"/>
        </w:rPr>
        <w:t>т</w:t>
      </w:r>
      <w:r w:rsidRPr="002114C8">
        <w:rPr>
          <w:rFonts w:ascii="Times New Roman" w:hAnsi="Times New Roman"/>
          <w:sz w:val="28"/>
          <w:szCs w:val="28"/>
          <w:lang w:val="uk-UA"/>
        </w:rPr>
        <w:t>ралізовані органи управління, місцева влада та громадянське суспільство б</w:t>
      </w:r>
      <w:r w:rsidRPr="002114C8">
        <w:rPr>
          <w:rFonts w:ascii="Times New Roman" w:hAnsi="Times New Roman"/>
          <w:sz w:val="28"/>
          <w:szCs w:val="28"/>
          <w:lang w:val="uk-UA"/>
        </w:rPr>
        <w:t>у</w:t>
      </w:r>
      <w:r w:rsidRPr="002114C8">
        <w:rPr>
          <w:rFonts w:ascii="Times New Roman" w:hAnsi="Times New Roman"/>
          <w:sz w:val="28"/>
          <w:szCs w:val="28"/>
          <w:lang w:val="uk-UA"/>
        </w:rPr>
        <w:t>дуть залучені, щоб майбутня торгова політика працювала в усіх частинах В</w:t>
      </w:r>
      <w:r w:rsidRPr="002114C8">
        <w:rPr>
          <w:rFonts w:ascii="Times New Roman" w:hAnsi="Times New Roman"/>
          <w:sz w:val="28"/>
          <w:szCs w:val="28"/>
          <w:lang w:val="uk-UA"/>
        </w:rPr>
        <w:t>е</w:t>
      </w:r>
      <w:r w:rsidRPr="002114C8">
        <w:rPr>
          <w:rFonts w:ascii="Times New Roman" w:hAnsi="Times New Roman"/>
          <w:sz w:val="28"/>
          <w:szCs w:val="28"/>
          <w:lang w:val="uk-UA"/>
        </w:rPr>
        <w:t>ликої Британії [6].</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lastRenderedPageBreak/>
        <w:t xml:space="preserve">Наслідкам рішення Великої Британії для колишніх так званих «білих домініонах» присвячена праця </w:t>
      </w:r>
      <w:r w:rsidRPr="002114C8">
        <w:rPr>
          <w:rFonts w:ascii="Times New Roman" w:hAnsi="Times New Roman" w:cs="Times New Roman"/>
          <w:sz w:val="28"/>
          <w:szCs w:val="28"/>
          <w:lang w:val="uk-UA"/>
        </w:rPr>
        <w:t>«С</w:t>
      </w:r>
      <w:r w:rsidRPr="002114C8">
        <w:rPr>
          <w:rFonts w:ascii="Times New Roman" w:hAnsi="Times New Roman"/>
          <w:sz w:val="28"/>
          <w:szCs w:val="28"/>
          <w:lang w:val="uk-UA"/>
        </w:rPr>
        <w:t>оціально-економічний вплив Brexit на CANZUK та англо-сферу в часи корони: приклад Канади, Австралії та Нової Зеландії</w:t>
      </w:r>
      <w:r w:rsidRPr="002114C8">
        <w:rPr>
          <w:rFonts w:ascii="Times New Roman" w:hAnsi="Times New Roman" w:cs="Times New Roman"/>
          <w:sz w:val="28"/>
          <w:szCs w:val="28"/>
          <w:lang w:val="uk-UA"/>
        </w:rPr>
        <w:t xml:space="preserve">» (2021), </w:t>
      </w:r>
      <w:r w:rsidRPr="002114C8">
        <w:rPr>
          <w:rFonts w:ascii="Times New Roman" w:hAnsi="Times New Roman"/>
          <w:sz w:val="28"/>
          <w:szCs w:val="28"/>
          <w:lang w:val="uk-UA"/>
        </w:rPr>
        <w:t>Дірка Конерта</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Зважаючи на все ще тісні політичні, економ</w:t>
      </w:r>
      <w:r w:rsidRPr="002114C8">
        <w:rPr>
          <w:rFonts w:ascii="Times New Roman" w:hAnsi="Times New Roman"/>
          <w:sz w:val="28"/>
          <w:szCs w:val="28"/>
          <w:lang w:val="uk-UA"/>
        </w:rPr>
        <w:t>і</w:t>
      </w:r>
      <w:r w:rsidRPr="002114C8">
        <w:rPr>
          <w:rFonts w:ascii="Times New Roman" w:hAnsi="Times New Roman"/>
          <w:sz w:val="28"/>
          <w:szCs w:val="28"/>
          <w:lang w:val="uk-UA"/>
        </w:rPr>
        <w:t>чні та культурні зв'язки, не в останню чергу спільну мову, Велика Британія вважала угоду CANZUK, між Сполученим Королівством та колишніми кол</w:t>
      </w:r>
      <w:r w:rsidRPr="002114C8">
        <w:rPr>
          <w:rFonts w:ascii="Times New Roman" w:hAnsi="Times New Roman"/>
          <w:sz w:val="28"/>
          <w:szCs w:val="28"/>
          <w:lang w:val="uk-UA"/>
        </w:rPr>
        <w:t>о</w:t>
      </w:r>
      <w:r w:rsidRPr="002114C8">
        <w:rPr>
          <w:rFonts w:ascii="Times New Roman" w:hAnsi="Times New Roman"/>
          <w:sz w:val="28"/>
          <w:szCs w:val="28"/>
          <w:lang w:val="uk-UA"/>
        </w:rPr>
        <w:t>ніальними територіями, важливим кроком до досягнення передбачуваного «титанічного успіху». Однак Канада, а також Австралія та Нова Зеландія у</w:t>
      </w:r>
      <w:r w:rsidRPr="002114C8">
        <w:rPr>
          <w:rFonts w:ascii="Times New Roman" w:hAnsi="Times New Roman"/>
          <w:sz w:val="28"/>
          <w:szCs w:val="28"/>
          <w:lang w:val="uk-UA"/>
        </w:rPr>
        <w:t>с</w:t>
      </w:r>
      <w:r w:rsidRPr="002114C8">
        <w:rPr>
          <w:rFonts w:ascii="Times New Roman" w:hAnsi="Times New Roman"/>
          <w:sz w:val="28"/>
          <w:szCs w:val="28"/>
          <w:lang w:val="uk-UA"/>
        </w:rPr>
        <w:t>пішно адаптували свої економіки до вимог нового глобального поділу праці. Таким чином, їхні цілі важко узгодити з цілями британських прихильників Brexit, і шанси на чисту вигоду для всіх зацікавлених є досить незначними [7, 21].</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Лондон продовжував слідувати своїм високим амбіціям не лише щодо союзу CANZUK, який мав замінити втрачений доступ до ринку ЄС, а й щодо Індії та інших великих глобальних гравців Співдружності, а також США [The Brexit hammer]. Особливо розумним є спільний вплив Brexit і пандемії  COVID-19 на США та майбутні трансатлантичні відносини. З глобальної то</w:t>
      </w:r>
      <w:r w:rsidRPr="002114C8">
        <w:rPr>
          <w:rFonts w:ascii="Times New Roman" w:hAnsi="Times New Roman"/>
          <w:sz w:val="28"/>
          <w:szCs w:val="28"/>
          <w:lang w:val="uk-UA"/>
        </w:rPr>
        <w:t>ч</w:t>
      </w:r>
      <w:r w:rsidRPr="002114C8">
        <w:rPr>
          <w:rFonts w:ascii="Times New Roman" w:hAnsi="Times New Roman"/>
          <w:sz w:val="28"/>
          <w:szCs w:val="28"/>
          <w:lang w:val="uk-UA"/>
        </w:rPr>
        <w:t>ки зору проблема полягає не в соціально-економічному впливі на окремі кра</w:t>
      </w:r>
      <w:r w:rsidRPr="002114C8">
        <w:rPr>
          <w:rFonts w:ascii="Times New Roman" w:hAnsi="Times New Roman"/>
          <w:sz w:val="28"/>
          <w:szCs w:val="28"/>
          <w:lang w:val="uk-UA"/>
        </w:rPr>
        <w:t>ї</w:t>
      </w:r>
      <w:r w:rsidRPr="002114C8">
        <w:rPr>
          <w:rFonts w:ascii="Times New Roman" w:hAnsi="Times New Roman"/>
          <w:sz w:val="28"/>
          <w:szCs w:val="28"/>
          <w:lang w:val="uk-UA"/>
        </w:rPr>
        <w:t>ни та відповідні відносини, наприклад Велика Британія, ЄС, США та Транса</w:t>
      </w:r>
      <w:r w:rsidRPr="002114C8">
        <w:rPr>
          <w:rFonts w:ascii="Times New Roman" w:hAnsi="Times New Roman"/>
          <w:sz w:val="28"/>
          <w:szCs w:val="28"/>
          <w:lang w:val="uk-UA"/>
        </w:rPr>
        <w:t>т</w:t>
      </w:r>
      <w:r w:rsidRPr="002114C8">
        <w:rPr>
          <w:rFonts w:ascii="Times New Roman" w:hAnsi="Times New Roman"/>
          <w:sz w:val="28"/>
          <w:szCs w:val="28"/>
          <w:lang w:val="uk-UA"/>
        </w:rPr>
        <w:t>лантичний регіон, а й загальні геополітичні наслідки Brexit під час коронавір</w:t>
      </w:r>
      <w:r w:rsidRPr="002114C8">
        <w:rPr>
          <w:rFonts w:ascii="Times New Roman" w:hAnsi="Times New Roman"/>
          <w:sz w:val="28"/>
          <w:szCs w:val="28"/>
          <w:lang w:val="uk-UA"/>
        </w:rPr>
        <w:t>у</w:t>
      </w:r>
      <w:r w:rsidRPr="002114C8">
        <w:rPr>
          <w:rFonts w:ascii="Times New Roman" w:hAnsi="Times New Roman"/>
          <w:sz w:val="28"/>
          <w:szCs w:val="28"/>
          <w:lang w:val="uk-UA"/>
        </w:rPr>
        <w:t>сної кризи. США, Великобританія та західний альянс загалом ризикують втр</w:t>
      </w:r>
      <w:r w:rsidRPr="002114C8">
        <w:rPr>
          <w:rFonts w:ascii="Times New Roman" w:hAnsi="Times New Roman"/>
          <w:sz w:val="28"/>
          <w:szCs w:val="28"/>
          <w:lang w:val="uk-UA"/>
        </w:rPr>
        <w:t>а</w:t>
      </w:r>
      <w:r w:rsidRPr="002114C8">
        <w:rPr>
          <w:rFonts w:ascii="Times New Roman" w:hAnsi="Times New Roman"/>
          <w:sz w:val="28"/>
          <w:szCs w:val="28"/>
          <w:lang w:val="uk-UA"/>
        </w:rPr>
        <w:t>тити свій глобальний політичний та економічний вплив, який досі був зосер</w:t>
      </w:r>
      <w:r w:rsidRPr="002114C8">
        <w:rPr>
          <w:rFonts w:ascii="Times New Roman" w:hAnsi="Times New Roman"/>
          <w:sz w:val="28"/>
          <w:szCs w:val="28"/>
          <w:lang w:val="uk-UA"/>
        </w:rPr>
        <w:t>е</w:t>
      </w:r>
      <w:r w:rsidRPr="002114C8">
        <w:rPr>
          <w:rFonts w:ascii="Times New Roman" w:hAnsi="Times New Roman"/>
          <w:sz w:val="28"/>
          <w:szCs w:val="28"/>
          <w:lang w:val="uk-UA"/>
        </w:rPr>
        <w:t>джений на Трансатлантичних відносинах. Враховуючи жорстку конкуренцію між такими великими глобальними гравцями, як США, Велика Британія, ЄС і Китай, Brexit підсилює вже існуючі тенденції, які переходять на користь зміни їхньої традиційної гегемонії у сфері трансатлантичних відносин до Азіатсько-Тихоокеанського царства влади. Таким чином, Brexit може спровокувати ефект доміно популістського націоналізму на Заході, який у середньостроковій і довгостроковій перспективі послабить його геополітичну позицію. Вплив п</w:t>
      </w:r>
      <w:r w:rsidRPr="002114C8">
        <w:rPr>
          <w:rFonts w:ascii="Times New Roman" w:hAnsi="Times New Roman"/>
          <w:sz w:val="28"/>
          <w:szCs w:val="28"/>
          <w:lang w:val="uk-UA"/>
        </w:rPr>
        <w:t>і</w:t>
      </w:r>
      <w:r w:rsidRPr="002114C8">
        <w:rPr>
          <w:rFonts w:ascii="Times New Roman" w:hAnsi="Times New Roman"/>
          <w:sz w:val="28"/>
          <w:szCs w:val="28"/>
          <w:lang w:val="uk-UA"/>
        </w:rPr>
        <w:t xml:space="preserve">сля Brexit на США та трансатлантичні відносини також буде негативним, але, </w:t>
      </w:r>
      <w:r w:rsidRPr="002114C8">
        <w:rPr>
          <w:rFonts w:ascii="Times New Roman" w:hAnsi="Times New Roman"/>
          <w:sz w:val="28"/>
          <w:szCs w:val="28"/>
          <w:lang w:val="uk-UA"/>
        </w:rPr>
        <w:lastRenderedPageBreak/>
        <w:t>ймовірно, буде відчутним лише в середньостроковій та довгостроковій пер</w:t>
      </w:r>
      <w:r w:rsidRPr="002114C8">
        <w:rPr>
          <w:rFonts w:ascii="Times New Roman" w:hAnsi="Times New Roman"/>
          <w:sz w:val="28"/>
          <w:szCs w:val="28"/>
          <w:lang w:val="uk-UA"/>
        </w:rPr>
        <w:t>с</w:t>
      </w:r>
      <w:r w:rsidRPr="002114C8">
        <w:rPr>
          <w:rFonts w:ascii="Times New Roman" w:hAnsi="Times New Roman"/>
          <w:sz w:val="28"/>
          <w:szCs w:val="28"/>
          <w:lang w:val="uk-UA"/>
        </w:rPr>
        <w:t xml:space="preserve">пективі. Однак прямі та непрямі негативні наслідки глобальної кризи COVID-19 значно перевищать вплив Brexit. </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Суперечлива дискусія точилась і навколо наслідків Brexit для країн А</w:t>
      </w:r>
      <w:r w:rsidRPr="002114C8">
        <w:rPr>
          <w:rFonts w:ascii="Times New Roman" w:hAnsi="Times New Roman"/>
          <w:sz w:val="28"/>
          <w:szCs w:val="28"/>
          <w:lang w:val="uk-UA"/>
        </w:rPr>
        <w:t>ф</w:t>
      </w:r>
      <w:r w:rsidRPr="002114C8">
        <w:rPr>
          <w:rFonts w:ascii="Times New Roman" w:hAnsi="Times New Roman"/>
          <w:sz w:val="28"/>
          <w:szCs w:val="28"/>
          <w:lang w:val="uk-UA"/>
        </w:rPr>
        <w:t>рики. Бачення британського уряду «глобальної Британії» значною мірою з</w:t>
      </w:r>
      <w:r w:rsidRPr="002114C8">
        <w:rPr>
          <w:rFonts w:ascii="Times New Roman" w:hAnsi="Times New Roman"/>
          <w:sz w:val="28"/>
          <w:szCs w:val="28"/>
          <w:lang w:val="uk-UA"/>
        </w:rPr>
        <w:t>а</w:t>
      </w:r>
      <w:r w:rsidRPr="002114C8">
        <w:rPr>
          <w:rFonts w:ascii="Times New Roman" w:hAnsi="Times New Roman"/>
          <w:sz w:val="28"/>
          <w:szCs w:val="28"/>
          <w:lang w:val="uk-UA"/>
        </w:rPr>
        <w:t xml:space="preserve">лежить від його намірів зміцнювати співпрацю з країнами Співдружності, до якої входять 19 із 54 африканських держав, серед яких найбільш густонаселені та найпотужніші, такі як Нігерія, Південна Африка , Кенія, Єгипет і Гана. З нагоди саміту G20 у липні 2017 року в Гамбурзі прем’єр-міністерка Великої Британії Тереза Мей оголосила про комплексні програми Brexit, спрямовані на </w:t>
      </w:r>
      <w:r w:rsidRPr="002114C8">
        <w:rPr>
          <w:rFonts w:ascii="Times New Roman" w:hAnsi="Times New Roman" w:cs="Times New Roman"/>
          <w:sz w:val="28"/>
          <w:szCs w:val="28"/>
          <w:lang w:val="uk-UA"/>
        </w:rPr>
        <w:t>«</w:t>
      </w:r>
      <w:r w:rsidRPr="002114C8">
        <w:rPr>
          <w:rFonts w:ascii="Times New Roman" w:hAnsi="Times New Roman"/>
          <w:sz w:val="28"/>
          <w:szCs w:val="28"/>
          <w:lang w:val="uk-UA"/>
        </w:rPr>
        <w:t>зменшення залежності африканських країн від допомоги розвитку</w:t>
      </w:r>
      <w:r w:rsidRPr="002114C8">
        <w:rPr>
          <w:rFonts w:ascii="Times New Roman" w:hAnsi="Times New Roman" w:cs="Times New Roman"/>
          <w:sz w:val="28"/>
          <w:szCs w:val="28"/>
          <w:lang w:val="uk-UA"/>
        </w:rPr>
        <w:t>»</w:t>
      </w:r>
      <w:r w:rsidRPr="002114C8">
        <w:rPr>
          <w:rFonts w:ascii="Times New Roman" w:hAnsi="Times New Roman"/>
          <w:sz w:val="28"/>
          <w:szCs w:val="28"/>
          <w:lang w:val="uk-UA"/>
        </w:rPr>
        <w:t>. Очікув</w:t>
      </w:r>
      <w:r w:rsidRPr="002114C8">
        <w:rPr>
          <w:rFonts w:ascii="Times New Roman" w:hAnsi="Times New Roman"/>
          <w:sz w:val="28"/>
          <w:szCs w:val="28"/>
          <w:lang w:val="uk-UA"/>
        </w:rPr>
        <w:t>а</w:t>
      </w:r>
      <w:r w:rsidRPr="002114C8">
        <w:rPr>
          <w:rFonts w:ascii="Times New Roman" w:hAnsi="Times New Roman"/>
          <w:sz w:val="28"/>
          <w:szCs w:val="28"/>
          <w:lang w:val="uk-UA"/>
        </w:rPr>
        <w:t>лось, що інвестиції Великої Британії в Африку, які з 2005 по 2014 роки зросли більш ніж удвічі, з 20,8 мільярдів фунтів стерлінгів до 42,5 мільярдів фунтів стерлінгів, будуть додатково збільшені через Brexit. Виробництво, гірничод</w:t>
      </w:r>
      <w:r w:rsidRPr="002114C8">
        <w:rPr>
          <w:rFonts w:ascii="Times New Roman" w:hAnsi="Times New Roman"/>
          <w:sz w:val="28"/>
          <w:szCs w:val="28"/>
          <w:lang w:val="uk-UA"/>
        </w:rPr>
        <w:t>о</w:t>
      </w:r>
      <w:r w:rsidRPr="002114C8">
        <w:rPr>
          <w:rFonts w:ascii="Times New Roman" w:hAnsi="Times New Roman"/>
          <w:sz w:val="28"/>
          <w:szCs w:val="28"/>
          <w:lang w:val="uk-UA"/>
        </w:rPr>
        <w:t>бувна промисловість і фінансові послуги є основними галузями промислово</w:t>
      </w:r>
      <w:r w:rsidRPr="002114C8">
        <w:rPr>
          <w:rFonts w:ascii="Times New Roman" w:hAnsi="Times New Roman"/>
          <w:sz w:val="28"/>
          <w:szCs w:val="28"/>
          <w:lang w:val="uk-UA"/>
        </w:rPr>
        <w:t>с</w:t>
      </w:r>
      <w:r w:rsidRPr="002114C8">
        <w:rPr>
          <w:rFonts w:ascii="Times New Roman" w:hAnsi="Times New Roman"/>
          <w:sz w:val="28"/>
          <w:szCs w:val="28"/>
          <w:lang w:val="uk-UA"/>
        </w:rPr>
        <w:t>ті, до яких були віднесені прямі інвестиції Великобританії. У 2014 році на них припадало 54,4%, або 34,3% від загального обсягу ПІІ Великобританії (Hardie 2016). Однак, навіть якби Brexit та його наслідки залучили значні додаткові чисті інвестиції в Африку, це було б, насамперед, додатковим інструментом для підвищення прибутковості приватних інвестицій і соціалізації потенційних збитків на шкоду платникам податків в Африці та інших країнах, на шкоду б</w:t>
      </w:r>
      <w:r w:rsidRPr="002114C8">
        <w:rPr>
          <w:rFonts w:ascii="Times New Roman" w:hAnsi="Times New Roman"/>
          <w:sz w:val="28"/>
          <w:szCs w:val="28"/>
          <w:lang w:val="uk-UA"/>
        </w:rPr>
        <w:t>і</w:t>
      </w:r>
      <w:r w:rsidRPr="002114C8">
        <w:rPr>
          <w:rFonts w:ascii="Times New Roman" w:hAnsi="Times New Roman"/>
          <w:sz w:val="28"/>
          <w:szCs w:val="28"/>
          <w:lang w:val="uk-UA"/>
        </w:rPr>
        <w:t>дних. Тим не менш, британські інвестиції в Африку, а також розподіл контр</w:t>
      </w:r>
      <w:r w:rsidRPr="002114C8">
        <w:rPr>
          <w:rFonts w:ascii="Times New Roman" w:hAnsi="Times New Roman"/>
          <w:sz w:val="28"/>
          <w:szCs w:val="28"/>
          <w:lang w:val="uk-UA"/>
        </w:rPr>
        <w:t>о</w:t>
      </w:r>
      <w:r w:rsidRPr="002114C8">
        <w:rPr>
          <w:rFonts w:ascii="Times New Roman" w:hAnsi="Times New Roman"/>
          <w:sz w:val="28"/>
          <w:szCs w:val="28"/>
          <w:lang w:val="uk-UA"/>
        </w:rPr>
        <w:t>льованих Британією ресурсів по всьому континенту обмежуються дуже нев</w:t>
      </w:r>
      <w:r w:rsidRPr="002114C8">
        <w:rPr>
          <w:rFonts w:ascii="Times New Roman" w:hAnsi="Times New Roman"/>
          <w:sz w:val="28"/>
          <w:szCs w:val="28"/>
          <w:lang w:val="uk-UA"/>
        </w:rPr>
        <w:t>е</w:t>
      </w:r>
      <w:r w:rsidRPr="002114C8">
        <w:rPr>
          <w:rFonts w:ascii="Times New Roman" w:hAnsi="Times New Roman"/>
          <w:sz w:val="28"/>
          <w:szCs w:val="28"/>
          <w:lang w:val="uk-UA"/>
        </w:rPr>
        <w:t>ликою елітою в Британії та Африці.   Близько 100 компаній, зареєстрованих на Лондонській фондовій біржі (LSE), більшість з них британські, займаються видобутком корисних копалин, включаючи золото, мідь, платину, вугілля та алмази, у 37 країнах Африки.</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 xml:space="preserve">Крістіан Кройцерб, Крістофер Пріберня, Йоганнес Гутерк у праці </w:t>
      </w:r>
      <w:r w:rsidRPr="002114C8">
        <w:rPr>
          <w:rFonts w:ascii="Times New Roman" w:hAnsi="Times New Roman" w:cs="Times New Roman"/>
          <w:sz w:val="28"/>
          <w:szCs w:val="28"/>
          <w:lang w:val="uk-UA"/>
        </w:rPr>
        <w:t>«С</w:t>
      </w:r>
      <w:r w:rsidRPr="002114C8">
        <w:rPr>
          <w:rFonts w:ascii="Times New Roman" w:hAnsi="Times New Roman"/>
          <w:sz w:val="28"/>
          <w:szCs w:val="28"/>
          <w:lang w:val="uk-UA"/>
        </w:rPr>
        <w:t>прийняття невизначеності Brexit і як це впливає на ринки</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(2022) вперше </w:t>
      </w:r>
      <w:r w:rsidRPr="002114C8">
        <w:rPr>
          <w:rFonts w:ascii="Times New Roman" w:hAnsi="Times New Roman"/>
          <w:sz w:val="28"/>
          <w:szCs w:val="28"/>
          <w:lang w:val="uk-UA"/>
        </w:rPr>
        <w:lastRenderedPageBreak/>
        <w:t xml:space="preserve">досліджують вплив різноманітних позитивно та негативно сприйнятих подій Brexit на фондові ринки Великої Британії протягом усієї фази Brexit. </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Зокрема, фондові ринки по-різному включають інформацію про позит</w:t>
      </w:r>
      <w:r w:rsidRPr="002114C8">
        <w:rPr>
          <w:rFonts w:ascii="Times New Roman" w:hAnsi="Times New Roman"/>
          <w:sz w:val="28"/>
          <w:szCs w:val="28"/>
          <w:lang w:val="uk-UA"/>
        </w:rPr>
        <w:t>и</w:t>
      </w:r>
      <w:r w:rsidRPr="002114C8">
        <w:rPr>
          <w:rFonts w:ascii="Times New Roman" w:hAnsi="Times New Roman"/>
          <w:sz w:val="28"/>
          <w:szCs w:val="28"/>
          <w:lang w:val="uk-UA"/>
        </w:rPr>
        <w:t>вні та негативні події. Що стосується компаній більшого розміру, наслідки п</w:t>
      </w:r>
      <w:r w:rsidRPr="002114C8">
        <w:rPr>
          <w:rFonts w:ascii="Times New Roman" w:hAnsi="Times New Roman"/>
          <w:sz w:val="28"/>
          <w:szCs w:val="28"/>
          <w:lang w:val="uk-UA"/>
        </w:rPr>
        <w:t>о</w:t>
      </w:r>
      <w:r w:rsidRPr="002114C8">
        <w:rPr>
          <w:rFonts w:ascii="Times New Roman" w:hAnsi="Times New Roman"/>
          <w:sz w:val="28"/>
          <w:szCs w:val="28"/>
          <w:lang w:val="uk-UA"/>
        </w:rPr>
        <w:t>зитивних подій здебільшого можна виміряти в день події та після неї, тоді як наслідки негативних подій загалом навіть розпізнаються за дні до та після дня події. Члени FTSE 250 демонструють значну прибутковість перед подіями. У першу чергу такий ефект пояснюється зростанням невизначеності та страху щодо змін у торгових відносинах Великої Британії та ЄС. Додатково спостер</w:t>
      </w:r>
      <w:r w:rsidRPr="002114C8">
        <w:rPr>
          <w:rFonts w:ascii="Times New Roman" w:hAnsi="Times New Roman"/>
          <w:sz w:val="28"/>
          <w:szCs w:val="28"/>
          <w:lang w:val="uk-UA"/>
        </w:rPr>
        <w:t>і</w:t>
      </w:r>
      <w:r w:rsidRPr="002114C8">
        <w:rPr>
          <w:rFonts w:ascii="Times New Roman" w:hAnsi="Times New Roman"/>
          <w:sz w:val="28"/>
          <w:szCs w:val="28"/>
          <w:lang w:val="uk-UA"/>
        </w:rPr>
        <w:t>галось, що відчуття політичної невизначеності під час фази Brexit має значний вплив на прибутковість ринку для всіх основних індексів Сполученого Кор</w:t>
      </w:r>
      <w:r w:rsidRPr="002114C8">
        <w:rPr>
          <w:rFonts w:ascii="Times New Roman" w:hAnsi="Times New Roman"/>
          <w:sz w:val="28"/>
          <w:szCs w:val="28"/>
          <w:lang w:val="uk-UA"/>
        </w:rPr>
        <w:t>о</w:t>
      </w:r>
      <w:r w:rsidRPr="002114C8">
        <w:rPr>
          <w:rFonts w:ascii="Times New Roman" w:hAnsi="Times New Roman"/>
          <w:sz w:val="28"/>
          <w:szCs w:val="28"/>
          <w:lang w:val="uk-UA"/>
        </w:rPr>
        <w:t>лівства [8, 15].</w:t>
      </w:r>
    </w:p>
    <w:p w:rsidR="00E63F46" w:rsidRPr="002114C8" w:rsidRDefault="00912E07">
      <w:pPr>
        <w:spacing w:after="0" w:line="360" w:lineRule="auto"/>
        <w:jc w:val="both"/>
        <w:rPr>
          <w:rFonts w:ascii="Times New Roman" w:hAnsi="Times New Roman"/>
          <w:sz w:val="28"/>
          <w:szCs w:val="28"/>
          <w:lang w:val="uk-UA"/>
        </w:rPr>
      </w:pPr>
      <w:r w:rsidRPr="002114C8">
        <w:rPr>
          <w:rFonts w:ascii="Times New Roman" w:hAnsi="Times New Roman"/>
          <w:sz w:val="28"/>
          <w:szCs w:val="28"/>
          <w:lang w:val="uk-UA"/>
        </w:rPr>
        <w:tab/>
        <w:t>Окрім торговельних потоків, важливим є  дослідження впливу рефере</w:t>
      </w:r>
      <w:r w:rsidRPr="002114C8">
        <w:rPr>
          <w:rFonts w:ascii="Times New Roman" w:hAnsi="Times New Roman"/>
          <w:sz w:val="28"/>
          <w:szCs w:val="28"/>
          <w:lang w:val="uk-UA"/>
        </w:rPr>
        <w:t>н</w:t>
      </w:r>
      <w:r w:rsidRPr="002114C8">
        <w:rPr>
          <w:rFonts w:ascii="Times New Roman" w:hAnsi="Times New Roman"/>
          <w:sz w:val="28"/>
          <w:szCs w:val="28"/>
          <w:lang w:val="uk-UA"/>
        </w:rPr>
        <w:t xml:space="preserve">думу на потоки прямих іноземних інвестицій (ПІІ). Цій проблемі присвячена стаття </w:t>
      </w:r>
      <w:r w:rsidRPr="002114C8">
        <w:rPr>
          <w:rFonts w:ascii="Times New Roman" w:hAnsi="Times New Roman" w:cs="Times New Roman"/>
          <w:sz w:val="28"/>
          <w:szCs w:val="28"/>
          <w:lang w:val="uk-UA"/>
        </w:rPr>
        <w:t>«П</w:t>
      </w:r>
      <w:r w:rsidRPr="002114C8">
        <w:rPr>
          <w:rFonts w:ascii="Times New Roman" w:hAnsi="Times New Roman"/>
          <w:sz w:val="28"/>
          <w:szCs w:val="28"/>
          <w:lang w:val="uk-UA"/>
        </w:rPr>
        <w:t>опереднє дослідження впливу виходу Brexit на прямі іноземні інве</w:t>
      </w:r>
      <w:r w:rsidRPr="002114C8">
        <w:rPr>
          <w:rFonts w:ascii="Times New Roman" w:hAnsi="Times New Roman"/>
          <w:sz w:val="28"/>
          <w:szCs w:val="28"/>
          <w:lang w:val="uk-UA"/>
        </w:rPr>
        <w:t>с</w:t>
      </w:r>
      <w:r w:rsidRPr="002114C8">
        <w:rPr>
          <w:rFonts w:ascii="Times New Roman" w:hAnsi="Times New Roman"/>
          <w:sz w:val="28"/>
          <w:szCs w:val="28"/>
          <w:lang w:val="uk-UA"/>
        </w:rPr>
        <w:t>тиції у Сполучене Королівства</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(2019), авторства Ани де Алмейди, Тересси Састре, Дункана ван Лімбергена і Марка Хеберіхтса. У своєму досліджені в</w:t>
      </w:r>
      <w:r w:rsidRPr="002114C8">
        <w:rPr>
          <w:rFonts w:ascii="Times New Roman" w:hAnsi="Times New Roman"/>
          <w:sz w:val="28"/>
          <w:szCs w:val="28"/>
          <w:lang w:val="uk-UA"/>
        </w:rPr>
        <w:t>о</w:t>
      </w:r>
      <w:r w:rsidRPr="002114C8">
        <w:rPr>
          <w:rFonts w:ascii="Times New Roman" w:hAnsi="Times New Roman"/>
          <w:sz w:val="28"/>
          <w:szCs w:val="28"/>
          <w:lang w:val="uk-UA"/>
        </w:rPr>
        <w:t>ни виходили з теорії, що Велика Британія могла стати менш привабливим н</w:t>
      </w:r>
      <w:r w:rsidRPr="002114C8">
        <w:rPr>
          <w:rFonts w:ascii="Times New Roman" w:hAnsi="Times New Roman"/>
          <w:sz w:val="28"/>
          <w:szCs w:val="28"/>
          <w:lang w:val="uk-UA"/>
        </w:rPr>
        <w:t>а</w:t>
      </w:r>
      <w:r w:rsidRPr="002114C8">
        <w:rPr>
          <w:rFonts w:ascii="Times New Roman" w:hAnsi="Times New Roman"/>
          <w:sz w:val="28"/>
          <w:szCs w:val="28"/>
          <w:lang w:val="uk-UA"/>
        </w:rPr>
        <w:t xml:space="preserve">прямком ПІІ з двох причин. </w:t>
      </w:r>
      <w:r w:rsidRPr="002114C8">
        <w:rPr>
          <w:rFonts w:ascii="Times New Roman" w:hAnsi="Times New Roman" w:cs="Times New Roman"/>
          <w:sz w:val="28"/>
          <w:szCs w:val="28"/>
          <w:lang w:val="uk-UA"/>
        </w:rPr>
        <w:t>«</w:t>
      </w:r>
      <w:r w:rsidRPr="002114C8">
        <w:rPr>
          <w:rFonts w:ascii="Times New Roman" w:hAnsi="Times New Roman"/>
          <w:sz w:val="28"/>
          <w:szCs w:val="28"/>
          <w:lang w:val="uk-UA"/>
        </w:rPr>
        <w:t>По-перше, з Brexit ймовірність того, що Велика Британія втратить паспорт ЄС і, отже, доступ до єдиного ринку зросла. По-друге, через ймовірність появи торгових бар’єрів участь у ланцюжку створе</w:t>
      </w:r>
      <w:r w:rsidRPr="002114C8">
        <w:rPr>
          <w:rFonts w:ascii="Times New Roman" w:hAnsi="Times New Roman"/>
          <w:sz w:val="28"/>
          <w:szCs w:val="28"/>
          <w:lang w:val="uk-UA"/>
        </w:rPr>
        <w:t>н</w:t>
      </w:r>
      <w:r w:rsidRPr="002114C8">
        <w:rPr>
          <w:rFonts w:ascii="Times New Roman" w:hAnsi="Times New Roman"/>
          <w:sz w:val="28"/>
          <w:szCs w:val="28"/>
          <w:lang w:val="uk-UA"/>
        </w:rPr>
        <w:t>ня вартості стає менш простою, що може змусити компанії перенаправляти ПІІ на інші ринки.</w:t>
      </w:r>
      <w:r w:rsidRPr="002114C8">
        <w:rPr>
          <w:rFonts w:ascii="Times New Roman" w:hAnsi="Times New Roman" w:cs="Times New Roman"/>
          <w:sz w:val="28"/>
          <w:szCs w:val="28"/>
          <w:lang w:val="uk-UA"/>
        </w:rPr>
        <w:t xml:space="preserve">». </w:t>
      </w:r>
      <w:r w:rsidRPr="002114C8">
        <w:rPr>
          <w:rFonts w:ascii="Times New Roman" w:hAnsi="Times New Roman"/>
          <w:sz w:val="28"/>
          <w:szCs w:val="28"/>
          <w:lang w:val="uk-UA"/>
        </w:rPr>
        <w:t>Емпіричні дані, представлені в цій статті, свідчать про те, що від’єднання Великої Британії від ЄС може мати додаткові наслідки для прямих іноземних інвестицій. Більші торговельні бар’єри та менша мобільність кап</w:t>
      </w:r>
      <w:r w:rsidRPr="002114C8">
        <w:rPr>
          <w:rFonts w:ascii="Times New Roman" w:hAnsi="Times New Roman"/>
          <w:sz w:val="28"/>
          <w:szCs w:val="28"/>
          <w:lang w:val="uk-UA"/>
        </w:rPr>
        <w:t>і</w:t>
      </w:r>
      <w:r w:rsidRPr="002114C8">
        <w:rPr>
          <w:rFonts w:ascii="Times New Roman" w:hAnsi="Times New Roman"/>
          <w:sz w:val="28"/>
          <w:szCs w:val="28"/>
          <w:lang w:val="uk-UA"/>
        </w:rPr>
        <w:t>талу між Великобританією та зоною євро, ймовірно, негативно вплинуть на активність прямих іноземних інвестицій у Великобританії та, у короткостр</w:t>
      </w:r>
      <w:r w:rsidRPr="002114C8">
        <w:rPr>
          <w:rFonts w:ascii="Times New Roman" w:hAnsi="Times New Roman"/>
          <w:sz w:val="28"/>
          <w:szCs w:val="28"/>
          <w:lang w:val="uk-UA"/>
        </w:rPr>
        <w:t>о</w:t>
      </w:r>
      <w:r w:rsidRPr="002114C8">
        <w:rPr>
          <w:rFonts w:ascii="Times New Roman" w:hAnsi="Times New Roman"/>
          <w:sz w:val="28"/>
          <w:szCs w:val="28"/>
          <w:lang w:val="uk-UA"/>
        </w:rPr>
        <w:t>ковій перспективі,  на зону євро.</w:t>
      </w:r>
      <w:r w:rsidRPr="002114C8">
        <w:rPr>
          <w:rFonts w:ascii="Times New Roman" w:hAnsi="Times New Roman" w:cs="Times New Roman"/>
          <w:sz w:val="28"/>
          <w:szCs w:val="28"/>
          <w:lang w:val="uk-UA"/>
        </w:rPr>
        <w:t xml:space="preserve"> Однак, за результатами г</w:t>
      </w:r>
      <w:r w:rsidRPr="002114C8">
        <w:rPr>
          <w:rFonts w:ascii="Times New Roman" w:hAnsi="Times New Roman"/>
          <w:sz w:val="28"/>
          <w:szCs w:val="28"/>
          <w:lang w:val="uk-UA"/>
        </w:rPr>
        <w:t>равітаційних рівнянь було зроблено висновок, що розширений ринковий ефект збільшив ПІІ у В</w:t>
      </w:r>
      <w:r w:rsidRPr="002114C8">
        <w:rPr>
          <w:rFonts w:ascii="Times New Roman" w:hAnsi="Times New Roman"/>
          <w:sz w:val="28"/>
          <w:szCs w:val="28"/>
          <w:lang w:val="uk-UA"/>
        </w:rPr>
        <w:t>е</w:t>
      </w:r>
      <w:r w:rsidRPr="002114C8">
        <w:rPr>
          <w:rFonts w:ascii="Times New Roman" w:hAnsi="Times New Roman"/>
          <w:sz w:val="28"/>
          <w:szCs w:val="28"/>
          <w:lang w:val="uk-UA"/>
        </w:rPr>
        <w:lastRenderedPageBreak/>
        <w:t>лику Британію з низки країн за межами єврозони, які є глобальними інвест</w:t>
      </w:r>
      <w:r w:rsidRPr="002114C8">
        <w:rPr>
          <w:rFonts w:ascii="Times New Roman" w:hAnsi="Times New Roman"/>
          <w:sz w:val="28"/>
          <w:szCs w:val="28"/>
          <w:lang w:val="uk-UA"/>
        </w:rPr>
        <w:t>о</w:t>
      </w:r>
      <w:r w:rsidRPr="002114C8">
        <w:rPr>
          <w:rFonts w:ascii="Times New Roman" w:hAnsi="Times New Roman"/>
          <w:sz w:val="28"/>
          <w:szCs w:val="28"/>
          <w:lang w:val="uk-UA"/>
        </w:rPr>
        <w:t>рами.</w:t>
      </w:r>
    </w:p>
    <w:p w:rsidR="00E63F46" w:rsidRPr="002114C8" w:rsidRDefault="00912E07">
      <w:pPr>
        <w:spacing w:after="0" w:line="360" w:lineRule="auto"/>
        <w:jc w:val="both"/>
        <w:rPr>
          <w:rFonts w:ascii="Times New Roman" w:hAnsi="Times New Roman"/>
          <w:sz w:val="28"/>
          <w:szCs w:val="28"/>
          <w:lang w:val="uk-UA"/>
        </w:rPr>
      </w:pPr>
      <w:r w:rsidRPr="002114C8">
        <w:rPr>
          <w:rFonts w:ascii="Times New Roman" w:hAnsi="Times New Roman"/>
          <w:sz w:val="28"/>
          <w:szCs w:val="28"/>
          <w:lang w:val="uk-UA"/>
        </w:rPr>
        <w:tab/>
        <w:t>Не оминули наслідки Brexit й Ірландію, яка, за оцінками, є країною-членом ЄС, яка найбільше постраждала. Протягом останніх кварталів 2016 р</w:t>
      </w:r>
      <w:r w:rsidRPr="002114C8">
        <w:rPr>
          <w:rFonts w:ascii="Times New Roman" w:hAnsi="Times New Roman"/>
          <w:sz w:val="28"/>
          <w:szCs w:val="28"/>
          <w:lang w:val="uk-UA"/>
        </w:rPr>
        <w:t>о</w:t>
      </w:r>
      <w:r w:rsidRPr="002114C8">
        <w:rPr>
          <w:rFonts w:ascii="Times New Roman" w:hAnsi="Times New Roman"/>
          <w:sz w:val="28"/>
          <w:szCs w:val="28"/>
          <w:lang w:val="uk-UA"/>
        </w:rPr>
        <w:t>ку потоки ПІІ з Ірландії до Великобританії впали приблизно до нуля [9, с.11]. Крім того, подібна закономірність була виявлена і для потоків з Великобрит</w:t>
      </w:r>
      <w:r w:rsidRPr="002114C8">
        <w:rPr>
          <w:rFonts w:ascii="Times New Roman" w:hAnsi="Times New Roman"/>
          <w:sz w:val="28"/>
          <w:szCs w:val="28"/>
          <w:lang w:val="uk-UA"/>
        </w:rPr>
        <w:t>а</w:t>
      </w:r>
      <w:r w:rsidRPr="002114C8">
        <w:rPr>
          <w:rFonts w:ascii="Times New Roman" w:hAnsi="Times New Roman"/>
          <w:sz w:val="28"/>
          <w:szCs w:val="28"/>
          <w:lang w:val="uk-UA"/>
        </w:rPr>
        <w:t>нії до Ірландії.</w:t>
      </w:r>
    </w:p>
    <w:p w:rsidR="00E63F46" w:rsidRPr="002114C8" w:rsidRDefault="00912E07">
      <w:pPr>
        <w:spacing w:after="0" w:line="360" w:lineRule="auto"/>
        <w:jc w:val="both"/>
        <w:rPr>
          <w:rFonts w:ascii="Times New Roman" w:hAnsi="Times New Roman"/>
          <w:sz w:val="28"/>
          <w:szCs w:val="28"/>
          <w:lang w:val="uk-UA"/>
        </w:rPr>
      </w:pPr>
      <w:r w:rsidRPr="002114C8">
        <w:rPr>
          <w:rFonts w:ascii="Times New Roman" w:hAnsi="Times New Roman"/>
          <w:sz w:val="28"/>
          <w:szCs w:val="28"/>
          <w:lang w:val="uk-UA"/>
        </w:rPr>
        <w:tab/>
        <w:t xml:space="preserve">Попри значний вплив Brexit на Республіку Ірландії, у статті </w:t>
      </w:r>
      <w:r w:rsidRPr="002114C8">
        <w:rPr>
          <w:rFonts w:ascii="Times New Roman" w:hAnsi="Times New Roman" w:cs="Times New Roman"/>
          <w:sz w:val="28"/>
          <w:szCs w:val="28"/>
          <w:lang w:val="uk-UA"/>
        </w:rPr>
        <w:t>«Ч</w:t>
      </w:r>
      <w:r w:rsidRPr="002114C8">
        <w:rPr>
          <w:rFonts w:ascii="Times New Roman" w:hAnsi="Times New Roman"/>
          <w:sz w:val="28"/>
          <w:szCs w:val="28"/>
          <w:lang w:val="uk-UA"/>
        </w:rPr>
        <w:t>и справді Європейський Союз має значення для довгострокового зростання та розвитку? У пошуках зниклого контрфакту</w:t>
      </w:r>
      <w:r w:rsidRPr="002114C8">
        <w:rPr>
          <w:rFonts w:ascii="Times New Roman" w:hAnsi="Times New Roman" w:cs="Times New Roman"/>
          <w:sz w:val="28"/>
          <w:szCs w:val="28"/>
          <w:lang w:val="uk-UA"/>
        </w:rPr>
        <w:t xml:space="preserve">» (2020) [10], Ірландію було відмічено як одну з країн з </w:t>
      </w:r>
      <w:r w:rsidRPr="002114C8">
        <w:rPr>
          <w:rFonts w:ascii="Times New Roman" w:hAnsi="Times New Roman"/>
          <w:sz w:val="28"/>
          <w:szCs w:val="28"/>
          <w:lang w:val="uk-UA"/>
        </w:rPr>
        <w:t>найбільшими дивідендами зростання та розвитку в ЄС. Наприклад, різні оцінки показують, що ВВП на душу населення в країнах-засновниках ЄС збільшився на 31 відсоток відповідно. Навпаки, оцінки для наступних раундів розширення не вказують на всеосяжний приріст зростання для всіх залучених країн, за винятком Ірландії, де також був помітний значне зростання.</w:t>
      </w:r>
    </w:p>
    <w:p w:rsidR="00E63F46" w:rsidRPr="002114C8" w:rsidRDefault="00912E07" w:rsidP="002114C8">
      <w:pPr>
        <w:spacing w:after="0" w:line="360" w:lineRule="auto"/>
        <w:ind w:firstLine="709"/>
        <w:jc w:val="both"/>
        <w:rPr>
          <w:rFonts w:ascii="Times New Roman" w:hAnsi="Times New Roman" w:cs="Times New Roman"/>
          <w:sz w:val="28"/>
          <w:szCs w:val="28"/>
          <w:lang w:val="uk-UA"/>
        </w:rPr>
      </w:pPr>
      <w:r w:rsidRPr="002114C8">
        <w:rPr>
          <w:rFonts w:ascii="Times New Roman" w:hAnsi="Times New Roman"/>
          <w:sz w:val="28"/>
          <w:szCs w:val="28"/>
          <w:lang w:val="uk-UA"/>
        </w:rPr>
        <w:t>Відповідно до проаналізованих праць, ми можемо врахувати, що ріше</w:t>
      </w:r>
      <w:r w:rsidRPr="002114C8">
        <w:rPr>
          <w:rFonts w:ascii="Times New Roman" w:hAnsi="Times New Roman"/>
          <w:sz w:val="28"/>
          <w:szCs w:val="28"/>
          <w:lang w:val="uk-UA"/>
        </w:rPr>
        <w:t>н</w:t>
      </w:r>
      <w:r w:rsidRPr="002114C8">
        <w:rPr>
          <w:rFonts w:ascii="Times New Roman" w:hAnsi="Times New Roman"/>
          <w:sz w:val="28"/>
          <w:szCs w:val="28"/>
          <w:lang w:val="uk-UA"/>
        </w:rPr>
        <w:t>ня про вихід з ЄС є найважливішою зміною в економічній політиці Великої Британії, які мали вплив, переважно негативний, не лише безпосередньо на Сполучене королівство, а й на низку інших країн, переважно країн-учасниць ЄС та колишніх британських колоній. Серед економістів існує широкий ко</w:t>
      </w:r>
      <w:r w:rsidRPr="002114C8">
        <w:rPr>
          <w:rFonts w:ascii="Times New Roman" w:hAnsi="Times New Roman"/>
          <w:sz w:val="28"/>
          <w:szCs w:val="28"/>
          <w:lang w:val="uk-UA"/>
        </w:rPr>
        <w:t>н</w:t>
      </w:r>
      <w:r w:rsidRPr="002114C8">
        <w:rPr>
          <w:rFonts w:ascii="Times New Roman" w:hAnsi="Times New Roman"/>
          <w:sz w:val="28"/>
          <w:szCs w:val="28"/>
          <w:lang w:val="uk-UA"/>
        </w:rPr>
        <w:t>сенсус щодо того, що довгострокові наслідки Brexit для добробуту будуть н</w:t>
      </w:r>
      <w:r w:rsidRPr="002114C8">
        <w:rPr>
          <w:rFonts w:ascii="Times New Roman" w:hAnsi="Times New Roman"/>
          <w:sz w:val="28"/>
          <w:szCs w:val="28"/>
          <w:lang w:val="uk-UA"/>
        </w:rPr>
        <w:t>е</w:t>
      </w:r>
      <w:r w:rsidRPr="002114C8">
        <w:rPr>
          <w:rFonts w:ascii="Times New Roman" w:hAnsi="Times New Roman"/>
          <w:sz w:val="28"/>
          <w:szCs w:val="28"/>
          <w:lang w:val="uk-UA"/>
        </w:rPr>
        <w:t>гативними, що погіршилось і пандемією СOVID-19. На собі наслідки рефере</w:t>
      </w:r>
      <w:r w:rsidRPr="002114C8">
        <w:rPr>
          <w:rFonts w:ascii="Times New Roman" w:hAnsi="Times New Roman"/>
          <w:sz w:val="28"/>
          <w:szCs w:val="28"/>
          <w:lang w:val="uk-UA"/>
        </w:rPr>
        <w:t>н</w:t>
      </w:r>
      <w:r w:rsidRPr="002114C8">
        <w:rPr>
          <w:rFonts w:ascii="Times New Roman" w:hAnsi="Times New Roman"/>
          <w:sz w:val="28"/>
          <w:szCs w:val="28"/>
          <w:lang w:val="uk-UA"/>
        </w:rPr>
        <w:t xml:space="preserve">думу відчула і сусідня країна Великої Британії  </w:t>
      </w:r>
      <w:r w:rsidRPr="002114C8">
        <w:rPr>
          <w:rFonts w:ascii="Times New Roman" w:hAnsi="Times New Roman" w:cs="Times New Roman"/>
          <w:sz w:val="28"/>
          <w:szCs w:val="28"/>
          <w:lang w:val="uk-UA"/>
        </w:rPr>
        <w:t xml:space="preserve">̶  Ірландія. Однак, попри певні структурні зміни, вона досі залишається однією з країн Європейського Союзу з найбільшими показниками росту. </w:t>
      </w:r>
      <w:r w:rsidRPr="002114C8">
        <w:rPr>
          <w:rFonts w:ascii="Times New Roman" w:hAnsi="Times New Roman" w:cs="Times New Roman"/>
          <w:b/>
          <w:sz w:val="28"/>
          <w:szCs w:val="28"/>
          <w:lang w:val="uk-UA"/>
        </w:rPr>
        <w:br w:type="page"/>
      </w:r>
    </w:p>
    <w:p w:rsidR="00E63F46" w:rsidRPr="002114C8" w:rsidRDefault="00912E07" w:rsidP="002114C8">
      <w:pPr>
        <w:spacing w:after="0" w:line="360" w:lineRule="auto"/>
        <w:jc w:val="center"/>
        <w:rPr>
          <w:rFonts w:ascii="Times New Roman" w:hAnsi="Times New Roman" w:cs="Times New Roman"/>
          <w:b/>
          <w:sz w:val="28"/>
          <w:szCs w:val="28"/>
          <w:lang w:val="uk-UA"/>
        </w:rPr>
      </w:pPr>
      <w:r w:rsidRPr="002114C8">
        <w:rPr>
          <w:rFonts w:ascii="Times New Roman" w:hAnsi="Times New Roman" w:cs="Times New Roman"/>
          <w:b/>
          <w:sz w:val="28"/>
          <w:szCs w:val="28"/>
          <w:lang w:val="uk-UA"/>
        </w:rPr>
        <w:lastRenderedPageBreak/>
        <w:t>РОЗДІЛ 2</w:t>
      </w:r>
    </w:p>
    <w:p w:rsidR="002114C8" w:rsidRPr="002114C8" w:rsidRDefault="002114C8" w:rsidP="002114C8">
      <w:pPr>
        <w:spacing w:after="0" w:line="360" w:lineRule="auto"/>
        <w:jc w:val="center"/>
        <w:rPr>
          <w:rFonts w:ascii="Times New Roman" w:hAnsi="Times New Roman"/>
          <w:b/>
          <w:bCs/>
          <w:sz w:val="28"/>
          <w:szCs w:val="28"/>
          <w:lang w:val="uk-UA"/>
        </w:rPr>
      </w:pPr>
      <w:r w:rsidRPr="002114C8">
        <w:rPr>
          <w:rFonts w:ascii="Times New Roman" w:hAnsi="Times New Roman"/>
          <w:b/>
          <w:bCs/>
          <w:sz w:val="28"/>
          <w:szCs w:val="28"/>
          <w:lang w:val="uk-UA"/>
        </w:rPr>
        <w:t xml:space="preserve">ПОРІВНЯЛЬНИЙ АНАЛІЗ ОСНОВНИХ СКЛАДОВИХ </w:t>
      </w:r>
    </w:p>
    <w:p w:rsidR="00E63F46" w:rsidRPr="002114C8" w:rsidRDefault="002114C8" w:rsidP="002114C8">
      <w:pPr>
        <w:spacing w:after="0" w:line="360" w:lineRule="auto"/>
        <w:jc w:val="center"/>
        <w:rPr>
          <w:rFonts w:ascii="Times New Roman" w:hAnsi="Times New Roman"/>
          <w:b/>
          <w:bCs/>
          <w:sz w:val="28"/>
          <w:szCs w:val="28"/>
          <w:lang w:val="uk-UA"/>
        </w:rPr>
      </w:pPr>
      <w:r w:rsidRPr="002114C8">
        <w:rPr>
          <w:rFonts w:ascii="Times New Roman" w:hAnsi="Times New Roman"/>
          <w:b/>
          <w:bCs/>
          <w:sz w:val="28"/>
          <w:szCs w:val="28"/>
          <w:lang w:val="uk-UA"/>
        </w:rPr>
        <w:t xml:space="preserve">ЗОВНІШНЬОЕКОНОМІЧНИХ ОПЕРАЦІЙ </w:t>
      </w:r>
    </w:p>
    <w:p w:rsidR="00E63F46" w:rsidRPr="002114C8" w:rsidRDefault="002114C8" w:rsidP="002114C8">
      <w:pPr>
        <w:spacing w:after="0" w:line="360" w:lineRule="auto"/>
        <w:jc w:val="center"/>
        <w:rPr>
          <w:rFonts w:ascii="Times New Roman" w:hAnsi="Times New Roman"/>
          <w:b/>
          <w:bCs/>
          <w:spacing w:val="4"/>
          <w:sz w:val="28"/>
          <w:szCs w:val="28"/>
          <w:lang w:val="uk-UA"/>
        </w:rPr>
      </w:pPr>
      <w:r w:rsidRPr="002114C8">
        <w:rPr>
          <w:rFonts w:ascii="Times New Roman" w:hAnsi="Times New Roman"/>
          <w:b/>
          <w:bCs/>
          <w:spacing w:val="4"/>
          <w:sz w:val="28"/>
          <w:szCs w:val="28"/>
          <w:lang w:val="uk-UA"/>
        </w:rPr>
        <w:t>ВЕЛИКОЇ БРИТАНІЇ ТА ІРЛАНДІЇ</w:t>
      </w:r>
    </w:p>
    <w:p w:rsidR="002114C8" w:rsidRPr="002114C8" w:rsidRDefault="002114C8" w:rsidP="00465D9D">
      <w:pPr>
        <w:spacing w:afterLines="50" w:after="120" w:line="360" w:lineRule="auto"/>
        <w:ind w:left="113" w:right="58" w:firstLine="567"/>
        <w:jc w:val="center"/>
        <w:rPr>
          <w:rFonts w:ascii="Times New Roman" w:hAnsi="Times New Roman"/>
          <w:b/>
          <w:bCs/>
          <w:sz w:val="28"/>
          <w:szCs w:val="28"/>
          <w:lang w:val="uk-UA"/>
        </w:rPr>
      </w:pPr>
    </w:p>
    <w:p w:rsidR="00E63F46" w:rsidRPr="002114C8" w:rsidRDefault="00912E07" w:rsidP="00465D9D">
      <w:pPr>
        <w:spacing w:afterLines="50" w:after="120" w:line="360" w:lineRule="auto"/>
        <w:ind w:right="58" w:firstLine="708"/>
        <w:jc w:val="both"/>
        <w:rPr>
          <w:rFonts w:ascii="Times New Roman" w:hAnsi="Times New Roman"/>
          <w:b/>
          <w:bCs/>
          <w:sz w:val="28"/>
          <w:szCs w:val="28"/>
          <w:lang w:val="uk-UA"/>
        </w:rPr>
      </w:pPr>
      <w:r w:rsidRPr="002114C8">
        <w:rPr>
          <w:rFonts w:ascii="Times New Roman" w:hAnsi="Times New Roman"/>
          <w:b/>
          <w:sz w:val="28"/>
          <w:szCs w:val="28"/>
          <w:lang w:val="uk-UA"/>
        </w:rPr>
        <w:t xml:space="preserve">2.1. </w:t>
      </w:r>
      <w:r w:rsidR="002114C8" w:rsidRPr="002114C8">
        <w:rPr>
          <w:rFonts w:ascii="Times New Roman" w:hAnsi="Times New Roman"/>
          <w:b/>
          <w:bCs/>
          <w:sz w:val="28"/>
          <w:szCs w:val="28"/>
          <w:lang w:val="uk-UA"/>
        </w:rPr>
        <w:t xml:space="preserve">Структура та динаміка поточних операцій </w:t>
      </w:r>
      <w:r w:rsidRPr="002114C8">
        <w:rPr>
          <w:rFonts w:ascii="Times New Roman" w:hAnsi="Times New Roman"/>
          <w:b/>
          <w:bCs/>
          <w:sz w:val="28"/>
          <w:szCs w:val="28"/>
          <w:lang w:val="uk-UA"/>
        </w:rPr>
        <w:t>Великої Британії та Ірландії</w:t>
      </w:r>
    </w:p>
    <w:p w:rsidR="00E63F46" w:rsidRPr="002114C8" w:rsidRDefault="00912E07">
      <w:pPr>
        <w:spacing w:after="0" w:line="360" w:lineRule="auto"/>
        <w:ind w:firstLine="708"/>
        <w:jc w:val="both"/>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У ході дослідження проаналізовано рахунок поточних операцій Великої Британії та Ірландії протягом 2018-2022 рр. Рахунок поточних операцій вкл</w:t>
      </w:r>
      <w:r w:rsidRPr="002114C8">
        <w:rPr>
          <w:rFonts w:ascii="Times New Roman" w:eastAsia="SimSun" w:hAnsi="Times New Roman" w:cs="Times New Roman"/>
          <w:color w:val="000000"/>
          <w:sz w:val="28"/>
          <w:szCs w:val="28"/>
          <w:lang w:val="uk-UA" w:eastAsia="zh-CN" w:bidi="ar"/>
        </w:rPr>
        <w:t>ю</w:t>
      </w:r>
      <w:r w:rsidRPr="002114C8">
        <w:rPr>
          <w:rFonts w:ascii="Times New Roman" w:eastAsia="SimSun" w:hAnsi="Times New Roman" w:cs="Times New Roman"/>
          <w:color w:val="000000"/>
          <w:sz w:val="28"/>
          <w:szCs w:val="28"/>
          <w:lang w:val="uk-UA" w:eastAsia="zh-CN" w:bidi="ar"/>
        </w:rPr>
        <w:t>чає торговельний баланс, баланс послуг, рахунок первинних та вторинних д</w:t>
      </w:r>
      <w:r w:rsidRPr="002114C8">
        <w:rPr>
          <w:rFonts w:ascii="Times New Roman" w:eastAsia="SimSun" w:hAnsi="Times New Roman" w:cs="Times New Roman"/>
          <w:color w:val="000000"/>
          <w:sz w:val="28"/>
          <w:szCs w:val="28"/>
          <w:lang w:val="uk-UA" w:eastAsia="zh-CN" w:bidi="ar"/>
        </w:rPr>
        <w:t>о</w:t>
      </w:r>
      <w:r w:rsidRPr="002114C8">
        <w:rPr>
          <w:rFonts w:ascii="Times New Roman" w:eastAsia="SimSun" w:hAnsi="Times New Roman" w:cs="Times New Roman"/>
          <w:color w:val="000000"/>
          <w:sz w:val="28"/>
          <w:szCs w:val="28"/>
          <w:lang w:val="uk-UA" w:eastAsia="zh-CN" w:bidi="ar"/>
        </w:rPr>
        <w:t>ходів. Згідно з табл. 2.</w:t>
      </w:r>
      <w:r w:rsidR="002114C8">
        <w:rPr>
          <w:rFonts w:ascii="Times New Roman" w:eastAsia="SimSun" w:hAnsi="Times New Roman" w:cs="Times New Roman"/>
          <w:color w:val="000000"/>
          <w:sz w:val="28"/>
          <w:szCs w:val="28"/>
          <w:lang w:val="uk-UA" w:eastAsia="zh-CN" w:bidi="ar"/>
        </w:rPr>
        <w:t>1</w:t>
      </w:r>
      <w:r w:rsidRPr="002114C8">
        <w:rPr>
          <w:rFonts w:ascii="Times New Roman" w:eastAsia="SimSun" w:hAnsi="Times New Roman" w:cs="Times New Roman"/>
          <w:color w:val="000000"/>
          <w:sz w:val="28"/>
          <w:szCs w:val="28"/>
          <w:lang w:val="uk-UA" w:eastAsia="zh-CN" w:bidi="ar"/>
        </w:rPr>
        <w:t>, спостерігаємо, що Велика Британія протягом досл</w:t>
      </w:r>
      <w:r w:rsidRPr="002114C8">
        <w:rPr>
          <w:rFonts w:ascii="Times New Roman" w:eastAsia="SimSun" w:hAnsi="Times New Roman" w:cs="Times New Roman"/>
          <w:color w:val="000000"/>
          <w:sz w:val="28"/>
          <w:szCs w:val="28"/>
          <w:lang w:val="uk-UA" w:eastAsia="zh-CN" w:bidi="ar"/>
        </w:rPr>
        <w:t>і</w:t>
      </w:r>
      <w:r w:rsidRPr="002114C8">
        <w:rPr>
          <w:rFonts w:ascii="Times New Roman" w:eastAsia="SimSun" w:hAnsi="Times New Roman" w:cs="Times New Roman"/>
          <w:color w:val="000000"/>
          <w:sz w:val="28"/>
          <w:szCs w:val="28"/>
          <w:lang w:val="uk-UA" w:eastAsia="zh-CN" w:bidi="ar"/>
        </w:rPr>
        <w:t>джуваного періоду мала дефіцит даної статті платіжного балансу, у першу чергу через значний дефіцит торговельного балансу, а також завдяки рахунку первинних та вторинних доходів. У свою чергу, в Ірландії дефіцит спостеріг</w:t>
      </w:r>
      <w:r w:rsidRPr="002114C8">
        <w:rPr>
          <w:rFonts w:ascii="Times New Roman" w:eastAsia="SimSun" w:hAnsi="Times New Roman" w:cs="Times New Roman"/>
          <w:color w:val="000000"/>
          <w:sz w:val="28"/>
          <w:szCs w:val="28"/>
          <w:lang w:val="uk-UA" w:eastAsia="zh-CN" w:bidi="ar"/>
        </w:rPr>
        <w:t>а</w:t>
      </w:r>
      <w:r w:rsidRPr="002114C8">
        <w:rPr>
          <w:rFonts w:ascii="Times New Roman" w:eastAsia="SimSun" w:hAnsi="Times New Roman" w:cs="Times New Roman"/>
          <w:color w:val="000000"/>
          <w:sz w:val="28"/>
          <w:szCs w:val="28"/>
          <w:lang w:val="uk-UA" w:eastAsia="zh-CN" w:bidi="ar"/>
        </w:rPr>
        <w:t>вся лише протягом 2019 та 2020 року.</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У випадку з Великою Британією, протягом досліджуваного періоду по</w:t>
      </w:r>
      <w:r w:rsidRPr="002114C8">
        <w:rPr>
          <w:rFonts w:ascii="Times New Roman" w:hAnsi="Times New Roman"/>
          <w:sz w:val="28"/>
          <w:szCs w:val="28"/>
          <w:lang w:val="uk-UA"/>
        </w:rPr>
        <w:t>с</w:t>
      </w:r>
      <w:r w:rsidRPr="002114C8">
        <w:rPr>
          <w:rFonts w:ascii="Times New Roman" w:hAnsi="Times New Roman"/>
          <w:sz w:val="28"/>
          <w:szCs w:val="28"/>
          <w:lang w:val="uk-UA"/>
        </w:rPr>
        <w:t xml:space="preserve">тупово дефіцит зменшувався, найзначніший спад спостерігався у 2021 році  </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на 46,4%, попри значний ріст, на 59,8 млрд дол.США, дефіциту торговельного балансу. Однак, у тому ж році було досягнуто профіциту рахунку первинних доходів та, додатково, зменшення дефіциту вторинних доходів. Від’ємне сал</w:t>
      </w:r>
      <w:r w:rsidRPr="002114C8">
        <w:rPr>
          <w:rFonts w:ascii="Times New Roman" w:hAnsi="Times New Roman"/>
          <w:sz w:val="28"/>
          <w:szCs w:val="28"/>
          <w:lang w:val="uk-UA"/>
        </w:rPr>
        <w:t>ь</w:t>
      </w:r>
      <w:r w:rsidRPr="002114C8">
        <w:rPr>
          <w:rFonts w:ascii="Times New Roman" w:hAnsi="Times New Roman"/>
          <w:sz w:val="28"/>
          <w:szCs w:val="28"/>
          <w:lang w:val="uk-UA"/>
        </w:rPr>
        <w:t>до поточного рахунку означає, що Велика Британія мала менше надходжень з-за кордону, ніж виходів для іноземних споживачів, інвесторів, урядів і праці</w:t>
      </w:r>
      <w:r w:rsidRPr="002114C8">
        <w:rPr>
          <w:rFonts w:ascii="Times New Roman" w:hAnsi="Times New Roman"/>
          <w:sz w:val="28"/>
          <w:szCs w:val="28"/>
          <w:lang w:val="uk-UA"/>
        </w:rPr>
        <w:t>в</w:t>
      </w:r>
      <w:r w:rsidRPr="002114C8">
        <w:rPr>
          <w:rFonts w:ascii="Times New Roman" w:hAnsi="Times New Roman"/>
          <w:sz w:val="28"/>
          <w:szCs w:val="28"/>
          <w:lang w:val="uk-UA"/>
        </w:rPr>
        <w:t xml:space="preserve">ників </w:t>
      </w:r>
    </w:p>
    <w:p w:rsidR="00E63F46" w:rsidRPr="002114C8" w:rsidRDefault="00912E07">
      <w:pPr>
        <w:spacing w:after="0" w:line="360" w:lineRule="auto"/>
        <w:ind w:firstLine="708"/>
        <w:jc w:val="both"/>
        <w:rPr>
          <w:rFonts w:ascii="Times New Roman" w:eastAsia="SimSun" w:hAnsi="Times New Roman" w:cs="Times New Roman"/>
          <w:color w:val="000000"/>
          <w:sz w:val="28"/>
          <w:szCs w:val="28"/>
          <w:lang w:val="uk-UA" w:eastAsia="zh-CN" w:bidi="ar"/>
        </w:rPr>
      </w:pPr>
      <w:r w:rsidRPr="002114C8">
        <w:rPr>
          <w:rFonts w:ascii="Times New Roman" w:hAnsi="Times New Roman"/>
          <w:sz w:val="28"/>
          <w:szCs w:val="28"/>
          <w:lang w:val="uk-UA"/>
        </w:rPr>
        <w:t>Розглянувши Ірландську Республіку, бачимо, що попри різкий дефіцит у 2019 році, який продовжився у 2020 попри зниження на 38,9 %, вже у 2021 р</w:t>
      </w:r>
      <w:r w:rsidRPr="002114C8">
        <w:rPr>
          <w:rFonts w:ascii="Times New Roman" w:hAnsi="Times New Roman"/>
          <w:sz w:val="28"/>
          <w:szCs w:val="28"/>
          <w:lang w:val="uk-UA"/>
        </w:rPr>
        <w:t>о</w:t>
      </w:r>
      <w:r w:rsidRPr="002114C8">
        <w:rPr>
          <w:rFonts w:ascii="Times New Roman" w:hAnsi="Times New Roman"/>
          <w:sz w:val="28"/>
          <w:szCs w:val="28"/>
          <w:lang w:val="uk-UA"/>
        </w:rPr>
        <w:t>ці було досягнуто профіциту у 72,2 млрд дол.США. На відмінно від Сполуч</w:t>
      </w:r>
      <w:r w:rsidRPr="002114C8">
        <w:rPr>
          <w:rFonts w:ascii="Times New Roman" w:hAnsi="Times New Roman"/>
          <w:sz w:val="28"/>
          <w:szCs w:val="28"/>
          <w:lang w:val="uk-UA"/>
        </w:rPr>
        <w:t>е</w:t>
      </w:r>
      <w:r w:rsidRPr="002114C8">
        <w:rPr>
          <w:rFonts w:ascii="Times New Roman" w:hAnsi="Times New Roman"/>
          <w:sz w:val="28"/>
          <w:szCs w:val="28"/>
          <w:lang w:val="uk-UA"/>
        </w:rPr>
        <w:t xml:space="preserve">ного королівства, торговельний баланс Ірландії зводиться з профіцитом, тоді як баланс послуг, окрім 2021 року, рахунок первинних та рахунок вторинних доходів зводились з дефіцитом. З точки зору національних рахунків, профіцит </w:t>
      </w:r>
      <w:r w:rsidRPr="002114C8">
        <w:rPr>
          <w:rFonts w:ascii="Times New Roman" w:hAnsi="Times New Roman"/>
          <w:sz w:val="28"/>
          <w:szCs w:val="28"/>
          <w:lang w:val="uk-UA"/>
        </w:rPr>
        <w:lastRenderedPageBreak/>
        <w:t>відображає чисту кредитну позицію, тобто країна більш ніж здатна фінансув</w:t>
      </w:r>
      <w:r w:rsidRPr="002114C8">
        <w:rPr>
          <w:rFonts w:ascii="Times New Roman" w:hAnsi="Times New Roman"/>
          <w:sz w:val="28"/>
          <w:szCs w:val="28"/>
          <w:lang w:val="uk-UA"/>
        </w:rPr>
        <w:t>а</w:t>
      </w:r>
      <w:r w:rsidRPr="002114C8">
        <w:rPr>
          <w:rFonts w:ascii="Times New Roman" w:hAnsi="Times New Roman"/>
          <w:sz w:val="28"/>
          <w:szCs w:val="28"/>
          <w:lang w:val="uk-UA"/>
        </w:rPr>
        <w:t>ти свою економічну діяльність у світовій економіці.</w:t>
      </w:r>
    </w:p>
    <w:p w:rsidR="00E63F46" w:rsidRPr="002114C8" w:rsidRDefault="002114C8">
      <w:pPr>
        <w:wordWrap w:val="0"/>
        <w:spacing w:after="0" w:line="360" w:lineRule="auto"/>
        <w:ind w:left="5664" w:right="57" w:firstLine="708"/>
        <w:jc w:val="right"/>
        <w:rPr>
          <w:rFonts w:ascii="Times New Roman" w:hAnsi="Times New Roman"/>
          <w:sz w:val="28"/>
          <w:szCs w:val="28"/>
          <w:lang w:val="uk-UA"/>
        </w:rPr>
      </w:pPr>
      <w:r>
        <w:rPr>
          <w:rFonts w:ascii="Times New Roman" w:hAnsi="Times New Roman"/>
          <w:sz w:val="28"/>
          <w:szCs w:val="28"/>
          <w:lang w:val="uk-UA"/>
        </w:rPr>
        <w:t>Таблиця 2.1</w:t>
      </w:r>
    </w:p>
    <w:p w:rsidR="00E63F46" w:rsidRPr="002114C8" w:rsidRDefault="00912E07">
      <w:pPr>
        <w:spacing w:after="0" w:line="360" w:lineRule="auto"/>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 xml:space="preserve">Основні статті рахунку поточних операцій </w:t>
      </w:r>
    </w:p>
    <w:p w:rsidR="00E63F46" w:rsidRPr="002114C8" w:rsidRDefault="00912E07">
      <w:pPr>
        <w:spacing w:after="0" w:line="360" w:lineRule="auto"/>
        <w:jc w:val="center"/>
        <w:rPr>
          <w:rFonts w:ascii="Times New Roman" w:hAnsi="Times New Roman"/>
          <w:b/>
          <w:bCs/>
          <w:sz w:val="28"/>
          <w:szCs w:val="28"/>
          <w:lang w:val="uk-UA"/>
        </w:rPr>
      </w:pPr>
      <w:r w:rsidRPr="002114C8">
        <w:rPr>
          <w:rFonts w:ascii="Times New Roman" w:eastAsia="SimSun" w:hAnsi="Times New Roman" w:cs="Times New Roman"/>
          <w:color w:val="000000"/>
          <w:sz w:val="28"/>
          <w:szCs w:val="28"/>
          <w:lang w:val="uk-UA" w:eastAsia="zh-CN" w:bidi="ar"/>
        </w:rPr>
        <w:t>Великої Британії та Ірландії, млрд дол.США</w:t>
      </w:r>
    </w:p>
    <w:tbl>
      <w:tblPr>
        <w:tblpPr w:leftFromText="187" w:rightFromText="187" w:vertAnchor="text" w:horzAnchor="page" w:tblpX="1813" w:tblpY="87"/>
        <w:tblOverlap w:val="never"/>
        <w:tblW w:w="9583" w:type="dxa"/>
        <w:tblLayout w:type="fixed"/>
        <w:tblLook w:val="04A0" w:firstRow="1" w:lastRow="0" w:firstColumn="1" w:lastColumn="0" w:noHBand="0" w:noVBand="1"/>
      </w:tblPr>
      <w:tblGrid>
        <w:gridCol w:w="3079"/>
        <w:gridCol w:w="1517"/>
        <w:gridCol w:w="1258"/>
        <w:gridCol w:w="1258"/>
        <w:gridCol w:w="1297"/>
        <w:gridCol w:w="90"/>
        <w:gridCol w:w="1084"/>
      </w:tblGrid>
      <w:tr w:rsidR="00E63F46" w:rsidRPr="002114C8">
        <w:trPr>
          <w:trHeight w:val="301"/>
        </w:trPr>
        <w:tc>
          <w:tcPr>
            <w:tcW w:w="30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E63F46">
            <w:pPr>
              <w:spacing w:line="240" w:lineRule="auto"/>
              <w:jc w:val="center"/>
              <w:rPr>
                <w:rFonts w:ascii="Times New Roman Regular" w:eastAsia="Times New Roman Regular" w:hAnsi="Times New Roman Regular" w:cs="Times New Roman Regular"/>
                <w:color w:val="000000"/>
                <w:sz w:val="28"/>
                <w:szCs w:val="28"/>
                <w:lang w:val="uk-UA"/>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2018</w:t>
            </w:r>
          </w:p>
        </w:tc>
        <w:tc>
          <w:tcPr>
            <w:tcW w:w="12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2019</w:t>
            </w:r>
          </w:p>
        </w:tc>
        <w:tc>
          <w:tcPr>
            <w:tcW w:w="125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2020</w:t>
            </w:r>
          </w:p>
        </w:tc>
        <w:tc>
          <w:tcPr>
            <w:tcW w:w="1387"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2021</w:t>
            </w:r>
          </w:p>
        </w:tc>
        <w:tc>
          <w:tcPr>
            <w:tcW w:w="10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2022</w:t>
            </w:r>
          </w:p>
        </w:tc>
      </w:tr>
      <w:tr w:rsidR="00E63F46" w:rsidRPr="002114C8">
        <w:trPr>
          <w:trHeight w:val="253"/>
        </w:trPr>
        <w:tc>
          <w:tcPr>
            <w:tcW w:w="9583"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b/>
                <w:bCs/>
                <w:color w:val="000000"/>
                <w:sz w:val="28"/>
                <w:szCs w:val="28"/>
                <w:lang w:val="uk-UA" w:eastAsia="zh-CN" w:bidi="ar"/>
              </w:rPr>
              <w:t>Велика Британія</w:t>
            </w:r>
          </w:p>
        </w:tc>
      </w:tr>
      <w:tr w:rsidR="00E63F46" w:rsidRPr="002114C8">
        <w:trPr>
          <w:trHeight w:val="703"/>
        </w:trPr>
        <w:tc>
          <w:tcPr>
            <w:tcW w:w="3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b/>
                <w:bCs/>
                <w:color w:val="000000"/>
                <w:sz w:val="28"/>
                <w:szCs w:val="28"/>
                <w:lang w:val="uk-UA"/>
              </w:rPr>
            </w:pPr>
            <w:r w:rsidRPr="002114C8">
              <w:rPr>
                <w:rFonts w:ascii="Times New Roman Regular" w:eastAsia="Times New Roman Regular" w:hAnsi="Times New Roman Regular" w:cs="Times New Roman Regular"/>
                <w:b/>
                <w:bCs/>
                <w:color w:val="000000"/>
                <w:sz w:val="28"/>
                <w:szCs w:val="28"/>
                <w:lang w:val="uk-UA" w:eastAsia="zh-CN" w:bidi="ar"/>
              </w:rPr>
              <w:t>Рахунок поточних операцій</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-116.991</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-80.778</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-87.814</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-47.053</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334"/>
        </w:trPr>
        <w:tc>
          <w:tcPr>
            <w:tcW w:w="30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Торговельний баланс</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-191.203</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-189.482</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-172.738</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-232.548</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269"/>
        </w:trPr>
        <w:tc>
          <w:tcPr>
            <w:tcW w:w="30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Баланс послуг</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147.32</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143.274</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181.034</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193.984</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703"/>
        </w:trPr>
        <w:tc>
          <w:tcPr>
            <w:tcW w:w="3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Рахунок первинних д</w:t>
            </w:r>
            <w:r w:rsidRPr="002114C8">
              <w:rPr>
                <w:rFonts w:ascii="Times New Roman Regular" w:eastAsia="Times New Roman Regular" w:hAnsi="Times New Roman Regular" w:cs="Times New Roman Regular"/>
                <w:color w:val="000000"/>
                <w:sz w:val="28"/>
                <w:szCs w:val="28"/>
                <w:lang w:val="uk-UA" w:eastAsia="zh-CN" w:bidi="ar"/>
              </w:rPr>
              <w:t>о</w:t>
            </w:r>
            <w:r w:rsidRPr="002114C8">
              <w:rPr>
                <w:rFonts w:ascii="Times New Roman Regular" w:eastAsia="Times New Roman Regular" w:hAnsi="Times New Roman Regular" w:cs="Times New Roman Regular"/>
                <w:color w:val="000000"/>
                <w:sz w:val="28"/>
                <w:szCs w:val="28"/>
                <w:lang w:val="uk-UA" w:eastAsia="zh-CN" w:bidi="ar"/>
              </w:rPr>
              <w:t>ходів</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-39.187</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-0.985</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-60.643</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16.119</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720"/>
        </w:trPr>
        <w:tc>
          <w:tcPr>
            <w:tcW w:w="3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Рахунок вторинних д</w:t>
            </w:r>
            <w:r w:rsidRPr="002114C8">
              <w:rPr>
                <w:rFonts w:ascii="Times New Roman Regular" w:eastAsia="Times New Roman Regular" w:hAnsi="Times New Roman Regular" w:cs="Times New Roman Regular"/>
                <w:color w:val="000000"/>
                <w:sz w:val="28"/>
                <w:szCs w:val="28"/>
                <w:lang w:val="uk-UA" w:eastAsia="zh-CN" w:bidi="ar"/>
              </w:rPr>
              <w:t>о</w:t>
            </w:r>
            <w:r w:rsidRPr="002114C8">
              <w:rPr>
                <w:rFonts w:ascii="Times New Roman Regular" w:eastAsia="Times New Roman Regular" w:hAnsi="Times New Roman Regular" w:cs="Times New Roman Regular"/>
                <w:color w:val="000000"/>
                <w:sz w:val="28"/>
                <w:szCs w:val="28"/>
                <w:lang w:val="uk-UA" w:eastAsia="zh-CN" w:bidi="ar"/>
              </w:rPr>
              <w:t>ходів</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-33.922</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-33.586</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-35.466</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-24.609</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363"/>
        </w:trPr>
        <w:tc>
          <w:tcPr>
            <w:tcW w:w="9583"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b/>
                <w:bCs/>
                <w:color w:val="000000"/>
                <w:sz w:val="28"/>
                <w:szCs w:val="28"/>
                <w:lang w:val="uk-UA" w:eastAsia="zh-CN" w:bidi="ar"/>
              </w:rPr>
              <w:t>Ірландія</w:t>
            </w:r>
          </w:p>
        </w:tc>
      </w:tr>
      <w:tr w:rsidR="00E63F46" w:rsidRPr="002114C8">
        <w:trPr>
          <w:trHeight w:val="703"/>
        </w:trPr>
        <w:tc>
          <w:tcPr>
            <w:tcW w:w="3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b/>
                <w:bCs/>
                <w:color w:val="000000"/>
                <w:sz w:val="28"/>
                <w:szCs w:val="28"/>
                <w:lang w:val="uk-UA"/>
              </w:rPr>
            </w:pPr>
            <w:r w:rsidRPr="002114C8">
              <w:rPr>
                <w:rFonts w:ascii="Times New Roman Regular" w:eastAsia="Times New Roman Regular" w:hAnsi="Times New Roman Regular" w:cs="Times New Roman Regular"/>
                <w:b/>
                <w:bCs/>
                <w:color w:val="000000"/>
                <w:sz w:val="28"/>
                <w:szCs w:val="28"/>
                <w:lang w:val="uk-UA" w:eastAsia="zh-CN" w:bidi="ar"/>
              </w:rPr>
              <w:t>Рахунок поточних операцій</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24.169</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-44.933</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-27.411</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72.220</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363"/>
        </w:trPr>
        <w:tc>
          <w:tcPr>
            <w:tcW w:w="30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Торговельний баланс</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129.048</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133.368</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162.352</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197.982</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363"/>
        </w:trPr>
        <w:tc>
          <w:tcPr>
            <w:tcW w:w="30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Баланс послуг</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-18.569</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-84.034</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-80.236</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1.501</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703"/>
        </w:trPr>
        <w:tc>
          <w:tcPr>
            <w:tcW w:w="3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Рахунок первинних д</w:t>
            </w:r>
            <w:r w:rsidRPr="002114C8">
              <w:rPr>
                <w:rFonts w:ascii="Times New Roman Regular" w:eastAsia="Times New Roman Regular" w:hAnsi="Times New Roman Regular" w:cs="Times New Roman Regular"/>
                <w:color w:val="000000"/>
                <w:sz w:val="28"/>
                <w:szCs w:val="28"/>
                <w:lang w:val="uk-UA" w:eastAsia="zh-CN" w:bidi="ar"/>
              </w:rPr>
              <w:t>о</w:t>
            </w:r>
            <w:r w:rsidRPr="002114C8">
              <w:rPr>
                <w:rFonts w:ascii="Times New Roman Regular" w:eastAsia="Times New Roman Regular" w:hAnsi="Times New Roman Regular" w:cs="Times New Roman Regular"/>
                <w:color w:val="000000"/>
                <w:sz w:val="28"/>
                <w:szCs w:val="28"/>
                <w:lang w:val="uk-UA" w:eastAsia="zh-CN" w:bidi="ar"/>
              </w:rPr>
              <w:t>ходів</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-81.899</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-90.260</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-105.215</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-122.089</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r w:rsidR="00E63F46" w:rsidRPr="002114C8">
        <w:trPr>
          <w:trHeight w:val="726"/>
        </w:trPr>
        <w:tc>
          <w:tcPr>
            <w:tcW w:w="30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Рахунок вторинних д</w:t>
            </w:r>
            <w:r w:rsidRPr="002114C8">
              <w:rPr>
                <w:rFonts w:ascii="Times New Roman Regular" w:eastAsia="Times New Roman Regular" w:hAnsi="Times New Roman Regular" w:cs="Times New Roman Regular"/>
                <w:color w:val="000000"/>
                <w:sz w:val="28"/>
                <w:szCs w:val="28"/>
                <w:lang w:val="uk-UA" w:eastAsia="zh-CN" w:bidi="ar"/>
              </w:rPr>
              <w:t>о</w:t>
            </w:r>
            <w:r w:rsidRPr="002114C8">
              <w:rPr>
                <w:rFonts w:ascii="Times New Roman Regular" w:eastAsia="Times New Roman Regular" w:hAnsi="Times New Roman Regular" w:cs="Times New Roman Regular"/>
                <w:color w:val="000000"/>
                <w:sz w:val="28"/>
                <w:szCs w:val="28"/>
                <w:lang w:val="uk-UA" w:eastAsia="zh-CN" w:bidi="ar"/>
              </w:rPr>
              <w:t>ходів</w:t>
            </w:r>
          </w:p>
        </w:tc>
        <w:tc>
          <w:tcPr>
            <w:tcW w:w="15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-4.409</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-4.007</w:t>
            </w:r>
          </w:p>
        </w:tc>
        <w:tc>
          <w:tcPr>
            <w:tcW w:w="125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-4.311</w:t>
            </w:r>
          </w:p>
        </w:tc>
        <w:tc>
          <w:tcPr>
            <w:tcW w:w="12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eastAsia="zh-CN" w:bidi="ar"/>
              </w:rPr>
            </w:pPr>
            <w:r w:rsidRPr="002114C8">
              <w:rPr>
                <w:rFonts w:ascii="Times New Roman Regular" w:eastAsia="Times New Roman Regular" w:hAnsi="Times New Roman Regular" w:cs="Times New Roman Regular"/>
                <w:color w:val="000000"/>
                <w:sz w:val="28"/>
                <w:szCs w:val="28"/>
                <w:lang w:val="uk-UA" w:eastAsia="zh-CN" w:bidi="ar"/>
              </w:rPr>
              <w:t>-5.173</w:t>
            </w:r>
          </w:p>
        </w:tc>
        <w:tc>
          <w:tcPr>
            <w:tcW w:w="117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line="240" w:lineRule="auto"/>
              <w:jc w:val="center"/>
              <w:textAlignment w:val="center"/>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w:t>
            </w:r>
          </w:p>
        </w:tc>
      </w:tr>
    </w:tbl>
    <w:p w:rsidR="00E63F46" w:rsidRPr="002114C8" w:rsidRDefault="00912E07" w:rsidP="00465D9D">
      <w:pPr>
        <w:spacing w:afterLines="100" w:after="240" w:line="360" w:lineRule="auto"/>
        <w:ind w:right="58"/>
        <w:jc w:val="both"/>
        <w:rPr>
          <w:rFonts w:ascii="Times New Roman" w:hAnsi="Times New Roman"/>
          <w:sz w:val="28"/>
          <w:szCs w:val="28"/>
          <w:lang w:val="uk-UA"/>
        </w:rPr>
      </w:pPr>
      <w:r w:rsidRPr="002114C8">
        <w:rPr>
          <w:rFonts w:ascii="Times New Roman" w:hAnsi="Times New Roman"/>
          <w:sz w:val="28"/>
          <w:szCs w:val="28"/>
          <w:lang w:val="uk-UA"/>
        </w:rPr>
        <w:t>Джерело: складено автором на основі [11]</w:t>
      </w:r>
    </w:p>
    <w:p w:rsidR="00E63F46" w:rsidRPr="002114C8" w:rsidRDefault="00912E07" w:rsidP="00465D9D">
      <w:pPr>
        <w:spacing w:afterLines="100" w:after="240" w:line="360" w:lineRule="auto"/>
        <w:ind w:right="58"/>
        <w:jc w:val="both"/>
        <w:rPr>
          <w:rFonts w:ascii="Times New Roman" w:hAnsi="Times New Roman"/>
          <w:sz w:val="28"/>
          <w:szCs w:val="28"/>
          <w:lang w:val="uk-UA"/>
        </w:rPr>
      </w:pPr>
      <w:r w:rsidRPr="002114C8">
        <w:rPr>
          <w:rFonts w:ascii="Times New Roman" w:hAnsi="Times New Roman"/>
          <w:sz w:val="28"/>
          <w:szCs w:val="28"/>
          <w:lang w:val="uk-UA"/>
        </w:rPr>
        <w:tab/>
        <w:t>Розглянемо докладніше кожну окрему статтю рахунку поточних опер</w:t>
      </w:r>
      <w:r w:rsidRPr="002114C8">
        <w:rPr>
          <w:rFonts w:ascii="Times New Roman" w:hAnsi="Times New Roman"/>
          <w:sz w:val="28"/>
          <w:szCs w:val="28"/>
          <w:lang w:val="uk-UA"/>
        </w:rPr>
        <w:t>а</w:t>
      </w:r>
      <w:r w:rsidRPr="002114C8">
        <w:rPr>
          <w:rFonts w:ascii="Times New Roman" w:hAnsi="Times New Roman"/>
          <w:sz w:val="28"/>
          <w:szCs w:val="28"/>
          <w:lang w:val="uk-UA"/>
        </w:rPr>
        <w:t>цій. Велика Британія є безперечним імпортером товарів, тоді як Ірландія пер</w:t>
      </w:r>
      <w:r w:rsidRPr="002114C8">
        <w:rPr>
          <w:rFonts w:ascii="Times New Roman" w:hAnsi="Times New Roman"/>
          <w:sz w:val="28"/>
          <w:szCs w:val="28"/>
          <w:lang w:val="uk-UA"/>
        </w:rPr>
        <w:t>е</w:t>
      </w:r>
      <w:r w:rsidRPr="002114C8">
        <w:rPr>
          <w:rFonts w:ascii="Times New Roman" w:hAnsi="Times New Roman"/>
          <w:sz w:val="28"/>
          <w:szCs w:val="28"/>
          <w:lang w:val="uk-UA"/>
        </w:rPr>
        <w:t xml:space="preserve">важно експортує товари (див.рис. </w:t>
      </w:r>
      <w:r w:rsidR="002114C8">
        <w:rPr>
          <w:rFonts w:ascii="Times New Roman" w:hAnsi="Times New Roman"/>
          <w:sz w:val="28"/>
          <w:szCs w:val="28"/>
          <w:lang w:val="uk-UA"/>
        </w:rPr>
        <w:t>2.1</w:t>
      </w:r>
      <w:r w:rsidRPr="002114C8">
        <w:rPr>
          <w:rFonts w:ascii="Times New Roman" w:hAnsi="Times New Roman"/>
          <w:sz w:val="28"/>
          <w:szCs w:val="28"/>
          <w:lang w:val="uk-UA"/>
        </w:rPr>
        <w:t xml:space="preserve">). </w:t>
      </w:r>
    </w:p>
    <w:p w:rsidR="00E63F46" w:rsidRPr="002114C8" w:rsidRDefault="00912E07">
      <w:pPr>
        <w:spacing w:after="0" w:line="360" w:lineRule="auto"/>
        <w:jc w:val="center"/>
        <w:rPr>
          <w:rFonts w:ascii="Times New Roman" w:eastAsia="SimSun" w:hAnsi="Times New Roman" w:cs="Times New Roman"/>
          <w:color w:val="000000"/>
          <w:sz w:val="28"/>
          <w:szCs w:val="28"/>
          <w:lang w:val="uk-UA" w:eastAsia="zh-CN" w:bidi="ar"/>
        </w:rPr>
      </w:pPr>
      <w:r w:rsidRPr="002114C8">
        <w:rPr>
          <w:noProof/>
        </w:rPr>
        <w:lastRenderedPageBreak/>
        <w:drawing>
          <wp:inline distT="0" distB="0" distL="114300" distR="114300" wp14:anchorId="68D4E195" wp14:editId="49DEF4B5">
            <wp:extent cx="6080125" cy="3476625"/>
            <wp:effectExtent l="6350" t="6350" r="9525" b="22225"/>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63F46" w:rsidRPr="002114C8" w:rsidRDefault="002114C8">
      <w:pPr>
        <w:spacing w:after="0" w:line="360" w:lineRule="auto"/>
        <w:ind w:firstLine="708"/>
        <w:jc w:val="both"/>
        <w:rPr>
          <w:rFonts w:ascii="Times New Roman" w:hAnsi="Times New Roman"/>
          <w:sz w:val="28"/>
          <w:szCs w:val="28"/>
          <w:lang w:val="uk-UA"/>
        </w:rPr>
      </w:pPr>
      <w:r>
        <w:rPr>
          <w:rFonts w:ascii="Times New Roman" w:eastAsia="SimSun" w:hAnsi="Times New Roman" w:cs="Times New Roman"/>
          <w:color w:val="000000"/>
          <w:sz w:val="28"/>
          <w:szCs w:val="28"/>
          <w:lang w:val="uk-UA" w:eastAsia="zh-CN" w:bidi="ar"/>
        </w:rPr>
        <w:t>Рис. 2.1</w:t>
      </w:r>
      <w:r w:rsidR="00912E07" w:rsidRPr="002114C8">
        <w:rPr>
          <w:rFonts w:ascii="Times New Roman" w:eastAsia="SimSun" w:hAnsi="Times New Roman" w:cs="Times New Roman"/>
          <w:color w:val="000000"/>
          <w:sz w:val="28"/>
          <w:szCs w:val="28"/>
          <w:lang w:val="uk-UA" w:eastAsia="zh-CN" w:bidi="ar"/>
        </w:rPr>
        <w:t xml:space="preserve"> Складові торговельного балансу Великої Британії та Ірландії протягом 2018-2021, млрд дол.США</w:t>
      </w:r>
    </w:p>
    <w:p w:rsidR="00E63F46" w:rsidRPr="002114C8" w:rsidRDefault="00912E07" w:rsidP="00465D9D">
      <w:pPr>
        <w:spacing w:afterLines="100" w:after="240" w:line="360" w:lineRule="auto"/>
        <w:ind w:right="58" w:firstLine="706"/>
        <w:jc w:val="both"/>
        <w:rPr>
          <w:rFonts w:ascii="Times New Roman" w:hAnsi="Times New Roman"/>
          <w:sz w:val="28"/>
          <w:szCs w:val="28"/>
          <w:lang w:val="uk-UA"/>
        </w:rPr>
      </w:pPr>
      <w:r w:rsidRPr="002114C8">
        <w:rPr>
          <w:rFonts w:ascii="Times New Roman" w:hAnsi="Times New Roman"/>
          <w:sz w:val="28"/>
          <w:szCs w:val="28"/>
          <w:lang w:val="uk-UA"/>
        </w:rPr>
        <w:t>Джерело: складено автором на основі [11]</w:t>
      </w:r>
    </w:p>
    <w:p w:rsidR="00E63F46" w:rsidRPr="002114C8" w:rsidRDefault="002114C8">
      <w:pPr>
        <w:spacing w:after="0" w:line="360" w:lineRule="auto"/>
        <w:ind w:right="58" w:firstLine="706"/>
        <w:jc w:val="both"/>
        <w:rPr>
          <w:rFonts w:ascii="Times New Roman" w:hAnsi="Times New Roman" w:cs="Times New Roman"/>
          <w:sz w:val="28"/>
          <w:szCs w:val="28"/>
          <w:lang w:val="uk-UA"/>
        </w:rPr>
      </w:pPr>
      <w:r>
        <w:rPr>
          <w:rFonts w:ascii="Times New Roman" w:hAnsi="Times New Roman"/>
          <w:sz w:val="28"/>
          <w:szCs w:val="28"/>
          <w:lang w:val="uk-UA"/>
        </w:rPr>
        <w:t xml:space="preserve">У рис. 2.1 </w:t>
      </w:r>
      <w:r w:rsidR="00912E07" w:rsidRPr="002114C8">
        <w:rPr>
          <w:rFonts w:ascii="Times New Roman" w:hAnsi="Times New Roman"/>
          <w:sz w:val="28"/>
          <w:szCs w:val="28"/>
          <w:lang w:val="uk-UA"/>
        </w:rPr>
        <w:t>представлені складові торговельного балансу обох країн. Ек</w:t>
      </w:r>
      <w:r w:rsidR="00912E07" w:rsidRPr="002114C8">
        <w:rPr>
          <w:rFonts w:ascii="Times New Roman" w:hAnsi="Times New Roman"/>
          <w:sz w:val="28"/>
          <w:szCs w:val="28"/>
          <w:lang w:val="uk-UA"/>
        </w:rPr>
        <w:t>с</w:t>
      </w:r>
      <w:r w:rsidR="00912E07" w:rsidRPr="002114C8">
        <w:rPr>
          <w:rFonts w:ascii="Times New Roman" w:hAnsi="Times New Roman"/>
          <w:sz w:val="28"/>
          <w:szCs w:val="28"/>
          <w:lang w:val="uk-UA"/>
        </w:rPr>
        <w:t>порт та імпорт Великої Британії протягом 2018-2021 рр. коливались не більше ніж на 10% у середньому. За даними Світової організації  торгівлі (надалі - СОТ), переважно протягом досліджуваного періоду основу британського ек</w:t>
      </w:r>
      <w:r w:rsidR="00912E07" w:rsidRPr="002114C8">
        <w:rPr>
          <w:rFonts w:ascii="Times New Roman" w:hAnsi="Times New Roman"/>
          <w:sz w:val="28"/>
          <w:szCs w:val="28"/>
          <w:lang w:val="uk-UA"/>
        </w:rPr>
        <w:t>с</w:t>
      </w:r>
      <w:r w:rsidR="00912E07" w:rsidRPr="002114C8">
        <w:rPr>
          <w:rFonts w:ascii="Times New Roman" w:hAnsi="Times New Roman"/>
          <w:sz w:val="28"/>
          <w:szCs w:val="28"/>
          <w:lang w:val="uk-UA"/>
        </w:rPr>
        <w:t>порту складали легкові автомобілі, які були заміщені золотом у 2021 році. На другому місці у 2018 та 2020 рр. опинялись золото та турбореактивні та ту</w:t>
      </w:r>
      <w:r w:rsidR="00912E07" w:rsidRPr="002114C8">
        <w:rPr>
          <w:rFonts w:ascii="Times New Roman" w:hAnsi="Times New Roman"/>
          <w:sz w:val="28"/>
          <w:szCs w:val="28"/>
          <w:lang w:val="uk-UA"/>
        </w:rPr>
        <w:t>р</w:t>
      </w:r>
      <w:r w:rsidR="00912E07" w:rsidRPr="002114C8">
        <w:rPr>
          <w:rFonts w:ascii="Times New Roman" w:hAnsi="Times New Roman"/>
          <w:sz w:val="28"/>
          <w:szCs w:val="28"/>
          <w:lang w:val="uk-UA"/>
        </w:rPr>
        <w:t>богвинтові  двигуни  у 2019 році. У 2018 році легкові автомобілі склали 41,99 млрд дол.США експорту, тоді як у 2019 та 2020 році ця сума скоротилась на 38,58 та 26,57 млрд дол.США відповідно через зменшення торговельної акт</w:t>
      </w:r>
      <w:r w:rsidR="00912E07" w:rsidRPr="002114C8">
        <w:rPr>
          <w:rFonts w:ascii="Times New Roman" w:hAnsi="Times New Roman"/>
          <w:sz w:val="28"/>
          <w:szCs w:val="28"/>
          <w:lang w:val="uk-UA"/>
        </w:rPr>
        <w:t>и</w:t>
      </w:r>
      <w:r w:rsidR="00912E07" w:rsidRPr="002114C8">
        <w:rPr>
          <w:rFonts w:ascii="Times New Roman" w:hAnsi="Times New Roman"/>
          <w:sz w:val="28"/>
          <w:szCs w:val="28"/>
          <w:lang w:val="uk-UA"/>
        </w:rPr>
        <w:t>вності через СOVID-19  [12, 13, 14, 15, с.380]. Після відновлення темпів мі</w:t>
      </w:r>
      <w:r w:rsidR="00912E07" w:rsidRPr="002114C8">
        <w:rPr>
          <w:rFonts w:ascii="Times New Roman" w:hAnsi="Times New Roman"/>
          <w:sz w:val="28"/>
          <w:szCs w:val="28"/>
          <w:lang w:val="uk-UA"/>
        </w:rPr>
        <w:t>ж</w:t>
      </w:r>
      <w:r w:rsidR="00912E07" w:rsidRPr="002114C8">
        <w:rPr>
          <w:rFonts w:ascii="Times New Roman" w:hAnsi="Times New Roman"/>
          <w:sz w:val="28"/>
          <w:szCs w:val="28"/>
          <w:lang w:val="uk-UA"/>
        </w:rPr>
        <w:t>народної торгівлі, у 2021 році на першому місці опинилось золото з показн</w:t>
      </w:r>
      <w:r w:rsidR="00912E07" w:rsidRPr="002114C8">
        <w:rPr>
          <w:rFonts w:ascii="Times New Roman" w:hAnsi="Times New Roman"/>
          <w:sz w:val="28"/>
          <w:szCs w:val="28"/>
          <w:lang w:val="uk-UA"/>
        </w:rPr>
        <w:t>и</w:t>
      </w:r>
      <w:r w:rsidR="00912E07" w:rsidRPr="002114C8">
        <w:rPr>
          <w:rFonts w:ascii="Times New Roman" w:hAnsi="Times New Roman"/>
          <w:sz w:val="28"/>
          <w:szCs w:val="28"/>
          <w:lang w:val="uk-UA"/>
        </w:rPr>
        <w:t>ком у 41,43 млрд дол.США. На вершині списку товарів, які імпортуються, т</w:t>
      </w:r>
      <w:r w:rsidR="00912E07" w:rsidRPr="002114C8">
        <w:rPr>
          <w:rFonts w:ascii="Times New Roman" w:hAnsi="Times New Roman"/>
          <w:sz w:val="28"/>
          <w:szCs w:val="28"/>
          <w:lang w:val="uk-UA"/>
        </w:rPr>
        <w:t>а</w:t>
      </w:r>
      <w:r w:rsidR="00912E07" w:rsidRPr="002114C8">
        <w:rPr>
          <w:rFonts w:ascii="Times New Roman" w:hAnsi="Times New Roman"/>
          <w:sz w:val="28"/>
          <w:szCs w:val="28"/>
          <w:lang w:val="uk-UA"/>
        </w:rPr>
        <w:t>кож опинились легкові автомобілі у 2018 році, однак від початку 2019 року першість посіло золото. Максимум було досягнуто у 2020 році, тоді імпорт золота склав 88,25 млрд.дол.США, однак вже у 2021 році цей показник зниз</w:t>
      </w:r>
      <w:r w:rsidR="00912E07" w:rsidRPr="002114C8">
        <w:rPr>
          <w:rFonts w:ascii="Times New Roman" w:hAnsi="Times New Roman"/>
          <w:sz w:val="28"/>
          <w:szCs w:val="28"/>
          <w:lang w:val="uk-UA"/>
        </w:rPr>
        <w:t>и</w:t>
      </w:r>
      <w:r w:rsidR="00912E07" w:rsidRPr="002114C8">
        <w:rPr>
          <w:rFonts w:ascii="Times New Roman" w:hAnsi="Times New Roman"/>
          <w:sz w:val="28"/>
          <w:szCs w:val="28"/>
          <w:lang w:val="uk-UA"/>
        </w:rPr>
        <w:lastRenderedPageBreak/>
        <w:t>вся до 53,72 млрд дол.США. Країнами-імпортерами товарів Сполученого к</w:t>
      </w:r>
      <w:r w:rsidR="00912E07" w:rsidRPr="002114C8">
        <w:rPr>
          <w:rFonts w:ascii="Times New Roman" w:hAnsi="Times New Roman"/>
          <w:sz w:val="28"/>
          <w:szCs w:val="28"/>
          <w:lang w:val="uk-UA"/>
        </w:rPr>
        <w:t>о</w:t>
      </w:r>
      <w:r w:rsidR="00912E07" w:rsidRPr="002114C8">
        <w:rPr>
          <w:rFonts w:ascii="Times New Roman" w:hAnsi="Times New Roman"/>
          <w:sz w:val="28"/>
          <w:szCs w:val="28"/>
          <w:lang w:val="uk-UA"/>
        </w:rPr>
        <w:t>ролівства, попри процес виходу його з Європейського Союзу протягом 2016-2020 рр. та офіційний вихід у 2020 році, залишаються країни ЄС, протягом останніх років частка експорту, який припадав на них, коливалась від 46,2% до 44,4% у 2016 та 2021 роках відповідно. На другому місці опинились США, частка експорту складала між 15,7% до 12,7%. Розглянувши імпорт, спостер</w:t>
      </w:r>
      <w:r w:rsidR="00912E07" w:rsidRPr="002114C8">
        <w:rPr>
          <w:rFonts w:ascii="Times New Roman" w:hAnsi="Times New Roman"/>
          <w:sz w:val="28"/>
          <w:szCs w:val="28"/>
          <w:lang w:val="uk-UA"/>
        </w:rPr>
        <w:t>і</w:t>
      </w:r>
      <w:r w:rsidR="00912E07" w:rsidRPr="002114C8">
        <w:rPr>
          <w:rFonts w:ascii="Times New Roman" w:hAnsi="Times New Roman"/>
          <w:sz w:val="28"/>
          <w:szCs w:val="28"/>
          <w:lang w:val="uk-UA"/>
        </w:rPr>
        <w:t xml:space="preserve">гаємо аналогічну ситуацію  </w:t>
      </w:r>
      <w:r w:rsidR="00912E07" w:rsidRPr="002114C8">
        <w:rPr>
          <w:rFonts w:ascii="Times New Roman" w:hAnsi="Times New Roman" w:cs="Times New Roman"/>
          <w:sz w:val="28"/>
          <w:szCs w:val="28"/>
          <w:lang w:val="uk-UA"/>
        </w:rPr>
        <w:t>̶  у трійці лідерів опинились ЄС (44,6%), К</w:t>
      </w:r>
      <w:r w:rsidR="00912E07" w:rsidRPr="002114C8">
        <w:rPr>
          <w:rFonts w:ascii="Times New Roman" w:hAnsi="Times New Roman" w:cs="Times New Roman"/>
          <w:sz w:val="28"/>
          <w:szCs w:val="28"/>
          <w:lang w:val="uk-UA"/>
        </w:rPr>
        <w:t>и</w:t>
      </w:r>
      <w:r w:rsidR="00912E07" w:rsidRPr="002114C8">
        <w:rPr>
          <w:rFonts w:ascii="Times New Roman" w:hAnsi="Times New Roman" w:cs="Times New Roman"/>
          <w:sz w:val="28"/>
          <w:szCs w:val="28"/>
          <w:lang w:val="uk-UA"/>
        </w:rPr>
        <w:t xml:space="preserve">тай(13,2%) та США (8,7% ) у 2021 році. </w:t>
      </w:r>
    </w:p>
    <w:p w:rsidR="00E63F46" w:rsidRPr="002114C8" w:rsidRDefault="00912E07">
      <w:pPr>
        <w:spacing w:after="0" w:line="360" w:lineRule="auto"/>
        <w:ind w:right="57" w:firstLine="708"/>
        <w:jc w:val="both"/>
        <w:rPr>
          <w:rFonts w:ascii="Times New Roman" w:hAnsi="Times New Roman"/>
          <w:sz w:val="28"/>
          <w:szCs w:val="28"/>
          <w:lang w:val="uk-UA"/>
        </w:rPr>
      </w:pPr>
      <w:r w:rsidRPr="002114C8">
        <w:rPr>
          <w:rFonts w:ascii="Times New Roman" w:hAnsi="Times New Roman" w:cs="Times New Roman"/>
          <w:sz w:val="28"/>
          <w:szCs w:val="28"/>
          <w:lang w:val="uk-UA"/>
        </w:rPr>
        <w:t xml:space="preserve">Ірландія є чистим експортером протягом усього дослідженого періоду, показник експорту зростав від найменшого показника  ̶  249,5 млрд дол.США у 2018 році, до найбільшого  ̶  у 330,34 млрд дол.США у 2021 році.  Основу ірландського експорту протягом 2018-2021 рр. складали </w:t>
      </w:r>
      <w:r w:rsidRPr="002114C8">
        <w:rPr>
          <w:rFonts w:ascii="Times New Roman" w:hAnsi="Times New Roman"/>
          <w:sz w:val="28"/>
          <w:szCs w:val="28"/>
          <w:lang w:val="uk-UA"/>
        </w:rPr>
        <w:t xml:space="preserve">людська і тваринна </w:t>
      </w:r>
      <w:r w:rsidRPr="002114C8">
        <w:rPr>
          <w:rFonts w:ascii="Times New Roman" w:hAnsi="Times New Roman" w:cs="Times New Roman"/>
          <w:sz w:val="28"/>
          <w:szCs w:val="28"/>
          <w:lang w:val="uk-UA"/>
        </w:rPr>
        <w:t>к</w:t>
      </w:r>
      <w:r w:rsidRPr="002114C8">
        <w:rPr>
          <w:rFonts w:ascii="Times New Roman" w:hAnsi="Times New Roman"/>
          <w:sz w:val="28"/>
          <w:szCs w:val="28"/>
          <w:lang w:val="uk-UA"/>
        </w:rPr>
        <w:t>ров, частка якої коливалась від 30,6 млрд дол.США до 41,6 млрд дол.США. На другому місці опинились гетероциклічні сполуки азоту у 2018 та 2019 р</w:t>
      </w:r>
      <w:r w:rsidRPr="002114C8">
        <w:rPr>
          <w:rFonts w:ascii="Times New Roman" w:hAnsi="Times New Roman"/>
          <w:sz w:val="28"/>
          <w:szCs w:val="28"/>
          <w:lang w:val="uk-UA"/>
        </w:rPr>
        <w:t>о</w:t>
      </w:r>
      <w:r w:rsidRPr="002114C8">
        <w:rPr>
          <w:rFonts w:ascii="Times New Roman" w:hAnsi="Times New Roman"/>
          <w:sz w:val="28"/>
          <w:szCs w:val="28"/>
          <w:lang w:val="uk-UA"/>
        </w:rPr>
        <w:t>ках, які з 2020 року змінились ліками у виміряних дозах. Ірландія, як член Є</w:t>
      </w:r>
      <w:r w:rsidRPr="002114C8">
        <w:rPr>
          <w:rFonts w:ascii="Times New Roman" w:hAnsi="Times New Roman"/>
          <w:sz w:val="28"/>
          <w:szCs w:val="28"/>
          <w:lang w:val="uk-UA"/>
        </w:rPr>
        <w:t>в</w:t>
      </w:r>
      <w:r w:rsidRPr="002114C8">
        <w:rPr>
          <w:rFonts w:ascii="Times New Roman" w:hAnsi="Times New Roman"/>
          <w:sz w:val="28"/>
          <w:szCs w:val="28"/>
          <w:lang w:val="uk-UA"/>
        </w:rPr>
        <w:t>ропейського Союзу, експортує свої товари до інших країн ЄС, однак якщо у 2018 році частка цих країн склала 50,3%  в ірландському експорті, то вже у 2021 році вони склали 39,3%. Друге та третє місце займають США та  Спол</w:t>
      </w:r>
      <w:r w:rsidRPr="002114C8">
        <w:rPr>
          <w:rFonts w:ascii="Times New Roman" w:hAnsi="Times New Roman"/>
          <w:sz w:val="28"/>
          <w:szCs w:val="28"/>
          <w:lang w:val="uk-UA"/>
        </w:rPr>
        <w:t>у</w:t>
      </w:r>
      <w:r w:rsidRPr="002114C8">
        <w:rPr>
          <w:rFonts w:ascii="Times New Roman" w:hAnsi="Times New Roman"/>
          <w:sz w:val="28"/>
          <w:szCs w:val="28"/>
          <w:lang w:val="uk-UA"/>
        </w:rPr>
        <w:t>чене Королівство з частками 30,9% та 9% у 2021 році відповідно. Основу і</w:t>
      </w:r>
      <w:r w:rsidRPr="002114C8">
        <w:rPr>
          <w:rFonts w:ascii="Times New Roman" w:hAnsi="Times New Roman"/>
          <w:sz w:val="28"/>
          <w:szCs w:val="28"/>
          <w:lang w:val="uk-UA"/>
        </w:rPr>
        <w:t>р</w:t>
      </w:r>
      <w:r w:rsidRPr="002114C8">
        <w:rPr>
          <w:rFonts w:ascii="Times New Roman" w:hAnsi="Times New Roman"/>
          <w:sz w:val="28"/>
          <w:szCs w:val="28"/>
          <w:lang w:val="uk-UA"/>
        </w:rPr>
        <w:t>ландського імпорту склали повітряні судна, вартість імпорту яких знизились з 24,07 млрд дол.США до 14,7 млрд дол.США. Країнами походження імпорту Ірландії були у 2021 році також ЄС, Сполучене Королівство та США з час</w:t>
      </w:r>
      <w:r w:rsidRPr="002114C8">
        <w:rPr>
          <w:rFonts w:ascii="Times New Roman" w:hAnsi="Times New Roman"/>
          <w:sz w:val="28"/>
          <w:szCs w:val="28"/>
          <w:lang w:val="uk-UA"/>
        </w:rPr>
        <w:t>т</w:t>
      </w:r>
      <w:r w:rsidRPr="002114C8">
        <w:rPr>
          <w:rFonts w:ascii="Times New Roman" w:hAnsi="Times New Roman"/>
          <w:sz w:val="28"/>
          <w:szCs w:val="28"/>
          <w:lang w:val="uk-UA"/>
        </w:rPr>
        <w:t>ками у 33,4%, 22,9% та 15,1% відповідно [12, 13, 14, 15, с.178].</w:t>
      </w:r>
    </w:p>
    <w:p w:rsidR="00E63F46" w:rsidRPr="002114C8" w:rsidRDefault="00912E07">
      <w:pPr>
        <w:spacing w:after="0" w:line="360" w:lineRule="auto"/>
        <w:ind w:right="57"/>
        <w:jc w:val="both"/>
        <w:rPr>
          <w:rFonts w:ascii="Times New Roman" w:hAnsi="Times New Roman"/>
          <w:sz w:val="28"/>
          <w:szCs w:val="28"/>
          <w:lang w:val="uk-UA"/>
        </w:rPr>
      </w:pPr>
      <w:r w:rsidRPr="002114C8">
        <w:rPr>
          <w:rFonts w:ascii="Times New Roman" w:hAnsi="Times New Roman"/>
          <w:sz w:val="28"/>
          <w:szCs w:val="28"/>
          <w:lang w:val="uk-UA"/>
        </w:rPr>
        <w:tab/>
        <w:t>Порівнявши баланс послуг, можемо стверджувати, що ситуація прот</w:t>
      </w:r>
      <w:r w:rsidRPr="002114C8">
        <w:rPr>
          <w:rFonts w:ascii="Times New Roman" w:hAnsi="Times New Roman"/>
          <w:sz w:val="28"/>
          <w:szCs w:val="28"/>
          <w:lang w:val="uk-UA"/>
        </w:rPr>
        <w:t>и</w:t>
      </w:r>
      <w:r w:rsidRPr="002114C8">
        <w:rPr>
          <w:rFonts w:ascii="Times New Roman" w:hAnsi="Times New Roman"/>
          <w:sz w:val="28"/>
          <w:szCs w:val="28"/>
          <w:lang w:val="uk-UA"/>
        </w:rPr>
        <w:t xml:space="preserve">лежна до торгівлі товарами, оскільки Велика Британія переважно експортує послуги, а Ірландія навпаки  </w:t>
      </w:r>
      <w:r w:rsidRPr="002114C8">
        <w:rPr>
          <w:rFonts w:ascii="Times New Roman" w:hAnsi="Times New Roman" w:cs="Times New Roman"/>
          <w:sz w:val="28"/>
          <w:szCs w:val="28"/>
          <w:lang w:val="uk-UA"/>
        </w:rPr>
        <w:t>̶  імпортує, виключенням для неї став ли</w:t>
      </w:r>
      <w:r w:rsidR="002114C8">
        <w:rPr>
          <w:rFonts w:ascii="Times New Roman" w:hAnsi="Times New Roman" w:cs="Times New Roman"/>
          <w:sz w:val="28"/>
          <w:szCs w:val="28"/>
          <w:lang w:val="uk-UA"/>
        </w:rPr>
        <w:t>ше 2021 рік (див. рис. 2.</w:t>
      </w:r>
      <w:r w:rsidRPr="002114C8">
        <w:rPr>
          <w:rFonts w:ascii="Times New Roman" w:hAnsi="Times New Roman" w:cs="Times New Roman"/>
          <w:sz w:val="28"/>
          <w:szCs w:val="28"/>
          <w:lang w:val="uk-UA"/>
        </w:rPr>
        <w:t>2).</w:t>
      </w:r>
    </w:p>
    <w:p w:rsidR="00E63F46" w:rsidRPr="002114C8" w:rsidRDefault="00912E07">
      <w:pPr>
        <w:spacing w:after="0" w:line="360" w:lineRule="auto"/>
        <w:ind w:right="57"/>
        <w:jc w:val="both"/>
        <w:rPr>
          <w:rFonts w:ascii="Times New Roman" w:hAnsi="Times New Roman" w:cs="Times New Roman"/>
          <w:sz w:val="28"/>
          <w:szCs w:val="28"/>
          <w:lang w:val="uk-UA"/>
        </w:rPr>
      </w:pPr>
      <w:r w:rsidRPr="002114C8">
        <w:rPr>
          <w:noProof/>
        </w:rPr>
        <w:lastRenderedPageBreak/>
        <w:drawing>
          <wp:inline distT="0" distB="0" distL="114300" distR="114300" wp14:anchorId="095EACF5" wp14:editId="101DE762">
            <wp:extent cx="6038215" cy="3459480"/>
            <wp:effectExtent l="6350" t="6350" r="26035" b="1397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63F46" w:rsidRPr="002114C8" w:rsidRDefault="002114C8">
      <w:pPr>
        <w:tabs>
          <w:tab w:val="left" w:pos="440"/>
        </w:tabs>
        <w:spacing w:after="0" w:line="360" w:lineRule="auto"/>
        <w:ind w:firstLine="440"/>
        <w:jc w:val="both"/>
        <w:rPr>
          <w:rFonts w:ascii="Times New Roman" w:hAnsi="Times New Roman" w:cs="Times New Roman"/>
          <w:sz w:val="28"/>
          <w:szCs w:val="28"/>
          <w:lang w:val="uk-UA"/>
        </w:rPr>
      </w:pPr>
      <w:r>
        <w:rPr>
          <w:rFonts w:ascii="Times New Roman" w:hAnsi="Times New Roman" w:cs="Times New Roman"/>
          <w:sz w:val="28"/>
          <w:szCs w:val="28"/>
          <w:lang w:val="uk-UA"/>
        </w:rPr>
        <w:tab/>
        <w:t>Рис. 2.</w:t>
      </w:r>
      <w:r w:rsidR="00912E07" w:rsidRPr="002114C8">
        <w:rPr>
          <w:rFonts w:ascii="Times New Roman" w:hAnsi="Times New Roman" w:cs="Times New Roman"/>
          <w:sz w:val="28"/>
          <w:szCs w:val="28"/>
          <w:lang w:val="uk-UA"/>
        </w:rPr>
        <w:t xml:space="preserve">2. </w:t>
      </w:r>
      <w:r w:rsidR="00912E07" w:rsidRPr="002114C8">
        <w:rPr>
          <w:rFonts w:ascii="Times New Roman" w:eastAsia="SimSun" w:hAnsi="Times New Roman" w:cs="Times New Roman"/>
          <w:color w:val="000000"/>
          <w:sz w:val="28"/>
          <w:szCs w:val="28"/>
          <w:lang w:val="uk-UA" w:eastAsia="zh-CN" w:bidi="ar"/>
        </w:rPr>
        <w:t>Складові балансу послуг Великої Британії та Ірландії протягом 2018-2021, млрд дол.США</w:t>
      </w:r>
    </w:p>
    <w:p w:rsidR="00E63F46" w:rsidRPr="002114C8" w:rsidRDefault="00912E07" w:rsidP="00465D9D">
      <w:pPr>
        <w:spacing w:afterLines="100" w:after="240" w:line="360" w:lineRule="auto"/>
        <w:ind w:right="58"/>
        <w:jc w:val="both"/>
        <w:rPr>
          <w:rFonts w:ascii="Times New Roman" w:hAnsi="Times New Roman"/>
          <w:sz w:val="28"/>
          <w:szCs w:val="28"/>
          <w:lang w:val="uk-UA"/>
        </w:rPr>
      </w:pPr>
      <w:r w:rsidRPr="002114C8">
        <w:rPr>
          <w:rFonts w:ascii="Times New Roman" w:hAnsi="Times New Roman"/>
          <w:sz w:val="28"/>
          <w:szCs w:val="28"/>
          <w:lang w:val="uk-UA"/>
        </w:rPr>
        <w:tab/>
        <w:t>Джерело: складено автором на основі [11]</w:t>
      </w:r>
    </w:p>
    <w:p w:rsidR="00E63F46" w:rsidRPr="002114C8" w:rsidRDefault="002114C8">
      <w:pPr>
        <w:spacing w:after="0" w:line="360" w:lineRule="auto"/>
        <w:ind w:right="58"/>
        <w:jc w:val="both"/>
        <w:rPr>
          <w:rFonts w:ascii="Times New Roman" w:hAnsi="Times New Roman" w:cs="Times New Roman"/>
          <w:sz w:val="28"/>
          <w:szCs w:val="28"/>
          <w:lang w:val="uk-UA"/>
        </w:rPr>
      </w:pPr>
      <w:r>
        <w:rPr>
          <w:rFonts w:ascii="Times New Roman" w:hAnsi="Times New Roman"/>
          <w:sz w:val="28"/>
          <w:szCs w:val="28"/>
          <w:lang w:val="uk-UA"/>
        </w:rPr>
        <w:tab/>
        <w:t>Відповідно до рис. 2.</w:t>
      </w:r>
      <w:r w:rsidR="00912E07" w:rsidRPr="002114C8">
        <w:rPr>
          <w:rFonts w:ascii="Times New Roman" w:hAnsi="Times New Roman"/>
          <w:sz w:val="28"/>
          <w:szCs w:val="28"/>
          <w:lang w:val="uk-UA"/>
        </w:rPr>
        <w:t>2, експорт послуг Великої Британії в середньому вдвічі перевищує імпорт, пік експорту прийшовся на 2021 рік і склав            454 млрд дол.США, тоді як пік імпорту припав на 2019 рік зі значенням   285,6 млрд дол.США. Протягом 2018-2021 рр. основну частину експорту складали інші комерційні послуги, Сполучене Королівство збільшувало час</w:t>
      </w:r>
      <w:r w:rsidR="00912E07" w:rsidRPr="002114C8">
        <w:rPr>
          <w:rFonts w:ascii="Times New Roman" w:hAnsi="Times New Roman"/>
          <w:sz w:val="28"/>
          <w:szCs w:val="28"/>
          <w:lang w:val="uk-UA"/>
        </w:rPr>
        <w:t>т</w:t>
      </w:r>
      <w:r w:rsidR="00912E07" w:rsidRPr="002114C8">
        <w:rPr>
          <w:rFonts w:ascii="Times New Roman" w:hAnsi="Times New Roman"/>
          <w:sz w:val="28"/>
          <w:szCs w:val="28"/>
          <w:lang w:val="uk-UA"/>
        </w:rPr>
        <w:t xml:space="preserve">ку комерційних послуг від 73,3% у 2018 році до 87% у 2021 році. У 2018 році 39,5% складали інші бізнес послуги, а 30,4%  </w:t>
      </w:r>
      <w:r w:rsidR="00912E07" w:rsidRPr="002114C8">
        <w:rPr>
          <w:rFonts w:ascii="Times New Roman" w:hAnsi="Times New Roman" w:cs="Times New Roman"/>
          <w:sz w:val="28"/>
          <w:szCs w:val="28"/>
          <w:lang w:val="uk-UA"/>
        </w:rPr>
        <w:t>̶  фінансові послуги. Порівню</w:t>
      </w:r>
      <w:r w:rsidR="00912E07" w:rsidRPr="002114C8">
        <w:rPr>
          <w:rFonts w:ascii="Times New Roman" w:hAnsi="Times New Roman" w:cs="Times New Roman"/>
          <w:sz w:val="28"/>
          <w:szCs w:val="28"/>
          <w:lang w:val="uk-UA"/>
        </w:rPr>
        <w:t>ю</w:t>
      </w:r>
      <w:r w:rsidR="00912E07" w:rsidRPr="002114C8">
        <w:rPr>
          <w:rFonts w:ascii="Times New Roman" w:hAnsi="Times New Roman" w:cs="Times New Roman"/>
          <w:sz w:val="28"/>
          <w:szCs w:val="28"/>
          <w:lang w:val="uk-UA"/>
        </w:rPr>
        <w:t>чи з 2021 роком, частка інших бізнес послуг збільшилась на 8%, тоді як частка фінансових послуг скоротилась на 7%. Країнами призначення експорту послуг переважно були ЄС, США та Швейцарія. З 2018 року, коли фактично вже п</w:t>
      </w:r>
      <w:r w:rsidR="00912E07" w:rsidRPr="002114C8">
        <w:rPr>
          <w:rFonts w:ascii="Times New Roman" w:hAnsi="Times New Roman" w:cs="Times New Roman"/>
          <w:sz w:val="28"/>
          <w:szCs w:val="28"/>
          <w:lang w:val="uk-UA"/>
        </w:rPr>
        <w:t>о</w:t>
      </w:r>
      <w:r w:rsidR="00912E07" w:rsidRPr="002114C8">
        <w:rPr>
          <w:rFonts w:ascii="Times New Roman" w:hAnsi="Times New Roman" w:cs="Times New Roman"/>
          <w:sz w:val="28"/>
          <w:szCs w:val="28"/>
          <w:lang w:val="uk-UA"/>
        </w:rPr>
        <w:t>чався процес Brexit, можливо простежити тренд до зменшення частки експо</w:t>
      </w:r>
      <w:r w:rsidR="00912E07" w:rsidRPr="002114C8">
        <w:rPr>
          <w:rFonts w:ascii="Times New Roman" w:hAnsi="Times New Roman" w:cs="Times New Roman"/>
          <w:sz w:val="28"/>
          <w:szCs w:val="28"/>
          <w:lang w:val="uk-UA"/>
        </w:rPr>
        <w:t>р</w:t>
      </w:r>
      <w:r w:rsidR="00912E07" w:rsidRPr="002114C8">
        <w:rPr>
          <w:rFonts w:ascii="Times New Roman" w:hAnsi="Times New Roman" w:cs="Times New Roman"/>
          <w:sz w:val="28"/>
          <w:szCs w:val="28"/>
          <w:lang w:val="uk-UA"/>
        </w:rPr>
        <w:t>ту до країн ЄС. Таким чином, у 2018 році цей показник склав 42,5%, у 2019 та 2020 році частка зменшилась на 3,5 пункти  ̶  40% та 37% відповідно. У 2021 році даний показник склав 35,6% для ЄС та 28,1% для США, що на 7,4% б</w:t>
      </w:r>
      <w:r w:rsidR="00912E07" w:rsidRPr="002114C8">
        <w:rPr>
          <w:rFonts w:ascii="Times New Roman" w:hAnsi="Times New Roman" w:cs="Times New Roman"/>
          <w:sz w:val="28"/>
          <w:szCs w:val="28"/>
          <w:lang w:val="uk-UA"/>
        </w:rPr>
        <w:t>і</w:t>
      </w:r>
      <w:r w:rsidR="00912E07" w:rsidRPr="002114C8">
        <w:rPr>
          <w:rFonts w:ascii="Times New Roman" w:hAnsi="Times New Roman" w:cs="Times New Roman"/>
          <w:sz w:val="28"/>
          <w:szCs w:val="28"/>
          <w:lang w:val="uk-UA"/>
        </w:rPr>
        <w:t>льше ніж у 2018 році. Імпортує Велика Британія переважно також інші коме</w:t>
      </w:r>
      <w:r w:rsidR="00912E07" w:rsidRPr="002114C8">
        <w:rPr>
          <w:rFonts w:ascii="Times New Roman" w:hAnsi="Times New Roman" w:cs="Times New Roman"/>
          <w:sz w:val="28"/>
          <w:szCs w:val="28"/>
          <w:lang w:val="uk-UA"/>
        </w:rPr>
        <w:t>р</w:t>
      </w:r>
      <w:r w:rsidR="00912E07" w:rsidRPr="002114C8">
        <w:rPr>
          <w:rFonts w:ascii="Times New Roman" w:hAnsi="Times New Roman" w:cs="Times New Roman"/>
          <w:sz w:val="28"/>
          <w:szCs w:val="28"/>
          <w:lang w:val="uk-UA"/>
        </w:rPr>
        <w:lastRenderedPageBreak/>
        <w:t>ційні послуги, а також послуги, пов'язанні з подорожами  ̶  76% та 10,2%  ві</w:t>
      </w:r>
      <w:r w:rsidR="00912E07" w:rsidRPr="002114C8">
        <w:rPr>
          <w:rFonts w:ascii="Times New Roman" w:hAnsi="Times New Roman" w:cs="Times New Roman"/>
          <w:sz w:val="28"/>
          <w:szCs w:val="28"/>
          <w:lang w:val="uk-UA"/>
        </w:rPr>
        <w:t>д</w:t>
      </w:r>
      <w:r w:rsidR="00912E07" w:rsidRPr="002114C8">
        <w:rPr>
          <w:rFonts w:ascii="Times New Roman" w:hAnsi="Times New Roman" w:cs="Times New Roman"/>
          <w:sz w:val="28"/>
          <w:szCs w:val="28"/>
          <w:lang w:val="uk-UA"/>
        </w:rPr>
        <w:t>повідно у 2021 році. Аналогічний тренд країн-імпортерів послуг Сполученого Королівства, як і з країнами-отримувачами. Поступово Велика Британія зм</w:t>
      </w:r>
      <w:r w:rsidR="00912E07" w:rsidRPr="002114C8">
        <w:rPr>
          <w:rFonts w:ascii="Times New Roman" w:hAnsi="Times New Roman" w:cs="Times New Roman"/>
          <w:sz w:val="28"/>
          <w:szCs w:val="28"/>
          <w:lang w:val="uk-UA"/>
        </w:rPr>
        <w:t>е</w:t>
      </w:r>
      <w:r w:rsidR="00912E07" w:rsidRPr="002114C8">
        <w:rPr>
          <w:rFonts w:ascii="Times New Roman" w:hAnsi="Times New Roman" w:cs="Times New Roman"/>
          <w:sz w:val="28"/>
          <w:szCs w:val="28"/>
          <w:lang w:val="uk-UA"/>
        </w:rPr>
        <w:t>ншила частку послуг, які імпортуються з країн ЄС. Якщо у 2018 році цей п</w:t>
      </w:r>
      <w:r w:rsidR="00912E07" w:rsidRPr="002114C8">
        <w:rPr>
          <w:rFonts w:ascii="Times New Roman" w:hAnsi="Times New Roman" w:cs="Times New Roman"/>
          <w:sz w:val="28"/>
          <w:szCs w:val="28"/>
          <w:lang w:val="uk-UA"/>
        </w:rPr>
        <w:t>о</w:t>
      </w:r>
      <w:r w:rsidR="00912E07" w:rsidRPr="002114C8">
        <w:rPr>
          <w:rFonts w:ascii="Times New Roman" w:hAnsi="Times New Roman" w:cs="Times New Roman"/>
          <w:sz w:val="28"/>
          <w:szCs w:val="28"/>
          <w:lang w:val="uk-UA"/>
        </w:rPr>
        <w:t xml:space="preserve">казник склав 50%, то вже у 2021 році  ̶  40,1%. Частка імпортованих послуг з США збільшився з 16,8% до 24,6% за досліджуваний період </w:t>
      </w:r>
      <w:r w:rsidR="00912E07" w:rsidRPr="002114C8">
        <w:rPr>
          <w:rFonts w:ascii="Times New Roman" w:hAnsi="Times New Roman"/>
          <w:sz w:val="28"/>
          <w:szCs w:val="28"/>
          <w:lang w:val="uk-UA"/>
        </w:rPr>
        <w:t>[12, 13, 14, 15, с.381].</w:t>
      </w:r>
    </w:p>
    <w:p w:rsidR="00E63F46" w:rsidRPr="002114C8" w:rsidRDefault="00912E07">
      <w:pPr>
        <w:spacing w:after="0" w:line="360" w:lineRule="auto"/>
        <w:ind w:right="57"/>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ab/>
        <w:t>Ірландія протягом 2018-2020 рр. імпортувала послуг на суму більшу за суму експортованих послуг. Однак у 2021 році країна експортувала на 0,43% послуг більше, ніж імпортувала, тому баланс послуг мав профіцит. Протягом усього досліджуваного періоду у структурі як експорту, так і імпорту перев</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жали інші комерційні послуги, які складали більше 90%. У 2021 році частка експорту склала  98,2%, а частка імпорту  ̶  95,2%. Основними комерційними послугами, які експортувались, протягом 2018-2021 рр. були інформаційно-комунікаційні технології, які зросли з 53,8% у 2018 році до 60,8% у 2021 році, на другому місці опинились бізнес послуги. Як і у випадку з товарами, осно</w:t>
      </w:r>
      <w:r w:rsidRPr="002114C8">
        <w:rPr>
          <w:rFonts w:ascii="Times New Roman" w:hAnsi="Times New Roman" w:cs="Times New Roman"/>
          <w:sz w:val="28"/>
          <w:szCs w:val="28"/>
          <w:lang w:val="uk-UA"/>
        </w:rPr>
        <w:t>в</w:t>
      </w:r>
      <w:r w:rsidRPr="002114C8">
        <w:rPr>
          <w:rFonts w:ascii="Times New Roman" w:hAnsi="Times New Roman" w:cs="Times New Roman"/>
          <w:sz w:val="28"/>
          <w:szCs w:val="28"/>
          <w:lang w:val="uk-UA"/>
        </w:rPr>
        <w:t>ними отримувачами ірландських послуг є ЄС (30,6% у 2021 році), однак др</w:t>
      </w:r>
      <w:r w:rsidRPr="002114C8">
        <w:rPr>
          <w:rFonts w:ascii="Times New Roman" w:hAnsi="Times New Roman" w:cs="Times New Roman"/>
          <w:sz w:val="28"/>
          <w:szCs w:val="28"/>
          <w:lang w:val="uk-UA"/>
        </w:rPr>
        <w:t>у</w:t>
      </w:r>
      <w:r w:rsidRPr="002114C8">
        <w:rPr>
          <w:rFonts w:ascii="Times New Roman" w:hAnsi="Times New Roman" w:cs="Times New Roman"/>
          <w:sz w:val="28"/>
          <w:szCs w:val="28"/>
          <w:lang w:val="uk-UA"/>
        </w:rPr>
        <w:t>гим найбільшим імпортером послуг, які надавала Ірландія, у 2018 та 2019 році були США, тоді як вже у 2020 та 2021 роках стало Сполучене Королівство з часткою 14,8% та 14,3% відповідно. Розглянувши країни, які надають послуги Ірландії, то бачимо значні зміни, оскільки першість у 2020 році переймають на себе США зі значенням у 39,9%, посунувши Європейський Союз на друге м</w:t>
      </w:r>
      <w:r w:rsidRPr="002114C8">
        <w:rPr>
          <w:rFonts w:ascii="Times New Roman" w:hAnsi="Times New Roman" w:cs="Times New Roman"/>
          <w:sz w:val="28"/>
          <w:szCs w:val="28"/>
          <w:lang w:val="uk-UA"/>
        </w:rPr>
        <w:t>і</w:t>
      </w:r>
      <w:r w:rsidRPr="002114C8">
        <w:rPr>
          <w:rFonts w:ascii="Times New Roman" w:hAnsi="Times New Roman" w:cs="Times New Roman"/>
          <w:sz w:val="28"/>
          <w:szCs w:val="28"/>
          <w:lang w:val="uk-UA"/>
        </w:rPr>
        <w:t xml:space="preserve">сце з часткою 13,3%. Попри зменшення частки США у складі імпорту у 2021 році на 4,9%, вони досі залишаються найбільшою країною, яка надає послуги Ірландії </w:t>
      </w:r>
      <w:r w:rsidRPr="002114C8">
        <w:rPr>
          <w:rFonts w:ascii="Times New Roman" w:hAnsi="Times New Roman"/>
          <w:sz w:val="28"/>
          <w:szCs w:val="28"/>
          <w:lang w:val="uk-UA"/>
        </w:rPr>
        <w:t>[12, 13, 14, 15, с.179]</w:t>
      </w:r>
      <w:r w:rsidRPr="002114C8">
        <w:rPr>
          <w:rFonts w:ascii="Times New Roman" w:hAnsi="Times New Roman" w:cs="Times New Roman"/>
          <w:sz w:val="28"/>
          <w:szCs w:val="28"/>
          <w:lang w:val="uk-UA"/>
        </w:rPr>
        <w:t>.</w:t>
      </w:r>
    </w:p>
    <w:p w:rsidR="00E63F46" w:rsidRPr="002114C8" w:rsidRDefault="00912E07">
      <w:pPr>
        <w:spacing w:after="0" w:line="360" w:lineRule="auto"/>
        <w:ind w:right="58"/>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ab/>
        <w:t>Рахунок п</w:t>
      </w:r>
      <w:r w:rsidRPr="002114C8">
        <w:rPr>
          <w:rFonts w:ascii="Times New Roman" w:hAnsi="Times New Roman"/>
          <w:sz w:val="28"/>
          <w:szCs w:val="28"/>
          <w:lang w:val="uk-UA"/>
        </w:rPr>
        <w:t>ервинних доходів в основному зображує грошові потоки, отримані від володіння транскордонними фінансовими активами, відомими як інвестиційний дохід. Він представляє прибутковість від британських інвест</w:t>
      </w:r>
      <w:r w:rsidRPr="002114C8">
        <w:rPr>
          <w:rFonts w:ascii="Times New Roman" w:hAnsi="Times New Roman"/>
          <w:sz w:val="28"/>
          <w:szCs w:val="28"/>
          <w:lang w:val="uk-UA"/>
        </w:rPr>
        <w:t>и</w:t>
      </w:r>
      <w:r w:rsidRPr="002114C8">
        <w:rPr>
          <w:rFonts w:ascii="Times New Roman" w:hAnsi="Times New Roman"/>
          <w:sz w:val="28"/>
          <w:szCs w:val="28"/>
          <w:lang w:val="uk-UA"/>
        </w:rPr>
        <w:t>цій за кордоном та іноземних інвестицій у Великій Британії. Первинний дохід також включає оплату праці працівників.</w:t>
      </w:r>
    </w:p>
    <w:p w:rsidR="00E63F46" w:rsidRPr="002114C8" w:rsidRDefault="00912E07">
      <w:pPr>
        <w:spacing w:after="0" w:line="360" w:lineRule="auto"/>
        <w:ind w:right="58" w:firstLine="708"/>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lastRenderedPageBreak/>
        <w:t>Рахунок первинних доходів Великої Британії значно коливався прот</w:t>
      </w:r>
      <w:r w:rsidRPr="002114C8">
        <w:rPr>
          <w:rFonts w:ascii="Times New Roman" w:hAnsi="Times New Roman" w:cs="Times New Roman"/>
          <w:sz w:val="28"/>
          <w:szCs w:val="28"/>
          <w:lang w:val="uk-UA"/>
        </w:rPr>
        <w:t>я</w:t>
      </w:r>
      <w:r w:rsidRPr="002114C8">
        <w:rPr>
          <w:rFonts w:ascii="Times New Roman" w:hAnsi="Times New Roman" w:cs="Times New Roman"/>
          <w:sz w:val="28"/>
          <w:szCs w:val="28"/>
          <w:lang w:val="uk-UA"/>
        </w:rPr>
        <w:t>гом 2018-2021 рр., переважно з дефіцитом, який у 2021 році змінився проф</w:t>
      </w:r>
      <w:r w:rsidRPr="002114C8">
        <w:rPr>
          <w:rFonts w:ascii="Times New Roman" w:hAnsi="Times New Roman" w:cs="Times New Roman"/>
          <w:sz w:val="28"/>
          <w:szCs w:val="28"/>
          <w:lang w:val="uk-UA"/>
        </w:rPr>
        <w:t>і</w:t>
      </w:r>
      <w:r w:rsidRPr="002114C8">
        <w:rPr>
          <w:rFonts w:ascii="Times New Roman" w:hAnsi="Times New Roman" w:cs="Times New Roman"/>
          <w:sz w:val="28"/>
          <w:szCs w:val="28"/>
          <w:lang w:val="uk-UA"/>
        </w:rPr>
        <w:t>цитом у 1</w:t>
      </w:r>
      <w:r w:rsidR="002114C8">
        <w:rPr>
          <w:rFonts w:ascii="Times New Roman" w:hAnsi="Times New Roman" w:cs="Times New Roman"/>
          <w:sz w:val="28"/>
          <w:szCs w:val="28"/>
          <w:lang w:val="uk-UA"/>
        </w:rPr>
        <w:t>6,1 млрд дол.США (див.табл. 2.</w:t>
      </w:r>
      <w:r w:rsidRPr="002114C8">
        <w:rPr>
          <w:rFonts w:ascii="Times New Roman" w:hAnsi="Times New Roman" w:cs="Times New Roman"/>
          <w:sz w:val="28"/>
          <w:szCs w:val="28"/>
          <w:lang w:val="uk-UA"/>
        </w:rPr>
        <w:t>2).  Для Ірландії тенденція зберіг</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лась протягом всього періоду  ̶  збільшення дефіциту, в середньому на 10 млрд дол.США щорічно.</w:t>
      </w:r>
    </w:p>
    <w:p w:rsidR="00E63F46" w:rsidRPr="002114C8" w:rsidRDefault="002114C8">
      <w:pPr>
        <w:spacing w:after="0" w:line="360" w:lineRule="auto"/>
        <w:ind w:right="5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00912E07" w:rsidRPr="002114C8">
        <w:rPr>
          <w:rFonts w:ascii="Times New Roman" w:hAnsi="Times New Roman" w:cs="Times New Roman"/>
          <w:sz w:val="28"/>
          <w:szCs w:val="28"/>
          <w:lang w:val="uk-UA"/>
        </w:rPr>
        <w:t>2</w:t>
      </w:r>
    </w:p>
    <w:p w:rsidR="00E63F46" w:rsidRPr="002114C8" w:rsidRDefault="00912E07">
      <w:pPr>
        <w:spacing w:after="0" w:line="360" w:lineRule="auto"/>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Складові  рахунку первинних доходів</w:t>
      </w:r>
    </w:p>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 xml:space="preserve"> Великої Британії та Ірландії, млрд дол.США</w:t>
      </w:r>
    </w:p>
    <w:tbl>
      <w:tblPr>
        <w:tblW w:w="10103" w:type="dxa"/>
        <w:tblInd w:w="-318" w:type="dxa"/>
        <w:tblLayout w:type="fixed"/>
        <w:tblLook w:val="04A0" w:firstRow="1" w:lastRow="0" w:firstColumn="1" w:lastColumn="0" w:noHBand="0" w:noVBand="1"/>
      </w:tblPr>
      <w:tblGrid>
        <w:gridCol w:w="3588"/>
        <w:gridCol w:w="240"/>
        <w:gridCol w:w="1185"/>
        <w:gridCol w:w="1423"/>
        <w:gridCol w:w="1408"/>
        <w:gridCol w:w="1391"/>
        <w:gridCol w:w="868"/>
      </w:tblGrid>
      <w:tr w:rsidR="00E63F46" w:rsidRPr="002114C8" w:rsidTr="002114C8">
        <w:trPr>
          <w:trHeight w:val="328"/>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E63F46">
            <w:pPr>
              <w:spacing w:after="0" w:line="240" w:lineRule="auto"/>
              <w:ind w:right="57"/>
              <w:jc w:val="center"/>
              <w:rPr>
                <w:rFonts w:ascii="Times New Roman" w:eastAsia="SimSun" w:hAnsi="Times New Roman" w:cs="Times New Roman"/>
                <w:color w:val="000000"/>
                <w:sz w:val="28"/>
                <w:szCs w:val="28"/>
                <w:lang w:val="uk-UA" w:eastAsia="zh-CN" w:bidi="ar"/>
              </w:rPr>
            </w:pP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2018</w:t>
            </w:r>
          </w:p>
        </w:tc>
        <w:tc>
          <w:tcPr>
            <w:tcW w:w="14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2019</w:t>
            </w:r>
          </w:p>
        </w:tc>
        <w:tc>
          <w:tcPr>
            <w:tcW w:w="14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2020</w:t>
            </w:r>
          </w:p>
        </w:tc>
        <w:tc>
          <w:tcPr>
            <w:tcW w:w="139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2021</w:t>
            </w:r>
          </w:p>
        </w:tc>
        <w:tc>
          <w:tcPr>
            <w:tcW w:w="8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2022</w:t>
            </w:r>
          </w:p>
        </w:tc>
      </w:tr>
      <w:tr w:rsidR="00E63F46" w:rsidRPr="002114C8" w:rsidTr="002114C8">
        <w:trPr>
          <w:trHeight w:val="328"/>
        </w:trPr>
        <w:tc>
          <w:tcPr>
            <w:tcW w:w="10103"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b/>
                <w:bCs/>
                <w:color w:val="000000"/>
                <w:sz w:val="28"/>
                <w:szCs w:val="28"/>
                <w:lang w:val="uk-UA" w:eastAsia="zh-CN" w:bidi="ar"/>
              </w:rPr>
              <w:t>Велика Британія</w:t>
            </w:r>
          </w:p>
        </w:tc>
      </w:tr>
      <w:tr w:rsidR="00E63F46" w:rsidRPr="002114C8" w:rsidTr="002114C8">
        <w:trPr>
          <w:trHeight w:val="660"/>
        </w:trPr>
        <w:tc>
          <w:tcPr>
            <w:tcW w:w="3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ind w:right="57"/>
              <w:rPr>
                <w:rFonts w:ascii="Times New Roman" w:eastAsia="SimSun" w:hAnsi="Times New Roman" w:cs="Times New Roman"/>
                <w:b/>
                <w:bCs/>
                <w:color w:val="000000"/>
                <w:sz w:val="28"/>
                <w:szCs w:val="28"/>
                <w:lang w:val="uk-UA" w:eastAsia="zh-CN" w:bidi="ar"/>
              </w:rPr>
            </w:pPr>
            <w:r w:rsidRPr="002114C8">
              <w:rPr>
                <w:rFonts w:ascii="Times New Roman" w:eastAsia="SimSun" w:hAnsi="Times New Roman" w:cs="Times New Roman"/>
                <w:b/>
                <w:bCs/>
                <w:color w:val="000000"/>
                <w:sz w:val="28"/>
                <w:szCs w:val="28"/>
                <w:lang w:val="uk-UA" w:eastAsia="zh-CN" w:bidi="ar"/>
              </w:rPr>
              <w:t>Рахунок первинних дох</w:t>
            </w:r>
            <w:r w:rsidRPr="002114C8">
              <w:rPr>
                <w:rFonts w:ascii="Times New Roman" w:eastAsia="SimSun" w:hAnsi="Times New Roman" w:cs="Times New Roman"/>
                <w:b/>
                <w:bCs/>
                <w:color w:val="000000"/>
                <w:sz w:val="28"/>
                <w:szCs w:val="28"/>
                <w:lang w:val="uk-UA" w:eastAsia="zh-CN" w:bidi="ar"/>
              </w:rPr>
              <w:t>о</w:t>
            </w:r>
            <w:r w:rsidRPr="002114C8">
              <w:rPr>
                <w:rFonts w:ascii="Times New Roman" w:eastAsia="SimSun" w:hAnsi="Times New Roman" w:cs="Times New Roman"/>
                <w:b/>
                <w:bCs/>
                <w:color w:val="000000"/>
                <w:sz w:val="28"/>
                <w:szCs w:val="28"/>
                <w:lang w:val="uk-UA" w:eastAsia="zh-CN" w:bidi="ar"/>
              </w:rPr>
              <w:t>дів</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-39.187</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-0.985</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-60.643</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16.119</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Кредит</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292.267</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291.479</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176.084</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293.586</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Дебіт</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331.454</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292.464</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236.727</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277.467</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Оплата праці</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-0.516</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-0.583</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-0.321</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-0.355</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Кредит</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1.683</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1.705</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0.729</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0.743</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Дебіт</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2.199</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2.289</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1.050</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1.098</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Інвестиційний дохід (кр</w:t>
            </w:r>
            <w:r w:rsidRPr="002114C8">
              <w:rPr>
                <w:rFonts w:ascii="Times New Roman" w:eastAsia="SimSun" w:hAnsi="Times New Roman" w:cs="Times New Roman"/>
                <w:color w:val="000000"/>
                <w:sz w:val="28"/>
                <w:szCs w:val="28"/>
                <w:lang w:val="uk-UA" w:eastAsia="zh-CN" w:bidi="ar"/>
              </w:rPr>
              <w:t>е</w:t>
            </w:r>
            <w:r w:rsidRPr="002114C8">
              <w:rPr>
                <w:rFonts w:ascii="Times New Roman" w:eastAsia="SimSun" w:hAnsi="Times New Roman" w:cs="Times New Roman"/>
                <w:color w:val="000000"/>
                <w:sz w:val="28"/>
                <w:szCs w:val="28"/>
                <w:lang w:val="uk-UA" w:eastAsia="zh-CN" w:bidi="ar"/>
              </w:rPr>
              <w:t>дит)</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287.645</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286.979</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174.606</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292.824</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660"/>
        </w:trPr>
        <w:tc>
          <w:tcPr>
            <w:tcW w:w="3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прямих інв</w:t>
            </w:r>
            <w:r w:rsidRPr="002114C8">
              <w:rPr>
                <w:rFonts w:ascii="Times New Roman" w:eastAsia="SimSun" w:hAnsi="Times New Roman" w:cs="Times New Roman"/>
                <w:color w:val="000000"/>
                <w:sz w:val="28"/>
                <w:szCs w:val="28"/>
                <w:lang w:val="uk-UA" w:eastAsia="zh-CN" w:bidi="ar"/>
              </w:rPr>
              <w:t>е</w:t>
            </w:r>
            <w:r w:rsidRPr="002114C8">
              <w:rPr>
                <w:rFonts w:ascii="Times New Roman" w:eastAsia="SimSun" w:hAnsi="Times New Roman" w:cs="Times New Roman"/>
                <w:color w:val="000000"/>
                <w:sz w:val="28"/>
                <w:szCs w:val="28"/>
                <w:lang w:val="uk-UA" w:eastAsia="zh-CN" w:bidi="ar"/>
              </w:rPr>
              <w:t>стицій</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137.573</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139.676</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73.820</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194.790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портфельних інвестицій</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83.770</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73.958</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66.603</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72.319</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Дохід від інших інвестицій</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64.565</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71.426</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32.540</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24.448</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Інвестиційний дохід (дебіт)</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324.809</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285.910</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231.954</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276.368</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660"/>
        </w:trPr>
        <w:tc>
          <w:tcPr>
            <w:tcW w:w="35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прямих інв</w:t>
            </w:r>
            <w:r w:rsidRPr="002114C8">
              <w:rPr>
                <w:rFonts w:ascii="Times New Roman" w:eastAsia="SimSun" w:hAnsi="Times New Roman" w:cs="Times New Roman"/>
                <w:color w:val="000000"/>
                <w:sz w:val="28"/>
                <w:szCs w:val="28"/>
                <w:lang w:val="uk-UA" w:eastAsia="zh-CN" w:bidi="ar"/>
              </w:rPr>
              <w:t>е</w:t>
            </w:r>
            <w:r w:rsidRPr="002114C8">
              <w:rPr>
                <w:rFonts w:ascii="Times New Roman" w:eastAsia="SimSun" w:hAnsi="Times New Roman" w:cs="Times New Roman"/>
                <w:color w:val="000000"/>
                <w:sz w:val="28"/>
                <w:szCs w:val="28"/>
                <w:lang w:val="uk-UA" w:eastAsia="zh-CN" w:bidi="ar"/>
              </w:rPr>
              <w:t>стицій</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111.733</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67.607</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86.594</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108.312</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портфельних інвестицій</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136.233</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129.941</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98.089</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129.251</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5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Дохід від інших інвестицій</w:t>
            </w:r>
          </w:p>
        </w:tc>
        <w:tc>
          <w:tcPr>
            <w:tcW w:w="14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76.842</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88.361</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47.269</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38.804</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28"/>
        </w:trPr>
        <w:tc>
          <w:tcPr>
            <w:tcW w:w="10103" w:type="dxa"/>
            <w:gridSpan w:val="7"/>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b/>
                <w:bCs/>
                <w:color w:val="000000"/>
                <w:sz w:val="28"/>
                <w:szCs w:val="28"/>
                <w:lang w:val="uk-UA" w:eastAsia="zh-CN" w:bidi="ar"/>
              </w:rPr>
              <w:t>Ірландія</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ind w:right="57"/>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b/>
                <w:bCs/>
                <w:color w:val="000000"/>
                <w:sz w:val="28"/>
                <w:szCs w:val="28"/>
                <w:lang w:val="uk-UA" w:eastAsia="zh-CN" w:bidi="ar"/>
              </w:rPr>
              <w:t>Рахунок первинних доходів</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-81.899</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-90.260</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-105.215</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-122.089</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Кредит</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103.157</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121.809</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115.091</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143.452</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Дебіт</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185.056</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212.069</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220.306</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265.541</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lastRenderedPageBreak/>
              <w:t>Оплата праці</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-0.101</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-0.167</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-0.347</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-0.364</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Кредит</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0.623</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0.586</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0.276</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0.179</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28"/>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Дебіт</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0.725</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0.754</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0.623</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0.544</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E63F46">
            <w:pPr>
              <w:spacing w:after="0" w:line="360" w:lineRule="auto"/>
              <w:ind w:right="57"/>
              <w:jc w:val="center"/>
              <w:rPr>
                <w:rFonts w:ascii="Times New Roman" w:eastAsia="SimSun" w:hAnsi="Times New Roman" w:cs="Times New Roman"/>
                <w:color w:val="000000"/>
                <w:sz w:val="28"/>
                <w:szCs w:val="28"/>
                <w:lang w:val="uk-UA" w:eastAsia="zh-CN" w:bidi="ar"/>
              </w:rPr>
            </w:pP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Інвестиційний дохід (кредит)</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100.685</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119.440</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113.087</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141.461</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66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прямих інве</w:t>
            </w:r>
            <w:r w:rsidRPr="002114C8">
              <w:rPr>
                <w:rFonts w:ascii="Times New Roman" w:eastAsia="SimSun" w:hAnsi="Times New Roman" w:cs="Times New Roman"/>
                <w:color w:val="000000"/>
                <w:sz w:val="28"/>
                <w:szCs w:val="28"/>
                <w:lang w:val="uk-UA" w:eastAsia="zh-CN" w:bidi="ar"/>
              </w:rPr>
              <w:t>с</w:t>
            </w:r>
            <w:r w:rsidRPr="002114C8">
              <w:rPr>
                <w:rFonts w:ascii="Times New Roman" w:eastAsia="SimSun" w:hAnsi="Times New Roman" w:cs="Times New Roman"/>
                <w:color w:val="000000"/>
                <w:sz w:val="28"/>
                <w:szCs w:val="28"/>
                <w:lang w:val="uk-UA" w:eastAsia="zh-CN" w:bidi="ar"/>
              </w:rPr>
              <w:t>тицій</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25.339</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23.183</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25.761</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41.050</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портфельних інвестицій</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61.032</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72.820</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68.981</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81.023</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Дохід від інших інвестицій</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14.312</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23.436</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18.343</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19.388</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Інвестиційний дохід (дебіт)</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183.936</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210.774</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219.150</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264.065</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66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прямих інве</w:t>
            </w:r>
            <w:r w:rsidRPr="002114C8">
              <w:rPr>
                <w:rFonts w:ascii="Times New Roman" w:eastAsia="SimSun" w:hAnsi="Times New Roman" w:cs="Times New Roman"/>
                <w:color w:val="000000"/>
                <w:sz w:val="28"/>
                <w:szCs w:val="28"/>
                <w:lang w:val="uk-UA" w:eastAsia="zh-CN" w:bidi="ar"/>
              </w:rPr>
              <w:t>с</w:t>
            </w:r>
            <w:r w:rsidRPr="002114C8">
              <w:rPr>
                <w:rFonts w:ascii="Times New Roman" w:eastAsia="SimSun" w:hAnsi="Times New Roman" w:cs="Times New Roman"/>
                <w:color w:val="000000"/>
                <w:sz w:val="28"/>
                <w:szCs w:val="28"/>
                <w:lang w:val="uk-UA" w:eastAsia="zh-CN" w:bidi="ar"/>
              </w:rPr>
              <w:t>тицій</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93.934</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102.762</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117.419</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152.798</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Прибуток від портфельних інвестицій</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76.077</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90.335</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86.330</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95.735</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r w:rsidR="00E63F46" w:rsidRPr="002114C8" w:rsidTr="002114C8">
        <w:trPr>
          <w:trHeight w:val="340"/>
        </w:trPr>
        <w:tc>
          <w:tcPr>
            <w:tcW w:w="3828"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ind w:right="57"/>
              <w:jc w:val="right"/>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Дохід від інших інвестицій</w:t>
            </w:r>
          </w:p>
        </w:tc>
        <w:tc>
          <w:tcPr>
            <w:tcW w:w="11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13.924</w:t>
            </w:r>
          </w:p>
        </w:tc>
        <w:tc>
          <w:tcPr>
            <w:tcW w:w="14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17.676</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15.400</w:t>
            </w:r>
          </w:p>
        </w:tc>
        <w:tc>
          <w:tcPr>
            <w:tcW w:w="13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15.532</w:t>
            </w:r>
          </w:p>
        </w:tc>
        <w:tc>
          <w:tcPr>
            <w:tcW w:w="8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7"/>
              <w:jc w:val="center"/>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w:t>
            </w:r>
          </w:p>
        </w:tc>
      </w:tr>
    </w:tbl>
    <w:p w:rsidR="00E63F46" w:rsidRPr="002114C8" w:rsidRDefault="00912E07" w:rsidP="00465D9D">
      <w:pPr>
        <w:spacing w:afterLines="100" w:after="240" w:line="360" w:lineRule="auto"/>
        <w:ind w:right="58" w:firstLine="708"/>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Джерело: складено автором на основі [11]</w:t>
      </w:r>
    </w:p>
    <w:p w:rsidR="00E63F46" w:rsidRPr="002114C8" w:rsidRDefault="00912E07">
      <w:pPr>
        <w:spacing w:after="0" w:line="360" w:lineRule="auto"/>
        <w:ind w:right="58"/>
        <w:jc w:val="both"/>
        <w:rPr>
          <w:rFonts w:ascii="Times New Roman" w:hAnsi="Times New Roman"/>
          <w:sz w:val="28"/>
          <w:szCs w:val="28"/>
          <w:lang w:val="uk-UA"/>
        </w:rPr>
      </w:pPr>
      <w:r w:rsidRPr="002114C8">
        <w:rPr>
          <w:rFonts w:ascii="Times New Roman" w:hAnsi="Times New Roman" w:cs="Times New Roman"/>
          <w:sz w:val="28"/>
          <w:szCs w:val="28"/>
          <w:lang w:val="uk-UA"/>
        </w:rPr>
        <w:tab/>
      </w:r>
      <w:r w:rsidRPr="002114C8">
        <w:rPr>
          <w:rFonts w:ascii="Times New Roman" w:hAnsi="Times New Roman"/>
          <w:sz w:val="28"/>
          <w:szCs w:val="28"/>
          <w:lang w:val="uk-UA"/>
        </w:rPr>
        <w:t>Дохід, отриманий від володіння фінансовими активами, є найбільшою складовою рахунку первинних доходів Великої Британії, яка і вплинула на дефіцит цієї статті.  Найбільшим компонентом дефіциту рахунку первинних доходів в 2018 році був дефіцит портфельних інвестицій, частково компенс</w:t>
      </w:r>
      <w:r w:rsidRPr="002114C8">
        <w:rPr>
          <w:rFonts w:ascii="Times New Roman" w:hAnsi="Times New Roman"/>
          <w:sz w:val="28"/>
          <w:szCs w:val="28"/>
          <w:lang w:val="uk-UA"/>
        </w:rPr>
        <w:t>о</w:t>
      </w:r>
      <w:r w:rsidRPr="002114C8">
        <w:rPr>
          <w:rFonts w:ascii="Times New Roman" w:hAnsi="Times New Roman"/>
          <w:sz w:val="28"/>
          <w:szCs w:val="28"/>
          <w:lang w:val="uk-UA"/>
        </w:rPr>
        <w:t>ваний профіцитом прямих інвестицій. Однак у 2021 року, кредит інвестиці</w:t>
      </w:r>
      <w:r w:rsidRPr="002114C8">
        <w:rPr>
          <w:rFonts w:ascii="Times New Roman" w:hAnsi="Times New Roman"/>
          <w:sz w:val="28"/>
          <w:szCs w:val="28"/>
          <w:lang w:val="uk-UA"/>
        </w:rPr>
        <w:t>й</w:t>
      </w:r>
      <w:r w:rsidRPr="002114C8">
        <w:rPr>
          <w:rFonts w:ascii="Times New Roman" w:hAnsi="Times New Roman"/>
          <w:sz w:val="28"/>
          <w:szCs w:val="28"/>
          <w:lang w:val="uk-UA"/>
        </w:rPr>
        <w:t>ного доходу перевищив минулорічний показник на 67,7% завдяки значному припливу доходів від прямих інвестицій, які склали</w:t>
      </w:r>
      <w:r w:rsidR="002114C8">
        <w:rPr>
          <w:rFonts w:ascii="Times New Roman" w:hAnsi="Times New Roman"/>
          <w:sz w:val="28"/>
          <w:szCs w:val="28"/>
          <w:lang w:val="uk-UA"/>
        </w:rPr>
        <w:t xml:space="preserve"> </w:t>
      </w:r>
      <w:r w:rsidRPr="002114C8">
        <w:rPr>
          <w:rFonts w:ascii="Times New Roman" w:hAnsi="Times New Roman"/>
          <w:sz w:val="28"/>
          <w:szCs w:val="28"/>
          <w:lang w:val="uk-UA"/>
        </w:rPr>
        <w:t xml:space="preserve">194,7 млрд </w:t>
      </w:r>
      <w:r w:rsidR="002114C8">
        <w:rPr>
          <w:rFonts w:ascii="Times New Roman" w:hAnsi="Times New Roman"/>
          <w:sz w:val="28"/>
          <w:szCs w:val="28"/>
          <w:lang w:val="uk-UA"/>
        </w:rPr>
        <w:t xml:space="preserve"> </w:t>
      </w:r>
      <w:r w:rsidRPr="002114C8">
        <w:rPr>
          <w:rFonts w:ascii="Times New Roman" w:hAnsi="Times New Roman"/>
          <w:sz w:val="28"/>
          <w:szCs w:val="28"/>
          <w:lang w:val="uk-UA"/>
        </w:rPr>
        <w:t>дол.</w:t>
      </w:r>
      <w:r w:rsidR="002114C8">
        <w:rPr>
          <w:rFonts w:ascii="Times New Roman" w:hAnsi="Times New Roman"/>
          <w:sz w:val="28"/>
          <w:szCs w:val="28"/>
          <w:lang w:val="uk-UA"/>
        </w:rPr>
        <w:t xml:space="preserve"> </w:t>
      </w:r>
      <w:r w:rsidRPr="002114C8">
        <w:rPr>
          <w:rFonts w:ascii="Times New Roman" w:hAnsi="Times New Roman"/>
          <w:sz w:val="28"/>
          <w:szCs w:val="28"/>
          <w:lang w:val="uk-UA"/>
        </w:rPr>
        <w:t>США. Варто зазначити, що попри значне збільшення даного показнику, дефіцит і</w:t>
      </w:r>
      <w:r w:rsidRPr="002114C8">
        <w:rPr>
          <w:rFonts w:ascii="Times New Roman" w:hAnsi="Times New Roman"/>
          <w:sz w:val="28"/>
          <w:szCs w:val="28"/>
          <w:lang w:val="uk-UA"/>
        </w:rPr>
        <w:t>н</w:t>
      </w:r>
      <w:r w:rsidRPr="002114C8">
        <w:rPr>
          <w:rFonts w:ascii="Times New Roman" w:hAnsi="Times New Roman"/>
          <w:sz w:val="28"/>
          <w:szCs w:val="28"/>
          <w:lang w:val="uk-UA"/>
        </w:rPr>
        <w:t>вестиційного доходу був лише на 16,46 млрд дол.США менший за кредит і</w:t>
      </w:r>
      <w:r w:rsidRPr="002114C8">
        <w:rPr>
          <w:rFonts w:ascii="Times New Roman" w:hAnsi="Times New Roman"/>
          <w:sz w:val="28"/>
          <w:szCs w:val="28"/>
          <w:lang w:val="uk-UA"/>
        </w:rPr>
        <w:t>н</w:t>
      </w:r>
      <w:r w:rsidRPr="002114C8">
        <w:rPr>
          <w:rFonts w:ascii="Times New Roman" w:hAnsi="Times New Roman"/>
          <w:sz w:val="28"/>
          <w:szCs w:val="28"/>
          <w:lang w:val="uk-UA"/>
        </w:rPr>
        <w:t>вестиційного доходу. Після включення дефіциту оплати праці у розмірі 355 млн дол.США, рахунок первинних доходів мав профіцит у 16,1 млрд дол.США у 2021 році.  Оплата праці протягом усього досліджуваного періоду була у дефіциті, який у 2018 та 2019 роках нараховував найбільший дефіцит у 516 та 583 млн дол.США відповідно. Однак вже у 2020 та 2021 році він зме</w:t>
      </w:r>
      <w:r w:rsidRPr="002114C8">
        <w:rPr>
          <w:rFonts w:ascii="Times New Roman" w:hAnsi="Times New Roman"/>
          <w:sz w:val="28"/>
          <w:szCs w:val="28"/>
          <w:lang w:val="uk-UA"/>
        </w:rPr>
        <w:t>н</w:t>
      </w:r>
      <w:r w:rsidRPr="002114C8">
        <w:rPr>
          <w:rFonts w:ascii="Times New Roman" w:hAnsi="Times New Roman"/>
          <w:sz w:val="28"/>
          <w:szCs w:val="28"/>
          <w:lang w:val="uk-UA"/>
        </w:rPr>
        <w:t>шився на 44,8% та на 39% порівняно з 2019 роком відповідно.</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lastRenderedPageBreak/>
        <w:t>Аналогічно з Великою Британією, інвестиційний дохід Ірландії перев</w:t>
      </w:r>
      <w:r w:rsidRPr="002114C8">
        <w:rPr>
          <w:rFonts w:ascii="Times New Roman" w:hAnsi="Times New Roman"/>
          <w:sz w:val="28"/>
          <w:szCs w:val="28"/>
          <w:lang w:val="uk-UA"/>
        </w:rPr>
        <w:t>а</w:t>
      </w:r>
      <w:r w:rsidRPr="002114C8">
        <w:rPr>
          <w:rFonts w:ascii="Times New Roman" w:hAnsi="Times New Roman"/>
          <w:sz w:val="28"/>
          <w:szCs w:val="28"/>
          <w:lang w:val="uk-UA"/>
        </w:rPr>
        <w:t>жає оплату праці і становить найбільший показник рахунку первинних дох</w:t>
      </w:r>
      <w:r w:rsidRPr="002114C8">
        <w:rPr>
          <w:rFonts w:ascii="Times New Roman" w:hAnsi="Times New Roman"/>
          <w:sz w:val="28"/>
          <w:szCs w:val="28"/>
          <w:lang w:val="uk-UA"/>
        </w:rPr>
        <w:t>о</w:t>
      </w:r>
      <w:r w:rsidRPr="002114C8">
        <w:rPr>
          <w:rFonts w:ascii="Times New Roman" w:hAnsi="Times New Roman"/>
          <w:sz w:val="28"/>
          <w:szCs w:val="28"/>
          <w:lang w:val="uk-UA"/>
        </w:rPr>
        <w:t>дів. Перше за все, дефіцит даної статті поточного рахунку був викликаний р</w:t>
      </w:r>
      <w:r w:rsidRPr="002114C8">
        <w:rPr>
          <w:rFonts w:ascii="Times New Roman" w:hAnsi="Times New Roman"/>
          <w:sz w:val="28"/>
          <w:szCs w:val="28"/>
          <w:lang w:val="uk-UA"/>
        </w:rPr>
        <w:t>о</w:t>
      </w:r>
      <w:r w:rsidRPr="002114C8">
        <w:rPr>
          <w:rFonts w:ascii="Times New Roman" w:hAnsi="Times New Roman"/>
          <w:sz w:val="28"/>
          <w:szCs w:val="28"/>
          <w:lang w:val="uk-UA"/>
        </w:rPr>
        <w:t>збіжністю у інвестиційних доходах. Основна розбіжність полягала у прибутку від прямих іноземних інвестицій, яка складала від 42% до 47% у різні роки, що дорівнює у середньому 80 млрд дол.США на рік. Ірландія, як і Велика Брит</w:t>
      </w:r>
      <w:r w:rsidRPr="002114C8">
        <w:rPr>
          <w:rFonts w:ascii="Times New Roman" w:hAnsi="Times New Roman"/>
          <w:sz w:val="28"/>
          <w:szCs w:val="28"/>
          <w:lang w:val="uk-UA"/>
        </w:rPr>
        <w:t>а</w:t>
      </w:r>
      <w:r w:rsidRPr="002114C8">
        <w:rPr>
          <w:rFonts w:ascii="Times New Roman" w:hAnsi="Times New Roman"/>
          <w:sz w:val="28"/>
          <w:szCs w:val="28"/>
          <w:lang w:val="uk-UA"/>
        </w:rPr>
        <w:t>нія, переважно виплачувала прибуток нерезидентам за працю, ніж отримувала від резидентів, які працюють закордоном. Від початку 2018 року дефіцит оплати праці зростав і досяг максимального значення у</w:t>
      </w:r>
      <w:r w:rsidR="002114C8">
        <w:rPr>
          <w:rFonts w:ascii="Times New Roman" w:hAnsi="Times New Roman"/>
          <w:sz w:val="28"/>
          <w:szCs w:val="28"/>
          <w:lang w:val="uk-UA"/>
        </w:rPr>
        <w:t xml:space="preserve"> </w:t>
      </w:r>
      <w:r w:rsidRPr="002114C8">
        <w:rPr>
          <w:rFonts w:ascii="Times New Roman" w:hAnsi="Times New Roman"/>
          <w:sz w:val="28"/>
          <w:szCs w:val="28"/>
          <w:lang w:val="uk-UA"/>
        </w:rPr>
        <w:t xml:space="preserve">2021 році  </w:t>
      </w:r>
      <w:r w:rsidRPr="002114C8">
        <w:rPr>
          <w:rFonts w:ascii="Times New Roman" w:hAnsi="Times New Roman" w:cs="Times New Roman"/>
          <w:sz w:val="28"/>
          <w:szCs w:val="28"/>
          <w:lang w:val="uk-UA"/>
        </w:rPr>
        <w:t>̶ 364,2 млн дол.</w:t>
      </w:r>
      <w:r w:rsidR="002114C8">
        <w:rPr>
          <w:rFonts w:ascii="Times New Roman" w:hAnsi="Times New Roman" w:cs="Times New Roman"/>
          <w:sz w:val="28"/>
          <w:szCs w:val="28"/>
          <w:lang w:val="uk-UA"/>
        </w:rPr>
        <w:t xml:space="preserve"> </w:t>
      </w:r>
      <w:r w:rsidRPr="002114C8">
        <w:rPr>
          <w:rFonts w:ascii="Times New Roman" w:hAnsi="Times New Roman" w:cs="Times New Roman"/>
          <w:sz w:val="28"/>
          <w:szCs w:val="28"/>
          <w:lang w:val="uk-UA"/>
        </w:rPr>
        <w:t>США.</w:t>
      </w:r>
      <w:r w:rsidRPr="002114C8">
        <w:rPr>
          <w:rFonts w:ascii="Times New Roman" w:hAnsi="Times New Roman"/>
          <w:sz w:val="28"/>
          <w:szCs w:val="28"/>
          <w:lang w:val="uk-UA"/>
        </w:rPr>
        <w:t xml:space="preserve"> Якщо у 2019 році дефіцит збільшився на 39,4% порівняно з мин</w:t>
      </w:r>
      <w:r w:rsidRPr="002114C8">
        <w:rPr>
          <w:rFonts w:ascii="Times New Roman" w:hAnsi="Times New Roman"/>
          <w:sz w:val="28"/>
          <w:szCs w:val="28"/>
          <w:lang w:val="uk-UA"/>
        </w:rPr>
        <w:t>у</w:t>
      </w:r>
      <w:r w:rsidRPr="002114C8">
        <w:rPr>
          <w:rFonts w:ascii="Times New Roman" w:hAnsi="Times New Roman"/>
          <w:sz w:val="28"/>
          <w:szCs w:val="28"/>
          <w:lang w:val="uk-UA"/>
        </w:rPr>
        <w:t xml:space="preserve">лим роком, то у 2020 році  цей показник склав 51,7%. </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 xml:space="preserve">Розглянувши останню статтю поточного рахунку  </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рахунок вторинних доходів,</w:t>
      </w:r>
      <w:r w:rsidRPr="002114C8">
        <w:rPr>
          <w:rFonts w:ascii="Times New Roman" w:eastAsia="SimSun" w:hAnsi="Times New Roman" w:cs="Times New Roman"/>
          <w:color w:val="000000"/>
          <w:sz w:val="28"/>
          <w:szCs w:val="28"/>
          <w:lang w:val="uk-UA" w:eastAsia="zh-CN" w:bidi="ar"/>
        </w:rPr>
        <w:t xml:space="preserve"> який охоплює поточні трансферти між резидентами та нерезидентами, </w:t>
      </w:r>
      <w:r w:rsidRPr="002114C8">
        <w:rPr>
          <w:rFonts w:ascii="Times New Roman" w:hAnsi="Times New Roman"/>
          <w:sz w:val="28"/>
          <w:szCs w:val="28"/>
          <w:lang w:val="uk-UA"/>
        </w:rPr>
        <w:t>вказуємо на дефіцит даної статті для обох країн, що є характерним для розв</w:t>
      </w:r>
      <w:r w:rsidRPr="002114C8">
        <w:rPr>
          <w:rFonts w:ascii="Times New Roman" w:hAnsi="Times New Roman"/>
          <w:sz w:val="28"/>
          <w:szCs w:val="28"/>
          <w:lang w:val="uk-UA"/>
        </w:rPr>
        <w:t>и</w:t>
      </w:r>
      <w:r w:rsidR="002114C8">
        <w:rPr>
          <w:rFonts w:ascii="Times New Roman" w:hAnsi="Times New Roman"/>
          <w:sz w:val="28"/>
          <w:szCs w:val="28"/>
          <w:lang w:val="uk-UA"/>
        </w:rPr>
        <w:t>нених країн (див.рис. 2.</w:t>
      </w:r>
      <w:r w:rsidRPr="002114C8">
        <w:rPr>
          <w:rFonts w:ascii="Times New Roman" w:hAnsi="Times New Roman"/>
          <w:sz w:val="28"/>
          <w:szCs w:val="28"/>
          <w:lang w:val="uk-UA"/>
        </w:rPr>
        <w:t xml:space="preserve">3). </w:t>
      </w:r>
    </w:p>
    <w:p w:rsidR="00E63F46" w:rsidRPr="002114C8" w:rsidRDefault="00912E07">
      <w:pPr>
        <w:spacing w:line="240" w:lineRule="auto"/>
        <w:ind w:rightChars="29" w:right="64" w:firstLine="708"/>
        <w:jc w:val="both"/>
        <w:rPr>
          <w:rFonts w:ascii="Times New Roman" w:hAnsi="Times New Roman"/>
          <w:sz w:val="28"/>
          <w:szCs w:val="28"/>
          <w:lang w:val="uk-UA"/>
        </w:rPr>
      </w:pPr>
      <w:r w:rsidRPr="002114C8">
        <w:rPr>
          <w:noProof/>
        </w:rPr>
        <w:drawing>
          <wp:inline distT="0" distB="0" distL="118745" distR="118745" wp14:anchorId="66424CCD" wp14:editId="18894924">
            <wp:extent cx="5578475" cy="3348355"/>
            <wp:effectExtent l="6350" t="6350" r="28575" b="2349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63F46" w:rsidRPr="002114C8" w:rsidRDefault="002114C8">
      <w:pPr>
        <w:spacing w:after="0" w:line="360" w:lineRule="auto"/>
        <w:ind w:firstLine="706"/>
        <w:jc w:val="both"/>
        <w:rPr>
          <w:rFonts w:ascii="Times New Roman" w:eastAsia="SimSun" w:hAnsi="Times New Roman" w:cs="Times New Roman"/>
          <w:color w:val="000000"/>
          <w:sz w:val="28"/>
          <w:szCs w:val="28"/>
          <w:lang w:val="uk-UA" w:eastAsia="zh-CN" w:bidi="ar"/>
        </w:rPr>
      </w:pPr>
      <w:r>
        <w:rPr>
          <w:rFonts w:ascii="Times New Roman" w:eastAsia="SimSun" w:hAnsi="Times New Roman" w:cs="Times New Roman"/>
          <w:color w:val="000000"/>
          <w:sz w:val="28"/>
          <w:szCs w:val="28"/>
          <w:lang w:val="uk-UA" w:eastAsia="zh-CN" w:bidi="ar"/>
        </w:rPr>
        <w:t>Рис. 2.</w:t>
      </w:r>
      <w:r w:rsidR="00912E07" w:rsidRPr="002114C8">
        <w:rPr>
          <w:rFonts w:ascii="Times New Roman" w:eastAsia="SimSun" w:hAnsi="Times New Roman" w:cs="Times New Roman"/>
          <w:color w:val="000000"/>
          <w:sz w:val="28"/>
          <w:szCs w:val="28"/>
          <w:lang w:val="uk-UA" w:eastAsia="zh-CN" w:bidi="ar"/>
        </w:rPr>
        <w:t>3. Складові  рахунку вторинних доходів Великої Британії та Ірл</w:t>
      </w:r>
      <w:r w:rsidR="00912E07" w:rsidRPr="002114C8">
        <w:rPr>
          <w:rFonts w:ascii="Times New Roman" w:eastAsia="SimSun" w:hAnsi="Times New Roman" w:cs="Times New Roman"/>
          <w:color w:val="000000"/>
          <w:sz w:val="28"/>
          <w:szCs w:val="28"/>
          <w:lang w:val="uk-UA" w:eastAsia="zh-CN" w:bidi="ar"/>
        </w:rPr>
        <w:t>а</w:t>
      </w:r>
      <w:r w:rsidR="00912E07" w:rsidRPr="002114C8">
        <w:rPr>
          <w:rFonts w:ascii="Times New Roman" w:eastAsia="SimSun" w:hAnsi="Times New Roman" w:cs="Times New Roman"/>
          <w:color w:val="000000"/>
          <w:sz w:val="28"/>
          <w:szCs w:val="28"/>
          <w:lang w:val="uk-UA" w:eastAsia="zh-CN" w:bidi="ar"/>
        </w:rPr>
        <w:t>ндії протягом 2018-2021 рр., млрд дол.США</w:t>
      </w:r>
    </w:p>
    <w:p w:rsidR="00E63F46" w:rsidRPr="002114C8" w:rsidRDefault="00912E07" w:rsidP="00465D9D">
      <w:pPr>
        <w:snapToGrid w:val="0"/>
        <w:spacing w:afterLines="100" w:after="240" w:line="360" w:lineRule="auto"/>
        <w:ind w:firstLine="706"/>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Джерело: складено автором на основі [11]</w:t>
      </w:r>
    </w:p>
    <w:p w:rsidR="00E63F46" w:rsidRPr="002114C8" w:rsidRDefault="002114C8" w:rsidP="00465D9D">
      <w:pPr>
        <w:snapToGrid w:val="0"/>
        <w:spacing w:afterLines="100" w:after="240" w:line="360" w:lineRule="auto"/>
        <w:ind w:firstLine="708"/>
        <w:jc w:val="both"/>
        <w:rPr>
          <w:rFonts w:ascii="Times New Roman" w:eastAsia="SimSun" w:hAnsi="Times New Roman"/>
          <w:color w:val="000000"/>
          <w:sz w:val="28"/>
          <w:szCs w:val="28"/>
          <w:lang w:val="uk-UA" w:eastAsia="zh-CN"/>
        </w:rPr>
      </w:pPr>
      <w:r>
        <w:rPr>
          <w:rFonts w:ascii="Times New Roman" w:eastAsia="SimSun" w:hAnsi="Times New Roman" w:cs="Times New Roman"/>
          <w:color w:val="000000"/>
          <w:sz w:val="28"/>
          <w:szCs w:val="28"/>
          <w:lang w:val="uk-UA" w:eastAsia="zh-CN" w:bidi="ar"/>
        </w:rPr>
        <w:lastRenderedPageBreak/>
        <w:t>Згідно з рис. 2.</w:t>
      </w:r>
      <w:r w:rsidR="00912E07" w:rsidRPr="002114C8">
        <w:rPr>
          <w:rFonts w:ascii="Times New Roman" w:eastAsia="SimSun" w:hAnsi="Times New Roman" w:cs="Times New Roman"/>
          <w:color w:val="000000"/>
          <w:sz w:val="28"/>
          <w:szCs w:val="28"/>
          <w:lang w:val="uk-UA" w:eastAsia="zh-CN" w:bidi="ar"/>
        </w:rPr>
        <w:t>3, Велика Британія, як і Ірландія, мають відʼємне значення, що свідчить про те, що виплати з цих країн перевищують надходження до неї. Таким чином, резиденти обох країн отримують меньше допомоги, яка не п</w:t>
      </w:r>
      <w:r w:rsidR="00912E07" w:rsidRPr="002114C8">
        <w:rPr>
          <w:rFonts w:ascii="Times New Roman" w:eastAsia="SimSun" w:hAnsi="Times New Roman" w:cs="Times New Roman"/>
          <w:color w:val="000000"/>
          <w:sz w:val="28"/>
          <w:szCs w:val="28"/>
          <w:lang w:val="uk-UA" w:eastAsia="zh-CN" w:bidi="ar"/>
        </w:rPr>
        <w:t>е</w:t>
      </w:r>
      <w:r w:rsidR="00912E07" w:rsidRPr="002114C8">
        <w:rPr>
          <w:rFonts w:ascii="Times New Roman" w:eastAsia="SimSun" w:hAnsi="Times New Roman" w:cs="Times New Roman"/>
          <w:color w:val="000000"/>
          <w:sz w:val="28"/>
          <w:szCs w:val="28"/>
          <w:lang w:val="uk-UA" w:eastAsia="zh-CN" w:bidi="ar"/>
        </w:rPr>
        <w:t>редбачає компенсації у вигляді вартісного еквівалента, ніж нерезиденти з і</w:t>
      </w:r>
      <w:r w:rsidR="00912E07" w:rsidRPr="002114C8">
        <w:rPr>
          <w:rFonts w:ascii="Times New Roman" w:eastAsia="SimSun" w:hAnsi="Times New Roman" w:cs="Times New Roman"/>
          <w:color w:val="000000"/>
          <w:sz w:val="28"/>
          <w:szCs w:val="28"/>
          <w:lang w:val="uk-UA" w:eastAsia="zh-CN" w:bidi="ar"/>
        </w:rPr>
        <w:t>н</w:t>
      </w:r>
      <w:r w:rsidR="00912E07" w:rsidRPr="002114C8">
        <w:rPr>
          <w:rFonts w:ascii="Times New Roman" w:eastAsia="SimSun" w:hAnsi="Times New Roman" w:cs="Times New Roman"/>
          <w:color w:val="000000"/>
          <w:sz w:val="28"/>
          <w:szCs w:val="28"/>
          <w:lang w:val="uk-UA" w:eastAsia="zh-CN" w:bidi="ar"/>
        </w:rPr>
        <w:t>ших країн.  Варто зазначити, що в середньому, протягом перших 3ьох досл</w:t>
      </w:r>
      <w:r w:rsidR="00912E07" w:rsidRPr="002114C8">
        <w:rPr>
          <w:rFonts w:ascii="Times New Roman" w:eastAsia="SimSun" w:hAnsi="Times New Roman" w:cs="Times New Roman"/>
          <w:color w:val="000000"/>
          <w:sz w:val="28"/>
          <w:szCs w:val="28"/>
          <w:lang w:val="uk-UA" w:eastAsia="zh-CN" w:bidi="ar"/>
        </w:rPr>
        <w:t>і</w:t>
      </w:r>
      <w:r w:rsidR="00912E07" w:rsidRPr="002114C8">
        <w:rPr>
          <w:rFonts w:ascii="Times New Roman" w:eastAsia="SimSun" w:hAnsi="Times New Roman" w:cs="Times New Roman"/>
          <w:color w:val="000000"/>
          <w:sz w:val="28"/>
          <w:szCs w:val="28"/>
          <w:lang w:val="uk-UA" w:eastAsia="zh-CN" w:bidi="ar"/>
        </w:rPr>
        <w:t>джуванних років, дефіцит рахунку вторинних доходів Великої Британії пер</w:t>
      </w:r>
      <w:r w:rsidR="00912E07" w:rsidRPr="002114C8">
        <w:rPr>
          <w:rFonts w:ascii="Times New Roman" w:eastAsia="SimSun" w:hAnsi="Times New Roman" w:cs="Times New Roman"/>
          <w:color w:val="000000"/>
          <w:sz w:val="28"/>
          <w:szCs w:val="28"/>
          <w:lang w:val="uk-UA" w:eastAsia="zh-CN" w:bidi="ar"/>
        </w:rPr>
        <w:t>е</w:t>
      </w:r>
      <w:r w:rsidR="00912E07" w:rsidRPr="002114C8">
        <w:rPr>
          <w:rFonts w:ascii="Times New Roman" w:eastAsia="SimSun" w:hAnsi="Times New Roman" w:cs="Times New Roman"/>
          <w:color w:val="000000"/>
          <w:sz w:val="28"/>
          <w:szCs w:val="28"/>
          <w:lang w:val="uk-UA" w:eastAsia="zh-CN" w:bidi="ar"/>
        </w:rPr>
        <w:t>вищував дефіцит рахунку Ірландії на 87,4%. У 2020 році під час пандемії СOVID-19 виплати дефіцит різко скоротився на 30,6%. Основними джерелами як виплати, так і надходжень є ф</w:t>
      </w:r>
      <w:r w:rsidR="00912E07" w:rsidRPr="002114C8">
        <w:rPr>
          <w:rFonts w:ascii="Times New Roman" w:eastAsia="SimSun" w:hAnsi="Times New Roman"/>
          <w:color w:val="000000"/>
          <w:sz w:val="28"/>
          <w:szCs w:val="28"/>
          <w:lang w:val="uk-UA" w:eastAsia="zh-CN"/>
        </w:rPr>
        <w:t>інансові, нефінансові корпорації, домашні г</w:t>
      </w:r>
      <w:r w:rsidR="00912E07" w:rsidRPr="002114C8">
        <w:rPr>
          <w:rFonts w:ascii="Times New Roman" w:eastAsia="SimSun" w:hAnsi="Times New Roman"/>
          <w:color w:val="000000"/>
          <w:sz w:val="28"/>
          <w:szCs w:val="28"/>
          <w:lang w:val="uk-UA" w:eastAsia="zh-CN"/>
        </w:rPr>
        <w:t>о</w:t>
      </w:r>
      <w:r w:rsidR="00912E07" w:rsidRPr="002114C8">
        <w:rPr>
          <w:rFonts w:ascii="Times New Roman" w:eastAsia="SimSun" w:hAnsi="Times New Roman"/>
          <w:color w:val="000000"/>
          <w:sz w:val="28"/>
          <w:szCs w:val="28"/>
          <w:lang w:val="uk-UA" w:eastAsia="zh-CN"/>
        </w:rPr>
        <w:t>сподарства та некомерційні установи, що обслуговують домашні господарства. На них припадає понад 62% усіх видів транзакцій. Аналогічні джерела спост</w:t>
      </w:r>
      <w:r w:rsidR="00912E07" w:rsidRPr="002114C8">
        <w:rPr>
          <w:rFonts w:ascii="Times New Roman" w:eastAsia="SimSun" w:hAnsi="Times New Roman"/>
          <w:color w:val="000000"/>
          <w:sz w:val="28"/>
          <w:szCs w:val="28"/>
          <w:lang w:val="uk-UA" w:eastAsia="zh-CN"/>
        </w:rPr>
        <w:t>е</w:t>
      </w:r>
      <w:r w:rsidR="00912E07" w:rsidRPr="002114C8">
        <w:rPr>
          <w:rFonts w:ascii="Times New Roman" w:eastAsia="SimSun" w:hAnsi="Times New Roman"/>
          <w:color w:val="000000"/>
          <w:sz w:val="28"/>
          <w:szCs w:val="28"/>
          <w:lang w:val="uk-UA" w:eastAsia="zh-CN"/>
        </w:rPr>
        <w:t>рігались і для  Ірландії, однак на них припадає 76% усіх надходжень та виплат. У 2021 році дефіцит цієї статті зріс з 4 млрд дол.</w:t>
      </w:r>
      <w:r>
        <w:rPr>
          <w:rFonts w:ascii="Times New Roman" w:eastAsia="SimSun" w:hAnsi="Times New Roman"/>
          <w:color w:val="000000"/>
          <w:sz w:val="28"/>
          <w:szCs w:val="28"/>
          <w:lang w:val="uk-UA" w:eastAsia="zh-CN"/>
        </w:rPr>
        <w:t xml:space="preserve"> </w:t>
      </w:r>
      <w:r w:rsidR="00912E07" w:rsidRPr="002114C8">
        <w:rPr>
          <w:rFonts w:ascii="Times New Roman" w:eastAsia="SimSun" w:hAnsi="Times New Roman"/>
          <w:color w:val="000000"/>
          <w:sz w:val="28"/>
          <w:szCs w:val="28"/>
          <w:lang w:val="uk-UA" w:eastAsia="zh-CN"/>
        </w:rPr>
        <w:t>США до 5,17 млрд дол.</w:t>
      </w:r>
      <w:r>
        <w:rPr>
          <w:rFonts w:ascii="Times New Roman" w:eastAsia="SimSun" w:hAnsi="Times New Roman"/>
          <w:color w:val="000000"/>
          <w:sz w:val="28"/>
          <w:szCs w:val="28"/>
          <w:lang w:val="uk-UA" w:eastAsia="zh-CN"/>
        </w:rPr>
        <w:t xml:space="preserve"> </w:t>
      </w:r>
      <w:r w:rsidR="00912E07" w:rsidRPr="002114C8">
        <w:rPr>
          <w:rFonts w:ascii="Times New Roman" w:eastAsia="SimSun" w:hAnsi="Times New Roman"/>
          <w:color w:val="000000"/>
          <w:sz w:val="28"/>
          <w:szCs w:val="28"/>
          <w:lang w:val="uk-UA" w:eastAsia="zh-CN"/>
        </w:rPr>
        <w:t>США насамперед через зріст виплат майже на 1,7 млрд дол.</w:t>
      </w:r>
      <w:r>
        <w:rPr>
          <w:rFonts w:ascii="Times New Roman" w:eastAsia="SimSun" w:hAnsi="Times New Roman"/>
          <w:color w:val="000000"/>
          <w:sz w:val="28"/>
          <w:szCs w:val="28"/>
          <w:lang w:val="uk-UA" w:eastAsia="zh-CN"/>
        </w:rPr>
        <w:t xml:space="preserve"> </w:t>
      </w:r>
      <w:r w:rsidR="00912E07" w:rsidRPr="002114C8">
        <w:rPr>
          <w:rFonts w:ascii="Times New Roman" w:eastAsia="SimSun" w:hAnsi="Times New Roman"/>
          <w:color w:val="000000"/>
          <w:sz w:val="28"/>
          <w:szCs w:val="28"/>
          <w:lang w:val="uk-UA" w:eastAsia="zh-CN"/>
        </w:rPr>
        <w:t>США.</w:t>
      </w:r>
    </w:p>
    <w:p w:rsidR="00E63F46" w:rsidRPr="002114C8" w:rsidRDefault="00E63F46">
      <w:pPr>
        <w:spacing w:after="0" w:line="360" w:lineRule="auto"/>
        <w:ind w:firstLine="708"/>
        <w:jc w:val="both"/>
        <w:rPr>
          <w:rFonts w:ascii="Times New Roman" w:hAnsi="Times New Roman"/>
          <w:sz w:val="28"/>
          <w:szCs w:val="28"/>
          <w:lang w:val="uk-UA"/>
        </w:rPr>
      </w:pPr>
    </w:p>
    <w:p w:rsidR="00E63F46" w:rsidRPr="002114C8" w:rsidRDefault="002114C8" w:rsidP="002114C8">
      <w:pPr>
        <w:spacing w:afterLines="100" w:after="240" w:line="360" w:lineRule="auto"/>
        <w:ind w:right="57" w:firstLine="706"/>
        <w:jc w:val="both"/>
        <w:rPr>
          <w:rFonts w:ascii="Times New Roman" w:hAnsi="Times New Roman"/>
          <w:b/>
          <w:bCs/>
          <w:sz w:val="28"/>
          <w:szCs w:val="28"/>
          <w:lang w:val="uk-UA"/>
        </w:rPr>
      </w:pPr>
      <w:r>
        <w:rPr>
          <w:rFonts w:ascii="Times New Roman" w:hAnsi="Times New Roman" w:cs="Times New Roman"/>
          <w:b/>
          <w:sz w:val="28"/>
          <w:szCs w:val="28"/>
          <w:lang w:val="uk-UA"/>
        </w:rPr>
        <w:t xml:space="preserve">2.2 </w:t>
      </w:r>
      <w:r w:rsidR="00912E07" w:rsidRPr="002114C8">
        <w:rPr>
          <w:rFonts w:ascii="Times New Roman" w:hAnsi="Times New Roman"/>
          <w:b/>
          <w:bCs/>
          <w:sz w:val="28"/>
          <w:szCs w:val="28"/>
          <w:lang w:val="uk-UA"/>
        </w:rPr>
        <w:t xml:space="preserve">Порівняльний аналіз фінансових рахунків Великої Британії та </w:t>
      </w:r>
      <w:r w:rsidRPr="002114C8">
        <w:rPr>
          <w:rFonts w:ascii="Times New Roman" w:hAnsi="Times New Roman"/>
          <w:b/>
          <w:bCs/>
          <w:sz w:val="28"/>
          <w:szCs w:val="28"/>
          <w:lang w:val="uk-UA"/>
        </w:rPr>
        <w:t>Ірландії</w:t>
      </w:r>
    </w:p>
    <w:p w:rsidR="00E63F46" w:rsidRPr="002114C8" w:rsidRDefault="00912E07" w:rsidP="00465D9D">
      <w:pPr>
        <w:spacing w:afterLines="50" w:after="120" w:line="360" w:lineRule="auto"/>
        <w:ind w:firstLine="706"/>
        <w:jc w:val="both"/>
        <w:rPr>
          <w:rFonts w:ascii="Times New Roman" w:hAnsi="Times New Roman" w:cs="Times New Roman"/>
          <w:sz w:val="28"/>
          <w:szCs w:val="28"/>
          <w:lang w:val="uk-UA"/>
        </w:rPr>
      </w:pPr>
      <w:r w:rsidRPr="002114C8">
        <w:rPr>
          <w:rFonts w:ascii="Times New Roman" w:hAnsi="Times New Roman"/>
          <w:sz w:val="28"/>
          <w:szCs w:val="28"/>
          <w:lang w:val="uk-UA"/>
        </w:rPr>
        <w:t xml:space="preserve">Фінансовий рахунок складається з 3 основних компонентів  </w:t>
      </w:r>
      <w:r w:rsidRPr="002114C8">
        <w:rPr>
          <w:rFonts w:ascii="Times New Roman" w:hAnsi="Times New Roman" w:cs="Times New Roman"/>
          <w:sz w:val="28"/>
          <w:szCs w:val="28"/>
          <w:lang w:val="uk-UA"/>
        </w:rPr>
        <w:t>̶  сальдо пр</w:t>
      </w:r>
      <w:r w:rsidR="002114C8">
        <w:rPr>
          <w:rFonts w:ascii="Times New Roman" w:hAnsi="Times New Roman" w:cs="Times New Roman"/>
          <w:sz w:val="28"/>
          <w:szCs w:val="28"/>
          <w:lang w:val="uk-UA"/>
        </w:rPr>
        <w:t>я</w:t>
      </w:r>
      <w:r w:rsidRPr="002114C8">
        <w:rPr>
          <w:rFonts w:ascii="Times New Roman" w:hAnsi="Times New Roman" w:cs="Times New Roman"/>
          <w:sz w:val="28"/>
          <w:szCs w:val="28"/>
          <w:lang w:val="uk-UA"/>
        </w:rPr>
        <w:t>мих інвестицій, сальдо портфельних та інших інвестицій. Фінансовий р</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хунок Великої Британії та Ірландії зводяться переважно з дефіцитом, що вк</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 xml:space="preserve">зує на те, що обидві країни є інвестиційно-привабливими для нерезидентів. Виключенням для </w:t>
      </w:r>
      <w:r w:rsidR="002114C8" w:rsidRPr="002114C8">
        <w:rPr>
          <w:rFonts w:ascii="Times New Roman" w:hAnsi="Times New Roman" w:cs="Times New Roman"/>
          <w:sz w:val="28"/>
          <w:szCs w:val="28"/>
          <w:lang w:val="uk-UA"/>
        </w:rPr>
        <w:t>Ірландії</w:t>
      </w:r>
      <w:r w:rsidRPr="002114C8">
        <w:rPr>
          <w:rFonts w:ascii="Times New Roman" w:hAnsi="Times New Roman" w:cs="Times New Roman"/>
          <w:sz w:val="28"/>
          <w:szCs w:val="28"/>
          <w:lang w:val="uk-UA"/>
        </w:rPr>
        <w:t xml:space="preserve"> став 2021 рік, коли фінансовий рахунок мав проф</w:t>
      </w:r>
      <w:r w:rsidRPr="002114C8">
        <w:rPr>
          <w:rFonts w:ascii="Times New Roman" w:hAnsi="Times New Roman" w:cs="Times New Roman"/>
          <w:sz w:val="28"/>
          <w:szCs w:val="28"/>
          <w:lang w:val="uk-UA"/>
        </w:rPr>
        <w:t>і</w:t>
      </w:r>
      <w:r w:rsidRPr="002114C8">
        <w:rPr>
          <w:rFonts w:ascii="Times New Roman" w:hAnsi="Times New Roman" w:cs="Times New Roman"/>
          <w:sz w:val="28"/>
          <w:szCs w:val="28"/>
          <w:lang w:val="uk-UA"/>
        </w:rPr>
        <w:t>цит у 72,3</w:t>
      </w:r>
      <w:r w:rsidR="002114C8">
        <w:rPr>
          <w:rFonts w:ascii="Times New Roman" w:hAnsi="Times New Roman" w:cs="Times New Roman"/>
          <w:sz w:val="28"/>
          <w:szCs w:val="28"/>
          <w:lang w:val="uk-UA"/>
        </w:rPr>
        <w:t>9 млрд дол. США (див. табл. 2.3</w:t>
      </w:r>
      <w:r w:rsidRPr="002114C8">
        <w:rPr>
          <w:rFonts w:ascii="Times New Roman" w:hAnsi="Times New Roman" w:cs="Times New Roman"/>
          <w:sz w:val="28"/>
          <w:szCs w:val="28"/>
          <w:lang w:val="uk-UA"/>
        </w:rPr>
        <w:t xml:space="preserve">). </w:t>
      </w:r>
    </w:p>
    <w:p w:rsidR="002114C8" w:rsidRDefault="002114C8" w:rsidP="00465D9D">
      <w:pPr>
        <w:spacing w:afterLines="50" w:after="120" w:line="360" w:lineRule="auto"/>
        <w:ind w:firstLine="706"/>
        <w:jc w:val="right"/>
        <w:rPr>
          <w:rFonts w:ascii="Times New Roman" w:hAnsi="Times New Roman" w:cs="Times New Roman"/>
          <w:sz w:val="28"/>
          <w:szCs w:val="28"/>
          <w:lang w:val="uk-UA"/>
        </w:rPr>
      </w:pPr>
    </w:p>
    <w:p w:rsidR="002114C8" w:rsidRDefault="002114C8" w:rsidP="00465D9D">
      <w:pPr>
        <w:spacing w:afterLines="50" w:after="120" w:line="360" w:lineRule="auto"/>
        <w:ind w:firstLine="706"/>
        <w:jc w:val="right"/>
        <w:rPr>
          <w:rFonts w:ascii="Times New Roman" w:hAnsi="Times New Roman" w:cs="Times New Roman"/>
          <w:sz w:val="28"/>
          <w:szCs w:val="28"/>
          <w:lang w:val="uk-UA"/>
        </w:rPr>
      </w:pPr>
    </w:p>
    <w:p w:rsidR="002114C8" w:rsidRDefault="002114C8" w:rsidP="00465D9D">
      <w:pPr>
        <w:spacing w:afterLines="50" w:after="120" w:line="360" w:lineRule="auto"/>
        <w:ind w:firstLine="706"/>
        <w:jc w:val="right"/>
        <w:rPr>
          <w:rFonts w:ascii="Times New Roman" w:hAnsi="Times New Roman" w:cs="Times New Roman"/>
          <w:sz w:val="28"/>
          <w:szCs w:val="28"/>
          <w:lang w:val="uk-UA"/>
        </w:rPr>
      </w:pPr>
    </w:p>
    <w:p w:rsidR="002114C8" w:rsidRDefault="002114C8" w:rsidP="00465D9D">
      <w:pPr>
        <w:spacing w:afterLines="50" w:after="120" w:line="360" w:lineRule="auto"/>
        <w:ind w:firstLine="706"/>
        <w:jc w:val="right"/>
        <w:rPr>
          <w:rFonts w:ascii="Times New Roman" w:hAnsi="Times New Roman" w:cs="Times New Roman"/>
          <w:sz w:val="28"/>
          <w:szCs w:val="28"/>
          <w:lang w:val="uk-UA"/>
        </w:rPr>
      </w:pPr>
    </w:p>
    <w:p w:rsidR="002114C8" w:rsidRDefault="002114C8" w:rsidP="00465D9D">
      <w:pPr>
        <w:spacing w:afterLines="50" w:after="120" w:line="360" w:lineRule="auto"/>
        <w:ind w:firstLine="706"/>
        <w:jc w:val="right"/>
        <w:rPr>
          <w:rFonts w:ascii="Times New Roman" w:hAnsi="Times New Roman" w:cs="Times New Roman"/>
          <w:sz w:val="28"/>
          <w:szCs w:val="28"/>
          <w:lang w:val="uk-UA"/>
        </w:rPr>
      </w:pPr>
    </w:p>
    <w:p w:rsidR="00E63F46" w:rsidRPr="002114C8" w:rsidRDefault="002114C8" w:rsidP="00465D9D">
      <w:pPr>
        <w:spacing w:afterLines="50" w:after="120" w:line="360" w:lineRule="auto"/>
        <w:ind w:firstLine="706"/>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2.3</w:t>
      </w:r>
    </w:p>
    <w:p w:rsidR="00E63F46" w:rsidRPr="002114C8" w:rsidRDefault="00912E07">
      <w:pPr>
        <w:spacing w:after="0" w:line="360" w:lineRule="auto"/>
        <w:jc w:val="center"/>
        <w:rPr>
          <w:rFonts w:ascii="Times New Roman" w:hAnsi="Times New Roman" w:cs="Times New Roman"/>
          <w:sz w:val="28"/>
          <w:szCs w:val="28"/>
          <w:lang w:val="uk-UA"/>
        </w:rPr>
      </w:pPr>
      <w:r w:rsidRPr="002114C8">
        <w:rPr>
          <w:rFonts w:ascii="Times New Roman" w:hAnsi="Times New Roman" w:cs="Times New Roman"/>
          <w:sz w:val="28"/>
          <w:szCs w:val="28"/>
          <w:lang w:val="uk-UA"/>
        </w:rPr>
        <w:t>Складові фінансового рахунку Великої Британії та Ірландії, млрд дол.США</w:t>
      </w:r>
    </w:p>
    <w:tbl>
      <w:tblPr>
        <w:tblW w:w="4997" w:type="pct"/>
        <w:tblLook w:val="04A0" w:firstRow="1" w:lastRow="0" w:firstColumn="1" w:lastColumn="0" w:noHBand="0" w:noVBand="1"/>
      </w:tblPr>
      <w:tblGrid>
        <w:gridCol w:w="2999"/>
        <w:gridCol w:w="1343"/>
        <w:gridCol w:w="1526"/>
        <w:gridCol w:w="1449"/>
        <w:gridCol w:w="1497"/>
        <w:gridCol w:w="921"/>
      </w:tblGrid>
      <w:tr w:rsidR="00E63F46" w:rsidRPr="002114C8">
        <w:trPr>
          <w:trHeight w:val="444"/>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E63F46" w:rsidRPr="002114C8" w:rsidRDefault="00E63F46">
            <w:pPr>
              <w:spacing w:after="0" w:line="240" w:lineRule="auto"/>
              <w:jc w:val="both"/>
              <w:rPr>
                <w:rFonts w:ascii="Times New Roman" w:hAnsi="Times New Roman"/>
                <w:sz w:val="28"/>
                <w:szCs w:val="28"/>
                <w:lang w:val="uk-UA"/>
              </w:rPr>
            </w:pPr>
          </w:p>
        </w:tc>
        <w:tc>
          <w:tcPr>
            <w:tcW w:w="69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2018</w:t>
            </w:r>
          </w:p>
        </w:tc>
        <w:tc>
          <w:tcPr>
            <w:tcW w:w="78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2019</w:t>
            </w:r>
          </w:p>
        </w:tc>
        <w:tc>
          <w:tcPr>
            <w:tcW w:w="74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2020</w:t>
            </w:r>
          </w:p>
        </w:tc>
        <w:tc>
          <w:tcPr>
            <w:tcW w:w="76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2021</w:t>
            </w:r>
          </w:p>
        </w:tc>
        <w:tc>
          <w:tcPr>
            <w:tcW w:w="47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2022</w:t>
            </w:r>
          </w:p>
        </w:tc>
      </w:tr>
      <w:tr w:rsidR="00E63F46" w:rsidRPr="002114C8">
        <w:trPr>
          <w:trHeight w:val="444"/>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b/>
                <w:bCs/>
                <w:sz w:val="28"/>
                <w:szCs w:val="28"/>
                <w:lang w:val="uk-UA" w:eastAsia="zh-CN"/>
              </w:rPr>
              <w:t>Велика Британія</w:t>
            </w:r>
          </w:p>
        </w:tc>
      </w:tr>
      <w:tr w:rsidR="00E63F46" w:rsidRPr="002114C8">
        <w:trPr>
          <w:trHeight w:val="90"/>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E63F46" w:rsidRPr="002114C8" w:rsidRDefault="00912E07">
            <w:pPr>
              <w:spacing w:after="0" w:line="360" w:lineRule="auto"/>
              <w:jc w:val="both"/>
              <w:rPr>
                <w:rFonts w:ascii="Times New Roman" w:hAnsi="Times New Roman"/>
                <w:sz w:val="28"/>
                <w:szCs w:val="28"/>
                <w:lang w:val="uk-UA"/>
              </w:rPr>
            </w:pPr>
            <w:r w:rsidRPr="002114C8">
              <w:rPr>
                <w:rFonts w:ascii="Times New Roman" w:hAnsi="Times New Roman"/>
                <w:b/>
                <w:bCs/>
                <w:sz w:val="28"/>
                <w:szCs w:val="28"/>
                <w:lang w:val="uk-UA" w:eastAsia="zh-CN"/>
              </w:rPr>
              <w:t>Фінансовий рахунок</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eastAsia="zh-CN"/>
              </w:rPr>
            </w:pPr>
            <w:r w:rsidRPr="002114C8">
              <w:rPr>
                <w:rFonts w:ascii="Times New Roman" w:hAnsi="Times New Roman"/>
                <w:sz w:val="28"/>
                <w:szCs w:val="28"/>
                <w:lang w:val="uk-UA" w:eastAsia="zh-CN"/>
              </w:rPr>
              <w:t>-122.212</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-102.048</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-110.207</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-26.669</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r w:rsidR="00E63F46" w:rsidRPr="002114C8">
        <w:trPr>
          <w:trHeight w:val="597"/>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E63F46" w:rsidRPr="002114C8" w:rsidRDefault="00912E07">
            <w:pPr>
              <w:spacing w:after="0" w:line="240" w:lineRule="auto"/>
              <w:rPr>
                <w:rFonts w:ascii="Times New Roman" w:hAnsi="Times New Roman"/>
                <w:sz w:val="28"/>
                <w:szCs w:val="28"/>
                <w:lang w:val="uk-UA"/>
              </w:rPr>
            </w:pPr>
            <w:r w:rsidRPr="002114C8">
              <w:rPr>
                <w:rFonts w:ascii="Times New Roman" w:hAnsi="Times New Roman"/>
                <w:sz w:val="28"/>
                <w:szCs w:val="28"/>
                <w:lang w:val="uk-UA" w:eastAsia="zh-CN"/>
              </w:rPr>
              <w:t>Сальдо прямих іноз</w:t>
            </w:r>
            <w:r w:rsidRPr="002114C8">
              <w:rPr>
                <w:rFonts w:ascii="Times New Roman" w:hAnsi="Times New Roman"/>
                <w:sz w:val="28"/>
                <w:szCs w:val="28"/>
                <w:lang w:val="uk-UA" w:eastAsia="zh-CN"/>
              </w:rPr>
              <w:t>е</w:t>
            </w:r>
            <w:r w:rsidRPr="002114C8">
              <w:rPr>
                <w:rFonts w:ascii="Times New Roman" w:hAnsi="Times New Roman"/>
                <w:sz w:val="28"/>
                <w:szCs w:val="28"/>
                <w:lang w:val="uk-UA" w:eastAsia="zh-CN"/>
              </w:rPr>
              <w:t>мних інвестицій</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-3.576</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-41.289</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-136.920</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eastAsia="zh-CN"/>
              </w:rPr>
            </w:pPr>
            <w:r w:rsidRPr="002114C8">
              <w:rPr>
                <w:rFonts w:ascii="Times New Roman" w:hAnsi="Times New Roman"/>
                <w:sz w:val="28"/>
                <w:szCs w:val="28"/>
                <w:lang w:val="uk-UA" w:eastAsia="zh-CN"/>
              </w:rPr>
              <w:t>155.009</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r w:rsidR="00E63F46" w:rsidRPr="002114C8">
        <w:trPr>
          <w:trHeight w:val="711"/>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E63F46" w:rsidRPr="002114C8" w:rsidRDefault="00912E07">
            <w:pPr>
              <w:spacing w:after="0" w:line="240" w:lineRule="auto"/>
              <w:rPr>
                <w:rFonts w:ascii="Times New Roman" w:hAnsi="Times New Roman"/>
                <w:sz w:val="28"/>
                <w:szCs w:val="28"/>
                <w:lang w:val="uk-UA"/>
              </w:rPr>
            </w:pPr>
            <w:r w:rsidRPr="002114C8">
              <w:rPr>
                <w:rFonts w:ascii="Times New Roman" w:hAnsi="Times New Roman"/>
                <w:sz w:val="28"/>
                <w:szCs w:val="28"/>
                <w:lang w:val="uk-UA" w:eastAsia="zh-CN"/>
              </w:rPr>
              <w:t>Сальдо портфельних інвестицій</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-353.571</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34.756</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31.995</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-262.347</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r w:rsidR="00E63F46" w:rsidRPr="002114C8">
        <w:trPr>
          <w:trHeight w:val="701"/>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E63F46" w:rsidRPr="002114C8" w:rsidRDefault="00912E07">
            <w:pPr>
              <w:spacing w:after="0" w:line="240" w:lineRule="auto"/>
              <w:rPr>
                <w:rFonts w:ascii="Times New Roman" w:hAnsi="Times New Roman"/>
                <w:sz w:val="28"/>
                <w:szCs w:val="28"/>
                <w:lang w:val="uk-UA"/>
              </w:rPr>
            </w:pPr>
            <w:r w:rsidRPr="002114C8">
              <w:rPr>
                <w:rFonts w:ascii="Times New Roman" w:hAnsi="Times New Roman"/>
                <w:sz w:val="28"/>
                <w:szCs w:val="28"/>
                <w:lang w:val="uk-UA" w:eastAsia="zh-CN"/>
              </w:rPr>
              <w:t>Сальдо інших інвест</w:t>
            </w:r>
            <w:r w:rsidRPr="002114C8">
              <w:rPr>
                <w:rFonts w:ascii="Times New Roman" w:hAnsi="Times New Roman"/>
                <w:sz w:val="28"/>
                <w:szCs w:val="28"/>
                <w:lang w:val="uk-UA" w:eastAsia="zh-CN"/>
              </w:rPr>
              <w:t>и</w:t>
            </w:r>
            <w:r w:rsidRPr="002114C8">
              <w:rPr>
                <w:rFonts w:ascii="Times New Roman" w:hAnsi="Times New Roman"/>
                <w:sz w:val="28"/>
                <w:szCs w:val="28"/>
                <w:lang w:val="uk-UA" w:eastAsia="zh-CN"/>
              </w:rPr>
              <w:t>цій</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199.084</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-95.564</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eastAsia="zh-CN"/>
              </w:rPr>
            </w:pPr>
            <w:r w:rsidRPr="002114C8">
              <w:rPr>
                <w:rFonts w:ascii="Times New Roman" w:hAnsi="Times New Roman"/>
                <w:sz w:val="28"/>
                <w:szCs w:val="28"/>
                <w:lang w:val="uk-UA" w:eastAsia="zh-CN"/>
              </w:rPr>
              <w:t>-34.025</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95.004</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r w:rsidR="00E63F46" w:rsidRPr="002114C8">
        <w:trPr>
          <w:trHeight w:val="444"/>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b/>
                <w:bCs/>
                <w:sz w:val="28"/>
                <w:szCs w:val="28"/>
                <w:lang w:val="uk-UA" w:eastAsia="zh-CN"/>
              </w:rPr>
              <w:t>Ірландія</w:t>
            </w:r>
          </w:p>
        </w:tc>
      </w:tr>
      <w:tr w:rsidR="00E63F46" w:rsidRPr="002114C8">
        <w:trPr>
          <w:trHeight w:val="499"/>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b/>
                <w:bCs/>
                <w:sz w:val="28"/>
                <w:szCs w:val="28"/>
                <w:lang w:val="uk-UA" w:eastAsia="zh-CN"/>
              </w:rPr>
              <w:t>Фінансовий рахунок</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eastAsia="zh-CN"/>
              </w:rPr>
            </w:pPr>
            <w:r w:rsidRPr="002114C8">
              <w:rPr>
                <w:rFonts w:ascii="Times New Roman" w:hAnsi="Times New Roman"/>
                <w:sz w:val="28"/>
                <w:szCs w:val="28"/>
                <w:lang w:val="uk-UA" w:eastAsia="zh-CN"/>
              </w:rPr>
              <w:t>-35.352</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-74.004</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-39.160</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72.387</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r w:rsidR="00E63F46" w:rsidRPr="002114C8">
        <w:trPr>
          <w:trHeight w:val="794"/>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rPr>
                <w:rFonts w:ascii="Times New Roman" w:hAnsi="Times New Roman"/>
                <w:sz w:val="28"/>
                <w:szCs w:val="28"/>
                <w:lang w:val="uk-UA"/>
              </w:rPr>
            </w:pPr>
            <w:r w:rsidRPr="002114C8">
              <w:rPr>
                <w:rFonts w:ascii="Times New Roman" w:hAnsi="Times New Roman"/>
                <w:sz w:val="28"/>
                <w:szCs w:val="28"/>
                <w:lang w:val="uk-UA" w:eastAsia="zh-CN"/>
              </w:rPr>
              <w:t>Сальдо прямих іноз</w:t>
            </w:r>
            <w:r w:rsidRPr="002114C8">
              <w:rPr>
                <w:rFonts w:ascii="Times New Roman" w:hAnsi="Times New Roman"/>
                <w:sz w:val="28"/>
                <w:szCs w:val="28"/>
                <w:lang w:val="uk-UA" w:eastAsia="zh-CN"/>
              </w:rPr>
              <w:t>е</w:t>
            </w:r>
            <w:r w:rsidRPr="002114C8">
              <w:rPr>
                <w:rFonts w:ascii="Times New Roman" w:hAnsi="Times New Roman"/>
                <w:sz w:val="28"/>
                <w:szCs w:val="28"/>
                <w:lang w:val="uk-UA" w:eastAsia="zh-CN"/>
              </w:rPr>
              <w:t>мних інвестицій</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eastAsia="zh-CN"/>
              </w:rPr>
            </w:pPr>
            <w:r w:rsidRPr="002114C8">
              <w:rPr>
                <w:rFonts w:ascii="Times New Roman" w:hAnsi="Times New Roman"/>
                <w:sz w:val="28"/>
                <w:szCs w:val="28"/>
                <w:lang w:val="uk-UA" w:eastAsia="zh-CN"/>
              </w:rPr>
              <w:t>27.441</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-97.444</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-126.747</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62.639</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r w:rsidR="00E63F46" w:rsidRPr="002114C8">
        <w:trPr>
          <w:trHeight w:val="661"/>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E63F46" w:rsidRPr="002114C8" w:rsidRDefault="00912E07">
            <w:pPr>
              <w:spacing w:after="0" w:line="240" w:lineRule="auto"/>
              <w:rPr>
                <w:rFonts w:ascii="Times New Roman" w:hAnsi="Times New Roman"/>
                <w:sz w:val="28"/>
                <w:szCs w:val="28"/>
                <w:lang w:val="uk-UA"/>
              </w:rPr>
            </w:pPr>
            <w:r w:rsidRPr="002114C8">
              <w:rPr>
                <w:rFonts w:ascii="Times New Roman" w:hAnsi="Times New Roman"/>
                <w:sz w:val="28"/>
                <w:szCs w:val="28"/>
                <w:lang w:val="uk-UA" w:eastAsia="zh-CN"/>
              </w:rPr>
              <w:t>Сальдо портфельних інвестицій</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43.994</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eastAsia="zh-CN"/>
              </w:rPr>
            </w:pPr>
            <w:r w:rsidRPr="002114C8">
              <w:rPr>
                <w:rFonts w:ascii="Times New Roman" w:hAnsi="Times New Roman"/>
                <w:sz w:val="28"/>
                <w:szCs w:val="28"/>
                <w:lang w:val="uk-UA" w:eastAsia="zh-CN"/>
              </w:rPr>
              <w:t>32.398</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-24.150</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-7.106</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r w:rsidR="00E63F46" w:rsidRPr="002114C8">
        <w:trPr>
          <w:trHeight w:val="744"/>
        </w:trPr>
        <w:tc>
          <w:tcPr>
            <w:tcW w:w="15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E63F46" w:rsidRPr="002114C8" w:rsidRDefault="00912E07">
            <w:pPr>
              <w:spacing w:after="0" w:line="240" w:lineRule="auto"/>
              <w:rPr>
                <w:rFonts w:ascii="Times New Roman" w:hAnsi="Times New Roman"/>
                <w:sz w:val="28"/>
                <w:szCs w:val="28"/>
                <w:lang w:val="uk-UA"/>
              </w:rPr>
            </w:pPr>
            <w:r w:rsidRPr="002114C8">
              <w:rPr>
                <w:rFonts w:ascii="Times New Roman" w:hAnsi="Times New Roman"/>
                <w:sz w:val="28"/>
                <w:szCs w:val="28"/>
                <w:lang w:val="uk-UA" w:eastAsia="zh-CN"/>
              </w:rPr>
              <w:t>Сальдо інших інвест</w:t>
            </w:r>
            <w:r w:rsidRPr="002114C8">
              <w:rPr>
                <w:rFonts w:ascii="Times New Roman" w:hAnsi="Times New Roman"/>
                <w:sz w:val="28"/>
                <w:szCs w:val="28"/>
                <w:lang w:val="uk-UA" w:eastAsia="zh-CN"/>
              </w:rPr>
              <w:t>и</w:t>
            </w:r>
            <w:r w:rsidRPr="002114C8">
              <w:rPr>
                <w:rFonts w:ascii="Times New Roman" w:hAnsi="Times New Roman"/>
                <w:sz w:val="28"/>
                <w:szCs w:val="28"/>
                <w:lang w:val="uk-UA" w:eastAsia="zh-CN"/>
              </w:rPr>
              <w:t>цій</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-119.112</w:t>
            </w:r>
          </w:p>
        </w:tc>
        <w:tc>
          <w:tcPr>
            <w:tcW w:w="7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11.666</w:t>
            </w:r>
          </w:p>
        </w:tc>
        <w:tc>
          <w:tcPr>
            <w:tcW w:w="744"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eastAsia="zh-CN"/>
              </w:rPr>
            </w:pPr>
            <w:r w:rsidRPr="002114C8">
              <w:rPr>
                <w:rFonts w:ascii="Times New Roman" w:hAnsi="Times New Roman"/>
                <w:sz w:val="28"/>
                <w:szCs w:val="28"/>
                <w:lang w:val="uk-UA" w:eastAsia="zh-CN"/>
              </w:rPr>
              <w:t>104.014</w:t>
            </w:r>
          </w:p>
        </w:tc>
        <w:tc>
          <w:tcPr>
            <w:tcW w:w="769"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4.322</w:t>
            </w:r>
          </w:p>
        </w:tc>
        <w:tc>
          <w:tcPr>
            <w:tcW w:w="4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240" w:lineRule="auto"/>
              <w:jc w:val="center"/>
              <w:rPr>
                <w:rFonts w:ascii="Times New Roman" w:hAnsi="Times New Roman"/>
                <w:sz w:val="28"/>
                <w:szCs w:val="28"/>
                <w:lang w:val="uk-UA"/>
              </w:rPr>
            </w:pPr>
            <w:r w:rsidRPr="002114C8">
              <w:rPr>
                <w:rFonts w:ascii="Times New Roman" w:hAnsi="Times New Roman"/>
                <w:sz w:val="28"/>
                <w:szCs w:val="28"/>
                <w:lang w:val="uk-UA" w:eastAsia="zh-CN"/>
              </w:rPr>
              <w:t>-</w:t>
            </w:r>
          </w:p>
        </w:tc>
      </w:tr>
    </w:tbl>
    <w:p w:rsidR="00E63F46" w:rsidRPr="002114C8" w:rsidRDefault="00912E07" w:rsidP="00465D9D">
      <w:pPr>
        <w:spacing w:afterLines="100" w:after="240" w:line="360" w:lineRule="auto"/>
        <w:ind w:right="58"/>
        <w:jc w:val="both"/>
        <w:rPr>
          <w:rFonts w:ascii="Times New Roman" w:hAnsi="Times New Roman"/>
          <w:sz w:val="28"/>
          <w:szCs w:val="28"/>
          <w:lang w:val="uk-UA"/>
        </w:rPr>
      </w:pPr>
      <w:r w:rsidRPr="002114C8">
        <w:rPr>
          <w:rFonts w:ascii="Times New Roman" w:hAnsi="Times New Roman"/>
          <w:sz w:val="28"/>
          <w:szCs w:val="28"/>
          <w:lang w:val="uk-UA"/>
        </w:rPr>
        <w:tab/>
        <w:t>Джерело: складено автором на основі [11]</w:t>
      </w:r>
    </w:p>
    <w:p w:rsidR="00E63F46" w:rsidRPr="002114C8" w:rsidRDefault="00912E07" w:rsidP="00465D9D">
      <w:pPr>
        <w:spacing w:afterLines="100" w:after="240" w:line="360" w:lineRule="auto"/>
        <w:ind w:right="58" w:firstLine="708"/>
        <w:jc w:val="both"/>
        <w:rPr>
          <w:rFonts w:ascii="Times New Roman" w:hAnsi="Times New Roman"/>
          <w:sz w:val="28"/>
          <w:szCs w:val="28"/>
          <w:lang w:val="uk-UA"/>
        </w:rPr>
      </w:pPr>
      <w:r w:rsidRPr="002114C8">
        <w:rPr>
          <w:rFonts w:ascii="Times New Roman" w:hAnsi="Times New Roman"/>
          <w:sz w:val="28"/>
          <w:szCs w:val="28"/>
          <w:lang w:val="uk-UA"/>
        </w:rPr>
        <w:t>У 2021 році приплив ПІІ зросли на 102,7%, тоді як відплив скоротився на 95,5%, що стало основним критерієм зменшення дефіциту фінансового р</w:t>
      </w:r>
      <w:r w:rsidRPr="002114C8">
        <w:rPr>
          <w:rFonts w:ascii="Times New Roman" w:hAnsi="Times New Roman"/>
          <w:sz w:val="28"/>
          <w:szCs w:val="28"/>
          <w:lang w:val="uk-UA"/>
        </w:rPr>
        <w:t>а</w:t>
      </w:r>
      <w:r w:rsidRPr="002114C8">
        <w:rPr>
          <w:rFonts w:ascii="Times New Roman" w:hAnsi="Times New Roman"/>
          <w:sz w:val="28"/>
          <w:szCs w:val="28"/>
          <w:lang w:val="uk-UA"/>
        </w:rPr>
        <w:t>хунку Сполученого Королівст</w:t>
      </w:r>
      <w:r w:rsidR="002114C8">
        <w:rPr>
          <w:rFonts w:ascii="Times New Roman" w:hAnsi="Times New Roman"/>
          <w:sz w:val="28"/>
          <w:szCs w:val="28"/>
          <w:lang w:val="uk-UA"/>
        </w:rPr>
        <w:t>ва у 4,13 разів (див. рис. 2.4</w:t>
      </w:r>
      <w:r w:rsidRPr="002114C8">
        <w:rPr>
          <w:rFonts w:ascii="Times New Roman" w:hAnsi="Times New Roman"/>
          <w:sz w:val="28"/>
          <w:szCs w:val="28"/>
          <w:lang w:val="uk-UA"/>
        </w:rPr>
        <w:t>). Збільшення обсягу ПІІ в основному відображає вищі позиції в США і країнах, що не входить до ЄС. Збільшення відбулося в основному за рахунок професійних, наукових і технічних послуг зі Сполученими Штатами. На противагу, фінансовий рах</w:t>
      </w:r>
      <w:r w:rsidRPr="002114C8">
        <w:rPr>
          <w:rFonts w:ascii="Times New Roman" w:hAnsi="Times New Roman"/>
          <w:sz w:val="28"/>
          <w:szCs w:val="28"/>
          <w:lang w:val="uk-UA"/>
        </w:rPr>
        <w:t>у</w:t>
      </w:r>
      <w:r w:rsidRPr="002114C8">
        <w:rPr>
          <w:rFonts w:ascii="Times New Roman" w:hAnsi="Times New Roman"/>
          <w:sz w:val="28"/>
          <w:szCs w:val="28"/>
          <w:lang w:val="uk-UA"/>
        </w:rPr>
        <w:t>нок Ірландії  мав менший дефіцит порівняно з Великою Британією, у сере</w:t>
      </w:r>
      <w:r w:rsidRPr="002114C8">
        <w:rPr>
          <w:rFonts w:ascii="Times New Roman" w:hAnsi="Times New Roman"/>
          <w:sz w:val="28"/>
          <w:szCs w:val="28"/>
          <w:lang w:val="uk-UA"/>
        </w:rPr>
        <w:t>д</w:t>
      </w:r>
      <w:r w:rsidRPr="002114C8">
        <w:rPr>
          <w:rFonts w:ascii="Times New Roman" w:hAnsi="Times New Roman"/>
          <w:sz w:val="28"/>
          <w:szCs w:val="28"/>
          <w:lang w:val="uk-UA"/>
        </w:rPr>
        <w:t>ньому протягом 2018-2020 рр. цей показник на 57% був меншим порівняно з аналогічним показником Сполученого Королівства.  Попри це, у 2021 році ф</w:t>
      </w:r>
      <w:r w:rsidRPr="002114C8">
        <w:rPr>
          <w:rFonts w:ascii="Times New Roman" w:hAnsi="Times New Roman"/>
          <w:sz w:val="28"/>
          <w:szCs w:val="28"/>
          <w:lang w:val="uk-UA"/>
        </w:rPr>
        <w:t>і</w:t>
      </w:r>
      <w:r w:rsidRPr="002114C8">
        <w:rPr>
          <w:rFonts w:ascii="Times New Roman" w:hAnsi="Times New Roman"/>
          <w:sz w:val="28"/>
          <w:szCs w:val="28"/>
          <w:lang w:val="uk-UA"/>
        </w:rPr>
        <w:t>нансовий рахунок зводився з профіцитом у</w:t>
      </w:r>
      <w:r w:rsidR="002114C8">
        <w:rPr>
          <w:rFonts w:ascii="Times New Roman" w:hAnsi="Times New Roman"/>
          <w:sz w:val="28"/>
          <w:szCs w:val="28"/>
          <w:lang w:val="uk-UA"/>
        </w:rPr>
        <w:t xml:space="preserve"> </w:t>
      </w:r>
      <w:r w:rsidRPr="002114C8">
        <w:rPr>
          <w:rFonts w:ascii="Times New Roman" w:hAnsi="Times New Roman"/>
          <w:sz w:val="28"/>
          <w:szCs w:val="28"/>
          <w:lang w:val="uk-UA"/>
        </w:rPr>
        <w:t>72,38 млрд дол.</w:t>
      </w:r>
      <w:r w:rsidR="002114C8">
        <w:rPr>
          <w:rFonts w:ascii="Times New Roman" w:hAnsi="Times New Roman"/>
          <w:sz w:val="28"/>
          <w:szCs w:val="28"/>
          <w:lang w:val="uk-UA"/>
        </w:rPr>
        <w:t xml:space="preserve"> </w:t>
      </w:r>
      <w:r w:rsidRPr="002114C8">
        <w:rPr>
          <w:rFonts w:ascii="Times New Roman" w:hAnsi="Times New Roman"/>
          <w:sz w:val="28"/>
          <w:szCs w:val="28"/>
          <w:lang w:val="uk-UA"/>
        </w:rPr>
        <w:t xml:space="preserve">США, у першу чергу завдяки збільшенню активів прямих іноземних інвестицій. </w:t>
      </w:r>
    </w:p>
    <w:p w:rsidR="00E63F46" w:rsidRPr="002114C8" w:rsidRDefault="00912E07">
      <w:pPr>
        <w:spacing w:after="0" w:line="360" w:lineRule="auto"/>
        <w:ind w:right="57"/>
        <w:jc w:val="both"/>
        <w:rPr>
          <w:rFonts w:ascii="Times New Roman" w:hAnsi="Times New Roman"/>
          <w:sz w:val="28"/>
          <w:szCs w:val="28"/>
          <w:lang w:val="uk-UA"/>
        </w:rPr>
      </w:pPr>
      <w:r w:rsidRPr="002114C8">
        <w:rPr>
          <w:noProof/>
        </w:rPr>
        <w:lastRenderedPageBreak/>
        <w:drawing>
          <wp:inline distT="0" distB="0" distL="114300" distR="114300" wp14:anchorId="65C7966F" wp14:editId="34E30E8B">
            <wp:extent cx="6082665" cy="3502660"/>
            <wp:effectExtent l="6350" t="6350" r="6985" b="2159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63F46" w:rsidRPr="002114C8" w:rsidRDefault="002114C8">
      <w:pPr>
        <w:spacing w:after="0" w:line="360" w:lineRule="auto"/>
        <w:ind w:right="57" w:firstLine="708"/>
        <w:jc w:val="both"/>
        <w:rPr>
          <w:rFonts w:ascii="Times New Roman" w:eastAsia="SimSun" w:hAnsi="Times New Roman" w:cs="Times New Roman"/>
          <w:color w:val="000000"/>
          <w:sz w:val="28"/>
          <w:szCs w:val="28"/>
          <w:lang w:val="uk-UA" w:eastAsia="zh-CN" w:bidi="ar"/>
        </w:rPr>
      </w:pPr>
      <w:r>
        <w:rPr>
          <w:rFonts w:ascii="Times New Roman" w:hAnsi="Times New Roman"/>
          <w:sz w:val="28"/>
          <w:szCs w:val="28"/>
          <w:lang w:val="uk-UA"/>
        </w:rPr>
        <w:t>Рис. 2.4</w:t>
      </w:r>
      <w:r w:rsidR="00912E07" w:rsidRPr="002114C8">
        <w:rPr>
          <w:rFonts w:ascii="Times New Roman" w:hAnsi="Times New Roman"/>
          <w:sz w:val="28"/>
          <w:szCs w:val="28"/>
          <w:lang w:val="uk-UA"/>
        </w:rPr>
        <w:t xml:space="preserve"> </w:t>
      </w:r>
      <w:r w:rsidR="00912E07" w:rsidRPr="002114C8">
        <w:rPr>
          <w:rFonts w:ascii="Times New Roman" w:eastAsia="SimSun" w:hAnsi="Times New Roman" w:cs="Times New Roman"/>
          <w:color w:val="000000"/>
          <w:sz w:val="28"/>
          <w:szCs w:val="28"/>
          <w:lang w:val="uk-UA" w:eastAsia="zh-CN" w:bidi="ar"/>
        </w:rPr>
        <w:t>Складові сальдо прямих іноземних інвестицій Великої Британії та Ірландії протягом 2018-2021 рр., млрд дол.США</w:t>
      </w:r>
    </w:p>
    <w:p w:rsidR="00E63F46" w:rsidRPr="002114C8" w:rsidRDefault="00912E07" w:rsidP="00465D9D">
      <w:pPr>
        <w:spacing w:afterLines="100" w:after="240" w:line="360" w:lineRule="auto"/>
        <w:ind w:right="58" w:firstLine="706"/>
        <w:jc w:val="both"/>
        <w:rPr>
          <w:rFonts w:ascii="Times New Roman" w:hAnsi="Times New Roman"/>
          <w:sz w:val="28"/>
          <w:szCs w:val="28"/>
          <w:lang w:val="uk-UA"/>
        </w:rPr>
      </w:pPr>
      <w:r w:rsidRPr="002114C8">
        <w:rPr>
          <w:rFonts w:ascii="Times New Roman" w:hAnsi="Times New Roman"/>
          <w:sz w:val="28"/>
          <w:szCs w:val="28"/>
          <w:lang w:val="uk-UA"/>
        </w:rPr>
        <w:t>Джерело: складено автором на основі [11]</w:t>
      </w:r>
    </w:p>
    <w:p w:rsidR="00E63F46" w:rsidRPr="002114C8" w:rsidRDefault="00912E07">
      <w:pPr>
        <w:spacing w:after="0" w:line="360" w:lineRule="auto"/>
        <w:ind w:right="58" w:firstLine="706"/>
        <w:jc w:val="both"/>
        <w:rPr>
          <w:rFonts w:ascii="Times New Roman" w:hAnsi="Times New Roman"/>
          <w:sz w:val="28"/>
          <w:szCs w:val="28"/>
          <w:lang w:val="uk-UA"/>
        </w:rPr>
      </w:pPr>
      <w:r w:rsidRPr="002114C8">
        <w:rPr>
          <w:rFonts w:ascii="Times New Roman" w:hAnsi="Times New Roman"/>
          <w:sz w:val="28"/>
          <w:szCs w:val="28"/>
          <w:lang w:val="uk-UA"/>
        </w:rPr>
        <w:t>Вартість доходів від зовнішніх ПІІ була майже втричі вищою у 2021 р</w:t>
      </w:r>
      <w:r w:rsidRPr="002114C8">
        <w:rPr>
          <w:rFonts w:ascii="Times New Roman" w:hAnsi="Times New Roman"/>
          <w:sz w:val="28"/>
          <w:szCs w:val="28"/>
          <w:lang w:val="uk-UA"/>
        </w:rPr>
        <w:t>о</w:t>
      </w:r>
      <w:r w:rsidRPr="002114C8">
        <w:rPr>
          <w:rFonts w:ascii="Times New Roman" w:hAnsi="Times New Roman"/>
          <w:sz w:val="28"/>
          <w:szCs w:val="28"/>
          <w:lang w:val="uk-UA"/>
        </w:rPr>
        <w:t>ці порівняно з 2020 роком для Великої Британії, що частково відображає зн</w:t>
      </w:r>
      <w:r w:rsidRPr="002114C8">
        <w:rPr>
          <w:rFonts w:ascii="Times New Roman" w:hAnsi="Times New Roman"/>
          <w:sz w:val="28"/>
          <w:szCs w:val="28"/>
          <w:lang w:val="uk-UA"/>
        </w:rPr>
        <w:t>а</w:t>
      </w:r>
      <w:r w:rsidRPr="002114C8">
        <w:rPr>
          <w:rFonts w:ascii="Times New Roman" w:hAnsi="Times New Roman"/>
          <w:sz w:val="28"/>
          <w:szCs w:val="28"/>
          <w:lang w:val="uk-UA"/>
        </w:rPr>
        <w:t>чно нижчі надходження від зовнішніх ПІІ, про які повідомлялося у 2020 році під час пандемії COVID-19. Велика Британія була 14-м найбільшим реципіє</w:t>
      </w:r>
      <w:r w:rsidRPr="002114C8">
        <w:rPr>
          <w:rFonts w:ascii="Times New Roman" w:hAnsi="Times New Roman"/>
          <w:sz w:val="28"/>
          <w:szCs w:val="28"/>
          <w:lang w:val="uk-UA"/>
        </w:rPr>
        <w:t>н</w:t>
      </w:r>
      <w:r w:rsidRPr="002114C8">
        <w:rPr>
          <w:rFonts w:ascii="Times New Roman" w:hAnsi="Times New Roman"/>
          <w:sz w:val="28"/>
          <w:szCs w:val="28"/>
          <w:lang w:val="uk-UA"/>
        </w:rPr>
        <w:t>том глобальних потоків ПІІ (ЮНКТАД). Процес Brexit викликав багато зан</w:t>
      </w:r>
      <w:r w:rsidRPr="002114C8">
        <w:rPr>
          <w:rFonts w:ascii="Times New Roman" w:hAnsi="Times New Roman"/>
          <w:sz w:val="28"/>
          <w:szCs w:val="28"/>
          <w:lang w:val="uk-UA"/>
        </w:rPr>
        <w:t>е</w:t>
      </w:r>
      <w:r w:rsidRPr="002114C8">
        <w:rPr>
          <w:rFonts w:ascii="Times New Roman" w:hAnsi="Times New Roman"/>
          <w:sz w:val="28"/>
          <w:szCs w:val="28"/>
          <w:lang w:val="uk-UA"/>
        </w:rPr>
        <w:t>покоєнь у деяких інвесторів щодо збільшення витрат на торгівлю з Європою та волатильності фунта стерлінгів. Основними інвестиційними партнерами Сполученого Королівства, за обсягом ПІІ, є США, Нідерланди, британські офшорні острови, а саме Маршальські острови та острів Мен, також Люксе</w:t>
      </w:r>
      <w:r w:rsidRPr="002114C8">
        <w:rPr>
          <w:rFonts w:ascii="Times New Roman" w:hAnsi="Times New Roman"/>
          <w:sz w:val="28"/>
          <w:szCs w:val="28"/>
          <w:lang w:val="uk-UA"/>
        </w:rPr>
        <w:t>м</w:t>
      </w:r>
      <w:r w:rsidRPr="002114C8">
        <w:rPr>
          <w:rFonts w:ascii="Times New Roman" w:hAnsi="Times New Roman"/>
          <w:sz w:val="28"/>
          <w:szCs w:val="28"/>
          <w:lang w:val="uk-UA"/>
        </w:rPr>
        <w:t>бург і Франція. У 2021 році найбільше потоків ПІІ було спрямовано на наук</w:t>
      </w:r>
      <w:r w:rsidRPr="002114C8">
        <w:rPr>
          <w:rFonts w:ascii="Times New Roman" w:hAnsi="Times New Roman"/>
          <w:sz w:val="28"/>
          <w:szCs w:val="28"/>
          <w:lang w:val="uk-UA"/>
        </w:rPr>
        <w:t>о</w:t>
      </w:r>
      <w:r w:rsidRPr="002114C8">
        <w:rPr>
          <w:rFonts w:ascii="Times New Roman" w:hAnsi="Times New Roman"/>
          <w:sz w:val="28"/>
          <w:szCs w:val="28"/>
          <w:lang w:val="uk-UA"/>
        </w:rPr>
        <w:t xml:space="preserve">во-технічні послуги, інформацію та зв’язок, фінансові послуги, нафтохімію та транспортування та зберігання [16]. У 2018 році спостерігався відплив ПІІ до Ірландії у розмірі 27,4 млрд дол. США, тоді як у 2019 та 2020 роках  </w:t>
      </w:r>
      <w:r w:rsidRPr="002114C8">
        <w:rPr>
          <w:rFonts w:ascii="Times New Roman" w:hAnsi="Times New Roman" w:cs="Times New Roman"/>
          <w:sz w:val="28"/>
          <w:szCs w:val="28"/>
          <w:lang w:val="uk-UA"/>
        </w:rPr>
        <w:t xml:space="preserve">̶  приплив у розмірі 97,4 та 126,7 млрд дол. США. У 2021 році основними реципієнтами </w:t>
      </w:r>
      <w:r w:rsidRPr="002114C8">
        <w:rPr>
          <w:rFonts w:ascii="Times New Roman" w:hAnsi="Times New Roman" w:cs="Times New Roman"/>
          <w:sz w:val="28"/>
          <w:szCs w:val="28"/>
          <w:lang w:val="uk-UA"/>
        </w:rPr>
        <w:lastRenderedPageBreak/>
        <w:t xml:space="preserve">ПІІ Ірландії були США, Сполучене Королівство, Нідерланди та Франція, тоді як основними інвесторами в Ірландію були США, які є безумовними лідерами, Велика Британія, Франція та Китай[17]. </w:t>
      </w:r>
    </w:p>
    <w:p w:rsidR="00E63F46" w:rsidRPr="002114C8" w:rsidRDefault="00912E07">
      <w:pPr>
        <w:spacing w:after="0" w:line="360" w:lineRule="auto"/>
        <w:ind w:right="57" w:firstLine="708"/>
        <w:jc w:val="both"/>
        <w:rPr>
          <w:rFonts w:ascii="Times New Roman" w:hAnsi="Times New Roman" w:cs="Times New Roman"/>
          <w:sz w:val="28"/>
          <w:szCs w:val="28"/>
          <w:lang w:val="uk-UA"/>
        </w:rPr>
      </w:pPr>
      <w:r w:rsidRPr="002114C8">
        <w:rPr>
          <w:rFonts w:ascii="Times New Roman" w:hAnsi="Times New Roman"/>
          <w:sz w:val="28"/>
          <w:szCs w:val="28"/>
          <w:lang w:val="uk-UA"/>
        </w:rPr>
        <w:t>Розглянувши сальдо портфельних інвестицій Великої Британії, у 2018 році дана стаття мала значний дефіцит у 353,57 млрд дол. США, однак у 2019 році даний показник мав значний ріст на  90,16% і зводився з профіцитом. Профіцит спостерігався у 2020 році під час глобальної кризи, що є основною причиною відпливу капіталу. Тим не менш, у 2021 році Сполучене Королівс</w:t>
      </w:r>
      <w:r w:rsidRPr="002114C8">
        <w:rPr>
          <w:rFonts w:ascii="Times New Roman" w:hAnsi="Times New Roman"/>
          <w:sz w:val="28"/>
          <w:szCs w:val="28"/>
          <w:lang w:val="uk-UA"/>
        </w:rPr>
        <w:t>т</w:t>
      </w:r>
      <w:r w:rsidRPr="002114C8">
        <w:rPr>
          <w:rFonts w:ascii="Times New Roman" w:hAnsi="Times New Roman"/>
          <w:sz w:val="28"/>
          <w:szCs w:val="28"/>
          <w:lang w:val="uk-UA"/>
        </w:rPr>
        <w:t xml:space="preserve">во знову мало дефіцит портфельних інвестицій, який сягнув     262,34 млрд дол. США. Портфельні інвестиції для Ірландії є найбільшим інвестиційним ресурсом як для резидентів, так і для нерезидентів. У різні досліджуванні роки як активи, так і пасиви коливались від 100 млрд дол.США до 400 млрд дол. США. </w:t>
      </w:r>
      <w:r w:rsidRPr="002114C8">
        <w:rPr>
          <w:noProof/>
        </w:rPr>
        <w:drawing>
          <wp:inline distT="0" distB="0" distL="114300" distR="114300" wp14:anchorId="05B1CBC2" wp14:editId="10E27C1D">
            <wp:extent cx="5666105" cy="3969385"/>
            <wp:effectExtent l="6350" t="6350" r="17145" b="12065"/>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63F46" w:rsidRPr="002114C8" w:rsidRDefault="00B16FB3">
      <w:pPr>
        <w:spacing w:after="0" w:line="360" w:lineRule="auto"/>
        <w:ind w:right="57" w:firstLine="708"/>
        <w:jc w:val="both"/>
        <w:rPr>
          <w:rFonts w:ascii="Times New Roman" w:eastAsia="SimSun" w:hAnsi="Times New Roman" w:cs="Times New Roman"/>
          <w:color w:val="000000"/>
          <w:sz w:val="28"/>
          <w:szCs w:val="28"/>
          <w:lang w:val="uk-UA" w:eastAsia="zh-CN" w:bidi="ar"/>
        </w:rPr>
      </w:pPr>
      <w:r>
        <w:rPr>
          <w:rFonts w:ascii="Times New Roman" w:hAnsi="Times New Roman"/>
          <w:sz w:val="28"/>
          <w:szCs w:val="28"/>
          <w:lang w:val="uk-UA"/>
        </w:rPr>
        <w:t>Рис. 2.5</w:t>
      </w:r>
      <w:r w:rsidR="00912E07" w:rsidRPr="002114C8">
        <w:rPr>
          <w:rFonts w:ascii="Times New Roman" w:hAnsi="Times New Roman"/>
          <w:sz w:val="28"/>
          <w:szCs w:val="28"/>
          <w:lang w:val="uk-UA"/>
        </w:rPr>
        <w:t xml:space="preserve"> </w:t>
      </w:r>
      <w:r w:rsidR="00912E07" w:rsidRPr="002114C8">
        <w:rPr>
          <w:rFonts w:ascii="Times New Roman" w:eastAsia="SimSun" w:hAnsi="Times New Roman" w:cs="Times New Roman"/>
          <w:color w:val="000000"/>
          <w:sz w:val="28"/>
          <w:szCs w:val="28"/>
          <w:lang w:val="uk-UA" w:eastAsia="zh-CN" w:bidi="ar"/>
        </w:rPr>
        <w:t>Складові  сальдо портфельних інвестицій Великої Британії та Ірландії протягом 2018-2021 рр., млрд дол.США</w:t>
      </w:r>
    </w:p>
    <w:p w:rsidR="00E63F46" w:rsidRPr="002114C8" w:rsidRDefault="00912E07" w:rsidP="00465D9D">
      <w:pPr>
        <w:spacing w:afterLines="100" w:after="240" w:line="360" w:lineRule="auto"/>
        <w:ind w:right="57" w:firstLine="706"/>
        <w:jc w:val="both"/>
        <w:rPr>
          <w:rFonts w:ascii="Times New Roman" w:hAnsi="Times New Roman"/>
          <w:sz w:val="28"/>
          <w:szCs w:val="28"/>
          <w:lang w:val="uk-UA"/>
        </w:rPr>
      </w:pPr>
      <w:r w:rsidRPr="002114C8">
        <w:rPr>
          <w:rFonts w:ascii="Times New Roman" w:hAnsi="Times New Roman"/>
          <w:sz w:val="28"/>
          <w:szCs w:val="28"/>
          <w:lang w:val="uk-UA"/>
        </w:rPr>
        <w:t>Джерело: складено автором на основі [11]</w:t>
      </w:r>
    </w:p>
    <w:p w:rsidR="00B16FB3" w:rsidRDefault="00B16FB3" w:rsidP="00B16FB3">
      <w:pPr>
        <w:spacing w:after="0" w:line="360" w:lineRule="auto"/>
        <w:ind w:left="57" w:firstLine="709"/>
        <w:jc w:val="both"/>
        <w:rPr>
          <w:rFonts w:ascii="Times New Roman" w:eastAsia="SimSun" w:hAnsi="Times New Roman" w:cs="Times New Roman"/>
          <w:color w:val="000000"/>
          <w:sz w:val="28"/>
          <w:szCs w:val="28"/>
          <w:lang w:val="uk-UA" w:eastAsia="zh-CN" w:bidi="ar"/>
        </w:rPr>
      </w:pPr>
      <w:r w:rsidRPr="00B16FB3">
        <w:rPr>
          <w:rFonts w:ascii="Times New Roman" w:eastAsia="SimSun" w:hAnsi="Times New Roman" w:cs="Times New Roman"/>
          <w:color w:val="000000"/>
          <w:sz w:val="28"/>
          <w:szCs w:val="28"/>
          <w:lang w:val="uk-UA" w:eastAsia="zh-CN" w:bidi="ar"/>
        </w:rPr>
        <w:lastRenderedPageBreak/>
        <w:t>Для обох показників максимум був досягнутий у 2021 році, коли активи налічували 415,2 млрд дол.США, а пасиви у свою чергу  ̶  422,3 млрд дол.</w:t>
      </w:r>
      <w:r>
        <w:rPr>
          <w:rFonts w:ascii="Times New Roman" w:eastAsia="SimSun" w:hAnsi="Times New Roman" w:cs="Times New Roman"/>
          <w:color w:val="000000"/>
          <w:sz w:val="28"/>
          <w:szCs w:val="28"/>
          <w:lang w:val="uk-UA" w:eastAsia="zh-CN" w:bidi="ar"/>
        </w:rPr>
        <w:t xml:space="preserve"> </w:t>
      </w:r>
      <w:r w:rsidRPr="00B16FB3">
        <w:rPr>
          <w:rFonts w:ascii="Times New Roman" w:eastAsia="SimSun" w:hAnsi="Times New Roman" w:cs="Times New Roman"/>
          <w:color w:val="000000"/>
          <w:sz w:val="28"/>
          <w:szCs w:val="28"/>
          <w:lang w:val="uk-UA" w:eastAsia="zh-CN" w:bidi="ar"/>
        </w:rPr>
        <w:t>США (див.</w:t>
      </w:r>
      <w:r>
        <w:rPr>
          <w:rFonts w:ascii="Times New Roman" w:eastAsia="SimSun" w:hAnsi="Times New Roman" w:cs="Times New Roman"/>
          <w:color w:val="000000"/>
          <w:sz w:val="28"/>
          <w:szCs w:val="28"/>
          <w:lang w:val="uk-UA" w:eastAsia="zh-CN" w:bidi="ar"/>
        </w:rPr>
        <w:t xml:space="preserve"> </w:t>
      </w:r>
      <w:r w:rsidRPr="00B16FB3">
        <w:rPr>
          <w:rFonts w:ascii="Times New Roman" w:eastAsia="SimSun" w:hAnsi="Times New Roman" w:cs="Times New Roman"/>
          <w:color w:val="000000"/>
          <w:sz w:val="28"/>
          <w:szCs w:val="28"/>
          <w:lang w:val="uk-UA" w:eastAsia="zh-CN" w:bidi="ar"/>
        </w:rPr>
        <w:t>рис. 2.5).</w:t>
      </w:r>
    </w:p>
    <w:p w:rsidR="00E63F46" w:rsidRPr="002114C8" w:rsidRDefault="00912E07" w:rsidP="00B16FB3">
      <w:pPr>
        <w:spacing w:after="0" w:line="360" w:lineRule="auto"/>
        <w:ind w:left="57" w:firstLine="709"/>
        <w:jc w:val="both"/>
        <w:rPr>
          <w:rFonts w:ascii="Times New Roman" w:eastAsia="SimSun" w:hAnsi="Times New Roman" w:cs="Times New Roman"/>
          <w:color w:val="000000"/>
          <w:sz w:val="28"/>
          <w:szCs w:val="28"/>
          <w:lang w:val="uk-UA" w:eastAsia="zh-CN" w:bidi="ar"/>
        </w:rPr>
      </w:pPr>
      <w:r w:rsidRPr="002114C8">
        <w:rPr>
          <w:rFonts w:ascii="Times New Roman" w:eastAsia="SimSun" w:hAnsi="Times New Roman" w:cs="Times New Roman"/>
          <w:color w:val="000000"/>
          <w:sz w:val="28"/>
          <w:szCs w:val="28"/>
          <w:lang w:val="uk-UA" w:eastAsia="zh-CN" w:bidi="ar"/>
        </w:rPr>
        <w:t>Сальдо інших інвестицій Великої Британії потягом 2019-2020 року включно зводиться з дефіцитом, що вказує на те, що країна отримала більше кредитів, аніж видала. При цьому у 2020 році дефіцит було скорочено на 64,39%, а вже у 2021 році сальдо інших інвестицій мало профіцит у                95 млрд дол. США (див. рис. 2.2.3). Якщо розглядати аналогічну статтю ф</w:t>
      </w:r>
      <w:r w:rsidRPr="002114C8">
        <w:rPr>
          <w:rFonts w:ascii="Times New Roman" w:eastAsia="SimSun" w:hAnsi="Times New Roman" w:cs="Times New Roman"/>
          <w:color w:val="000000"/>
          <w:sz w:val="28"/>
          <w:szCs w:val="28"/>
          <w:lang w:val="uk-UA" w:eastAsia="zh-CN" w:bidi="ar"/>
        </w:rPr>
        <w:t>і</w:t>
      </w:r>
      <w:r w:rsidRPr="002114C8">
        <w:rPr>
          <w:rFonts w:ascii="Times New Roman" w:eastAsia="SimSun" w:hAnsi="Times New Roman" w:cs="Times New Roman"/>
          <w:color w:val="000000"/>
          <w:sz w:val="28"/>
          <w:szCs w:val="28"/>
          <w:lang w:val="uk-UA" w:eastAsia="zh-CN" w:bidi="ar"/>
        </w:rPr>
        <w:t xml:space="preserve">нансового рахунку Ірландії, то бачимо, що для даної статті характерним був профіцит протягом більшості періоду. Виключенням для Ірландії став 2018 рік, коли дефіцит досягнув 119 млрд дол.США. </w:t>
      </w:r>
    </w:p>
    <w:p w:rsidR="00E63F46" w:rsidRPr="002114C8" w:rsidRDefault="00912E07">
      <w:pPr>
        <w:spacing w:after="0" w:line="360" w:lineRule="auto"/>
        <w:ind w:left="57" w:firstLine="708"/>
        <w:jc w:val="both"/>
        <w:rPr>
          <w:rFonts w:ascii="Times New Roman" w:eastAsia="SimSun" w:hAnsi="Times New Roman" w:cs="Times New Roman"/>
          <w:color w:val="000000"/>
          <w:sz w:val="28"/>
          <w:szCs w:val="28"/>
          <w:lang w:val="uk-UA" w:eastAsia="zh-CN" w:bidi="ar"/>
        </w:rPr>
      </w:pPr>
      <w:r w:rsidRPr="002114C8">
        <w:rPr>
          <w:noProof/>
        </w:rPr>
        <w:drawing>
          <wp:anchor distT="0" distB="0" distL="114300" distR="114300" simplePos="0" relativeHeight="251659264" behindDoc="0" locked="0" layoutInCell="1" allowOverlap="1" wp14:anchorId="5BC02592" wp14:editId="756E455A">
            <wp:simplePos x="0" y="0"/>
            <wp:positionH relativeFrom="column">
              <wp:posOffset>109220</wp:posOffset>
            </wp:positionH>
            <wp:positionV relativeFrom="paragraph">
              <wp:posOffset>77470</wp:posOffset>
            </wp:positionV>
            <wp:extent cx="5993765" cy="3442335"/>
            <wp:effectExtent l="6350" t="6350" r="19685" b="31115"/>
            <wp:wrapTopAndBottom/>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B16FB3">
        <w:rPr>
          <w:rFonts w:ascii="Times New Roman" w:hAnsi="Times New Roman"/>
          <w:sz w:val="28"/>
          <w:szCs w:val="28"/>
          <w:lang w:val="uk-UA"/>
        </w:rPr>
        <w:t>Рис. 2.6</w:t>
      </w:r>
      <w:r w:rsidRPr="002114C8">
        <w:rPr>
          <w:rFonts w:ascii="Times New Roman" w:hAnsi="Times New Roman"/>
          <w:sz w:val="28"/>
          <w:szCs w:val="28"/>
          <w:lang w:val="uk-UA"/>
        </w:rPr>
        <w:t xml:space="preserve">. </w:t>
      </w:r>
      <w:r w:rsidRPr="002114C8">
        <w:rPr>
          <w:rFonts w:ascii="Times New Roman" w:eastAsia="SimSun" w:hAnsi="Times New Roman" w:cs="Times New Roman"/>
          <w:color w:val="000000"/>
          <w:sz w:val="28"/>
          <w:szCs w:val="28"/>
          <w:lang w:val="uk-UA" w:eastAsia="zh-CN" w:bidi="ar"/>
        </w:rPr>
        <w:t>Складові  сальдо інших інвестицій Великої Британії та Ірландії протягом 2018-2021 рр., млрд дол.США</w:t>
      </w:r>
    </w:p>
    <w:p w:rsidR="00E63F46" w:rsidRPr="002114C8" w:rsidRDefault="00912E07" w:rsidP="00465D9D">
      <w:pPr>
        <w:spacing w:afterLines="100" w:after="240" w:line="360" w:lineRule="auto"/>
        <w:ind w:right="57" w:firstLine="706"/>
        <w:jc w:val="both"/>
        <w:rPr>
          <w:rFonts w:ascii="Times New Roman" w:hAnsi="Times New Roman"/>
          <w:sz w:val="28"/>
          <w:szCs w:val="28"/>
          <w:lang w:val="uk-UA"/>
        </w:rPr>
      </w:pPr>
      <w:r w:rsidRPr="002114C8">
        <w:rPr>
          <w:rFonts w:ascii="Times New Roman" w:hAnsi="Times New Roman"/>
          <w:sz w:val="28"/>
          <w:szCs w:val="28"/>
          <w:lang w:val="uk-UA"/>
        </w:rPr>
        <w:t>Джерело: складено автором на основі [11]</w:t>
      </w:r>
    </w:p>
    <w:p w:rsidR="00E63F46" w:rsidRPr="002114C8" w:rsidRDefault="00B16FB3">
      <w:pPr>
        <w:spacing w:after="0" w:line="360" w:lineRule="auto"/>
        <w:ind w:left="58" w:firstLine="706"/>
        <w:jc w:val="both"/>
        <w:rPr>
          <w:rFonts w:ascii="Times New Roman" w:eastAsia="SimSun" w:hAnsi="Times New Roman" w:cs="Times New Roman"/>
          <w:color w:val="000000"/>
          <w:sz w:val="28"/>
          <w:szCs w:val="28"/>
          <w:lang w:val="uk-UA" w:eastAsia="zh-CN" w:bidi="ar"/>
        </w:rPr>
      </w:pPr>
      <w:r>
        <w:rPr>
          <w:rFonts w:ascii="Times New Roman" w:eastAsia="SimSun" w:hAnsi="Times New Roman" w:cs="Times New Roman"/>
          <w:color w:val="000000"/>
          <w:sz w:val="28"/>
          <w:szCs w:val="28"/>
          <w:lang w:val="uk-UA" w:eastAsia="zh-CN" w:bidi="ar"/>
        </w:rPr>
        <w:t xml:space="preserve"> З рис. 2.6</w:t>
      </w:r>
      <w:r w:rsidR="00912E07" w:rsidRPr="002114C8">
        <w:rPr>
          <w:rFonts w:ascii="Times New Roman" w:eastAsia="SimSun" w:hAnsi="Times New Roman" w:cs="Times New Roman"/>
          <w:color w:val="000000"/>
          <w:sz w:val="28"/>
          <w:szCs w:val="28"/>
          <w:lang w:val="uk-UA" w:eastAsia="zh-CN" w:bidi="ar"/>
        </w:rPr>
        <w:t xml:space="preserve"> спостерігаємо, що з 2019 року сальдо інших інвестицій Ірла</w:t>
      </w:r>
      <w:r w:rsidR="00912E07" w:rsidRPr="002114C8">
        <w:rPr>
          <w:rFonts w:ascii="Times New Roman" w:eastAsia="SimSun" w:hAnsi="Times New Roman" w:cs="Times New Roman"/>
          <w:color w:val="000000"/>
          <w:sz w:val="28"/>
          <w:szCs w:val="28"/>
          <w:lang w:val="uk-UA" w:eastAsia="zh-CN" w:bidi="ar"/>
        </w:rPr>
        <w:t>н</w:t>
      </w:r>
      <w:r w:rsidR="00912E07" w:rsidRPr="002114C8">
        <w:rPr>
          <w:rFonts w:ascii="Times New Roman" w:eastAsia="SimSun" w:hAnsi="Times New Roman" w:cs="Times New Roman"/>
          <w:color w:val="000000"/>
          <w:sz w:val="28"/>
          <w:szCs w:val="28"/>
          <w:lang w:val="uk-UA" w:eastAsia="zh-CN" w:bidi="ar"/>
        </w:rPr>
        <w:t>дії мало лише додатне значення. Максимальне значення відпливу капіталу спостерігалось у 2020 році і досягнуло 104 млрд дол.</w:t>
      </w:r>
      <w:r>
        <w:rPr>
          <w:rFonts w:ascii="Times New Roman" w:eastAsia="SimSun" w:hAnsi="Times New Roman" w:cs="Times New Roman"/>
          <w:color w:val="000000"/>
          <w:sz w:val="28"/>
          <w:szCs w:val="28"/>
          <w:lang w:val="uk-UA" w:eastAsia="zh-CN" w:bidi="ar"/>
        </w:rPr>
        <w:t xml:space="preserve"> </w:t>
      </w:r>
      <w:r w:rsidR="00912E07" w:rsidRPr="002114C8">
        <w:rPr>
          <w:rFonts w:ascii="Times New Roman" w:eastAsia="SimSun" w:hAnsi="Times New Roman" w:cs="Times New Roman"/>
          <w:color w:val="000000"/>
          <w:sz w:val="28"/>
          <w:szCs w:val="28"/>
          <w:lang w:val="uk-UA" w:eastAsia="zh-CN" w:bidi="ar"/>
        </w:rPr>
        <w:t>США, тоді як вже наст</w:t>
      </w:r>
      <w:r w:rsidR="00912E07" w:rsidRPr="002114C8">
        <w:rPr>
          <w:rFonts w:ascii="Times New Roman" w:eastAsia="SimSun" w:hAnsi="Times New Roman" w:cs="Times New Roman"/>
          <w:color w:val="000000"/>
          <w:sz w:val="28"/>
          <w:szCs w:val="28"/>
          <w:lang w:val="uk-UA" w:eastAsia="zh-CN" w:bidi="ar"/>
        </w:rPr>
        <w:t>у</w:t>
      </w:r>
      <w:r w:rsidR="00912E07" w:rsidRPr="002114C8">
        <w:rPr>
          <w:rFonts w:ascii="Times New Roman" w:eastAsia="SimSun" w:hAnsi="Times New Roman" w:cs="Times New Roman"/>
          <w:color w:val="000000"/>
          <w:sz w:val="28"/>
          <w:szCs w:val="28"/>
          <w:lang w:val="uk-UA" w:eastAsia="zh-CN" w:bidi="ar"/>
        </w:rPr>
        <w:t>пного року  ̶  профіцит знизився на 95,84%.</w:t>
      </w:r>
    </w:p>
    <w:p w:rsidR="00E63F46" w:rsidRPr="002114C8" w:rsidRDefault="00912E07">
      <w:pPr>
        <w:spacing w:after="0" w:line="360" w:lineRule="auto"/>
        <w:jc w:val="both"/>
        <w:rPr>
          <w:rFonts w:ascii="Times New Roman Regular" w:hAnsi="Times New Roman Regular" w:cs="Times New Roman Regular" w:hint="eastAsia"/>
          <w:sz w:val="28"/>
          <w:szCs w:val="28"/>
          <w:lang w:val="uk-UA"/>
        </w:rPr>
      </w:pPr>
      <w:r w:rsidRPr="002114C8">
        <w:rPr>
          <w:rFonts w:ascii="Times New Roman" w:hAnsi="Times New Roman" w:cs="Times New Roman"/>
          <w:sz w:val="28"/>
          <w:szCs w:val="28"/>
          <w:lang w:val="uk-UA"/>
        </w:rPr>
        <w:lastRenderedPageBreak/>
        <w:tab/>
      </w:r>
      <w:r w:rsidRPr="002114C8">
        <w:rPr>
          <w:rFonts w:ascii="Times New Roman Regular" w:hAnsi="Times New Roman Regular" w:cs="Times New Roman Regular"/>
          <w:sz w:val="28"/>
          <w:szCs w:val="28"/>
          <w:lang w:val="uk-UA"/>
        </w:rPr>
        <w:t>У даній роботі також проводиться тестування впливу ВВП, ПІІ (активи), портфельні інвестиції (активи) та валютного курсу на</w:t>
      </w:r>
      <w:r w:rsidRPr="002114C8">
        <w:rPr>
          <w:rFonts w:ascii="Times New Roman Regular" w:eastAsia="SimSun" w:hAnsi="Times New Roman Regular" w:cs="Times New Roman Regular"/>
          <w:color w:val="000000"/>
          <w:sz w:val="28"/>
          <w:szCs w:val="28"/>
          <w:lang w:val="uk-UA" w:eastAsia="zh-CN" w:bidi="ar"/>
        </w:rPr>
        <w:t xml:space="preserve"> баланс доходу від інве</w:t>
      </w:r>
      <w:r w:rsidRPr="002114C8">
        <w:rPr>
          <w:rFonts w:ascii="Times New Roman Regular" w:eastAsia="SimSun" w:hAnsi="Times New Roman Regular" w:cs="Times New Roman Regular"/>
          <w:color w:val="000000"/>
          <w:sz w:val="28"/>
          <w:szCs w:val="28"/>
          <w:lang w:val="uk-UA" w:eastAsia="zh-CN" w:bidi="ar"/>
        </w:rPr>
        <w:t>с</w:t>
      </w:r>
      <w:r w:rsidRPr="002114C8">
        <w:rPr>
          <w:rFonts w:ascii="Times New Roman Regular" w:eastAsia="SimSun" w:hAnsi="Times New Roman Regular" w:cs="Times New Roman Regular"/>
          <w:color w:val="000000"/>
          <w:sz w:val="28"/>
          <w:szCs w:val="28"/>
          <w:lang w:val="uk-UA" w:eastAsia="zh-CN" w:bidi="ar"/>
        </w:rPr>
        <w:t>тицій Великої Британії</w:t>
      </w:r>
      <w:r w:rsidRPr="002114C8">
        <w:rPr>
          <w:rFonts w:ascii="Times New Roman Regular" w:hAnsi="Times New Roman Regular" w:cs="Times New Roman Regular"/>
          <w:sz w:val="28"/>
          <w:szCs w:val="28"/>
          <w:lang w:val="uk-UA"/>
        </w:rPr>
        <w:t xml:space="preserve"> за допомогою регресійної моделі. Дана модель має в</w:t>
      </w:r>
      <w:r w:rsidRPr="002114C8">
        <w:rPr>
          <w:rFonts w:ascii="Times New Roman Regular" w:hAnsi="Times New Roman Regular" w:cs="Times New Roman Regular"/>
          <w:sz w:val="28"/>
          <w:szCs w:val="28"/>
          <w:lang w:val="uk-UA"/>
        </w:rPr>
        <w:t>и</w:t>
      </w:r>
      <w:r w:rsidRPr="002114C8">
        <w:rPr>
          <w:rFonts w:ascii="Times New Roman Regular" w:hAnsi="Times New Roman Regular" w:cs="Times New Roman Regular"/>
          <w:sz w:val="28"/>
          <w:szCs w:val="28"/>
          <w:lang w:val="uk-UA"/>
        </w:rPr>
        <w:t>гляд:</w:t>
      </w:r>
    </w:p>
    <w:p w:rsidR="00E63F46" w:rsidRPr="002114C8" w:rsidRDefault="00912E07">
      <w:pPr>
        <w:spacing w:line="360" w:lineRule="auto"/>
        <w:jc w:val="center"/>
        <w:rPr>
          <w:rFonts w:ascii="Times New Roman Regular" w:hAnsi="Times New Roman Regular" w:cs="Times New Roman Regular" w:hint="eastAsia"/>
          <w:sz w:val="32"/>
          <w:szCs w:val="32"/>
          <w:lang w:val="uk-UA" w:eastAsia="zh-CN"/>
        </w:rPr>
      </w:pPr>
      <w:r w:rsidRPr="002114C8">
        <w:rPr>
          <w:rFonts w:ascii="Times New Roman Regular" w:hAnsi="Times New Roman Regular" w:cs="Times New Roman Regular"/>
          <w:sz w:val="32"/>
          <w:szCs w:val="32"/>
          <w:lang w:val="uk-UA" w:eastAsia="zh-CN"/>
        </w:rPr>
        <w:t>inv = β</w:t>
      </w:r>
      <w:r w:rsidRPr="002114C8">
        <w:rPr>
          <w:rFonts w:ascii="Times New Roman Regular" w:hAnsi="Times New Roman Regular" w:cs="Times New Roman Regular"/>
          <w:sz w:val="32"/>
          <w:szCs w:val="32"/>
          <w:vertAlign w:val="subscript"/>
          <w:lang w:val="uk-UA" w:eastAsia="zh-CN"/>
        </w:rPr>
        <w:t>1</w:t>
      </w:r>
      <w:r w:rsidRPr="002114C8">
        <w:rPr>
          <w:rFonts w:ascii="Times New Roman Regular" w:hAnsi="Times New Roman Regular" w:cs="Times New Roman Regular"/>
          <w:sz w:val="32"/>
          <w:szCs w:val="32"/>
          <w:vertAlign w:val="superscript"/>
          <w:lang w:val="uk-UA" w:eastAsia="zh-CN"/>
        </w:rPr>
        <w:t>*</w:t>
      </w:r>
      <w:r w:rsidRPr="002114C8">
        <w:rPr>
          <w:rFonts w:ascii="Times New Roman Regular" w:hAnsi="Times New Roman Regular" w:cs="Times New Roman Regular"/>
          <w:sz w:val="32"/>
          <w:szCs w:val="32"/>
          <w:lang w:val="uk-UA" w:eastAsia="zh-CN"/>
        </w:rPr>
        <w:t>y +β</w:t>
      </w:r>
      <w:r w:rsidRPr="002114C8">
        <w:rPr>
          <w:rFonts w:ascii="Times New Roman Regular" w:hAnsi="Times New Roman Regular" w:cs="Times New Roman Regular"/>
          <w:sz w:val="32"/>
          <w:szCs w:val="32"/>
          <w:vertAlign w:val="subscript"/>
          <w:lang w:val="uk-UA" w:eastAsia="zh-CN"/>
        </w:rPr>
        <w:t>2</w:t>
      </w:r>
      <w:r w:rsidRPr="002114C8">
        <w:rPr>
          <w:rFonts w:ascii="Times New Roman Regular" w:hAnsi="Times New Roman Regular" w:cs="Times New Roman Regular"/>
          <w:sz w:val="32"/>
          <w:szCs w:val="32"/>
          <w:vertAlign w:val="superscript"/>
          <w:lang w:val="uk-UA" w:eastAsia="zh-CN"/>
        </w:rPr>
        <w:t>*</w:t>
      </w:r>
      <w:r w:rsidRPr="002114C8">
        <w:rPr>
          <w:rFonts w:ascii="Times New Roman Regular" w:hAnsi="Times New Roman Regular" w:cs="Times New Roman Regular"/>
          <w:sz w:val="32"/>
          <w:szCs w:val="32"/>
          <w:lang w:val="uk-UA" w:eastAsia="zh-CN"/>
        </w:rPr>
        <w:t>d+β</w:t>
      </w:r>
      <w:r w:rsidRPr="002114C8">
        <w:rPr>
          <w:rFonts w:ascii="Times New Roman Regular" w:hAnsi="Times New Roman Regular" w:cs="Times New Roman Regular"/>
          <w:sz w:val="32"/>
          <w:szCs w:val="32"/>
          <w:vertAlign w:val="subscript"/>
          <w:lang w:val="uk-UA" w:eastAsia="zh-CN"/>
        </w:rPr>
        <w:t>3</w:t>
      </w:r>
      <w:r w:rsidRPr="002114C8">
        <w:rPr>
          <w:rFonts w:ascii="Times New Roman Regular" w:hAnsi="Times New Roman Regular" w:cs="Times New Roman Regular"/>
          <w:sz w:val="32"/>
          <w:szCs w:val="32"/>
          <w:vertAlign w:val="superscript"/>
          <w:lang w:val="uk-UA" w:eastAsia="zh-CN"/>
        </w:rPr>
        <w:t>*</w:t>
      </w:r>
      <w:r w:rsidRPr="002114C8">
        <w:rPr>
          <w:rFonts w:ascii="Times New Roman Regular" w:hAnsi="Times New Roman Regular" w:cs="Times New Roman Regular"/>
          <w:sz w:val="32"/>
          <w:szCs w:val="32"/>
          <w:lang w:val="uk-UA" w:eastAsia="zh-CN"/>
        </w:rPr>
        <w:t>p+β</w:t>
      </w:r>
      <w:r w:rsidRPr="002114C8">
        <w:rPr>
          <w:rFonts w:ascii="Times New Roman Regular" w:hAnsi="Times New Roman Regular" w:cs="Times New Roman Regular"/>
          <w:sz w:val="32"/>
          <w:szCs w:val="32"/>
          <w:vertAlign w:val="subscript"/>
          <w:lang w:val="uk-UA" w:eastAsia="zh-CN"/>
        </w:rPr>
        <w:t>4</w:t>
      </w:r>
      <w:r w:rsidRPr="002114C8">
        <w:rPr>
          <w:rFonts w:ascii="Times New Roman Regular" w:hAnsi="Times New Roman Regular" w:cs="Times New Roman Regular"/>
          <w:sz w:val="32"/>
          <w:szCs w:val="32"/>
          <w:vertAlign w:val="superscript"/>
          <w:lang w:val="uk-UA" w:eastAsia="zh-CN"/>
        </w:rPr>
        <w:t>*</w:t>
      </w:r>
      <w:r w:rsidRPr="002114C8">
        <w:rPr>
          <w:rFonts w:ascii="Times New Roman Regular" w:hAnsi="Times New Roman Regular" w:cs="Times New Roman Regular"/>
          <w:sz w:val="32"/>
          <w:szCs w:val="32"/>
          <w:lang w:val="uk-UA" w:eastAsia="zh-CN"/>
        </w:rPr>
        <w:t>e</w:t>
      </w:r>
    </w:p>
    <w:p w:rsidR="00E63F46" w:rsidRPr="002114C8" w:rsidRDefault="00912E07">
      <w:pPr>
        <w:spacing w:after="0"/>
        <w:ind w:firstLine="708"/>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 xml:space="preserve">де    inv - </w:t>
      </w:r>
      <w:r w:rsidRPr="002114C8">
        <w:rPr>
          <w:rFonts w:ascii="Times New Roman" w:hAnsi="Times New Roman"/>
          <w:sz w:val="28"/>
          <w:szCs w:val="28"/>
          <w:lang w:val="uk-UA"/>
        </w:rPr>
        <w:t>баланс доходу від інвестицій Великої Британії,</w:t>
      </w:r>
    </w:p>
    <w:p w:rsidR="00E63F46" w:rsidRPr="002114C8" w:rsidRDefault="00912E07">
      <w:pPr>
        <w:spacing w:after="0"/>
        <w:ind w:firstLineChars="450" w:firstLine="1260"/>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y  ̶  ВВП,</w:t>
      </w:r>
    </w:p>
    <w:p w:rsidR="00E63F46" w:rsidRPr="002114C8" w:rsidRDefault="00912E07">
      <w:pPr>
        <w:spacing w:after="0"/>
        <w:ind w:leftChars="599" w:left="1318"/>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d  ̶  прямі інвестиції (активи),</w:t>
      </w:r>
    </w:p>
    <w:p w:rsidR="00E63F46" w:rsidRPr="002114C8" w:rsidRDefault="00912E07">
      <w:pPr>
        <w:spacing w:after="0"/>
        <w:ind w:leftChars="599" w:left="1318"/>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p  ̶  портфельні інвестиції (активи),</w:t>
      </w:r>
    </w:p>
    <w:p w:rsidR="00E63F46" w:rsidRPr="002114C8" w:rsidRDefault="00912E07">
      <w:pPr>
        <w:spacing w:after="0"/>
        <w:ind w:leftChars="599" w:left="1318"/>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e  ̶  валютний курс.</w:t>
      </w:r>
    </w:p>
    <w:p w:rsidR="00E63F46" w:rsidRPr="002114C8" w:rsidRDefault="00912E07">
      <w:pPr>
        <w:spacing w:after="0" w:line="360" w:lineRule="auto"/>
        <w:ind w:firstLine="539"/>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Дана модель була оцінена на підставі квартальних статистичних даних Сполученого Королівства за період з 1-го кварталу 1995 року по 3-й квартал 2022 року (див. додаток А). Відповідно до проведеного аналізу та отрима</w:t>
      </w:r>
      <w:r w:rsidR="00BD7D79">
        <w:rPr>
          <w:rFonts w:ascii="Times New Roman" w:hAnsi="Times New Roman" w:cs="Times New Roman"/>
          <w:sz w:val="28"/>
          <w:szCs w:val="28"/>
          <w:lang w:val="uk-UA"/>
        </w:rPr>
        <w:t>них результатів (див.табл. 2.4</w:t>
      </w:r>
      <w:r w:rsidRPr="002114C8">
        <w:rPr>
          <w:rFonts w:ascii="Times New Roman" w:hAnsi="Times New Roman" w:cs="Times New Roman"/>
          <w:sz w:val="28"/>
          <w:szCs w:val="28"/>
          <w:lang w:val="uk-UA"/>
        </w:rPr>
        <w:t xml:space="preserve">), отримуємо наступне рівняння, з якого видно, що прямі інвестиції мають прямий вплив на залежну змінну: </w:t>
      </w:r>
    </w:p>
    <w:p w:rsidR="00E63F46" w:rsidRPr="002114C8" w:rsidRDefault="00912E07">
      <w:pPr>
        <w:spacing w:after="0" w:line="360" w:lineRule="auto"/>
        <w:jc w:val="center"/>
        <w:rPr>
          <w:rFonts w:ascii="Times New Roman Regular" w:hAnsi="Times New Roman Regular" w:cs="Times New Roman Regular" w:hint="eastAsia"/>
          <w:sz w:val="36"/>
          <w:szCs w:val="36"/>
          <w:lang w:val="uk-UA" w:eastAsia="zh-CN"/>
        </w:rPr>
      </w:pPr>
      <w:r w:rsidRPr="002114C8">
        <w:rPr>
          <w:rFonts w:ascii="Times New Roman Regular" w:hAnsi="Times New Roman Regular" w:cs="Times New Roman Regular"/>
          <w:sz w:val="36"/>
          <w:szCs w:val="36"/>
          <w:lang w:val="uk-UA" w:eastAsia="zh-CN"/>
        </w:rPr>
        <w:t xml:space="preserve">inv = </w:t>
      </w:r>
      <w:r w:rsidRPr="002114C8">
        <w:rPr>
          <w:rFonts w:ascii="Times New Roman Regular" w:hAnsi="Times New Roman Regular"/>
          <w:sz w:val="32"/>
          <w:szCs w:val="32"/>
          <w:lang w:val="uk-UA" w:eastAsia="zh-CN"/>
        </w:rPr>
        <w:t>-0.024</w:t>
      </w:r>
      <w:r w:rsidRPr="002114C8">
        <w:rPr>
          <w:rFonts w:ascii="Times New Roman Regular" w:hAnsi="Times New Roman Regular" w:cs="Times New Roman Regular"/>
          <w:sz w:val="36"/>
          <w:szCs w:val="36"/>
          <w:vertAlign w:val="superscript"/>
          <w:lang w:val="uk-UA" w:eastAsia="zh-CN"/>
        </w:rPr>
        <w:t>*</w:t>
      </w:r>
      <w:r w:rsidRPr="002114C8">
        <w:rPr>
          <w:rFonts w:ascii="Times New Roman Regular" w:hAnsi="Times New Roman Regular" w:cs="Times New Roman Regular"/>
          <w:sz w:val="36"/>
          <w:szCs w:val="36"/>
          <w:lang w:val="uk-UA" w:eastAsia="zh-CN"/>
        </w:rPr>
        <w:t xml:space="preserve">y - </w:t>
      </w:r>
      <w:r w:rsidRPr="002114C8">
        <w:rPr>
          <w:rFonts w:ascii="Times New Roman Regular" w:hAnsi="Times New Roman Regular"/>
          <w:sz w:val="32"/>
          <w:szCs w:val="32"/>
          <w:lang w:val="uk-UA" w:eastAsia="zh-CN"/>
        </w:rPr>
        <w:t>0.676</w:t>
      </w:r>
      <w:r w:rsidRPr="002114C8">
        <w:rPr>
          <w:rFonts w:ascii="Times New Roman Regular" w:hAnsi="Times New Roman Regular" w:cs="Times New Roman Regular"/>
          <w:sz w:val="36"/>
          <w:szCs w:val="36"/>
          <w:vertAlign w:val="superscript"/>
          <w:lang w:val="uk-UA" w:eastAsia="zh-CN"/>
        </w:rPr>
        <w:t>*</w:t>
      </w:r>
      <w:r w:rsidRPr="002114C8">
        <w:rPr>
          <w:rFonts w:ascii="Times New Roman Regular" w:hAnsi="Times New Roman Regular" w:cs="Times New Roman Regular"/>
          <w:sz w:val="36"/>
          <w:szCs w:val="36"/>
          <w:lang w:val="uk-UA" w:eastAsia="zh-CN"/>
        </w:rPr>
        <w:t xml:space="preserve">d - </w:t>
      </w:r>
      <w:r w:rsidRPr="002114C8">
        <w:rPr>
          <w:rFonts w:ascii="Times New Roman Regular" w:hAnsi="Times New Roman Regular"/>
          <w:sz w:val="32"/>
          <w:szCs w:val="32"/>
          <w:lang w:val="uk-UA" w:eastAsia="zh-CN"/>
        </w:rPr>
        <w:t>0.051</w:t>
      </w:r>
      <w:r w:rsidRPr="002114C8">
        <w:rPr>
          <w:rFonts w:ascii="Times New Roman Regular" w:hAnsi="Times New Roman Regular" w:cs="Times New Roman Regular"/>
          <w:sz w:val="36"/>
          <w:szCs w:val="36"/>
          <w:vertAlign w:val="superscript"/>
          <w:lang w:val="uk-UA" w:eastAsia="zh-CN"/>
        </w:rPr>
        <w:t>*</w:t>
      </w:r>
      <w:r w:rsidRPr="002114C8">
        <w:rPr>
          <w:rFonts w:ascii="Times New Roman Regular" w:hAnsi="Times New Roman Regular" w:cs="Times New Roman Regular"/>
          <w:sz w:val="36"/>
          <w:szCs w:val="36"/>
          <w:lang w:val="uk-UA" w:eastAsia="zh-CN"/>
        </w:rPr>
        <w:t>p</w:t>
      </w:r>
      <w:r w:rsidRPr="002114C8">
        <w:rPr>
          <w:rFonts w:ascii="Times New Roman Regular" w:hAnsi="Times New Roman Regular" w:cs="Times New Roman Regular"/>
          <w:sz w:val="32"/>
          <w:szCs w:val="32"/>
          <w:lang w:val="uk-UA" w:eastAsia="zh-CN"/>
        </w:rPr>
        <w:t xml:space="preserve"> </w:t>
      </w:r>
      <w:r w:rsidRPr="002114C8">
        <w:rPr>
          <w:rFonts w:ascii="Times New Roman Regular" w:hAnsi="Times New Roman Regular"/>
          <w:sz w:val="32"/>
          <w:szCs w:val="32"/>
          <w:lang w:val="uk-UA" w:eastAsia="zh-CN"/>
        </w:rPr>
        <w:t>- 0.148</w:t>
      </w:r>
      <w:r w:rsidRPr="002114C8">
        <w:rPr>
          <w:rFonts w:ascii="Times New Roman Regular" w:hAnsi="Times New Roman Regular" w:cs="Times New Roman Regular"/>
          <w:sz w:val="36"/>
          <w:szCs w:val="36"/>
          <w:vertAlign w:val="superscript"/>
          <w:lang w:val="uk-UA" w:eastAsia="zh-CN"/>
        </w:rPr>
        <w:t>*</w:t>
      </w:r>
      <w:r w:rsidRPr="002114C8">
        <w:rPr>
          <w:rFonts w:ascii="Times New Roman Regular" w:hAnsi="Times New Roman Regular" w:cs="Times New Roman Regular"/>
          <w:sz w:val="36"/>
          <w:szCs w:val="36"/>
          <w:lang w:val="uk-UA" w:eastAsia="zh-CN"/>
        </w:rPr>
        <w:t>e</w:t>
      </w:r>
    </w:p>
    <w:p w:rsidR="00E63F46" w:rsidRPr="002114C8" w:rsidRDefault="00912E07">
      <w:pPr>
        <w:spacing w:after="0" w:line="360" w:lineRule="auto"/>
        <w:jc w:val="center"/>
        <w:rPr>
          <w:rFonts w:ascii="Times New Roman Regular" w:hAnsi="Times New Roman Regular" w:cs="Times New Roman Regular" w:hint="eastAsia"/>
          <w:lang w:val="uk-UA" w:eastAsia="zh-CN"/>
        </w:rPr>
      </w:pPr>
      <w:r w:rsidRPr="002114C8">
        <w:rPr>
          <w:rFonts w:ascii="Times New Roman Regular" w:eastAsia="Times New Roman" w:hAnsi="Times New Roman Regular" w:cs="Times New Roman Regular"/>
          <w:color w:val="000000"/>
          <w:sz w:val="36"/>
          <w:szCs w:val="36"/>
          <w:lang w:val="uk-UA"/>
        </w:rPr>
        <w:t xml:space="preserve">            </w:t>
      </w:r>
      <w:r w:rsidRPr="002114C8">
        <w:rPr>
          <w:rFonts w:ascii="Times New Roman Regular" w:eastAsia="Times New Roman" w:hAnsi="Times New Roman Regular" w:cs="Times New Roman Regular"/>
          <w:color w:val="000000"/>
          <w:lang w:val="uk-UA"/>
        </w:rPr>
        <w:t>(</w:t>
      </w:r>
      <w:r w:rsidRPr="002114C8">
        <w:rPr>
          <w:rFonts w:ascii="Times New Roman Regular" w:eastAsia="SimSun" w:hAnsi="Times New Roman Regular" w:cs="Times New Roman Regular"/>
          <w:color w:val="000000"/>
          <w:sz w:val="24"/>
          <w:szCs w:val="24"/>
          <w:lang w:val="uk-UA" w:eastAsia="zh-CN" w:bidi="ar"/>
        </w:rPr>
        <w:t>-0.330</w:t>
      </w:r>
      <w:r w:rsidRPr="002114C8">
        <w:rPr>
          <w:rFonts w:ascii="Times New Roman Regular" w:eastAsia="Times New Roman" w:hAnsi="Times New Roman Regular" w:cs="Times New Roman Regular"/>
          <w:color w:val="000000"/>
          <w:lang w:val="uk-UA"/>
        </w:rPr>
        <w:t>)        (</w:t>
      </w:r>
      <w:r w:rsidRPr="002114C8">
        <w:rPr>
          <w:rFonts w:ascii="Times New Roman Regular" w:eastAsia="SimSun" w:hAnsi="Times New Roman Regular" w:cs="Times New Roman Regular"/>
          <w:color w:val="000000"/>
          <w:sz w:val="24"/>
          <w:szCs w:val="24"/>
          <w:lang w:val="uk-UA" w:eastAsia="zh-CN" w:bidi="ar"/>
        </w:rPr>
        <w:t>9.545</w:t>
      </w:r>
      <w:r w:rsidRPr="002114C8">
        <w:rPr>
          <w:rFonts w:ascii="Times New Roman Regular" w:eastAsia="Times New Roman" w:hAnsi="Times New Roman Regular" w:cs="Times New Roman Regular"/>
          <w:color w:val="000000"/>
          <w:lang w:val="uk-UA"/>
        </w:rPr>
        <w:t>***)       (</w:t>
      </w:r>
      <w:r w:rsidRPr="002114C8">
        <w:rPr>
          <w:rFonts w:ascii="Times New Roman Regular" w:eastAsia="SimSun" w:hAnsi="Times New Roman Regular" w:cs="Times New Roman Regular"/>
          <w:color w:val="000000"/>
          <w:sz w:val="24"/>
          <w:szCs w:val="24"/>
          <w:lang w:val="uk-UA" w:eastAsia="zh-CN" w:bidi="ar"/>
        </w:rPr>
        <w:t>-0.710</w:t>
      </w:r>
      <w:r w:rsidRPr="002114C8">
        <w:rPr>
          <w:rFonts w:ascii="Times New Roman Regular" w:eastAsia="Times New Roman" w:hAnsi="Times New Roman Regular" w:cs="Times New Roman Regular"/>
          <w:color w:val="000000"/>
          <w:lang w:val="uk-UA"/>
        </w:rPr>
        <w:t>)       (</w:t>
      </w:r>
      <w:r w:rsidRPr="002114C8">
        <w:rPr>
          <w:rFonts w:ascii="Times New Roman Regular" w:eastAsia="SimSun" w:hAnsi="Times New Roman Regular" w:cs="Times New Roman Regular"/>
          <w:color w:val="000000"/>
          <w:sz w:val="24"/>
          <w:szCs w:val="24"/>
          <w:lang w:val="uk-UA" w:eastAsia="zh-CN" w:bidi="ar"/>
        </w:rPr>
        <w:t>-2.117</w:t>
      </w:r>
      <w:r w:rsidRPr="002114C8">
        <w:rPr>
          <w:rFonts w:ascii="Times New Roman Regular" w:eastAsia="Times New Roman" w:hAnsi="Times New Roman Regular" w:cs="Times New Roman Regular"/>
          <w:color w:val="000000"/>
          <w:lang w:val="uk-UA"/>
        </w:rPr>
        <w:t>**)</w:t>
      </w:r>
    </w:p>
    <w:p w:rsidR="00E63F46" w:rsidRPr="002114C8" w:rsidRDefault="00B16FB3">
      <w:pPr>
        <w:spacing w:after="0" w:line="360" w:lineRule="auto"/>
        <w:ind w:firstLine="53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rsidR="00E63F46" w:rsidRPr="002114C8" w:rsidRDefault="00912E07">
      <w:pPr>
        <w:jc w:val="center"/>
        <w:rPr>
          <w:rFonts w:ascii="Times New Roman" w:hAnsi="Times New Roman" w:cs="Times New Roman"/>
          <w:sz w:val="28"/>
          <w:szCs w:val="28"/>
          <w:lang w:val="uk-UA"/>
        </w:rPr>
      </w:pPr>
      <w:r w:rsidRPr="002114C8">
        <w:rPr>
          <w:rFonts w:ascii="Times New Roman" w:hAnsi="Times New Roman" w:cs="Times New Roman"/>
          <w:sz w:val="28"/>
          <w:szCs w:val="28"/>
          <w:lang w:val="uk-UA"/>
        </w:rPr>
        <w:t xml:space="preserve">Регресійна модель факторів впливу </w:t>
      </w:r>
    </w:p>
    <w:p w:rsidR="00E63F46" w:rsidRPr="002114C8" w:rsidRDefault="00912E07">
      <w:pPr>
        <w:jc w:val="center"/>
        <w:rPr>
          <w:rFonts w:ascii="Times New Roman" w:hAnsi="Times New Roman"/>
          <w:sz w:val="28"/>
          <w:szCs w:val="28"/>
          <w:lang w:val="uk-UA"/>
        </w:rPr>
      </w:pPr>
      <w:r w:rsidRPr="002114C8">
        <w:rPr>
          <w:rFonts w:ascii="Times New Roman" w:hAnsi="Times New Roman" w:cs="Times New Roman"/>
          <w:sz w:val="28"/>
          <w:szCs w:val="28"/>
          <w:lang w:val="uk-UA"/>
        </w:rPr>
        <w:t xml:space="preserve">на баланс доходу </w:t>
      </w:r>
      <w:r w:rsidRPr="002114C8">
        <w:rPr>
          <w:rFonts w:ascii="Times New Roman" w:hAnsi="Times New Roman"/>
          <w:sz w:val="28"/>
          <w:szCs w:val="28"/>
          <w:lang w:val="uk-UA"/>
        </w:rPr>
        <w:t>від інвестицій Великої Британії</w:t>
      </w:r>
    </w:p>
    <w:tbl>
      <w:tblPr>
        <w:tblW w:w="8867" w:type="dxa"/>
        <w:jc w:val="center"/>
        <w:tblLook w:val="04A0" w:firstRow="1" w:lastRow="0" w:firstColumn="1" w:lastColumn="0" w:noHBand="0" w:noVBand="1"/>
      </w:tblPr>
      <w:tblGrid>
        <w:gridCol w:w="1654"/>
        <w:gridCol w:w="1348"/>
        <w:gridCol w:w="1405"/>
        <w:gridCol w:w="2097"/>
        <w:gridCol w:w="1003"/>
        <w:gridCol w:w="1360"/>
      </w:tblGrid>
      <w:tr w:rsidR="00E63F46" w:rsidRPr="002114C8" w:rsidTr="00BD7D79">
        <w:trPr>
          <w:trHeight w:val="620"/>
          <w:jc w:val="center"/>
        </w:trPr>
        <w:tc>
          <w:tcPr>
            <w:tcW w:w="1702" w:type="dxa"/>
            <w:vMerge w:val="restart"/>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Модель</w:t>
            </w:r>
          </w:p>
        </w:tc>
        <w:tc>
          <w:tcPr>
            <w:tcW w:w="26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Нестандартизовані ко</w:t>
            </w:r>
            <w:r w:rsidRPr="002114C8">
              <w:rPr>
                <w:rFonts w:ascii="Times New Roman Regular" w:eastAsia="SimSun" w:hAnsi="Times New Roman Regular" w:cs="Times New Roman Regular"/>
                <w:color w:val="000000"/>
                <w:sz w:val="24"/>
                <w:szCs w:val="24"/>
                <w:lang w:val="uk-UA" w:eastAsia="zh-CN" w:bidi="ar"/>
              </w:rPr>
              <w:t>е</w:t>
            </w:r>
            <w:r w:rsidRPr="002114C8">
              <w:rPr>
                <w:rFonts w:ascii="Times New Roman Regular" w:eastAsia="SimSun" w:hAnsi="Times New Roman Regular" w:cs="Times New Roman Regular"/>
                <w:color w:val="000000"/>
                <w:sz w:val="24"/>
                <w:szCs w:val="24"/>
                <w:lang w:val="uk-UA" w:eastAsia="zh-CN" w:bidi="ar"/>
              </w:rPr>
              <w:t>ффіцієнти</w:t>
            </w:r>
          </w:p>
        </w:tc>
        <w:tc>
          <w:tcPr>
            <w:tcW w:w="21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Стандартизовані коеффіцієнти</w:t>
            </w:r>
          </w:p>
        </w:tc>
        <w:tc>
          <w:tcPr>
            <w:tcW w:w="1059" w:type="dxa"/>
            <w:vMerge w:val="restart"/>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т</w:t>
            </w:r>
          </w:p>
        </w:tc>
        <w:tc>
          <w:tcPr>
            <w:tcW w:w="1360" w:type="dxa"/>
            <w:vMerge w:val="restart"/>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Значимість</w:t>
            </w:r>
          </w:p>
        </w:tc>
      </w:tr>
      <w:tr w:rsidR="00E63F46" w:rsidRPr="002114C8" w:rsidTr="00BD7D79">
        <w:trPr>
          <w:trHeight w:val="540"/>
          <w:jc w:val="center"/>
        </w:trPr>
        <w:tc>
          <w:tcPr>
            <w:tcW w:w="1702" w:type="dxa"/>
            <w:vMerge/>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Regular" w:hAnsi="Times New Roman Regular" w:cs="Times New Roman Regular" w:hint="eastAsia"/>
                <w:color w:val="000000"/>
                <w:sz w:val="24"/>
                <w:szCs w:val="24"/>
                <w:lang w:val="uk-UA"/>
              </w:rPr>
            </w:pPr>
          </w:p>
        </w:tc>
        <w:tc>
          <w:tcPr>
            <w:tcW w:w="1374"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В</w:t>
            </w:r>
          </w:p>
        </w:tc>
        <w:tc>
          <w:tcPr>
            <w:tcW w:w="1236"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Стандартна помилка</w:t>
            </w:r>
          </w:p>
        </w:tc>
        <w:tc>
          <w:tcPr>
            <w:tcW w:w="2136"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Бета</w:t>
            </w:r>
          </w:p>
        </w:tc>
        <w:tc>
          <w:tcPr>
            <w:tcW w:w="1059" w:type="dxa"/>
            <w:vMerge/>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Regular" w:hAnsi="Times New Roman Regular" w:cs="Times New Roman Regular" w:hint="eastAsia"/>
                <w:color w:val="000000"/>
                <w:sz w:val="24"/>
                <w:szCs w:val="24"/>
                <w:lang w:val="uk-UA"/>
              </w:rPr>
            </w:pPr>
          </w:p>
        </w:tc>
        <w:tc>
          <w:tcPr>
            <w:tcW w:w="1360" w:type="dxa"/>
            <w:vMerge/>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Regular" w:hAnsi="Times New Roman Regular" w:cs="Times New Roman Regular" w:hint="eastAsia"/>
                <w:color w:val="000000"/>
                <w:sz w:val="24"/>
                <w:szCs w:val="24"/>
                <w:lang w:val="uk-UA"/>
              </w:rPr>
            </w:pPr>
          </w:p>
        </w:tc>
      </w:tr>
      <w:tr w:rsidR="00E63F46" w:rsidRPr="002114C8" w:rsidTr="00BD7D79">
        <w:trPr>
          <w:trHeight w:val="280"/>
          <w:jc w:val="center"/>
        </w:trPr>
        <w:tc>
          <w:tcPr>
            <w:tcW w:w="1702" w:type="dxa"/>
            <w:tcBorders>
              <w:top w:val="single" w:sz="4" w:space="0" w:color="000000"/>
              <w:left w:val="single" w:sz="4" w:space="0" w:color="000000"/>
              <w:bottom w:val="nil"/>
              <w:right w:val="nil"/>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1 (Константа)</w:t>
            </w:r>
          </w:p>
        </w:tc>
        <w:tc>
          <w:tcPr>
            <w:tcW w:w="1374"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-13369.200</w:t>
            </w:r>
          </w:p>
        </w:tc>
        <w:tc>
          <w:tcPr>
            <w:tcW w:w="1236"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12588.309</w:t>
            </w:r>
          </w:p>
        </w:tc>
        <w:tc>
          <w:tcPr>
            <w:tcW w:w="2136"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Regular" w:hAnsi="Times New Roman Regular" w:cs="Times New Roman Regular" w:hint="eastAsia"/>
                <w:color w:val="000000"/>
                <w:sz w:val="24"/>
                <w:szCs w:val="24"/>
                <w:lang w:val="uk-UA"/>
              </w:rPr>
            </w:pPr>
          </w:p>
        </w:tc>
        <w:tc>
          <w:tcPr>
            <w:tcW w:w="1059"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-1.062</w:t>
            </w:r>
          </w:p>
        </w:tc>
        <w:tc>
          <w:tcPr>
            <w:tcW w:w="1360" w:type="dxa"/>
            <w:tcBorders>
              <w:top w:val="single" w:sz="4" w:space="0" w:color="000000"/>
              <w:left w:val="nil"/>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0.291</w:t>
            </w:r>
          </w:p>
        </w:tc>
      </w:tr>
      <w:tr w:rsidR="00E63F46" w:rsidRPr="002114C8" w:rsidTr="00BD7D79">
        <w:trPr>
          <w:trHeight w:val="280"/>
          <w:jc w:val="center"/>
        </w:trPr>
        <w:tc>
          <w:tcPr>
            <w:tcW w:w="1702" w:type="dxa"/>
            <w:tcBorders>
              <w:top w:val="nil"/>
              <w:left w:val="single" w:sz="4" w:space="0" w:color="000000"/>
              <w:bottom w:val="nil"/>
              <w:right w:val="nil"/>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y</w:t>
            </w:r>
          </w:p>
        </w:tc>
        <w:tc>
          <w:tcPr>
            <w:tcW w:w="1374"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-0.010</w:t>
            </w:r>
          </w:p>
        </w:tc>
        <w:tc>
          <w:tcPr>
            <w:tcW w:w="1236"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0.029</w:t>
            </w:r>
          </w:p>
        </w:tc>
        <w:tc>
          <w:tcPr>
            <w:tcW w:w="2136"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-0.024</w:t>
            </w:r>
          </w:p>
        </w:tc>
        <w:tc>
          <w:tcPr>
            <w:tcW w:w="1059"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-0.330</w:t>
            </w:r>
          </w:p>
        </w:tc>
        <w:tc>
          <w:tcPr>
            <w:tcW w:w="1360" w:type="dxa"/>
            <w:tcBorders>
              <w:top w:val="nil"/>
              <w:left w:val="nil"/>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0.742</w:t>
            </w:r>
          </w:p>
        </w:tc>
      </w:tr>
      <w:tr w:rsidR="00E63F46" w:rsidRPr="002114C8" w:rsidTr="00BD7D79">
        <w:trPr>
          <w:trHeight w:val="280"/>
          <w:jc w:val="center"/>
        </w:trPr>
        <w:tc>
          <w:tcPr>
            <w:tcW w:w="1702" w:type="dxa"/>
            <w:tcBorders>
              <w:top w:val="nil"/>
              <w:left w:val="single" w:sz="4" w:space="0" w:color="000000"/>
              <w:bottom w:val="nil"/>
              <w:right w:val="nil"/>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d</w:t>
            </w:r>
          </w:p>
        </w:tc>
        <w:tc>
          <w:tcPr>
            <w:tcW w:w="1374"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0.753</w:t>
            </w:r>
          </w:p>
        </w:tc>
        <w:tc>
          <w:tcPr>
            <w:tcW w:w="1236" w:type="dxa"/>
            <w:tcBorders>
              <w:top w:val="nil"/>
              <w:left w:val="nil"/>
              <w:bottom w:val="nil"/>
              <w:right w:val="nil"/>
            </w:tcBorders>
            <w:shd w:val="clear" w:color="auto" w:fill="auto"/>
            <w:noWrap/>
            <w:vAlign w:val="center"/>
          </w:tcPr>
          <w:p w:rsidR="00E63F46" w:rsidRPr="002114C8" w:rsidRDefault="00912E07" w:rsidP="00BD7D79">
            <w:pPr>
              <w:jc w:val="center"/>
              <w:textAlignment w:val="center"/>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0.079</w:t>
            </w:r>
          </w:p>
        </w:tc>
        <w:tc>
          <w:tcPr>
            <w:tcW w:w="2136"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-0.676</w:t>
            </w:r>
          </w:p>
        </w:tc>
        <w:tc>
          <w:tcPr>
            <w:tcW w:w="1059"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9.545</w:t>
            </w:r>
          </w:p>
        </w:tc>
        <w:tc>
          <w:tcPr>
            <w:tcW w:w="1360" w:type="dxa"/>
            <w:tcBorders>
              <w:top w:val="nil"/>
              <w:left w:val="nil"/>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0.000</w:t>
            </w:r>
          </w:p>
        </w:tc>
      </w:tr>
      <w:tr w:rsidR="00E63F46" w:rsidRPr="002114C8" w:rsidTr="00BD7D79">
        <w:trPr>
          <w:trHeight w:val="280"/>
          <w:jc w:val="center"/>
        </w:trPr>
        <w:tc>
          <w:tcPr>
            <w:tcW w:w="1702" w:type="dxa"/>
            <w:tcBorders>
              <w:top w:val="nil"/>
              <w:left w:val="single" w:sz="4" w:space="0" w:color="000000"/>
              <w:bottom w:val="nil"/>
              <w:right w:val="nil"/>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p</w:t>
            </w:r>
          </w:p>
        </w:tc>
        <w:tc>
          <w:tcPr>
            <w:tcW w:w="1374"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-0.037</w:t>
            </w:r>
          </w:p>
        </w:tc>
        <w:tc>
          <w:tcPr>
            <w:tcW w:w="1236"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0.052</w:t>
            </w:r>
          </w:p>
        </w:tc>
        <w:tc>
          <w:tcPr>
            <w:tcW w:w="2136"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-0.051</w:t>
            </w:r>
          </w:p>
        </w:tc>
        <w:tc>
          <w:tcPr>
            <w:tcW w:w="1059"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-0.710</w:t>
            </w:r>
          </w:p>
        </w:tc>
        <w:tc>
          <w:tcPr>
            <w:tcW w:w="1360" w:type="dxa"/>
            <w:tcBorders>
              <w:top w:val="nil"/>
              <w:left w:val="nil"/>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0.479</w:t>
            </w:r>
          </w:p>
        </w:tc>
      </w:tr>
      <w:tr w:rsidR="00E63F46" w:rsidRPr="002114C8" w:rsidTr="00BD7D79">
        <w:trPr>
          <w:trHeight w:val="280"/>
          <w:jc w:val="center"/>
        </w:trPr>
        <w:tc>
          <w:tcPr>
            <w:tcW w:w="1702" w:type="dxa"/>
            <w:tcBorders>
              <w:top w:val="nil"/>
              <w:left w:val="single" w:sz="4" w:space="0" w:color="000000"/>
              <w:bottom w:val="single" w:sz="4" w:space="0" w:color="000000"/>
              <w:right w:val="nil"/>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e</w:t>
            </w:r>
          </w:p>
        </w:tc>
        <w:tc>
          <w:tcPr>
            <w:tcW w:w="1374"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-772.347</w:t>
            </w:r>
          </w:p>
        </w:tc>
        <w:tc>
          <w:tcPr>
            <w:tcW w:w="1236"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364.865</w:t>
            </w:r>
          </w:p>
        </w:tc>
        <w:tc>
          <w:tcPr>
            <w:tcW w:w="2136"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-0.148</w:t>
            </w:r>
          </w:p>
        </w:tc>
        <w:tc>
          <w:tcPr>
            <w:tcW w:w="1059"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-2.117</w:t>
            </w:r>
          </w:p>
        </w:tc>
        <w:tc>
          <w:tcPr>
            <w:tcW w:w="1360" w:type="dxa"/>
            <w:tcBorders>
              <w:top w:val="nil"/>
              <w:left w:val="nil"/>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Regular" w:hAnsi="Times New Roman Regular" w:cs="Times New Roman Regular" w:hint="eastAsia"/>
                <w:color w:val="000000"/>
                <w:sz w:val="24"/>
                <w:szCs w:val="24"/>
                <w:lang w:val="uk-UA"/>
              </w:rPr>
            </w:pPr>
            <w:r w:rsidRPr="002114C8">
              <w:rPr>
                <w:rFonts w:ascii="Times New Roman Regular" w:eastAsia="SimSun" w:hAnsi="Times New Roman Regular" w:cs="Times New Roman Regular"/>
                <w:color w:val="000000"/>
                <w:sz w:val="24"/>
                <w:szCs w:val="24"/>
                <w:lang w:val="uk-UA" w:eastAsia="zh-CN" w:bidi="ar"/>
              </w:rPr>
              <w:t>0.037</w:t>
            </w:r>
          </w:p>
        </w:tc>
      </w:tr>
    </w:tbl>
    <w:p w:rsidR="00E63F46" w:rsidRPr="002114C8" w:rsidRDefault="00912E07">
      <w:pPr>
        <w:jc w:val="both"/>
        <w:rPr>
          <w:rFonts w:ascii="Times New Roman" w:hAnsi="Times New Roman"/>
          <w:sz w:val="28"/>
          <w:szCs w:val="28"/>
          <w:lang w:val="uk-UA"/>
        </w:rPr>
      </w:pPr>
      <w:r w:rsidRPr="002114C8">
        <w:rPr>
          <w:rFonts w:ascii="Times New Roman" w:hAnsi="Times New Roman"/>
          <w:sz w:val="28"/>
          <w:szCs w:val="28"/>
          <w:lang w:val="uk-UA"/>
        </w:rPr>
        <w:tab/>
        <w:t>Джерело складено автором на основі: [11], [18], [19]</w:t>
      </w:r>
    </w:p>
    <w:p w:rsidR="00E63F46" w:rsidRPr="002114C8" w:rsidRDefault="00912E07">
      <w:pPr>
        <w:spacing w:after="0" w:line="360" w:lineRule="auto"/>
        <w:ind w:firstLine="709"/>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lastRenderedPageBreak/>
        <w:t>Дану модель не можна вважати якісною, оскільки коефіцієнт детермін</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ції R</w:t>
      </w:r>
      <w:r w:rsidRPr="002114C8">
        <w:rPr>
          <w:rFonts w:ascii="Times New Roman" w:hAnsi="Times New Roman" w:cs="Times New Roman"/>
          <w:sz w:val="28"/>
          <w:szCs w:val="28"/>
          <w:vertAlign w:val="superscript"/>
          <w:lang w:val="uk-UA"/>
        </w:rPr>
        <w:t>2</w:t>
      </w:r>
      <w:r w:rsidRPr="002114C8">
        <w:rPr>
          <w:rFonts w:ascii="Times New Roman" w:hAnsi="Times New Roman" w:cs="Times New Roman"/>
          <w:sz w:val="28"/>
          <w:szCs w:val="28"/>
          <w:lang w:val="uk-UA"/>
        </w:rPr>
        <w:t xml:space="preserve"> = 50,1%, що вказує на невеликий частковий ступінь взаємозалежності між залежною змінною та незалежними. Результати регресійного аналізу, н</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 xml:space="preserve">ведені у таблиці 2.2.2, вказують, що лише 1 незалежна зміна, ПІІ (активи), має найвищий рівень значущості – 1 %, валютний курс має рівень значущості 5%, тоді як 2 інші показники не мають статистичної значущості. </w:t>
      </w:r>
    </w:p>
    <w:p w:rsidR="00E63F46" w:rsidRPr="002114C8" w:rsidRDefault="00912E07">
      <w:pPr>
        <w:spacing w:after="0" w:line="360" w:lineRule="auto"/>
        <w:ind w:firstLine="709"/>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З метою додаткової перевірки на адекватність модель, була проведена перевірка з виключно значу</w:t>
      </w:r>
      <w:r w:rsidR="00BD7D79">
        <w:rPr>
          <w:rFonts w:ascii="Times New Roman" w:hAnsi="Times New Roman" w:cs="Times New Roman"/>
          <w:sz w:val="28"/>
          <w:szCs w:val="28"/>
          <w:lang w:val="uk-UA"/>
        </w:rPr>
        <w:t>щими змінними (див. табл. 2.5</w:t>
      </w:r>
      <w:r w:rsidRPr="002114C8">
        <w:rPr>
          <w:rFonts w:ascii="Times New Roman" w:hAnsi="Times New Roman" w:cs="Times New Roman"/>
          <w:sz w:val="28"/>
          <w:szCs w:val="28"/>
          <w:lang w:val="uk-UA"/>
        </w:rPr>
        <w:t>), коефіцієнт дете</w:t>
      </w:r>
      <w:r w:rsidRPr="002114C8">
        <w:rPr>
          <w:rFonts w:ascii="Times New Roman" w:hAnsi="Times New Roman" w:cs="Times New Roman"/>
          <w:sz w:val="28"/>
          <w:szCs w:val="28"/>
          <w:lang w:val="uk-UA"/>
        </w:rPr>
        <w:t>р</w:t>
      </w:r>
      <w:r w:rsidRPr="002114C8">
        <w:rPr>
          <w:rFonts w:ascii="Times New Roman" w:hAnsi="Times New Roman" w:cs="Times New Roman"/>
          <w:sz w:val="28"/>
          <w:szCs w:val="28"/>
          <w:lang w:val="uk-UA"/>
        </w:rPr>
        <w:t>мінації якої склав 50,2%.</w:t>
      </w:r>
    </w:p>
    <w:p w:rsidR="00E63F46" w:rsidRPr="002114C8" w:rsidRDefault="00912E07">
      <w:pPr>
        <w:spacing w:after="0" w:line="360" w:lineRule="auto"/>
        <w:ind w:firstLine="709"/>
        <w:jc w:val="right"/>
        <w:rPr>
          <w:rFonts w:ascii="Times New Roman" w:hAnsi="Times New Roman" w:cs="Times New Roman"/>
          <w:sz w:val="28"/>
          <w:szCs w:val="28"/>
          <w:lang w:val="uk-UA"/>
        </w:rPr>
      </w:pPr>
      <w:r w:rsidRPr="002114C8">
        <w:rPr>
          <w:rFonts w:ascii="Times New Roman" w:hAnsi="Times New Roman" w:cs="Times New Roman"/>
          <w:sz w:val="28"/>
          <w:szCs w:val="28"/>
          <w:lang w:val="uk-UA"/>
        </w:rPr>
        <w:t>Таблиця 2.</w:t>
      </w:r>
      <w:r w:rsidR="00B16FB3">
        <w:rPr>
          <w:rFonts w:ascii="Times New Roman" w:hAnsi="Times New Roman" w:cs="Times New Roman"/>
          <w:sz w:val="28"/>
          <w:szCs w:val="28"/>
          <w:lang w:val="uk-UA"/>
        </w:rPr>
        <w:t>5</w:t>
      </w:r>
    </w:p>
    <w:p w:rsidR="00E63F46" w:rsidRPr="002114C8" w:rsidRDefault="00912E07">
      <w:pPr>
        <w:jc w:val="center"/>
        <w:rPr>
          <w:rFonts w:ascii="Times New Roman" w:hAnsi="Times New Roman" w:cs="Times New Roman"/>
          <w:sz w:val="28"/>
          <w:szCs w:val="28"/>
          <w:lang w:val="uk-UA"/>
        </w:rPr>
      </w:pPr>
      <w:r w:rsidRPr="002114C8">
        <w:rPr>
          <w:rFonts w:ascii="Times New Roman" w:hAnsi="Times New Roman" w:cs="Times New Roman"/>
          <w:sz w:val="28"/>
          <w:szCs w:val="28"/>
          <w:lang w:val="uk-UA"/>
        </w:rPr>
        <w:t xml:space="preserve">Регресійна модель факторів впливу </w:t>
      </w:r>
    </w:p>
    <w:p w:rsidR="00E63F46" w:rsidRPr="002114C8" w:rsidRDefault="00912E07">
      <w:pPr>
        <w:jc w:val="center"/>
        <w:rPr>
          <w:rFonts w:ascii="Times New Roman" w:hAnsi="Times New Roman"/>
          <w:sz w:val="28"/>
          <w:szCs w:val="28"/>
          <w:lang w:val="uk-UA"/>
        </w:rPr>
      </w:pPr>
      <w:r w:rsidRPr="002114C8">
        <w:rPr>
          <w:rFonts w:ascii="Times New Roman" w:hAnsi="Times New Roman" w:cs="Times New Roman"/>
          <w:sz w:val="28"/>
          <w:szCs w:val="28"/>
          <w:lang w:val="uk-UA"/>
        </w:rPr>
        <w:t xml:space="preserve">на баланс доходу </w:t>
      </w:r>
      <w:r w:rsidRPr="002114C8">
        <w:rPr>
          <w:rFonts w:ascii="Times New Roman" w:hAnsi="Times New Roman"/>
          <w:sz w:val="28"/>
          <w:szCs w:val="28"/>
          <w:lang w:val="uk-UA"/>
        </w:rPr>
        <w:t>від інвестицій Великої Британії</w:t>
      </w:r>
    </w:p>
    <w:tbl>
      <w:tblPr>
        <w:tblW w:w="8788" w:type="dxa"/>
        <w:jc w:val="center"/>
        <w:tblLayout w:type="fixed"/>
        <w:tblLook w:val="04A0" w:firstRow="1" w:lastRow="0" w:firstColumn="1" w:lastColumn="0" w:noHBand="0" w:noVBand="1"/>
      </w:tblPr>
      <w:tblGrid>
        <w:gridCol w:w="1678"/>
        <w:gridCol w:w="1127"/>
        <w:gridCol w:w="1424"/>
        <w:gridCol w:w="2119"/>
        <w:gridCol w:w="1080"/>
        <w:gridCol w:w="1360"/>
      </w:tblGrid>
      <w:tr w:rsidR="00E63F46" w:rsidRPr="002114C8" w:rsidTr="00BD7D79">
        <w:trPr>
          <w:trHeight w:val="280"/>
          <w:jc w:val="center"/>
        </w:trPr>
        <w:tc>
          <w:tcPr>
            <w:tcW w:w="1678" w:type="dxa"/>
            <w:vMerge w:val="restart"/>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Модель</w:t>
            </w:r>
          </w:p>
        </w:tc>
        <w:tc>
          <w:tcPr>
            <w:tcW w:w="255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Нестандартизовані коеффіцієнти</w:t>
            </w:r>
          </w:p>
        </w:tc>
        <w:tc>
          <w:tcPr>
            <w:tcW w:w="21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Стандартизовані коеффіцієнти</w:t>
            </w:r>
          </w:p>
        </w:tc>
        <w:tc>
          <w:tcPr>
            <w:tcW w:w="1080" w:type="dxa"/>
            <w:vMerge w:val="restart"/>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т</w:t>
            </w:r>
          </w:p>
        </w:tc>
        <w:tc>
          <w:tcPr>
            <w:tcW w:w="1360" w:type="dxa"/>
            <w:vMerge w:val="restart"/>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Значимість</w:t>
            </w:r>
          </w:p>
        </w:tc>
      </w:tr>
      <w:tr w:rsidR="00E63F46" w:rsidRPr="002114C8" w:rsidTr="00BD7D79">
        <w:trPr>
          <w:trHeight w:val="540"/>
          <w:jc w:val="center"/>
        </w:trPr>
        <w:tc>
          <w:tcPr>
            <w:tcW w:w="1678" w:type="dxa"/>
            <w:vMerge/>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w:hAnsi="Times New Roman" w:cs="Times New Roman"/>
                <w:color w:val="000000"/>
                <w:sz w:val="24"/>
                <w:szCs w:val="24"/>
                <w:lang w:val="uk-UA"/>
              </w:rPr>
            </w:pPr>
          </w:p>
        </w:tc>
        <w:tc>
          <w:tcPr>
            <w:tcW w:w="1127"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В</w:t>
            </w:r>
          </w:p>
        </w:tc>
        <w:tc>
          <w:tcPr>
            <w:tcW w:w="1424"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Стандартна помилка</w:t>
            </w:r>
          </w:p>
        </w:tc>
        <w:tc>
          <w:tcPr>
            <w:tcW w:w="2119"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Бета</w:t>
            </w:r>
          </w:p>
        </w:tc>
        <w:tc>
          <w:tcPr>
            <w:tcW w:w="1080" w:type="dxa"/>
            <w:vMerge/>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w:hAnsi="Times New Roman" w:cs="Times New Roman"/>
                <w:color w:val="000000"/>
                <w:sz w:val="24"/>
                <w:szCs w:val="24"/>
                <w:lang w:val="uk-UA"/>
              </w:rPr>
            </w:pPr>
          </w:p>
        </w:tc>
        <w:tc>
          <w:tcPr>
            <w:tcW w:w="1360" w:type="dxa"/>
            <w:vMerge/>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w:hAnsi="Times New Roman" w:cs="Times New Roman"/>
                <w:color w:val="000000"/>
                <w:sz w:val="24"/>
                <w:szCs w:val="24"/>
                <w:lang w:val="uk-UA"/>
              </w:rPr>
            </w:pPr>
          </w:p>
        </w:tc>
      </w:tr>
      <w:tr w:rsidR="00E63F46" w:rsidRPr="002114C8" w:rsidTr="00BD7D79">
        <w:trPr>
          <w:trHeight w:val="540"/>
          <w:jc w:val="center"/>
        </w:trPr>
        <w:tc>
          <w:tcPr>
            <w:tcW w:w="1678" w:type="dxa"/>
            <w:tcBorders>
              <w:top w:val="single" w:sz="4" w:space="0" w:color="000000"/>
              <w:left w:val="single" w:sz="4" w:space="0" w:color="000000"/>
              <w:bottom w:val="nil"/>
              <w:right w:val="nil"/>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1 (Константа)</w:t>
            </w:r>
          </w:p>
        </w:tc>
        <w:tc>
          <w:tcPr>
            <w:tcW w:w="1127"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-17866.57</w:t>
            </w:r>
          </w:p>
        </w:tc>
        <w:tc>
          <w:tcPr>
            <w:tcW w:w="1424"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3621.400</w:t>
            </w:r>
          </w:p>
        </w:tc>
        <w:tc>
          <w:tcPr>
            <w:tcW w:w="2119"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E63F46" w:rsidP="00BD7D79">
            <w:pPr>
              <w:jc w:val="center"/>
              <w:rPr>
                <w:rFonts w:ascii="Times New Roman" w:hAnsi="Times New Roman" w:cs="Times New Roman"/>
                <w:color w:val="000000"/>
                <w:sz w:val="24"/>
                <w:szCs w:val="24"/>
                <w:lang w:val="uk-UA"/>
              </w:rPr>
            </w:pPr>
          </w:p>
        </w:tc>
        <w:tc>
          <w:tcPr>
            <w:tcW w:w="1080" w:type="dxa"/>
            <w:tcBorders>
              <w:top w:val="single" w:sz="4" w:space="0" w:color="000000"/>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-4.934</w:t>
            </w:r>
          </w:p>
        </w:tc>
        <w:tc>
          <w:tcPr>
            <w:tcW w:w="1360" w:type="dxa"/>
            <w:tcBorders>
              <w:top w:val="single" w:sz="4" w:space="0" w:color="000000"/>
              <w:left w:val="nil"/>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0.000</w:t>
            </w:r>
          </w:p>
        </w:tc>
      </w:tr>
      <w:tr w:rsidR="00E63F46" w:rsidRPr="002114C8" w:rsidTr="00BD7D79">
        <w:trPr>
          <w:trHeight w:val="280"/>
          <w:jc w:val="center"/>
        </w:trPr>
        <w:tc>
          <w:tcPr>
            <w:tcW w:w="1678" w:type="dxa"/>
            <w:tcBorders>
              <w:top w:val="nil"/>
              <w:left w:val="single" w:sz="4" w:space="0" w:color="000000"/>
              <w:bottom w:val="nil"/>
              <w:right w:val="nil"/>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d</w:t>
            </w:r>
          </w:p>
        </w:tc>
        <w:tc>
          <w:tcPr>
            <w:tcW w:w="1127"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0.765</w:t>
            </w:r>
          </w:p>
        </w:tc>
        <w:tc>
          <w:tcPr>
            <w:tcW w:w="1424"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0.076</w:t>
            </w:r>
          </w:p>
        </w:tc>
        <w:tc>
          <w:tcPr>
            <w:tcW w:w="2119"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0.687</w:t>
            </w:r>
          </w:p>
        </w:tc>
        <w:tc>
          <w:tcPr>
            <w:tcW w:w="1080" w:type="dxa"/>
            <w:tcBorders>
              <w:top w:val="nil"/>
              <w:left w:val="single" w:sz="4" w:space="0" w:color="000000"/>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10.104</w:t>
            </w:r>
          </w:p>
        </w:tc>
        <w:tc>
          <w:tcPr>
            <w:tcW w:w="1360" w:type="dxa"/>
            <w:tcBorders>
              <w:top w:val="nil"/>
              <w:left w:val="nil"/>
              <w:bottom w:val="nil"/>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0.000</w:t>
            </w:r>
          </w:p>
        </w:tc>
      </w:tr>
      <w:tr w:rsidR="00E63F46" w:rsidRPr="002114C8" w:rsidTr="00BD7D79">
        <w:trPr>
          <w:trHeight w:val="280"/>
          <w:jc w:val="center"/>
        </w:trPr>
        <w:tc>
          <w:tcPr>
            <w:tcW w:w="1678" w:type="dxa"/>
            <w:tcBorders>
              <w:top w:val="nil"/>
              <w:left w:val="single" w:sz="4" w:space="0" w:color="000000"/>
              <w:bottom w:val="single" w:sz="4" w:space="0" w:color="000000"/>
              <w:right w:val="nil"/>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e</w:t>
            </w:r>
          </w:p>
        </w:tc>
        <w:tc>
          <w:tcPr>
            <w:tcW w:w="1127"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-745.796</w:t>
            </w:r>
          </w:p>
        </w:tc>
        <w:tc>
          <w:tcPr>
            <w:tcW w:w="1424"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354.276</w:t>
            </w:r>
          </w:p>
        </w:tc>
        <w:tc>
          <w:tcPr>
            <w:tcW w:w="2119"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-0.143</w:t>
            </w:r>
          </w:p>
        </w:tc>
        <w:tc>
          <w:tcPr>
            <w:tcW w:w="1080" w:type="dxa"/>
            <w:tcBorders>
              <w:top w:val="nil"/>
              <w:left w:val="single" w:sz="4" w:space="0" w:color="000000"/>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-2.105</w:t>
            </w:r>
          </w:p>
        </w:tc>
        <w:tc>
          <w:tcPr>
            <w:tcW w:w="1360" w:type="dxa"/>
            <w:tcBorders>
              <w:top w:val="nil"/>
              <w:left w:val="nil"/>
              <w:bottom w:val="single" w:sz="4" w:space="0" w:color="000000"/>
              <w:right w:val="single" w:sz="4" w:space="0" w:color="000000"/>
            </w:tcBorders>
            <w:shd w:val="clear" w:color="auto" w:fill="auto"/>
            <w:vAlign w:val="center"/>
          </w:tcPr>
          <w:p w:rsidR="00E63F46" w:rsidRPr="002114C8" w:rsidRDefault="00912E07" w:rsidP="00BD7D79">
            <w:pPr>
              <w:jc w:val="center"/>
              <w:textAlignment w:val="bottom"/>
              <w:rPr>
                <w:rFonts w:ascii="Times New Roman" w:hAnsi="Times New Roman" w:cs="Times New Roman"/>
                <w:color w:val="000000"/>
                <w:sz w:val="24"/>
                <w:szCs w:val="24"/>
                <w:lang w:val="uk-UA"/>
              </w:rPr>
            </w:pPr>
            <w:r w:rsidRPr="002114C8">
              <w:rPr>
                <w:rFonts w:ascii="Times New Roman" w:eastAsia="SimSun" w:hAnsi="Times New Roman" w:cs="Times New Roman"/>
                <w:color w:val="000000"/>
                <w:sz w:val="24"/>
                <w:szCs w:val="24"/>
                <w:lang w:val="uk-UA" w:eastAsia="zh-CN" w:bidi="ar"/>
              </w:rPr>
              <w:t>0.038</w:t>
            </w:r>
          </w:p>
        </w:tc>
      </w:tr>
    </w:tbl>
    <w:p w:rsidR="00E63F46" w:rsidRPr="002114C8" w:rsidRDefault="00912E07" w:rsidP="00465D9D">
      <w:pPr>
        <w:spacing w:afterLines="50" w:after="120" w:line="360" w:lineRule="auto"/>
        <w:jc w:val="both"/>
        <w:rPr>
          <w:rFonts w:ascii="Times New Roman" w:hAnsi="Times New Roman"/>
          <w:sz w:val="28"/>
          <w:szCs w:val="28"/>
          <w:lang w:val="uk-UA"/>
        </w:rPr>
      </w:pPr>
      <w:r w:rsidRPr="002114C8">
        <w:rPr>
          <w:rFonts w:ascii="Times New Roman" w:hAnsi="Times New Roman" w:cs="Times New Roman"/>
          <w:sz w:val="28"/>
          <w:szCs w:val="28"/>
          <w:lang w:val="uk-UA"/>
        </w:rPr>
        <w:tab/>
      </w:r>
      <w:r w:rsidRPr="002114C8">
        <w:rPr>
          <w:rFonts w:ascii="Times New Roman" w:hAnsi="Times New Roman"/>
          <w:sz w:val="28"/>
          <w:szCs w:val="28"/>
          <w:lang w:val="uk-UA"/>
        </w:rPr>
        <w:t>Джерело складено автором на основі: [11], [18], [19]</w:t>
      </w:r>
    </w:p>
    <w:p w:rsidR="00E63F46" w:rsidRDefault="00912E07" w:rsidP="00465D9D">
      <w:pPr>
        <w:spacing w:afterLines="50" w:after="120" w:line="360" w:lineRule="auto"/>
        <w:ind w:firstLine="709"/>
        <w:jc w:val="both"/>
        <w:rPr>
          <w:rFonts w:ascii="Times New Roman" w:hAnsi="Times New Roman" w:cs="Times New Roman"/>
          <w:sz w:val="28"/>
          <w:szCs w:val="28"/>
          <w:lang w:val="uk-UA"/>
        </w:rPr>
      </w:pPr>
      <w:r w:rsidRPr="002114C8">
        <w:rPr>
          <w:rFonts w:ascii="Times New Roman" w:hAnsi="Times New Roman" w:cs="Times New Roman"/>
          <w:sz w:val="28"/>
          <w:szCs w:val="28"/>
          <w:lang w:val="uk-UA"/>
        </w:rPr>
        <w:t xml:space="preserve">Найбільший вплив, до того ж прямий, відповідно до табл. 2.2.3 на дохід </w:t>
      </w:r>
      <w:r w:rsidRPr="002114C8">
        <w:rPr>
          <w:rFonts w:ascii="Times New Roman" w:hAnsi="Times New Roman"/>
          <w:sz w:val="28"/>
          <w:szCs w:val="28"/>
          <w:lang w:val="uk-UA"/>
        </w:rPr>
        <w:t>від інвестицій Великої Британії</w:t>
      </w:r>
      <w:r w:rsidRPr="002114C8">
        <w:rPr>
          <w:rFonts w:ascii="Times New Roman" w:hAnsi="Times New Roman" w:cs="Times New Roman"/>
          <w:sz w:val="28"/>
          <w:szCs w:val="28"/>
          <w:lang w:val="uk-UA"/>
        </w:rPr>
        <w:t xml:space="preserve"> мають активи ПІІ зі значенням 0,687. Характ</w:t>
      </w:r>
      <w:r w:rsidRPr="002114C8">
        <w:rPr>
          <w:rFonts w:ascii="Times New Roman" w:hAnsi="Times New Roman" w:cs="Times New Roman"/>
          <w:sz w:val="28"/>
          <w:szCs w:val="28"/>
          <w:lang w:val="uk-UA"/>
        </w:rPr>
        <w:t>е</w:t>
      </w:r>
      <w:r w:rsidRPr="002114C8">
        <w:rPr>
          <w:rFonts w:ascii="Times New Roman" w:hAnsi="Times New Roman" w:cs="Times New Roman"/>
          <w:sz w:val="28"/>
          <w:szCs w:val="28"/>
          <w:lang w:val="uk-UA"/>
        </w:rPr>
        <w:t>рною рисою цього впливу є те, що він прямий. Після ПІІ (активи), на форм</w:t>
      </w:r>
      <w:r w:rsidRPr="002114C8">
        <w:rPr>
          <w:rFonts w:ascii="Times New Roman" w:hAnsi="Times New Roman" w:cs="Times New Roman"/>
          <w:sz w:val="28"/>
          <w:szCs w:val="28"/>
          <w:lang w:val="uk-UA"/>
        </w:rPr>
        <w:t>у</w:t>
      </w:r>
      <w:r w:rsidRPr="002114C8">
        <w:rPr>
          <w:rFonts w:ascii="Times New Roman" w:hAnsi="Times New Roman" w:cs="Times New Roman"/>
          <w:sz w:val="28"/>
          <w:szCs w:val="28"/>
          <w:lang w:val="uk-UA"/>
        </w:rPr>
        <w:t>вання доходу від інвестицій також впливає валютний курс, який має 5% зн</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 xml:space="preserve">чущості в даній моделі. Однак, на відміну від прямих інвестицій, валютний курс має зворотній вплив на британський дохід від інвестицій. </w:t>
      </w:r>
    </w:p>
    <w:p w:rsidR="00B16FB3" w:rsidRPr="002114C8" w:rsidRDefault="00B16FB3" w:rsidP="00465D9D">
      <w:pPr>
        <w:spacing w:afterLines="50" w:after="120" w:line="360" w:lineRule="auto"/>
        <w:ind w:firstLine="709"/>
        <w:jc w:val="both"/>
        <w:rPr>
          <w:rFonts w:ascii="Times New Roman" w:hAnsi="Times New Roman" w:cs="Times New Roman"/>
          <w:sz w:val="28"/>
          <w:szCs w:val="28"/>
          <w:lang w:val="uk-UA"/>
        </w:rPr>
      </w:pPr>
    </w:p>
    <w:p w:rsidR="00E63F46" w:rsidRPr="002114C8" w:rsidRDefault="00912E07" w:rsidP="00465D9D">
      <w:pPr>
        <w:spacing w:afterLines="100" w:after="240" w:line="360" w:lineRule="auto"/>
        <w:ind w:firstLine="708"/>
        <w:rPr>
          <w:rFonts w:ascii="Times New Roman" w:hAnsi="Times New Roman"/>
          <w:b/>
          <w:sz w:val="28"/>
          <w:szCs w:val="28"/>
          <w:lang w:val="uk-UA"/>
        </w:rPr>
      </w:pPr>
      <w:r w:rsidRPr="002114C8">
        <w:rPr>
          <w:rFonts w:ascii="Times New Roman" w:hAnsi="Times New Roman" w:cs="Times New Roman"/>
          <w:b/>
          <w:sz w:val="28"/>
          <w:szCs w:val="28"/>
          <w:lang w:val="uk-UA"/>
        </w:rPr>
        <w:lastRenderedPageBreak/>
        <w:t xml:space="preserve">2.3. </w:t>
      </w:r>
      <w:r w:rsidRPr="002114C8">
        <w:rPr>
          <w:rFonts w:ascii="Times New Roman" w:hAnsi="Times New Roman"/>
          <w:b/>
          <w:sz w:val="28"/>
          <w:szCs w:val="28"/>
          <w:lang w:val="uk-UA"/>
        </w:rPr>
        <w:t xml:space="preserve">Аналіз операцій Carry Trade з державними </w:t>
      </w:r>
      <w:r w:rsidR="00B16FB3">
        <w:rPr>
          <w:rFonts w:ascii="Times New Roman" w:hAnsi="Times New Roman"/>
          <w:b/>
          <w:sz w:val="28"/>
          <w:szCs w:val="28"/>
          <w:lang w:val="uk-UA"/>
        </w:rPr>
        <w:t xml:space="preserve">облігаціями Великої </w:t>
      </w:r>
      <w:r w:rsidR="00BD7D79">
        <w:rPr>
          <w:rFonts w:ascii="Times New Roman" w:hAnsi="Times New Roman"/>
          <w:b/>
          <w:sz w:val="28"/>
          <w:szCs w:val="28"/>
          <w:lang w:val="uk-UA"/>
        </w:rPr>
        <w:t>Британії</w:t>
      </w:r>
      <w:r w:rsidR="00B16FB3">
        <w:rPr>
          <w:rFonts w:ascii="Times New Roman" w:hAnsi="Times New Roman"/>
          <w:b/>
          <w:sz w:val="28"/>
          <w:szCs w:val="28"/>
          <w:lang w:val="uk-UA"/>
        </w:rPr>
        <w:t xml:space="preserve">, </w:t>
      </w:r>
      <w:r w:rsidR="00B16FB3" w:rsidRPr="002114C8">
        <w:rPr>
          <w:rFonts w:ascii="Times New Roman" w:hAnsi="Times New Roman"/>
          <w:b/>
          <w:sz w:val="28"/>
          <w:szCs w:val="28"/>
          <w:lang w:val="uk-UA"/>
        </w:rPr>
        <w:t>Ірландії</w:t>
      </w:r>
      <w:r w:rsidRPr="002114C8">
        <w:rPr>
          <w:rFonts w:ascii="Times New Roman" w:hAnsi="Times New Roman"/>
          <w:b/>
          <w:sz w:val="28"/>
          <w:szCs w:val="28"/>
          <w:lang w:val="uk-UA"/>
        </w:rPr>
        <w:t xml:space="preserve"> та облігаціями України</w:t>
      </w:r>
    </w:p>
    <w:p w:rsidR="00E63F46" w:rsidRPr="002114C8" w:rsidRDefault="00912E07">
      <w:pPr>
        <w:spacing w:after="0" w:line="360" w:lineRule="auto"/>
        <w:jc w:val="both"/>
        <w:rPr>
          <w:rFonts w:ascii="Times New Roman" w:hAnsi="Times New Roman"/>
          <w:bCs/>
          <w:sz w:val="28"/>
          <w:szCs w:val="28"/>
          <w:lang w:val="uk-UA"/>
        </w:rPr>
      </w:pPr>
      <w:r w:rsidRPr="002114C8">
        <w:rPr>
          <w:rFonts w:ascii="Times New Roman" w:hAnsi="Times New Roman"/>
          <w:bCs/>
          <w:sz w:val="28"/>
          <w:szCs w:val="28"/>
          <w:lang w:val="uk-UA"/>
        </w:rPr>
        <w:tab/>
        <w:t>Carry Trade представляє собою торгову стратегію, яка передбачає зап</w:t>
      </w:r>
      <w:r w:rsidRPr="002114C8">
        <w:rPr>
          <w:rFonts w:ascii="Times New Roman" w:hAnsi="Times New Roman"/>
          <w:bCs/>
          <w:sz w:val="28"/>
          <w:szCs w:val="28"/>
          <w:lang w:val="uk-UA"/>
        </w:rPr>
        <w:t>о</w:t>
      </w:r>
      <w:r w:rsidRPr="002114C8">
        <w:rPr>
          <w:rFonts w:ascii="Times New Roman" w:hAnsi="Times New Roman"/>
          <w:bCs/>
          <w:sz w:val="28"/>
          <w:szCs w:val="28"/>
          <w:lang w:val="uk-UA"/>
        </w:rPr>
        <w:t>зичення під низькі відсотки та інвестування в актив, який забезпечує вищу н</w:t>
      </w:r>
      <w:r w:rsidRPr="002114C8">
        <w:rPr>
          <w:rFonts w:ascii="Times New Roman" w:hAnsi="Times New Roman"/>
          <w:bCs/>
          <w:sz w:val="28"/>
          <w:szCs w:val="28"/>
          <w:lang w:val="uk-UA"/>
        </w:rPr>
        <w:t>о</w:t>
      </w:r>
      <w:r w:rsidRPr="002114C8">
        <w:rPr>
          <w:rFonts w:ascii="Times New Roman" w:hAnsi="Times New Roman"/>
          <w:bCs/>
          <w:sz w:val="28"/>
          <w:szCs w:val="28"/>
          <w:lang w:val="uk-UA"/>
        </w:rPr>
        <w:t>рму прибутку. Carry Trade зазвичай базується на запозиченнях у валюті з низ</w:t>
      </w:r>
      <w:r w:rsidRPr="002114C8">
        <w:rPr>
          <w:rFonts w:ascii="Times New Roman" w:hAnsi="Times New Roman"/>
          <w:bCs/>
          <w:sz w:val="28"/>
          <w:szCs w:val="28"/>
          <w:lang w:val="uk-UA"/>
        </w:rPr>
        <w:t>ь</w:t>
      </w:r>
      <w:r w:rsidRPr="002114C8">
        <w:rPr>
          <w:rFonts w:ascii="Times New Roman" w:hAnsi="Times New Roman"/>
          <w:bCs/>
          <w:sz w:val="28"/>
          <w:szCs w:val="28"/>
          <w:lang w:val="uk-UA"/>
        </w:rPr>
        <w:t>кими процентними ставками та конвертації позиченої суми в іншу валюту. Як правило, кошти будуть розміщені в другій валюті, якщо вона пропонує вищу процентну ставку. Доходи також можуть бути спрямовані на активи, такі як акції, товари, облігації або нерухомість, деноміновані у другій валюті .</w:t>
      </w:r>
    </w:p>
    <w:p w:rsidR="00E63F46" w:rsidRPr="002114C8" w:rsidRDefault="00912E07">
      <w:pPr>
        <w:spacing w:after="0" w:line="360" w:lineRule="auto"/>
        <w:jc w:val="both"/>
        <w:rPr>
          <w:rFonts w:ascii="Times New Roman" w:hAnsi="Times New Roman"/>
          <w:bCs/>
          <w:sz w:val="28"/>
          <w:szCs w:val="28"/>
          <w:lang w:val="uk-UA"/>
        </w:rPr>
      </w:pPr>
      <w:r w:rsidRPr="002114C8">
        <w:rPr>
          <w:rFonts w:ascii="Times New Roman" w:hAnsi="Times New Roman"/>
          <w:bCs/>
          <w:sz w:val="28"/>
          <w:szCs w:val="28"/>
          <w:lang w:val="uk-UA"/>
        </w:rPr>
        <w:tab/>
        <w:t xml:space="preserve">Такого роду операції </w:t>
      </w:r>
      <w:r w:rsidR="00BD7D79" w:rsidRPr="002114C8">
        <w:rPr>
          <w:rFonts w:ascii="Times New Roman" w:hAnsi="Times New Roman"/>
          <w:bCs/>
          <w:sz w:val="28"/>
          <w:szCs w:val="28"/>
          <w:lang w:val="uk-UA"/>
        </w:rPr>
        <w:t>пов’язані</w:t>
      </w:r>
      <w:r w:rsidRPr="002114C8">
        <w:rPr>
          <w:rFonts w:ascii="Times New Roman" w:hAnsi="Times New Roman"/>
          <w:bCs/>
          <w:sz w:val="28"/>
          <w:szCs w:val="28"/>
          <w:lang w:val="uk-UA"/>
        </w:rPr>
        <w:t xml:space="preserve"> зі значними ризиками для інвесторів, с</w:t>
      </w:r>
      <w:r w:rsidRPr="002114C8">
        <w:rPr>
          <w:rFonts w:ascii="Times New Roman" w:hAnsi="Times New Roman"/>
          <w:bCs/>
          <w:sz w:val="28"/>
          <w:szCs w:val="28"/>
          <w:lang w:val="uk-UA"/>
        </w:rPr>
        <w:t>е</w:t>
      </w:r>
      <w:r w:rsidRPr="002114C8">
        <w:rPr>
          <w:rFonts w:ascii="Times New Roman" w:hAnsi="Times New Roman"/>
          <w:bCs/>
          <w:sz w:val="28"/>
          <w:szCs w:val="28"/>
          <w:lang w:val="uk-UA"/>
        </w:rPr>
        <w:t xml:space="preserve">ред яких можемо виділити 2 основні ризики  </w:t>
      </w:r>
      <w:r w:rsidRPr="002114C8">
        <w:rPr>
          <w:rFonts w:ascii="Times New Roman" w:hAnsi="Times New Roman" w:cs="Times New Roman"/>
          <w:bCs/>
          <w:sz w:val="28"/>
          <w:szCs w:val="28"/>
          <w:lang w:val="uk-UA"/>
        </w:rPr>
        <w:t>̶</w:t>
      </w:r>
      <w:r w:rsidRPr="002114C8">
        <w:rPr>
          <w:rFonts w:ascii="Times New Roman" w:hAnsi="Times New Roman"/>
          <w:bCs/>
          <w:sz w:val="28"/>
          <w:szCs w:val="28"/>
          <w:lang w:val="uk-UA"/>
        </w:rPr>
        <w:t xml:space="preserve">  ризик різкого падіння ціни інв</w:t>
      </w:r>
      <w:r w:rsidRPr="002114C8">
        <w:rPr>
          <w:rFonts w:ascii="Times New Roman" w:hAnsi="Times New Roman"/>
          <w:bCs/>
          <w:sz w:val="28"/>
          <w:szCs w:val="28"/>
          <w:lang w:val="uk-UA"/>
        </w:rPr>
        <w:t>е</w:t>
      </w:r>
      <w:r w:rsidRPr="002114C8">
        <w:rPr>
          <w:rFonts w:ascii="Times New Roman" w:hAnsi="Times New Roman"/>
          <w:bCs/>
          <w:sz w:val="28"/>
          <w:szCs w:val="28"/>
          <w:lang w:val="uk-UA"/>
        </w:rPr>
        <w:t>стованих активів та валютний ризик, коли валюта фінансування відрізняється від національної валюти позичальника. Валютний ризик у Carry Trade рідко хеджується, оскільки хеджування призведе до додаткових витрат або зведе н</w:t>
      </w:r>
      <w:r w:rsidRPr="002114C8">
        <w:rPr>
          <w:rFonts w:ascii="Times New Roman" w:hAnsi="Times New Roman"/>
          <w:bCs/>
          <w:sz w:val="28"/>
          <w:szCs w:val="28"/>
          <w:lang w:val="uk-UA"/>
        </w:rPr>
        <w:t>а</w:t>
      </w:r>
      <w:r w:rsidRPr="002114C8">
        <w:rPr>
          <w:rFonts w:ascii="Times New Roman" w:hAnsi="Times New Roman"/>
          <w:bCs/>
          <w:sz w:val="28"/>
          <w:szCs w:val="28"/>
          <w:lang w:val="uk-UA"/>
        </w:rPr>
        <w:t>нівець позитивну різницю процентних ставок, якщо використовуються валю</w:t>
      </w:r>
      <w:r w:rsidRPr="002114C8">
        <w:rPr>
          <w:rFonts w:ascii="Times New Roman" w:hAnsi="Times New Roman"/>
          <w:bCs/>
          <w:sz w:val="28"/>
          <w:szCs w:val="28"/>
          <w:lang w:val="uk-UA"/>
        </w:rPr>
        <w:t>т</w:t>
      </w:r>
      <w:r w:rsidRPr="002114C8">
        <w:rPr>
          <w:rFonts w:ascii="Times New Roman" w:hAnsi="Times New Roman"/>
          <w:bCs/>
          <w:sz w:val="28"/>
          <w:szCs w:val="28"/>
          <w:lang w:val="uk-UA"/>
        </w:rPr>
        <w:t>ні форварди або контракти, які фіксують обмінний курс на певний час у ма</w:t>
      </w:r>
      <w:r w:rsidRPr="002114C8">
        <w:rPr>
          <w:rFonts w:ascii="Times New Roman" w:hAnsi="Times New Roman"/>
          <w:bCs/>
          <w:sz w:val="28"/>
          <w:szCs w:val="28"/>
          <w:lang w:val="uk-UA"/>
        </w:rPr>
        <w:t>й</w:t>
      </w:r>
      <w:r w:rsidRPr="002114C8">
        <w:rPr>
          <w:rFonts w:ascii="Times New Roman" w:hAnsi="Times New Roman"/>
          <w:bCs/>
          <w:sz w:val="28"/>
          <w:szCs w:val="28"/>
          <w:lang w:val="uk-UA"/>
        </w:rPr>
        <w:t>бутньому.</w:t>
      </w:r>
    </w:p>
    <w:p w:rsidR="00E63F46" w:rsidRPr="002114C8" w:rsidRDefault="00912E07">
      <w:pPr>
        <w:spacing w:after="0" w:line="360" w:lineRule="auto"/>
        <w:jc w:val="both"/>
        <w:rPr>
          <w:rFonts w:ascii="Times New Roman" w:hAnsi="Times New Roman"/>
          <w:bCs/>
          <w:sz w:val="28"/>
          <w:szCs w:val="28"/>
          <w:lang w:val="uk-UA"/>
        </w:rPr>
      </w:pPr>
      <w:r w:rsidRPr="002114C8">
        <w:rPr>
          <w:rFonts w:ascii="Times New Roman" w:hAnsi="Times New Roman"/>
          <w:bCs/>
          <w:sz w:val="28"/>
          <w:szCs w:val="28"/>
          <w:lang w:val="uk-UA"/>
        </w:rPr>
        <w:tab/>
        <w:t>Даний пункт присвячений аналізу операцій Сarry Trade з державними облігаціями Великої Британії, Ірландії та України. Дані для дослідження були взяті з електронних баз Investing [20], Trading Economics [21] та XE Currency Converter [22].  У якості валюти фондування обираємо данську крону (DKK), яка на квітень 2023 року має ставку кредитування - 2,75% на рік.</w:t>
      </w:r>
    </w:p>
    <w:p w:rsidR="00E63F46" w:rsidRPr="002114C8" w:rsidRDefault="00912E07">
      <w:pPr>
        <w:spacing w:after="0" w:line="360" w:lineRule="auto"/>
        <w:jc w:val="both"/>
        <w:rPr>
          <w:rFonts w:ascii="Times New Roman" w:hAnsi="Times New Roman"/>
          <w:bCs/>
          <w:sz w:val="28"/>
          <w:szCs w:val="28"/>
          <w:lang w:val="uk-UA"/>
        </w:rPr>
      </w:pPr>
      <w:r w:rsidRPr="002114C8">
        <w:rPr>
          <w:rFonts w:ascii="Times New Roman" w:hAnsi="Times New Roman"/>
          <w:bCs/>
          <w:sz w:val="28"/>
          <w:szCs w:val="28"/>
          <w:lang w:val="uk-UA"/>
        </w:rPr>
        <w:tab/>
        <w:t>На 6 квітня 2023 року 1 данська крона (DKK) = 0,117 британських фу</w:t>
      </w:r>
      <w:r w:rsidRPr="002114C8">
        <w:rPr>
          <w:rFonts w:ascii="Times New Roman" w:hAnsi="Times New Roman"/>
          <w:bCs/>
          <w:sz w:val="28"/>
          <w:szCs w:val="28"/>
          <w:lang w:val="uk-UA"/>
        </w:rPr>
        <w:t>н</w:t>
      </w:r>
      <w:r w:rsidRPr="002114C8">
        <w:rPr>
          <w:rFonts w:ascii="Times New Roman" w:hAnsi="Times New Roman"/>
          <w:bCs/>
          <w:sz w:val="28"/>
          <w:szCs w:val="28"/>
          <w:lang w:val="uk-UA"/>
        </w:rPr>
        <w:t>тів (GBP)</w:t>
      </w:r>
    </w:p>
    <w:p w:rsidR="00E63F46" w:rsidRPr="002114C8" w:rsidRDefault="00912E07">
      <w:pPr>
        <w:spacing w:after="0" w:line="360" w:lineRule="auto"/>
        <w:ind w:firstLine="708"/>
        <w:jc w:val="both"/>
        <w:rPr>
          <w:rFonts w:ascii="Times New Roman" w:hAnsi="Times New Roman" w:cs="Times New Roman"/>
          <w:bCs/>
          <w:sz w:val="28"/>
          <w:szCs w:val="28"/>
          <w:lang w:val="uk-UA"/>
        </w:rPr>
      </w:pPr>
      <w:r w:rsidRPr="002114C8">
        <w:rPr>
          <w:rFonts w:ascii="Times New Roman" w:hAnsi="Times New Roman"/>
          <w:bCs/>
          <w:sz w:val="28"/>
          <w:szCs w:val="28"/>
          <w:lang w:val="uk-UA"/>
        </w:rPr>
        <w:t>На 6 квітня 2024 року 1 данська крона (DKK) = 0,118 британських фу</w:t>
      </w:r>
      <w:r w:rsidRPr="002114C8">
        <w:rPr>
          <w:rFonts w:ascii="Times New Roman" w:hAnsi="Times New Roman"/>
          <w:bCs/>
          <w:sz w:val="28"/>
          <w:szCs w:val="28"/>
          <w:lang w:val="uk-UA"/>
        </w:rPr>
        <w:t>н</w:t>
      </w:r>
      <w:r w:rsidRPr="002114C8">
        <w:rPr>
          <w:rFonts w:ascii="Times New Roman" w:hAnsi="Times New Roman"/>
          <w:bCs/>
          <w:sz w:val="28"/>
          <w:szCs w:val="28"/>
          <w:lang w:val="uk-UA"/>
        </w:rPr>
        <w:t xml:space="preserve">тів (GBP)  </w:t>
      </w:r>
      <w:r w:rsidRPr="002114C8">
        <w:rPr>
          <w:rFonts w:ascii="Times New Roman" w:hAnsi="Times New Roman" w:cs="Times New Roman"/>
          <w:bCs/>
          <w:sz w:val="28"/>
          <w:szCs w:val="28"/>
          <w:lang w:val="uk-UA"/>
        </w:rPr>
        <w:t>̶  за умови 1% девальвації валютного курсу Великої Британії за рік.</w:t>
      </w:r>
    </w:p>
    <w:p w:rsidR="00E63F46" w:rsidRPr="002114C8" w:rsidRDefault="00912E07">
      <w:pPr>
        <w:spacing w:after="0" w:line="360" w:lineRule="auto"/>
        <w:ind w:firstLine="708"/>
        <w:jc w:val="both"/>
        <w:rPr>
          <w:rFonts w:ascii="Times New Roman" w:hAnsi="Times New Roman" w:cs="Times New Roman"/>
          <w:bCs/>
          <w:sz w:val="28"/>
          <w:szCs w:val="28"/>
          <w:lang w:val="uk-UA"/>
        </w:rPr>
      </w:pPr>
      <w:r w:rsidRPr="002114C8">
        <w:rPr>
          <w:rFonts w:ascii="Times New Roman" w:hAnsi="Times New Roman" w:cs="Times New Roman"/>
          <w:bCs/>
          <w:sz w:val="28"/>
          <w:szCs w:val="28"/>
          <w:lang w:val="uk-UA"/>
        </w:rPr>
        <w:t>Дохідність облігацій Великої Британії на 06.04.2023 складає - 3,95%. У такому разі, ми беремо 1 млн данських крон під  відсоткову ставку 2,75% рі</w:t>
      </w:r>
      <w:r w:rsidRPr="002114C8">
        <w:rPr>
          <w:rFonts w:ascii="Times New Roman" w:hAnsi="Times New Roman" w:cs="Times New Roman"/>
          <w:bCs/>
          <w:sz w:val="28"/>
          <w:szCs w:val="28"/>
          <w:lang w:val="uk-UA"/>
        </w:rPr>
        <w:t>ч</w:t>
      </w:r>
      <w:r w:rsidRPr="002114C8">
        <w:rPr>
          <w:rFonts w:ascii="Times New Roman" w:hAnsi="Times New Roman" w:cs="Times New Roman"/>
          <w:bCs/>
          <w:sz w:val="28"/>
          <w:szCs w:val="28"/>
          <w:lang w:val="uk-UA"/>
        </w:rPr>
        <w:t xml:space="preserve">них. За курсом 0,117 GBP/DKK обмінюємо 1 млн данських крон і отримуємо </w:t>
      </w:r>
      <w:r w:rsidRPr="002114C8">
        <w:rPr>
          <w:rFonts w:ascii="Times New Roman" w:hAnsi="Times New Roman" w:cs="Times New Roman"/>
          <w:bCs/>
          <w:sz w:val="28"/>
          <w:szCs w:val="28"/>
          <w:lang w:val="uk-UA"/>
        </w:rPr>
        <w:lastRenderedPageBreak/>
        <w:t>117000 британських фунтів. Купляємо на них британські облігації під 3,95% річних. За рік, після погашення облігацій, інвестор отримує відсотковий пр</w:t>
      </w:r>
      <w:r w:rsidRPr="002114C8">
        <w:rPr>
          <w:rFonts w:ascii="Times New Roman" w:hAnsi="Times New Roman" w:cs="Times New Roman"/>
          <w:bCs/>
          <w:sz w:val="28"/>
          <w:szCs w:val="28"/>
          <w:lang w:val="uk-UA"/>
        </w:rPr>
        <w:t>и</w:t>
      </w:r>
      <w:r w:rsidRPr="002114C8">
        <w:rPr>
          <w:rFonts w:ascii="Times New Roman" w:hAnsi="Times New Roman" w:cs="Times New Roman"/>
          <w:bCs/>
          <w:sz w:val="28"/>
          <w:szCs w:val="28"/>
          <w:lang w:val="uk-UA"/>
        </w:rPr>
        <w:t>буток:</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cs="Times New Roman"/>
          <w:bCs/>
          <w:sz w:val="28"/>
          <w:szCs w:val="28"/>
          <w:lang w:val="uk-UA"/>
        </w:rPr>
        <w:t xml:space="preserve">117000 </w:t>
      </w:r>
      <w:r w:rsidRPr="002114C8">
        <w:rPr>
          <w:rFonts w:ascii="Times New Roman" w:hAnsi="Times New Roman"/>
          <w:bCs/>
          <w:sz w:val="28"/>
          <w:szCs w:val="28"/>
          <w:lang w:val="uk-UA"/>
        </w:rPr>
        <w:t xml:space="preserve">GBP </w:t>
      </w:r>
      <w:r w:rsidRPr="002114C8">
        <w:rPr>
          <w:rFonts w:ascii="Times New Roman" w:hAnsi="Times New Roman" w:cs="Times New Roman"/>
          <w:bCs/>
          <w:sz w:val="28"/>
          <w:szCs w:val="28"/>
          <w:lang w:val="uk-UA"/>
        </w:rPr>
        <w:t xml:space="preserve">+ (0,0395*117000 </w:t>
      </w:r>
      <w:r w:rsidRPr="002114C8">
        <w:rPr>
          <w:rFonts w:ascii="Times New Roman" w:hAnsi="Times New Roman"/>
          <w:bCs/>
          <w:sz w:val="28"/>
          <w:szCs w:val="28"/>
          <w:lang w:val="uk-UA"/>
        </w:rPr>
        <w:t>GBP</w:t>
      </w:r>
      <w:r w:rsidRPr="002114C8">
        <w:rPr>
          <w:rFonts w:ascii="Times New Roman" w:hAnsi="Times New Roman" w:cs="Times New Roman"/>
          <w:bCs/>
          <w:sz w:val="28"/>
          <w:szCs w:val="28"/>
          <w:lang w:val="uk-UA"/>
        </w:rPr>
        <w:t xml:space="preserve">) = 117000 </w:t>
      </w:r>
      <w:r w:rsidRPr="002114C8">
        <w:rPr>
          <w:rFonts w:ascii="Times New Roman" w:hAnsi="Times New Roman"/>
          <w:bCs/>
          <w:sz w:val="28"/>
          <w:szCs w:val="28"/>
          <w:lang w:val="uk-UA"/>
        </w:rPr>
        <w:t>GBP</w:t>
      </w:r>
      <w:r w:rsidRPr="002114C8">
        <w:rPr>
          <w:rFonts w:ascii="Times New Roman" w:hAnsi="Times New Roman" w:cs="Times New Roman"/>
          <w:bCs/>
          <w:sz w:val="28"/>
          <w:szCs w:val="28"/>
          <w:lang w:val="uk-UA"/>
        </w:rPr>
        <w:t xml:space="preserve"> + 4621,5 </w:t>
      </w:r>
      <w:r w:rsidRPr="002114C8">
        <w:rPr>
          <w:rFonts w:ascii="Times New Roman" w:hAnsi="Times New Roman"/>
          <w:bCs/>
          <w:sz w:val="28"/>
          <w:szCs w:val="28"/>
          <w:lang w:val="uk-UA"/>
        </w:rPr>
        <w:t xml:space="preserve">GBP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121621,5 GBP</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 xml:space="preserve">Ділимо дану суму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 xml:space="preserve">121621,5 GBP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на 0,118 GBP/DKK для розуміння в</w:t>
      </w:r>
      <w:r w:rsidRPr="002114C8">
        <w:rPr>
          <w:rFonts w:ascii="Times New Roman" w:hAnsi="Times New Roman"/>
          <w:bCs/>
          <w:sz w:val="28"/>
          <w:szCs w:val="28"/>
          <w:lang w:val="uk-UA"/>
        </w:rPr>
        <w:t>і</w:t>
      </w:r>
      <w:r w:rsidRPr="002114C8">
        <w:rPr>
          <w:rFonts w:ascii="Times New Roman" w:hAnsi="Times New Roman"/>
          <w:bCs/>
          <w:sz w:val="28"/>
          <w:szCs w:val="28"/>
          <w:lang w:val="uk-UA"/>
        </w:rPr>
        <w:t xml:space="preserve">дсоткового прибутку: 121621,5 GBP/ 0,118 GBP/DKK = 1029207,9 DKK. </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 xml:space="preserve">Наступним кроком є відання кредиту із відсотком - 2,75%. </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1029207,9 DKK - 1000000 DKK - (0,0275*1000000 DKK) = 1707,92 DKK. Прибутковість операцій під час використання повністю позикових ресурсів склала 0,166%.</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Аналогічні розрахування проводимо з облігаціями Ірландії та України.</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На 6 квітня 2023 року 1 данська крона (DKK) = 0,134 євро (EUR)</w:t>
      </w:r>
    </w:p>
    <w:p w:rsidR="00E63F46" w:rsidRPr="002114C8" w:rsidRDefault="00912E07">
      <w:pPr>
        <w:spacing w:after="0" w:line="360" w:lineRule="auto"/>
        <w:ind w:firstLine="708"/>
        <w:jc w:val="both"/>
        <w:rPr>
          <w:rFonts w:ascii="Times New Roman" w:hAnsi="Times New Roman" w:cs="Times New Roman"/>
          <w:bCs/>
          <w:sz w:val="28"/>
          <w:szCs w:val="28"/>
          <w:lang w:val="uk-UA"/>
        </w:rPr>
      </w:pPr>
      <w:r w:rsidRPr="002114C8">
        <w:rPr>
          <w:rFonts w:ascii="Times New Roman" w:hAnsi="Times New Roman"/>
          <w:bCs/>
          <w:sz w:val="28"/>
          <w:szCs w:val="28"/>
          <w:lang w:val="uk-UA"/>
        </w:rPr>
        <w:t xml:space="preserve">На 6 квітня 2024 року 1 данська крона (DKK) = 0,135 євро (EUR)  </w:t>
      </w:r>
      <w:r w:rsidRPr="002114C8">
        <w:rPr>
          <w:rFonts w:ascii="Times New Roman" w:hAnsi="Times New Roman" w:cs="Times New Roman"/>
          <w:bCs/>
          <w:sz w:val="28"/>
          <w:szCs w:val="28"/>
          <w:lang w:val="uk-UA"/>
        </w:rPr>
        <w:t>̶  за умови 1% девальвації валютного курсу Єврозони  за рік.</w:t>
      </w:r>
    </w:p>
    <w:p w:rsidR="00E63F46" w:rsidRPr="002114C8" w:rsidRDefault="00912E07">
      <w:pPr>
        <w:spacing w:after="0" w:line="360" w:lineRule="auto"/>
        <w:ind w:firstLine="708"/>
        <w:jc w:val="both"/>
        <w:rPr>
          <w:rFonts w:ascii="Times New Roman" w:hAnsi="Times New Roman" w:cs="Times New Roman"/>
          <w:bCs/>
          <w:sz w:val="28"/>
          <w:szCs w:val="28"/>
          <w:lang w:val="uk-UA"/>
        </w:rPr>
      </w:pPr>
      <w:r w:rsidRPr="002114C8">
        <w:rPr>
          <w:rFonts w:ascii="Times New Roman" w:hAnsi="Times New Roman" w:cs="Times New Roman"/>
          <w:bCs/>
          <w:sz w:val="28"/>
          <w:szCs w:val="28"/>
          <w:lang w:val="uk-UA"/>
        </w:rPr>
        <w:t>Дохідність облігацій Ірландії на 06.04.2023 складає - 2,88%. У такому р</w:t>
      </w:r>
      <w:r w:rsidRPr="002114C8">
        <w:rPr>
          <w:rFonts w:ascii="Times New Roman" w:hAnsi="Times New Roman" w:cs="Times New Roman"/>
          <w:bCs/>
          <w:sz w:val="28"/>
          <w:szCs w:val="28"/>
          <w:lang w:val="uk-UA"/>
        </w:rPr>
        <w:t>а</w:t>
      </w:r>
      <w:r w:rsidRPr="002114C8">
        <w:rPr>
          <w:rFonts w:ascii="Times New Roman" w:hAnsi="Times New Roman" w:cs="Times New Roman"/>
          <w:bCs/>
          <w:sz w:val="28"/>
          <w:szCs w:val="28"/>
          <w:lang w:val="uk-UA"/>
        </w:rPr>
        <w:t>зі, ми беремо 1 млн данських крон під  відсоткову ставку 2,75% річних. За ку</w:t>
      </w:r>
      <w:r w:rsidRPr="002114C8">
        <w:rPr>
          <w:rFonts w:ascii="Times New Roman" w:hAnsi="Times New Roman" w:cs="Times New Roman"/>
          <w:bCs/>
          <w:sz w:val="28"/>
          <w:szCs w:val="28"/>
          <w:lang w:val="uk-UA"/>
        </w:rPr>
        <w:t>р</w:t>
      </w:r>
      <w:r w:rsidRPr="002114C8">
        <w:rPr>
          <w:rFonts w:ascii="Times New Roman" w:hAnsi="Times New Roman" w:cs="Times New Roman"/>
          <w:bCs/>
          <w:sz w:val="28"/>
          <w:szCs w:val="28"/>
          <w:lang w:val="uk-UA"/>
        </w:rPr>
        <w:t>сом 0,134 EUR/DKK обмінюємо 1 млн данських крон і отримуємо 134000 євро. Купляємо на них ірландські облігації під 2,88% річних. За рік, після погашення облігацій, інвестор отримує відсотковий прибуток:</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cs="Times New Roman"/>
          <w:bCs/>
          <w:sz w:val="28"/>
          <w:szCs w:val="28"/>
          <w:lang w:val="uk-UA"/>
        </w:rPr>
        <w:t>134000 EUR</w:t>
      </w:r>
      <w:r w:rsidRPr="002114C8">
        <w:rPr>
          <w:rFonts w:ascii="Times New Roman" w:hAnsi="Times New Roman"/>
          <w:bCs/>
          <w:sz w:val="28"/>
          <w:szCs w:val="28"/>
          <w:lang w:val="uk-UA"/>
        </w:rPr>
        <w:t xml:space="preserve"> </w:t>
      </w:r>
      <w:r w:rsidRPr="002114C8">
        <w:rPr>
          <w:rFonts w:ascii="Times New Roman" w:hAnsi="Times New Roman" w:cs="Times New Roman"/>
          <w:bCs/>
          <w:sz w:val="28"/>
          <w:szCs w:val="28"/>
          <w:lang w:val="uk-UA"/>
        </w:rPr>
        <w:t xml:space="preserve">+ (0,0288*134000 </w:t>
      </w:r>
      <w:r w:rsidRPr="002114C8">
        <w:rPr>
          <w:rFonts w:ascii="Times New Roman" w:hAnsi="Times New Roman"/>
          <w:bCs/>
          <w:sz w:val="28"/>
          <w:szCs w:val="28"/>
          <w:lang w:val="uk-UA"/>
        </w:rPr>
        <w:t>EUR</w:t>
      </w:r>
      <w:r w:rsidRPr="002114C8">
        <w:rPr>
          <w:rFonts w:ascii="Times New Roman" w:hAnsi="Times New Roman" w:cs="Times New Roman"/>
          <w:bCs/>
          <w:sz w:val="28"/>
          <w:szCs w:val="28"/>
          <w:lang w:val="uk-UA"/>
        </w:rPr>
        <w:t xml:space="preserve">) = 134000 </w:t>
      </w:r>
      <w:r w:rsidRPr="002114C8">
        <w:rPr>
          <w:rFonts w:ascii="Times New Roman" w:hAnsi="Times New Roman"/>
          <w:bCs/>
          <w:sz w:val="28"/>
          <w:szCs w:val="28"/>
          <w:lang w:val="uk-UA"/>
        </w:rPr>
        <w:t xml:space="preserve">EUR </w:t>
      </w:r>
      <w:r w:rsidRPr="002114C8">
        <w:rPr>
          <w:rFonts w:ascii="Times New Roman" w:hAnsi="Times New Roman" w:cs="Times New Roman"/>
          <w:bCs/>
          <w:sz w:val="28"/>
          <w:szCs w:val="28"/>
          <w:lang w:val="uk-UA"/>
        </w:rPr>
        <w:t xml:space="preserve">+ 3852,5 </w:t>
      </w:r>
      <w:r w:rsidRPr="002114C8">
        <w:rPr>
          <w:rFonts w:ascii="Times New Roman" w:hAnsi="Times New Roman"/>
          <w:bCs/>
          <w:sz w:val="28"/>
          <w:szCs w:val="28"/>
          <w:lang w:val="uk-UA"/>
        </w:rPr>
        <w:t xml:space="preserve">EUR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137852,5 EUR</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 xml:space="preserve">Ділимо дану суму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 xml:space="preserve">137852,5 EUR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на 0,135 EUR/DKK для розуміння в</w:t>
      </w:r>
      <w:r w:rsidRPr="002114C8">
        <w:rPr>
          <w:rFonts w:ascii="Times New Roman" w:hAnsi="Times New Roman"/>
          <w:bCs/>
          <w:sz w:val="28"/>
          <w:szCs w:val="28"/>
          <w:lang w:val="uk-UA"/>
        </w:rPr>
        <w:t>і</w:t>
      </w:r>
      <w:r w:rsidRPr="002114C8">
        <w:rPr>
          <w:rFonts w:ascii="Times New Roman" w:hAnsi="Times New Roman"/>
          <w:bCs/>
          <w:sz w:val="28"/>
          <w:szCs w:val="28"/>
          <w:lang w:val="uk-UA"/>
        </w:rPr>
        <w:t xml:space="preserve">дсоткового прибутку: 137852,5 EUR/ 0,135 EUR/DKK = 1018564,4 DKK. </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 xml:space="preserve">Наступним кроком є відання кредиту із відсотком - 2,75%. </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 xml:space="preserve">1018564,4 DKK - 1000000 DKK - (0,0275*1000000 DKK) = -8935,6 DKK </w:t>
      </w:r>
      <w:r w:rsidRPr="002114C8">
        <w:rPr>
          <w:rFonts w:ascii="Times New Roman" w:hAnsi="Times New Roman" w:cs="Times New Roman"/>
          <w:bCs/>
          <w:sz w:val="28"/>
          <w:szCs w:val="28"/>
          <w:lang w:val="uk-UA"/>
        </w:rPr>
        <w:t>̶</w:t>
      </w:r>
      <w:r w:rsidRPr="002114C8">
        <w:rPr>
          <w:rFonts w:ascii="Times New Roman" w:hAnsi="Times New Roman"/>
          <w:bCs/>
          <w:sz w:val="28"/>
          <w:szCs w:val="28"/>
          <w:lang w:val="uk-UA"/>
        </w:rPr>
        <w:t xml:space="preserve"> чисті збитки.</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Прибутковість операцій з облігаціями Ірландії склала -0,877%.</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Останнім кроком є обчислення прибутковості державних облігацій України.</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lastRenderedPageBreak/>
        <w:t>На 6 квітня 2023 року 1 данська крона (DKK) = 5,406 українських гр</w:t>
      </w:r>
      <w:r w:rsidRPr="002114C8">
        <w:rPr>
          <w:rFonts w:ascii="Times New Roman" w:hAnsi="Times New Roman"/>
          <w:bCs/>
          <w:sz w:val="28"/>
          <w:szCs w:val="28"/>
          <w:lang w:val="uk-UA"/>
        </w:rPr>
        <w:t>и</w:t>
      </w:r>
      <w:r w:rsidRPr="002114C8">
        <w:rPr>
          <w:rFonts w:ascii="Times New Roman" w:hAnsi="Times New Roman"/>
          <w:bCs/>
          <w:sz w:val="28"/>
          <w:szCs w:val="28"/>
          <w:lang w:val="uk-UA"/>
        </w:rPr>
        <w:t>вень (UAH)</w:t>
      </w:r>
    </w:p>
    <w:p w:rsidR="00E63F46" w:rsidRPr="002114C8" w:rsidRDefault="00912E07">
      <w:pPr>
        <w:spacing w:after="0" w:line="360" w:lineRule="auto"/>
        <w:ind w:firstLine="708"/>
        <w:jc w:val="both"/>
        <w:rPr>
          <w:rFonts w:ascii="Times New Roman" w:hAnsi="Times New Roman" w:cs="Times New Roman"/>
          <w:bCs/>
          <w:sz w:val="28"/>
          <w:szCs w:val="28"/>
          <w:lang w:val="uk-UA"/>
        </w:rPr>
      </w:pPr>
      <w:r w:rsidRPr="002114C8">
        <w:rPr>
          <w:rFonts w:ascii="Times New Roman" w:hAnsi="Times New Roman"/>
          <w:bCs/>
          <w:sz w:val="28"/>
          <w:szCs w:val="28"/>
          <w:lang w:val="uk-UA"/>
        </w:rPr>
        <w:t>На 6 квітня 2024 року 1 данська крона (DKK) = 5,456 українських гр</w:t>
      </w:r>
      <w:r w:rsidRPr="002114C8">
        <w:rPr>
          <w:rFonts w:ascii="Times New Roman" w:hAnsi="Times New Roman"/>
          <w:bCs/>
          <w:sz w:val="28"/>
          <w:szCs w:val="28"/>
          <w:lang w:val="uk-UA"/>
        </w:rPr>
        <w:t>и</w:t>
      </w:r>
      <w:r w:rsidRPr="002114C8">
        <w:rPr>
          <w:rFonts w:ascii="Times New Roman" w:hAnsi="Times New Roman"/>
          <w:bCs/>
          <w:sz w:val="28"/>
          <w:szCs w:val="28"/>
          <w:lang w:val="uk-UA"/>
        </w:rPr>
        <w:t xml:space="preserve">вень (UAH)  </w:t>
      </w:r>
      <w:r w:rsidRPr="002114C8">
        <w:rPr>
          <w:rFonts w:ascii="Times New Roman" w:hAnsi="Times New Roman" w:cs="Times New Roman"/>
          <w:bCs/>
          <w:sz w:val="28"/>
          <w:szCs w:val="28"/>
          <w:lang w:val="uk-UA"/>
        </w:rPr>
        <w:t>̶  за умови 1% девальвації валютного курсу України за рік.</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cs="Times New Roman"/>
          <w:bCs/>
          <w:sz w:val="28"/>
          <w:szCs w:val="28"/>
          <w:lang w:val="uk-UA"/>
        </w:rPr>
        <w:t xml:space="preserve">Дохідність облігацій України на 06.04.2023 складає - 60,8%. Беремо 1млн данських крон і, обмінявши їх за курсом 5,406 UAH/DKK, отримуємо </w:t>
      </w:r>
      <w:r w:rsidRPr="002114C8">
        <w:rPr>
          <w:rFonts w:ascii="Times New Roman" w:hAnsi="Times New Roman"/>
          <w:bCs/>
          <w:sz w:val="28"/>
          <w:szCs w:val="28"/>
          <w:lang w:val="uk-UA"/>
        </w:rPr>
        <w:t>5402000 українських гривень.</w:t>
      </w:r>
      <w:r w:rsidR="000358E9">
        <w:rPr>
          <w:rFonts w:ascii="Times New Roman" w:hAnsi="Times New Roman"/>
          <w:bCs/>
          <w:sz w:val="28"/>
          <w:szCs w:val="28"/>
          <w:lang w:val="uk-UA"/>
        </w:rPr>
        <w:t xml:space="preserve"> </w:t>
      </w:r>
      <w:r w:rsidRPr="002114C8">
        <w:rPr>
          <w:rFonts w:ascii="Times New Roman" w:hAnsi="Times New Roman"/>
          <w:bCs/>
          <w:sz w:val="28"/>
          <w:szCs w:val="28"/>
          <w:lang w:val="uk-UA"/>
        </w:rPr>
        <w:t>Купляємо на них державні облігації під 60,8% річних. Відсотковий прибуток інвестора через рік становить:</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5402000</w:t>
      </w:r>
      <w:r w:rsidRPr="002114C8">
        <w:rPr>
          <w:rFonts w:ascii="Times New Roman" w:hAnsi="Times New Roman" w:cs="Times New Roman"/>
          <w:bCs/>
          <w:sz w:val="28"/>
          <w:szCs w:val="28"/>
          <w:lang w:val="uk-UA"/>
        </w:rPr>
        <w:t xml:space="preserve"> UAH</w:t>
      </w:r>
      <w:r w:rsidRPr="002114C8">
        <w:rPr>
          <w:rFonts w:ascii="Times New Roman" w:hAnsi="Times New Roman"/>
          <w:bCs/>
          <w:sz w:val="28"/>
          <w:szCs w:val="28"/>
          <w:lang w:val="uk-UA"/>
        </w:rPr>
        <w:t xml:space="preserve"> </w:t>
      </w:r>
      <w:r w:rsidRPr="002114C8">
        <w:rPr>
          <w:rFonts w:ascii="Times New Roman" w:hAnsi="Times New Roman" w:cs="Times New Roman"/>
          <w:bCs/>
          <w:sz w:val="28"/>
          <w:szCs w:val="28"/>
          <w:lang w:val="uk-UA"/>
        </w:rPr>
        <w:t xml:space="preserve">+ (0,608*5402000 </w:t>
      </w:r>
      <w:r w:rsidRPr="002114C8">
        <w:rPr>
          <w:rFonts w:ascii="Times New Roman" w:hAnsi="Times New Roman"/>
          <w:bCs/>
          <w:sz w:val="28"/>
          <w:szCs w:val="28"/>
          <w:lang w:val="uk-UA"/>
        </w:rPr>
        <w:t>UAH</w:t>
      </w:r>
      <w:r w:rsidRPr="002114C8">
        <w:rPr>
          <w:rFonts w:ascii="Times New Roman" w:hAnsi="Times New Roman" w:cs="Times New Roman"/>
          <w:bCs/>
          <w:sz w:val="28"/>
          <w:szCs w:val="28"/>
          <w:lang w:val="uk-UA"/>
        </w:rPr>
        <w:t xml:space="preserve">) = </w:t>
      </w:r>
      <w:r w:rsidRPr="002114C8">
        <w:rPr>
          <w:rFonts w:ascii="Times New Roman" w:hAnsi="Times New Roman"/>
          <w:bCs/>
          <w:sz w:val="28"/>
          <w:szCs w:val="28"/>
          <w:lang w:val="uk-UA"/>
        </w:rPr>
        <w:t>5402000</w:t>
      </w:r>
      <w:r w:rsidRPr="002114C8">
        <w:rPr>
          <w:rFonts w:ascii="Times New Roman" w:hAnsi="Times New Roman" w:cs="Times New Roman"/>
          <w:bCs/>
          <w:sz w:val="28"/>
          <w:szCs w:val="28"/>
          <w:lang w:val="uk-UA"/>
        </w:rPr>
        <w:t xml:space="preserve"> UAH</w:t>
      </w:r>
      <w:r w:rsidRPr="002114C8">
        <w:rPr>
          <w:rFonts w:ascii="Times New Roman" w:hAnsi="Times New Roman"/>
          <w:bCs/>
          <w:sz w:val="28"/>
          <w:szCs w:val="28"/>
          <w:lang w:val="uk-UA"/>
        </w:rPr>
        <w:t xml:space="preserve">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 xml:space="preserve">3284416 UAH </w:t>
      </w:r>
      <w:r w:rsidRPr="002114C8">
        <w:rPr>
          <w:rFonts w:ascii="Times New Roman" w:hAnsi="Times New Roman" w:cs="Times New Roman"/>
          <w:bCs/>
          <w:sz w:val="28"/>
          <w:szCs w:val="28"/>
          <w:lang w:val="uk-UA"/>
        </w:rPr>
        <w:t xml:space="preserve">= </w:t>
      </w:r>
      <w:r w:rsidRPr="002114C8">
        <w:rPr>
          <w:rFonts w:ascii="Times New Roman" w:hAnsi="Times New Roman"/>
          <w:bCs/>
          <w:sz w:val="28"/>
          <w:szCs w:val="28"/>
          <w:lang w:val="uk-UA"/>
        </w:rPr>
        <w:t>8686416 UAH</w:t>
      </w:r>
    </w:p>
    <w:p w:rsidR="00E63F46" w:rsidRPr="002114C8" w:rsidRDefault="00912E07">
      <w:pPr>
        <w:spacing w:after="0" w:line="360" w:lineRule="auto"/>
        <w:ind w:firstLine="708"/>
        <w:jc w:val="both"/>
        <w:rPr>
          <w:rFonts w:ascii="Times New Roman" w:hAnsi="Times New Roman" w:cs="Times New Roman"/>
          <w:bCs/>
          <w:sz w:val="28"/>
          <w:szCs w:val="28"/>
          <w:lang w:val="uk-UA"/>
        </w:rPr>
      </w:pPr>
      <w:r w:rsidRPr="002114C8">
        <w:rPr>
          <w:rFonts w:ascii="Times New Roman" w:hAnsi="Times New Roman"/>
          <w:bCs/>
          <w:sz w:val="28"/>
          <w:szCs w:val="28"/>
          <w:lang w:val="uk-UA"/>
        </w:rPr>
        <w:t xml:space="preserve">Переводимо дану суму у крони: 8686416 UAH/ </w:t>
      </w:r>
      <w:r w:rsidRPr="002114C8">
        <w:rPr>
          <w:rFonts w:ascii="Times New Roman" w:hAnsi="Times New Roman" w:cs="Times New Roman"/>
          <w:bCs/>
          <w:sz w:val="28"/>
          <w:szCs w:val="28"/>
          <w:lang w:val="uk-UA"/>
        </w:rPr>
        <w:t xml:space="preserve">5,456 UAH/DKK = </w:t>
      </w:r>
      <w:r w:rsidRPr="002114C8">
        <w:rPr>
          <w:rFonts w:ascii="Times New Roman" w:hAnsi="Times New Roman"/>
          <w:bCs/>
          <w:sz w:val="28"/>
          <w:szCs w:val="28"/>
          <w:lang w:val="uk-UA"/>
        </w:rPr>
        <w:t xml:space="preserve">1592079,2 </w:t>
      </w:r>
      <w:r w:rsidRPr="002114C8">
        <w:rPr>
          <w:rFonts w:ascii="Times New Roman" w:hAnsi="Times New Roman" w:cs="Times New Roman"/>
          <w:bCs/>
          <w:sz w:val="28"/>
          <w:szCs w:val="28"/>
          <w:lang w:val="uk-UA"/>
        </w:rPr>
        <w:t>DKK</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 xml:space="preserve">Подалі відаємо кредит із відсотком - 2,75%. </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 xml:space="preserve">1592079,2 DKK - 1000000 DKK - (0,0275*1000000 DKK) = 564579,2 DKK </w:t>
      </w:r>
      <w:r w:rsidRPr="002114C8">
        <w:rPr>
          <w:rFonts w:ascii="Times New Roman" w:hAnsi="Times New Roman" w:cs="Times New Roman"/>
          <w:bCs/>
          <w:sz w:val="28"/>
          <w:szCs w:val="28"/>
          <w:lang w:val="uk-UA"/>
        </w:rPr>
        <w:t>̶</w:t>
      </w:r>
      <w:r w:rsidRPr="002114C8">
        <w:rPr>
          <w:rFonts w:ascii="Times New Roman" w:hAnsi="Times New Roman"/>
          <w:bCs/>
          <w:sz w:val="28"/>
          <w:szCs w:val="28"/>
          <w:lang w:val="uk-UA"/>
        </w:rPr>
        <w:t xml:space="preserve"> чистий прибуток. Прибутковість операцій під час використання повні</w:t>
      </w:r>
      <w:r w:rsidRPr="002114C8">
        <w:rPr>
          <w:rFonts w:ascii="Times New Roman" w:hAnsi="Times New Roman"/>
          <w:bCs/>
          <w:sz w:val="28"/>
          <w:szCs w:val="28"/>
          <w:lang w:val="uk-UA"/>
        </w:rPr>
        <w:t>с</w:t>
      </w:r>
      <w:r w:rsidRPr="002114C8">
        <w:rPr>
          <w:rFonts w:ascii="Times New Roman" w:hAnsi="Times New Roman"/>
          <w:bCs/>
          <w:sz w:val="28"/>
          <w:szCs w:val="28"/>
          <w:lang w:val="uk-UA"/>
        </w:rPr>
        <w:t>тю позикових ресурсів склала 35,46%.</w:t>
      </w:r>
    </w:p>
    <w:p w:rsidR="00E63F46" w:rsidRPr="002114C8" w:rsidRDefault="00912E07">
      <w:pPr>
        <w:spacing w:after="0" w:line="360" w:lineRule="auto"/>
        <w:ind w:firstLine="708"/>
        <w:jc w:val="both"/>
        <w:rPr>
          <w:rFonts w:ascii="Times New Roman" w:hAnsi="Times New Roman"/>
          <w:bCs/>
          <w:sz w:val="28"/>
          <w:szCs w:val="28"/>
          <w:lang w:val="uk-UA"/>
        </w:rPr>
      </w:pPr>
      <w:r w:rsidRPr="002114C8">
        <w:rPr>
          <w:rFonts w:ascii="Times New Roman" w:hAnsi="Times New Roman"/>
          <w:bCs/>
          <w:sz w:val="28"/>
          <w:szCs w:val="28"/>
          <w:lang w:val="uk-UA"/>
        </w:rPr>
        <w:t>Відповідно до результатів проведення операцій Carry Trade, можемо стверджувати, що найвищу дохідність мають цінні папери саме України, тоді як прибутковість британських цінних паперів у 213 разів менша. При цьому інвестори, які потенційно могли придбати облігації Республіки Ірландії, через рік зазнали б збитків у 0,88%. З огляду на вищезазначене можна стверджувати, що потенційно привабливою для інвесторів з метою отримання прибутку є Україна. Попри це, варто зазначити, що такі інвестиції є високо ризикованими у зв'язку з  нестабільною політичною та економічною ситуацією, повʼязаною з повномасштабним вторгненням.</w:t>
      </w:r>
    </w:p>
    <w:p w:rsidR="00E63F46" w:rsidRPr="002114C8" w:rsidRDefault="00E63F46">
      <w:pPr>
        <w:spacing w:after="0" w:line="360" w:lineRule="auto"/>
        <w:ind w:firstLine="708"/>
        <w:jc w:val="both"/>
        <w:rPr>
          <w:rFonts w:ascii="Times New Roman" w:hAnsi="Times New Roman"/>
          <w:bCs/>
          <w:sz w:val="28"/>
          <w:szCs w:val="28"/>
          <w:lang w:val="uk-UA"/>
        </w:rPr>
      </w:pPr>
    </w:p>
    <w:p w:rsidR="00E63F46" w:rsidRPr="002114C8" w:rsidRDefault="00E63F46">
      <w:pPr>
        <w:spacing w:after="0" w:line="360" w:lineRule="auto"/>
        <w:ind w:firstLine="708"/>
        <w:jc w:val="both"/>
        <w:rPr>
          <w:rFonts w:ascii="Times New Roman" w:hAnsi="Times New Roman" w:cs="Times New Roman"/>
          <w:bCs/>
          <w:sz w:val="28"/>
          <w:szCs w:val="28"/>
          <w:lang w:val="uk-UA"/>
        </w:rPr>
      </w:pPr>
    </w:p>
    <w:p w:rsidR="00E63F46" w:rsidRPr="002114C8" w:rsidRDefault="00E63F46">
      <w:pPr>
        <w:spacing w:after="0" w:line="360" w:lineRule="auto"/>
        <w:ind w:firstLine="708"/>
        <w:jc w:val="both"/>
        <w:rPr>
          <w:rFonts w:ascii="Times New Roman" w:hAnsi="Times New Roman"/>
          <w:bCs/>
          <w:sz w:val="28"/>
          <w:szCs w:val="28"/>
          <w:lang w:val="uk-UA"/>
        </w:rPr>
      </w:pPr>
    </w:p>
    <w:p w:rsidR="00E63F46" w:rsidRPr="002114C8" w:rsidRDefault="00E63F46">
      <w:pPr>
        <w:spacing w:after="0" w:line="360" w:lineRule="auto"/>
        <w:ind w:firstLine="708"/>
        <w:jc w:val="both"/>
        <w:rPr>
          <w:rFonts w:ascii="Times New Roman" w:hAnsi="Times New Roman"/>
          <w:bCs/>
          <w:sz w:val="28"/>
          <w:szCs w:val="28"/>
          <w:lang w:val="uk-UA"/>
        </w:rPr>
      </w:pPr>
    </w:p>
    <w:p w:rsidR="00E63F46" w:rsidRPr="002114C8" w:rsidRDefault="00E63F46">
      <w:pPr>
        <w:spacing w:after="0" w:line="360" w:lineRule="auto"/>
        <w:ind w:firstLine="708"/>
        <w:jc w:val="both"/>
        <w:rPr>
          <w:rFonts w:ascii="Times New Roman" w:hAnsi="Times New Roman"/>
          <w:bCs/>
          <w:sz w:val="28"/>
          <w:szCs w:val="28"/>
          <w:lang w:val="uk-UA"/>
        </w:rPr>
      </w:pPr>
    </w:p>
    <w:p w:rsidR="00E63F46" w:rsidRPr="002114C8" w:rsidRDefault="00912E07">
      <w:pPr>
        <w:spacing w:after="0" w:line="360" w:lineRule="auto"/>
        <w:ind w:left="113" w:right="57" w:firstLine="567"/>
        <w:jc w:val="center"/>
        <w:rPr>
          <w:rFonts w:ascii="Times New Roman" w:hAnsi="Times New Roman"/>
          <w:b/>
          <w:sz w:val="28"/>
          <w:szCs w:val="28"/>
          <w:lang w:val="uk-UA"/>
        </w:rPr>
      </w:pPr>
      <w:r w:rsidRPr="002114C8">
        <w:rPr>
          <w:rFonts w:ascii="Times New Roman" w:hAnsi="Times New Roman"/>
          <w:b/>
          <w:sz w:val="28"/>
          <w:szCs w:val="28"/>
          <w:lang w:val="uk-UA"/>
        </w:rPr>
        <w:lastRenderedPageBreak/>
        <w:t>РОЗДІЛ 3</w:t>
      </w:r>
    </w:p>
    <w:p w:rsidR="00E63F46" w:rsidRPr="002114C8" w:rsidRDefault="00912E07">
      <w:pPr>
        <w:spacing w:after="0" w:line="360" w:lineRule="auto"/>
        <w:ind w:right="57"/>
        <w:jc w:val="center"/>
        <w:rPr>
          <w:rFonts w:ascii="Times New Roman" w:hAnsi="Times New Roman"/>
          <w:b/>
          <w:bCs/>
          <w:sz w:val="28"/>
          <w:szCs w:val="28"/>
          <w:lang w:val="uk-UA"/>
        </w:rPr>
      </w:pPr>
      <w:r w:rsidRPr="002114C8">
        <w:rPr>
          <w:rFonts w:ascii="Times New Roman" w:hAnsi="Times New Roman"/>
          <w:b/>
          <w:bCs/>
          <w:sz w:val="28"/>
          <w:szCs w:val="28"/>
          <w:lang w:val="uk-UA"/>
        </w:rPr>
        <w:t xml:space="preserve">ОСОБЛИВОСТІ ЗОВНІШНЬОЕКОНОМІЧНИХ </w:t>
      </w:r>
    </w:p>
    <w:p w:rsidR="00E63F46" w:rsidRPr="002114C8" w:rsidRDefault="00912E07" w:rsidP="00465D9D">
      <w:pPr>
        <w:spacing w:afterLines="100" w:after="240" w:line="360" w:lineRule="auto"/>
        <w:ind w:right="57"/>
        <w:jc w:val="center"/>
        <w:rPr>
          <w:rFonts w:ascii="Times New Roman" w:hAnsi="Times New Roman"/>
          <w:b/>
          <w:bCs/>
          <w:sz w:val="28"/>
          <w:szCs w:val="28"/>
          <w:lang w:val="uk-UA"/>
        </w:rPr>
      </w:pPr>
      <w:r w:rsidRPr="002114C8">
        <w:rPr>
          <w:rFonts w:ascii="Times New Roman" w:hAnsi="Times New Roman"/>
          <w:b/>
          <w:bCs/>
          <w:sz w:val="28"/>
          <w:szCs w:val="28"/>
          <w:lang w:val="uk-UA"/>
        </w:rPr>
        <w:t>ОПЕРАЦІЙ ВЕЛИКОЇ БРИТАНІЇ ТА ІРЛАНДІЇ З УКРАЇНОЮ</w:t>
      </w:r>
    </w:p>
    <w:p w:rsidR="00E63F46" w:rsidRPr="002114C8" w:rsidRDefault="00912E07">
      <w:pPr>
        <w:spacing w:after="0" w:line="360" w:lineRule="auto"/>
        <w:jc w:val="both"/>
        <w:rPr>
          <w:rFonts w:ascii="Times New Roman" w:hAnsi="Times New Roman"/>
          <w:sz w:val="28"/>
          <w:szCs w:val="28"/>
          <w:lang w:val="uk-UA"/>
        </w:rPr>
      </w:pPr>
      <w:r w:rsidRPr="002114C8">
        <w:rPr>
          <w:rFonts w:ascii="Times New Roman" w:hAnsi="Times New Roman"/>
          <w:sz w:val="28"/>
          <w:szCs w:val="28"/>
          <w:lang w:val="uk-UA"/>
        </w:rPr>
        <w:tab/>
        <w:t xml:space="preserve">Сполучене Королівство було 12-м найбільшим двостороннім торговим партнером України з обсягом 1,77 мільярда доларів у січні-вересні 2020 року, що становило 2% від загальної української торгівлі. </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У жовтні 2020 року Велика Британія та Україна ухвалили «Угоду про політичне та стратегічне партнерство та вільну торгівлю ». Це перша угода, підписана Британією після Brexit з країною з ринковою економікою, що розв</w:t>
      </w:r>
      <w:r w:rsidRPr="002114C8">
        <w:rPr>
          <w:rFonts w:ascii="Times New Roman" w:hAnsi="Times New Roman"/>
          <w:sz w:val="28"/>
          <w:szCs w:val="28"/>
          <w:lang w:val="uk-UA"/>
        </w:rPr>
        <w:t>и</w:t>
      </w:r>
      <w:r w:rsidRPr="002114C8">
        <w:rPr>
          <w:rFonts w:ascii="Times New Roman" w:hAnsi="Times New Roman"/>
          <w:sz w:val="28"/>
          <w:szCs w:val="28"/>
          <w:lang w:val="uk-UA"/>
        </w:rPr>
        <w:t>вається. Угода спрямована на зміцнення політичних, безпекових та економі</w:t>
      </w:r>
      <w:r w:rsidRPr="002114C8">
        <w:rPr>
          <w:rFonts w:ascii="Times New Roman" w:hAnsi="Times New Roman"/>
          <w:sz w:val="28"/>
          <w:szCs w:val="28"/>
          <w:lang w:val="uk-UA"/>
        </w:rPr>
        <w:t>ч</w:t>
      </w:r>
      <w:r w:rsidRPr="002114C8">
        <w:rPr>
          <w:rFonts w:ascii="Times New Roman" w:hAnsi="Times New Roman"/>
          <w:sz w:val="28"/>
          <w:szCs w:val="28"/>
          <w:lang w:val="uk-UA"/>
        </w:rPr>
        <w:t>них зв’язків між двома країнами охоплює різноманітні програми від програми сталого розвитку до партнерства у сфері енергетики. Основна програма пар</w:t>
      </w:r>
      <w:r w:rsidRPr="002114C8">
        <w:rPr>
          <w:rFonts w:ascii="Times New Roman" w:hAnsi="Times New Roman"/>
          <w:sz w:val="28"/>
          <w:szCs w:val="28"/>
          <w:lang w:val="uk-UA"/>
        </w:rPr>
        <w:t>т</w:t>
      </w:r>
      <w:r w:rsidRPr="002114C8">
        <w:rPr>
          <w:rFonts w:ascii="Times New Roman" w:hAnsi="Times New Roman"/>
          <w:sz w:val="28"/>
          <w:szCs w:val="28"/>
          <w:lang w:val="uk-UA"/>
        </w:rPr>
        <w:t>нерства у сфері економіці була викладена у статті 35, розділу 3 [3, с.23]. Згі</w:t>
      </w:r>
      <w:r w:rsidRPr="002114C8">
        <w:rPr>
          <w:rFonts w:ascii="Times New Roman" w:hAnsi="Times New Roman"/>
          <w:sz w:val="28"/>
          <w:szCs w:val="28"/>
          <w:lang w:val="uk-UA"/>
        </w:rPr>
        <w:t>д</w:t>
      </w:r>
      <w:r w:rsidRPr="002114C8">
        <w:rPr>
          <w:rFonts w:ascii="Times New Roman" w:hAnsi="Times New Roman"/>
          <w:sz w:val="28"/>
          <w:szCs w:val="28"/>
          <w:lang w:val="uk-UA"/>
        </w:rPr>
        <w:t>ною з цією статтею обидві Сторони зобов'язались не підтримувати будь-які заборони чи обмеження або будь-які заходи, що мають еквівалентний вплив на імпорт будь-якого товару іншої Сторони або на експорт чи продаж на експорт будь-якого товару, призначеного на територію іншої Сторони. Однак, дана угода так і не була ратифікована. Натомість</w:t>
      </w:r>
      <w:r w:rsidR="000358E9">
        <w:rPr>
          <w:rFonts w:ascii="Times New Roman" w:hAnsi="Times New Roman"/>
          <w:sz w:val="28"/>
          <w:szCs w:val="28"/>
          <w:lang w:val="uk-UA"/>
        </w:rPr>
        <w:t xml:space="preserve"> </w:t>
      </w:r>
      <w:r w:rsidRPr="002114C8">
        <w:rPr>
          <w:rFonts w:ascii="Times New Roman" w:hAnsi="Times New Roman"/>
          <w:sz w:val="28"/>
          <w:szCs w:val="28"/>
          <w:lang w:val="uk-UA"/>
        </w:rPr>
        <w:t>20 березня 2023 року було підп</w:t>
      </w:r>
      <w:r w:rsidRPr="002114C8">
        <w:rPr>
          <w:rFonts w:ascii="Times New Roman" w:hAnsi="Times New Roman"/>
          <w:sz w:val="28"/>
          <w:szCs w:val="28"/>
          <w:lang w:val="uk-UA"/>
        </w:rPr>
        <w:t>и</w:t>
      </w:r>
      <w:r w:rsidRPr="002114C8">
        <w:rPr>
          <w:rFonts w:ascii="Times New Roman" w:hAnsi="Times New Roman"/>
          <w:sz w:val="28"/>
          <w:szCs w:val="28"/>
          <w:lang w:val="uk-UA"/>
        </w:rPr>
        <w:t>сано Угоду про цифрову торгівлю між Великою Британією та Україною для забезпечення життєво важливої підтримки української економіки. Відповідно до Угоди, Міністерство бізнесу та торгівлі мобілізує британський бізнес до участі в майбутніх проектах реконструкції в Україні за допомогою. Україна матиме гарантований доступ до фінансових послуг, важливих для зусиль з р</w:t>
      </w:r>
      <w:r w:rsidRPr="002114C8">
        <w:rPr>
          <w:rFonts w:ascii="Times New Roman" w:hAnsi="Times New Roman"/>
          <w:sz w:val="28"/>
          <w:szCs w:val="28"/>
          <w:lang w:val="uk-UA"/>
        </w:rPr>
        <w:t>е</w:t>
      </w:r>
      <w:r w:rsidRPr="002114C8">
        <w:rPr>
          <w:rFonts w:ascii="Times New Roman" w:hAnsi="Times New Roman"/>
          <w:sz w:val="28"/>
          <w:szCs w:val="28"/>
          <w:lang w:val="uk-UA"/>
        </w:rPr>
        <w:t>конструкції, завдяки спрощенню транскордонних потоків даних угодою. Укр</w:t>
      </w:r>
      <w:r w:rsidRPr="002114C8">
        <w:rPr>
          <w:rFonts w:ascii="Times New Roman" w:hAnsi="Times New Roman"/>
          <w:sz w:val="28"/>
          <w:szCs w:val="28"/>
          <w:lang w:val="uk-UA"/>
        </w:rPr>
        <w:t>а</w:t>
      </w:r>
      <w:r w:rsidRPr="002114C8">
        <w:rPr>
          <w:rFonts w:ascii="Times New Roman" w:hAnsi="Times New Roman"/>
          <w:sz w:val="28"/>
          <w:szCs w:val="28"/>
          <w:lang w:val="uk-UA"/>
        </w:rPr>
        <w:t>їнські підприємства також зможуть ефективніше та дешевше торгувати з В</w:t>
      </w:r>
      <w:r w:rsidRPr="002114C8">
        <w:rPr>
          <w:rFonts w:ascii="Times New Roman" w:hAnsi="Times New Roman"/>
          <w:sz w:val="28"/>
          <w:szCs w:val="28"/>
          <w:lang w:val="uk-UA"/>
        </w:rPr>
        <w:t>е</w:t>
      </w:r>
      <w:r w:rsidRPr="002114C8">
        <w:rPr>
          <w:rFonts w:ascii="Times New Roman" w:hAnsi="Times New Roman"/>
          <w:sz w:val="28"/>
          <w:szCs w:val="28"/>
          <w:lang w:val="uk-UA"/>
        </w:rPr>
        <w:t>ликою Британією за допомогою електронних транзакцій, електронних підписів та електронних контрактів [24]. Також Велика Британія подовжить безмитну торгівлю на імпорт з України до початку 2024 року, надаючи  підтримку укр</w:t>
      </w:r>
      <w:r w:rsidRPr="002114C8">
        <w:rPr>
          <w:rFonts w:ascii="Times New Roman" w:hAnsi="Times New Roman"/>
          <w:sz w:val="28"/>
          <w:szCs w:val="28"/>
          <w:lang w:val="uk-UA"/>
        </w:rPr>
        <w:t>а</w:t>
      </w:r>
      <w:r w:rsidRPr="002114C8">
        <w:rPr>
          <w:rFonts w:ascii="Times New Roman" w:hAnsi="Times New Roman"/>
          <w:sz w:val="28"/>
          <w:szCs w:val="28"/>
          <w:lang w:val="uk-UA"/>
        </w:rPr>
        <w:t xml:space="preserve">їнським підприємствам. Додатково Велика Британія є ключовим партнером </w:t>
      </w:r>
      <w:r w:rsidRPr="002114C8">
        <w:rPr>
          <w:rFonts w:ascii="Times New Roman" w:hAnsi="Times New Roman"/>
          <w:sz w:val="28"/>
          <w:szCs w:val="28"/>
          <w:lang w:val="uk-UA"/>
        </w:rPr>
        <w:lastRenderedPageBreak/>
        <w:t>України у її зусиллях з відновлення. Загальна військова, гуманітарна та екон</w:t>
      </w:r>
      <w:r w:rsidRPr="002114C8">
        <w:rPr>
          <w:rFonts w:ascii="Times New Roman" w:hAnsi="Times New Roman"/>
          <w:sz w:val="28"/>
          <w:szCs w:val="28"/>
          <w:lang w:val="uk-UA"/>
        </w:rPr>
        <w:t>о</w:t>
      </w:r>
      <w:r w:rsidRPr="002114C8">
        <w:rPr>
          <w:rFonts w:ascii="Times New Roman" w:hAnsi="Times New Roman"/>
          <w:sz w:val="28"/>
          <w:szCs w:val="28"/>
          <w:lang w:val="uk-UA"/>
        </w:rPr>
        <w:t>мічна підтримка Великої Британії, обіцяна з 24 лютого 2022 року, становить понад 4 мільярди фунтів стерлінгів. Був проведений британсько-український інфраструктурний саміт у червні 2022 року, де підписали Меморандум про взаєморозуміння (MoU), погоджуючись відігравати провідну роль у відбудові Київської області та створили робочу групу з інфраструктури для виконання цієї угоди.</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Торговельні відносини між Україною та Республікою Ірландією баз</w:t>
      </w:r>
      <w:r w:rsidRPr="002114C8">
        <w:rPr>
          <w:rFonts w:ascii="Times New Roman" w:hAnsi="Times New Roman"/>
          <w:sz w:val="28"/>
          <w:szCs w:val="28"/>
          <w:lang w:val="uk-UA"/>
        </w:rPr>
        <w:t>у</w:t>
      </w:r>
      <w:r w:rsidRPr="002114C8">
        <w:rPr>
          <w:rFonts w:ascii="Times New Roman" w:hAnsi="Times New Roman"/>
          <w:sz w:val="28"/>
          <w:szCs w:val="28"/>
          <w:lang w:val="uk-UA"/>
        </w:rPr>
        <w:t>ються на Угоді про поглиблену та всеосяжну зону вільної торгівлі, яка заст</w:t>
      </w:r>
      <w:r w:rsidRPr="002114C8">
        <w:rPr>
          <w:rFonts w:ascii="Times New Roman" w:hAnsi="Times New Roman"/>
          <w:sz w:val="28"/>
          <w:szCs w:val="28"/>
          <w:lang w:val="uk-UA"/>
        </w:rPr>
        <w:t>о</w:t>
      </w:r>
      <w:r w:rsidRPr="002114C8">
        <w:rPr>
          <w:rFonts w:ascii="Times New Roman" w:hAnsi="Times New Roman"/>
          <w:sz w:val="28"/>
          <w:szCs w:val="28"/>
          <w:lang w:val="uk-UA"/>
        </w:rPr>
        <w:t>совується з 2016 року. Вона знижує тарифи, з якими стикаються європейські компанії під час експорту до Україна. Угода сприяє полегшенню торгівлі шл</w:t>
      </w:r>
      <w:r w:rsidRPr="002114C8">
        <w:rPr>
          <w:rFonts w:ascii="Times New Roman" w:hAnsi="Times New Roman"/>
          <w:sz w:val="28"/>
          <w:szCs w:val="28"/>
          <w:lang w:val="uk-UA"/>
        </w:rPr>
        <w:t>я</w:t>
      </w:r>
      <w:r w:rsidRPr="002114C8">
        <w:rPr>
          <w:rFonts w:ascii="Times New Roman" w:hAnsi="Times New Roman"/>
          <w:sz w:val="28"/>
          <w:szCs w:val="28"/>
          <w:lang w:val="uk-UA"/>
        </w:rPr>
        <w:t>хом підвищення ефективності митних процедур і поступового наближення українського законодавства, правил і процедур, включаючи стандарти, до з</w:t>
      </w:r>
      <w:r w:rsidRPr="002114C8">
        <w:rPr>
          <w:rFonts w:ascii="Times New Roman" w:hAnsi="Times New Roman"/>
          <w:sz w:val="28"/>
          <w:szCs w:val="28"/>
          <w:lang w:val="uk-UA"/>
        </w:rPr>
        <w:t>а</w:t>
      </w:r>
      <w:r w:rsidRPr="002114C8">
        <w:rPr>
          <w:rFonts w:ascii="Times New Roman" w:hAnsi="Times New Roman"/>
          <w:sz w:val="28"/>
          <w:szCs w:val="28"/>
          <w:lang w:val="uk-UA"/>
        </w:rPr>
        <w:t>конодавства ЄС. Дана угода між Україною та ЄС покращує конкурентоспр</w:t>
      </w:r>
      <w:r w:rsidRPr="002114C8">
        <w:rPr>
          <w:rFonts w:ascii="Times New Roman" w:hAnsi="Times New Roman"/>
          <w:sz w:val="28"/>
          <w:szCs w:val="28"/>
          <w:lang w:val="uk-UA"/>
        </w:rPr>
        <w:t>о</w:t>
      </w:r>
      <w:r w:rsidRPr="002114C8">
        <w:rPr>
          <w:rFonts w:ascii="Times New Roman" w:hAnsi="Times New Roman"/>
          <w:sz w:val="28"/>
          <w:szCs w:val="28"/>
          <w:lang w:val="uk-UA"/>
        </w:rPr>
        <w:t>можність європейського бізнесу на українському ринку та навпаки. Загалом для торгівлі товарами вона скасувала більшість мит – ЄС: 98,1% та Україна: 99,1%. Імпортні мита на більшість сільськогосподарських товарів, що імпо</w:t>
      </w:r>
      <w:r w:rsidRPr="002114C8">
        <w:rPr>
          <w:rFonts w:ascii="Times New Roman" w:hAnsi="Times New Roman"/>
          <w:sz w:val="28"/>
          <w:szCs w:val="28"/>
          <w:lang w:val="uk-UA"/>
        </w:rPr>
        <w:t>р</w:t>
      </w:r>
      <w:r w:rsidRPr="002114C8">
        <w:rPr>
          <w:rFonts w:ascii="Times New Roman" w:hAnsi="Times New Roman"/>
          <w:sz w:val="28"/>
          <w:szCs w:val="28"/>
          <w:lang w:val="uk-UA"/>
        </w:rPr>
        <w:t>туються до ЄС, були знижені до нуля в 2016 році. Тарифні квоти застосов</w:t>
      </w:r>
      <w:r w:rsidRPr="002114C8">
        <w:rPr>
          <w:rFonts w:ascii="Times New Roman" w:hAnsi="Times New Roman"/>
          <w:sz w:val="28"/>
          <w:szCs w:val="28"/>
          <w:lang w:val="uk-UA"/>
        </w:rPr>
        <w:t>у</w:t>
      </w:r>
      <w:r w:rsidRPr="002114C8">
        <w:rPr>
          <w:rFonts w:ascii="Times New Roman" w:hAnsi="Times New Roman"/>
          <w:sz w:val="28"/>
          <w:szCs w:val="28"/>
          <w:lang w:val="uk-UA"/>
        </w:rPr>
        <w:t>ються для решти сільськогосподарських товарів, які не лібералізовані. До 2026 року 8,7% тарифів на сільськогосподарську продовольчу продукцію, як мол</w:t>
      </w:r>
      <w:r w:rsidRPr="002114C8">
        <w:rPr>
          <w:rFonts w:ascii="Times New Roman" w:hAnsi="Times New Roman"/>
          <w:sz w:val="28"/>
          <w:szCs w:val="28"/>
          <w:lang w:val="uk-UA"/>
        </w:rPr>
        <w:t>о</w:t>
      </w:r>
      <w:r w:rsidRPr="002114C8">
        <w:rPr>
          <w:rFonts w:ascii="Times New Roman" w:hAnsi="Times New Roman"/>
          <w:sz w:val="28"/>
          <w:szCs w:val="28"/>
          <w:lang w:val="uk-UA"/>
        </w:rPr>
        <w:t xml:space="preserve">чні продукти, яйця, цукор, тваринні олії та жири, підлягатимуть обмеженому лінійному зниженню на 20-60% - після цього буде застосовано залишковий тариф, тоді як для цукру, м'яса птиці та свинини застосовуватимуться тарифні квоти  </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товари, що імпортуються в зазначених кількостях, не обкладаються митом.</w:t>
      </w:r>
    </w:p>
    <w:p w:rsidR="00E63F46" w:rsidRPr="000358E9" w:rsidRDefault="00912E07" w:rsidP="000358E9">
      <w:pPr>
        <w:spacing w:after="0" w:line="360" w:lineRule="auto"/>
        <w:ind w:firstLine="708"/>
        <w:jc w:val="both"/>
        <w:rPr>
          <w:rFonts w:ascii="Times New Roman" w:hAnsi="Times New Roman" w:cs="Times New Roman"/>
          <w:sz w:val="28"/>
          <w:szCs w:val="28"/>
          <w:lang w:val="uk-UA"/>
        </w:rPr>
      </w:pPr>
      <w:r w:rsidRPr="002114C8">
        <w:rPr>
          <w:rFonts w:ascii="Times New Roman" w:hAnsi="Times New Roman"/>
          <w:sz w:val="28"/>
          <w:szCs w:val="28"/>
          <w:lang w:val="uk-UA"/>
        </w:rPr>
        <w:t>Протягом 2018-2021 рр. імпорт товарів в Україну перевищував експорт  з обома країнами. Переважно українсько-британський торговельний потік зна</w:t>
      </w:r>
      <w:r w:rsidRPr="002114C8">
        <w:rPr>
          <w:rFonts w:ascii="Times New Roman" w:hAnsi="Times New Roman"/>
          <w:sz w:val="28"/>
          <w:szCs w:val="28"/>
          <w:lang w:val="uk-UA"/>
        </w:rPr>
        <w:t>ч</w:t>
      </w:r>
      <w:r w:rsidRPr="002114C8">
        <w:rPr>
          <w:rFonts w:ascii="Times New Roman" w:hAnsi="Times New Roman"/>
          <w:sz w:val="28"/>
          <w:szCs w:val="28"/>
          <w:lang w:val="uk-UA"/>
        </w:rPr>
        <w:t>но перевищує українсько-ірландський потік. Максимум як експорту, так і і</w:t>
      </w:r>
      <w:r w:rsidRPr="002114C8">
        <w:rPr>
          <w:rFonts w:ascii="Times New Roman" w:hAnsi="Times New Roman"/>
          <w:sz w:val="28"/>
          <w:szCs w:val="28"/>
          <w:lang w:val="uk-UA"/>
        </w:rPr>
        <w:t>м</w:t>
      </w:r>
      <w:r w:rsidRPr="002114C8">
        <w:rPr>
          <w:rFonts w:ascii="Times New Roman" w:hAnsi="Times New Roman"/>
          <w:sz w:val="28"/>
          <w:szCs w:val="28"/>
          <w:lang w:val="uk-UA"/>
        </w:rPr>
        <w:t xml:space="preserve">порту було досягнуто у 2021 році, коли показники досягли 1,08 та 1,11 млрд дол.США відповідно. Тоді як мінімальний показник експорту  </w:t>
      </w:r>
      <w:r w:rsidRPr="002114C8">
        <w:rPr>
          <w:rFonts w:ascii="Times New Roman" w:hAnsi="Times New Roman" w:cs="Times New Roman"/>
          <w:sz w:val="28"/>
          <w:szCs w:val="28"/>
          <w:lang w:val="uk-UA"/>
        </w:rPr>
        <w:t xml:space="preserve">̶  153,23 млн </w:t>
      </w:r>
      <w:r w:rsidRPr="002114C8">
        <w:rPr>
          <w:rFonts w:ascii="Times New Roman" w:hAnsi="Times New Roman" w:cs="Times New Roman"/>
          <w:sz w:val="28"/>
          <w:szCs w:val="28"/>
          <w:lang w:val="uk-UA"/>
        </w:rPr>
        <w:lastRenderedPageBreak/>
        <w:t>дол. США  ̶  спостерігався у 2019 році, а імпорту, 231,46 млн дол.США,  ̶  у 2021 році (див. рис.</w:t>
      </w:r>
      <w:r w:rsidR="000358E9">
        <w:rPr>
          <w:rFonts w:ascii="Times New Roman" w:hAnsi="Times New Roman" w:cs="Times New Roman"/>
          <w:sz w:val="28"/>
          <w:szCs w:val="28"/>
          <w:lang w:val="uk-UA"/>
        </w:rPr>
        <w:t xml:space="preserve"> </w:t>
      </w:r>
      <w:r w:rsidRPr="002114C8">
        <w:rPr>
          <w:rFonts w:ascii="Times New Roman" w:hAnsi="Times New Roman" w:cs="Times New Roman"/>
          <w:sz w:val="28"/>
          <w:szCs w:val="28"/>
          <w:lang w:val="uk-UA"/>
        </w:rPr>
        <w:t>3.1).</w:t>
      </w:r>
    </w:p>
    <w:p w:rsidR="000358E9" w:rsidRDefault="000358E9">
      <w:pPr>
        <w:spacing w:after="0" w:line="360" w:lineRule="auto"/>
        <w:ind w:left="140" w:firstLine="707"/>
        <w:jc w:val="both"/>
        <w:rPr>
          <w:rFonts w:ascii="Times New Roman" w:hAnsi="Times New Roman"/>
          <w:sz w:val="28"/>
          <w:szCs w:val="28"/>
          <w:lang w:val="uk-UA"/>
        </w:rPr>
      </w:pPr>
    </w:p>
    <w:p w:rsidR="000358E9" w:rsidRDefault="000358E9">
      <w:pPr>
        <w:spacing w:after="0" w:line="360" w:lineRule="auto"/>
        <w:ind w:left="140" w:firstLine="707"/>
        <w:jc w:val="both"/>
        <w:rPr>
          <w:rFonts w:ascii="Times New Roman" w:hAnsi="Times New Roman"/>
          <w:sz w:val="28"/>
          <w:szCs w:val="28"/>
          <w:lang w:val="uk-UA"/>
        </w:rPr>
      </w:pPr>
      <w:r w:rsidRPr="002114C8">
        <w:rPr>
          <w:noProof/>
        </w:rPr>
        <w:drawing>
          <wp:anchor distT="0" distB="0" distL="114300" distR="114300" simplePos="0" relativeHeight="251663360" behindDoc="0" locked="0" layoutInCell="1" allowOverlap="1" wp14:anchorId="10D4DA85" wp14:editId="50CFCE2C">
            <wp:simplePos x="0" y="0"/>
            <wp:positionH relativeFrom="column">
              <wp:posOffset>187325</wp:posOffset>
            </wp:positionH>
            <wp:positionV relativeFrom="paragraph">
              <wp:posOffset>227330</wp:posOffset>
            </wp:positionV>
            <wp:extent cx="6010910" cy="3659505"/>
            <wp:effectExtent l="6350" t="6350" r="27940" b="17145"/>
            <wp:wrapSquare wrapText="bothSides"/>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E63F46" w:rsidRPr="002114C8" w:rsidRDefault="00912E07">
      <w:pPr>
        <w:spacing w:after="0" w:line="360" w:lineRule="auto"/>
        <w:ind w:left="140" w:firstLine="707"/>
        <w:jc w:val="both"/>
        <w:rPr>
          <w:rFonts w:ascii="Times New Roman" w:hAnsi="Times New Roman"/>
          <w:sz w:val="28"/>
          <w:szCs w:val="28"/>
          <w:lang w:val="uk-UA"/>
        </w:rPr>
      </w:pPr>
      <w:r w:rsidRPr="002114C8">
        <w:rPr>
          <w:rFonts w:ascii="Times New Roman" w:hAnsi="Times New Roman"/>
          <w:sz w:val="28"/>
          <w:szCs w:val="28"/>
          <w:lang w:val="uk-UA"/>
        </w:rPr>
        <w:t>Рис. 3.1. Потік товарів між Україною та Великою Британією й Ірланд</w:t>
      </w:r>
      <w:r w:rsidRPr="002114C8">
        <w:rPr>
          <w:rFonts w:ascii="Times New Roman" w:hAnsi="Times New Roman"/>
          <w:sz w:val="28"/>
          <w:szCs w:val="28"/>
          <w:lang w:val="uk-UA"/>
        </w:rPr>
        <w:t>і</w:t>
      </w:r>
      <w:r w:rsidRPr="002114C8">
        <w:rPr>
          <w:rFonts w:ascii="Times New Roman" w:hAnsi="Times New Roman"/>
          <w:sz w:val="28"/>
          <w:szCs w:val="28"/>
          <w:lang w:val="uk-UA"/>
        </w:rPr>
        <w:t>єю, млн дол.</w:t>
      </w:r>
      <w:r w:rsidR="000358E9">
        <w:rPr>
          <w:rFonts w:ascii="Times New Roman" w:hAnsi="Times New Roman"/>
          <w:sz w:val="28"/>
          <w:szCs w:val="28"/>
          <w:lang w:val="uk-UA"/>
        </w:rPr>
        <w:t xml:space="preserve"> </w:t>
      </w:r>
      <w:r w:rsidRPr="002114C8">
        <w:rPr>
          <w:rFonts w:ascii="Times New Roman" w:hAnsi="Times New Roman"/>
          <w:sz w:val="28"/>
          <w:szCs w:val="28"/>
          <w:lang w:val="uk-UA"/>
        </w:rPr>
        <w:t>США</w:t>
      </w:r>
    </w:p>
    <w:p w:rsidR="00E63F46" w:rsidRPr="002114C8" w:rsidRDefault="00912E07">
      <w:pPr>
        <w:spacing w:line="360" w:lineRule="auto"/>
        <w:ind w:firstLine="708"/>
        <w:jc w:val="both"/>
        <w:rPr>
          <w:rFonts w:ascii="Times New Roman" w:hAnsi="Times New Roman"/>
          <w:sz w:val="28"/>
          <w:szCs w:val="28"/>
          <w:lang w:val="uk-UA"/>
        </w:rPr>
      </w:pPr>
      <w:r w:rsidRPr="002114C8">
        <w:rPr>
          <w:rFonts w:ascii="Times New Roman" w:hAnsi="Times New Roman"/>
          <w:sz w:val="28"/>
          <w:szCs w:val="28"/>
          <w:lang w:val="uk-UA"/>
        </w:rPr>
        <w:t>Джерело: складено автором на основі [25]</w:t>
      </w:r>
    </w:p>
    <w:p w:rsidR="00E63F46" w:rsidRPr="002114C8" w:rsidRDefault="00912E07">
      <w:pPr>
        <w:spacing w:after="0" w:line="360" w:lineRule="auto"/>
        <w:jc w:val="both"/>
        <w:rPr>
          <w:rFonts w:ascii="Times New Roman" w:hAnsi="Times New Roman"/>
          <w:sz w:val="28"/>
          <w:szCs w:val="28"/>
          <w:lang w:val="uk-UA"/>
        </w:rPr>
      </w:pPr>
      <w:r w:rsidRPr="002114C8">
        <w:rPr>
          <w:rFonts w:ascii="Times New Roman" w:hAnsi="Times New Roman"/>
          <w:sz w:val="28"/>
          <w:szCs w:val="28"/>
          <w:lang w:val="uk-UA"/>
        </w:rPr>
        <w:tab/>
        <w:t>Трійку найбільших експортних товарів з України до Великої Британії становили кольорові метали (18%), зернові (17%), тваринні та рослинні олії (15,4%). Основними британськими товарами, які Велика Британія експортув</w:t>
      </w:r>
      <w:r w:rsidRPr="002114C8">
        <w:rPr>
          <w:rFonts w:ascii="Times New Roman" w:hAnsi="Times New Roman"/>
          <w:sz w:val="28"/>
          <w:szCs w:val="28"/>
          <w:lang w:val="uk-UA"/>
        </w:rPr>
        <w:t>а</w:t>
      </w:r>
      <w:r w:rsidRPr="002114C8">
        <w:rPr>
          <w:rFonts w:ascii="Times New Roman" w:hAnsi="Times New Roman"/>
          <w:sz w:val="28"/>
          <w:szCs w:val="28"/>
          <w:lang w:val="uk-UA"/>
        </w:rPr>
        <w:t>ла в Україну були транспортні засоби, крім залізниці (18,5%), ядерні реактори, котли та машини (12,6%), мінеральне паливо, нафта та продукти її перегонки (13%), фармацевтична продукція (11%) і хімічна продукція (6%) [26]. Осно</w:t>
      </w:r>
      <w:r w:rsidRPr="002114C8">
        <w:rPr>
          <w:rFonts w:ascii="Times New Roman" w:hAnsi="Times New Roman"/>
          <w:sz w:val="28"/>
          <w:szCs w:val="28"/>
          <w:lang w:val="uk-UA"/>
        </w:rPr>
        <w:t>в</w:t>
      </w:r>
      <w:r w:rsidRPr="002114C8">
        <w:rPr>
          <w:rFonts w:ascii="Times New Roman" w:hAnsi="Times New Roman"/>
          <w:sz w:val="28"/>
          <w:szCs w:val="28"/>
          <w:lang w:val="uk-UA"/>
        </w:rPr>
        <w:t>ними товарними групами експорту між Україною та Ірландією були зерно, п</w:t>
      </w:r>
      <w:r w:rsidRPr="002114C8">
        <w:rPr>
          <w:rFonts w:ascii="Times New Roman" w:hAnsi="Times New Roman"/>
          <w:sz w:val="28"/>
          <w:szCs w:val="28"/>
          <w:lang w:val="uk-UA"/>
        </w:rPr>
        <w:t>а</w:t>
      </w:r>
      <w:r w:rsidRPr="002114C8">
        <w:rPr>
          <w:rFonts w:ascii="Times New Roman" w:hAnsi="Times New Roman"/>
          <w:sz w:val="28"/>
          <w:szCs w:val="28"/>
          <w:lang w:val="uk-UA"/>
        </w:rPr>
        <w:t xml:space="preserve">ливо, чорні метали, продукти харчування, а також комп'ютерні, телевізійні та транспортні послуги. Структура основних товарних груп імпорту майже не змінилася і включала фармацевтичну та харчову продукцію. </w:t>
      </w:r>
    </w:p>
    <w:p w:rsidR="00E63F46" w:rsidRPr="002114C8" w:rsidRDefault="00912E07">
      <w:pPr>
        <w:spacing w:after="0" w:line="360" w:lineRule="auto"/>
        <w:jc w:val="both"/>
        <w:rPr>
          <w:rFonts w:ascii="Times New Roman" w:hAnsi="Times New Roman" w:cs="Times New Roman"/>
          <w:sz w:val="28"/>
          <w:szCs w:val="28"/>
          <w:lang w:val="uk-UA"/>
        </w:rPr>
      </w:pPr>
      <w:r w:rsidRPr="002114C8">
        <w:rPr>
          <w:rFonts w:ascii="Times New Roman" w:hAnsi="Times New Roman"/>
          <w:sz w:val="28"/>
          <w:szCs w:val="28"/>
          <w:lang w:val="uk-UA"/>
        </w:rPr>
        <w:lastRenderedPageBreak/>
        <w:tab/>
        <w:t>Звернувши увагу на статтю послуги,  то констатуємо, що ситуація з В</w:t>
      </w:r>
      <w:r w:rsidRPr="002114C8">
        <w:rPr>
          <w:rFonts w:ascii="Times New Roman" w:hAnsi="Times New Roman"/>
          <w:sz w:val="28"/>
          <w:szCs w:val="28"/>
          <w:lang w:val="uk-UA"/>
        </w:rPr>
        <w:t>е</w:t>
      </w:r>
      <w:r w:rsidRPr="002114C8">
        <w:rPr>
          <w:rFonts w:ascii="Times New Roman" w:hAnsi="Times New Roman"/>
          <w:sz w:val="28"/>
          <w:szCs w:val="28"/>
          <w:lang w:val="uk-UA"/>
        </w:rPr>
        <w:t xml:space="preserve">ликою Британією протилежна до торгівлі товарами, оскільки експорт у даному випадку перевищує імпорт. З Ірландією ситуація інша  </w:t>
      </w:r>
      <w:r w:rsidRPr="002114C8">
        <w:rPr>
          <w:rFonts w:ascii="Times New Roman" w:hAnsi="Times New Roman" w:cs="Times New Roman"/>
          <w:sz w:val="28"/>
          <w:szCs w:val="28"/>
          <w:lang w:val="uk-UA"/>
        </w:rPr>
        <w:t>̶  імпорт протягом усь</w:t>
      </w:r>
      <w:r w:rsidRPr="002114C8">
        <w:rPr>
          <w:rFonts w:ascii="Times New Roman" w:hAnsi="Times New Roman" w:cs="Times New Roman"/>
          <w:sz w:val="28"/>
          <w:szCs w:val="28"/>
          <w:lang w:val="uk-UA"/>
        </w:rPr>
        <w:t>о</w:t>
      </w:r>
      <w:r w:rsidRPr="002114C8">
        <w:rPr>
          <w:rFonts w:ascii="Times New Roman" w:hAnsi="Times New Roman" w:cs="Times New Roman"/>
          <w:sz w:val="28"/>
          <w:szCs w:val="28"/>
          <w:lang w:val="uk-UA"/>
        </w:rPr>
        <w:t>го періоду перевищував експорт (див. рис.</w:t>
      </w:r>
      <w:r w:rsidR="000358E9">
        <w:rPr>
          <w:rFonts w:ascii="Times New Roman" w:hAnsi="Times New Roman" w:cs="Times New Roman"/>
          <w:sz w:val="28"/>
          <w:szCs w:val="28"/>
          <w:lang w:val="uk-UA"/>
        </w:rPr>
        <w:t xml:space="preserve"> </w:t>
      </w:r>
      <w:r w:rsidRPr="002114C8">
        <w:rPr>
          <w:rFonts w:ascii="Times New Roman" w:hAnsi="Times New Roman" w:cs="Times New Roman"/>
          <w:sz w:val="28"/>
          <w:szCs w:val="28"/>
          <w:lang w:val="uk-UA"/>
        </w:rPr>
        <w:t>3.2).</w:t>
      </w:r>
    </w:p>
    <w:p w:rsidR="00E63F46" w:rsidRPr="002114C8" w:rsidRDefault="00912E07">
      <w:pPr>
        <w:spacing w:after="0" w:line="360" w:lineRule="auto"/>
        <w:ind w:firstLine="708"/>
        <w:jc w:val="both"/>
        <w:rPr>
          <w:rFonts w:ascii="Times New Roman" w:hAnsi="Times New Roman" w:cs="Times New Roman"/>
          <w:sz w:val="28"/>
          <w:szCs w:val="28"/>
          <w:lang w:val="uk-UA"/>
        </w:rPr>
      </w:pPr>
      <w:r w:rsidRPr="002114C8">
        <w:rPr>
          <w:noProof/>
        </w:rPr>
        <w:drawing>
          <wp:anchor distT="0" distB="0" distL="114300" distR="114300" simplePos="0" relativeHeight="251661312" behindDoc="0" locked="0" layoutInCell="1" allowOverlap="1" wp14:anchorId="4B6963EF" wp14:editId="252BB1DA">
            <wp:simplePos x="0" y="0"/>
            <wp:positionH relativeFrom="column">
              <wp:posOffset>42545</wp:posOffset>
            </wp:positionH>
            <wp:positionV relativeFrom="paragraph">
              <wp:posOffset>84455</wp:posOffset>
            </wp:positionV>
            <wp:extent cx="5941060" cy="3421380"/>
            <wp:effectExtent l="6350" t="6350" r="21590" b="26670"/>
            <wp:wrapTopAndBottom/>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Pr="002114C8">
        <w:rPr>
          <w:rFonts w:ascii="Times New Roman" w:hAnsi="Times New Roman" w:cs="Times New Roman"/>
          <w:sz w:val="28"/>
          <w:szCs w:val="28"/>
          <w:lang w:val="uk-UA"/>
        </w:rPr>
        <w:t xml:space="preserve">Рис. 3.2. </w:t>
      </w:r>
      <w:r w:rsidRPr="002114C8">
        <w:rPr>
          <w:rFonts w:ascii="Times New Roman" w:hAnsi="Times New Roman"/>
          <w:sz w:val="28"/>
          <w:szCs w:val="28"/>
          <w:lang w:val="uk-UA"/>
        </w:rPr>
        <w:t>Потік послуг між Україною та Великою Британією й Ірландією, млн дол.США</w:t>
      </w:r>
    </w:p>
    <w:p w:rsidR="00E63F46" w:rsidRPr="002114C8" w:rsidRDefault="00912E07" w:rsidP="00465D9D">
      <w:pPr>
        <w:spacing w:afterLines="100" w:after="240" w:line="360" w:lineRule="auto"/>
        <w:ind w:left="115" w:right="58" w:firstLine="562"/>
        <w:jc w:val="both"/>
        <w:rPr>
          <w:rFonts w:ascii="Times New Roman" w:hAnsi="Times New Roman" w:cs="Times New Roman"/>
          <w:bCs/>
          <w:sz w:val="28"/>
          <w:szCs w:val="28"/>
          <w:lang w:val="uk-UA"/>
        </w:rPr>
      </w:pPr>
      <w:r w:rsidRPr="002114C8">
        <w:rPr>
          <w:rFonts w:ascii="Times New Roman" w:hAnsi="Times New Roman" w:cs="Times New Roman"/>
          <w:bCs/>
          <w:sz w:val="28"/>
          <w:szCs w:val="28"/>
          <w:lang w:val="uk-UA"/>
        </w:rPr>
        <w:t>Джерело: складено автором на основі [25]</w:t>
      </w:r>
    </w:p>
    <w:p w:rsidR="00E63F46" w:rsidRPr="002114C8" w:rsidRDefault="00912E07">
      <w:pPr>
        <w:spacing w:after="0" w:line="360" w:lineRule="auto"/>
        <w:ind w:left="115" w:right="58" w:firstLine="562"/>
        <w:jc w:val="both"/>
        <w:rPr>
          <w:rFonts w:ascii="Times New Roman" w:hAnsi="Times New Roman"/>
          <w:bCs/>
          <w:sz w:val="28"/>
          <w:szCs w:val="28"/>
          <w:lang w:val="uk-UA"/>
        </w:rPr>
      </w:pPr>
      <w:r w:rsidRPr="002114C8">
        <w:rPr>
          <w:rFonts w:ascii="Times New Roman" w:hAnsi="Times New Roman" w:cs="Times New Roman"/>
          <w:bCs/>
          <w:sz w:val="28"/>
          <w:szCs w:val="28"/>
          <w:lang w:val="uk-UA"/>
        </w:rPr>
        <w:t>Експорт товарів до Великої Британії складав від 4,91% до 6,72% прот</w:t>
      </w:r>
      <w:r w:rsidRPr="002114C8">
        <w:rPr>
          <w:rFonts w:ascii="Times New Roman" w:hAnsi="Times New Roman" w:cs="Times New Roman"/>
          <w:bCs/>
          <w:sz w:val="28"/>
          <w:szCs w:val="28"/>
          <w:lang w:val="uk-UA"/>
        </w:rPr>
        <w:t>я</w:t>
      </w:r>
      <w:r w:rsidRPr="002114C8">
        <w:rPr>
          <w:rFonts w:ascii="Times New Roman" w:hAnsi="Times New Roman" w:cs="Times New Roman"/>
          <w:bCs/>
          <w:sz w:val="28"/>
          <w:szCs w:val="28"/>
          <w:lang w:val="uk-UA"/>
        </w:rPr>
        <w:t>гом 2018-2021рр. від загального експорту, тоді як аналогічний показник в українсько-ірландькому експорті коливався від 0,5% до 1,07%. Імпорт кол</w:t>
      </w:r>
      <w:r w:rsidRPr="002114C8">
        <w:rPr>
          <w:rFonts w:ascii="Times New Roman" w:hAnsi="Times New Roman" w:cs="Times New Roman"/>
          <w:bCs/>
          <w:sz w:val="28"/>
          <w:szCs w:val="28"/>
          <w:lang w:val="uk-UA"/>
        </w:rPr>
        <w:t>и</w:t>
      </w:r>
      <w:r w:rsidRPr="002114C8">
        <w:rPr>
          <w:rFonts w:ascii="Times New Roman" w:hAnsi="Times New Roman" w:cs="Times New Roman"/>
          <w:bCs/>
          <w:sz w:val="28"/>
          <w:szCs w:val="28"/>
          <w:lang w:val="uk-UA"/>
        </w:rPr>
        <w:t>вався у межах 8,05%-9,6% та 3,97%-5,92% для Великої Британії та Ірландії відповідно. Основу для експорту послуг з України до Ірландії у 2021 році становили п</w:t>
      </w:r>
      <w:r w:rsidRPr="002114C8">
        <w:rPr>
          <w:rFonts w:ascii="Times New Roman" w:hAnsi="Times New Roman"/>
          <w:bCs/>
          <w:sz w:val="28"/>
          <w:szCs w:val="28"/>
          <w:lang w:val="uk-UA"/>
        </w:rPr>
        <w:t>ослуги у сфері телекомунікації, комп'ютерні та інформаційні п</w:t>
      </w:r>
      <w:r w:rsidRPr="002114C8">
        <w:rPr>
          <w:rFonts w:ascii="Times New Roman" w:hAnsi="Times New Roman"/>
          <w:bCs/>
          <w:sz w:val="28"/>
          <w:szCs w:val="28"/>
          <w:lang w:val="uk-UA"/>
        </w:rPr>
        <w:t>о</w:t>
      </w:r>
      <w:r w:rsidRPr="002114C8">
        <w:rPr>
          <w:rFonts w:ascii="Times New Roman" w:hAnsi="Times New Roman"/>
          <w:bCs/>
          <w:sz w:val="28"/>
          <w:szCs w:val="28"/>
          <w:lang w:val="uk-UA"/>
        </w:rPr>
        <w:t>слуги (55,25%), ділові послуги (27,23%) та транспортні послуги (14,28%), т</w:t>
      </w:r>
      <w:r w:rsidRPr="002114C8">
        <w:rPr>
          <w:rFonts w:ascii="Times New Roman" w:hAnsi="Times New Roman"/>
          <w:bCs/>
          <w:sz w:val="28"/>
          <w:szCs w:val="28"/>
          <w:lang w:val="uk-UA"/>
        </w:rPr>
        <w:t>о</w:t>
      </w:r>
      <w:r w:rsidRPr="002114C8">
        <w:rPr>
          <w:rFonts w:ascii="Times New Roman" w:hAnsi="Times New Roman"/>
          <w:bCs/>
          <w:sz w:val="28"/>
          <w:szCs w:val="28"/>
          <w:lang w:val="uk-UA"/>
        </w:rPr>
        <w:t xml:space="preserve">ді як основу імпорту  </w:t>
      </w:r>
      <w:r w:rsidRPr="002114C8">
        <w:rPr>
          <w:rFonts w:ascii="Times New Roman" w:hAnsi="Times New Roman" w:cs="Times New Roman"/>
          <w:bCs/>
          <w:sz w:val="28"/>
          <w:szCs w:val="28"/>
          <w:lang w:val="uk-UA"/>
        </w:rPr>
        <w:t>̶</w:t>
      </w:r>
      <w:r w:rsidRPr="002114C8">
        <w:rPr>
          <w:rFonts w:ascii="Times New Roman" w:hAnsi="Times New Roman"/>
          <w:bCs/>
          <w:sz w:val="28"/>
          <w:szCs w:val="28"/>
          <w:lang w:val="uk-UA"/>
        </w:rPr>
        <w:t xml:space="preserve">  ділові послуги (65,49%) та роялті та інші послуги, п</w:t>
      </w:r>
      <w:r w:rsidRPr="002114C8">
        <w:rPr>
          <w:rFonts w:ascii="Times New Roman" w:hAnsi="Times New Roman"/>
          <w:bCs/>
          <w:sz w:val="28"/>
          <w:szCs w:val="28"/>
          <w:lang w:val="uk-UA"/>
        </w:rPr>
        <w:t>о</w:t>
      </w:r>
      <w:r w:rsidRPr="002114C8">
        <w:rPr>
          <w:rFonts w:ascii="Times New Roman" w:hAnsi="Times New Roman"/>
          <w:bCs/>
          <w:sz w:val="28"/>
          <w:szCs w:val="28"/>
          <w:lang w:val="uk-UA"/>
        </w:rPr>
        <w:t>в'язані з використанням інтелектуальної власності (28,68%). Розглянувши в</w:t>
      </w:r>
      <w:r w:rsidRPr="002114C8">
        <w:rPr>
          <w:rFonts w:ascii="Times New Roman" w:hAnsi="Times New Roman"/>
          <w:bCs/>
          <w:sz w:val="28"/>
          <w:szCs w:val="28"/>
          <w:lang w:val="uk-UA"/>
        </w:rPr>
        <w:t>и</w:t>
      </w:r>
      <w:r w:rsidRPr="002114C8">
        <w:rPr>
          <w:rFonts w:ascii="Times New Roman" w:hAnsi="Times New Roman"/>
          <w:bCs/>
          <w:sz w:val="28"/>
          <w:szCs w:val="28"/>
          <w:lang w:val="uk-UA"/>
        </w:rPr>
        <w:t>ди послуг, які Україна надає Великобританії, спостерігаємо аналогічну те</w:t>
      </w:r>
      <w:r w:rsidRPr="002114C8">
        <w:rPr>
          <w:rFonts w:ascii="Times New Roman" w:hAnsi="Times New Roman"/>
          <w:bCs/>
          <w:sz w:val="28"/>
          <w:szCs w:val="28"/>
          <w:lang w:val="uk-UA"/>
        </w:rPr>
        <w:t>н</w:t>
      </w:r>
      <w:r w:rsidRPr="002114C8">
        <w:rPr>
          <w:rFonts w:ascii="Times New Roman" w:hAnsi="Times New Roman"/>
          <w:bCs/>
          <w:sz w:val="28"/>
          <w:szCs w:val="28"/>
          <w:lang w:val="uk-UA"/>
        </w:rPr>
        <w:t>денцію у переважанні послуг  у сфері телекомунікації, комп'ютерні та інфо</w:t>
      </w:r>
      <w:r w:rsidRPr="002114C8">
        <w:rPr>
          <w:rFonts w:ascii="Times New Roman" w:hAnsi="Times New Roman"/>
          <w:bCs/>
          <w:sz w:val="28"/>
          <w:szCs w:val="28"/>
          <w:lang w:val="uk-UA"/>
        </w:rPr>
        <w:t>р</w:t>
      </w:r>
      <w:r w:rsidRPr="002114C8">
        <w:rPr>
          <w:rFonts w:ascii="Times New Roman" w:hAnsi="Times New Roman"/>
          <w:bCs/>
          <w:sz w:val="28"/>
          <w:szCs w:val="28"/>
          <w:lang w:val="uk-UA"/>
        </w:rPr>
        <w:lastRenderedPageBreak/>
        <w:t xml:space="preserve">маційні послуги, ділові послуги та транспортні послуги. Однак імпортує Україна переважно ділові послуги (27,16%), послуги, пов'язані з фінансовою діяльністю (14,95%) та послуги, </w:t>
      </w:r>
      <w:r w:rsidR="00BD7D79" w:rsidRPr="002114C8">
        <w:rPr>
          <w:rFonts w:ascii="Times New Roman" w:hAnsi="Times New Roman"/>
          <w:bCs/>
          <w:sz w:val="28"/>
          <w:szCs w:val="28"/>
          <w:lang w:val="uk-UA"/>
        </w:rPr>
        <w:t>пов’язані</w:t>
      </w:r>
      <w:r w:rsidRPr="002114C8">
        <w:rPr>
          <w:rFonts w:ascii="Times New Roman" w:hAnsi="Times New Roman"/>
          <w:bCs/>
          <w:sz w:val="28"/>
          <w:szCs w:val="28"/>
          <w:lang w:val="uk-UA"/>
        </w:rPr>
        <w:t xml:space="preserve"> з подорожами (14,71%). </w:t>
      </w:r>
    </w:p>
    <w:p w:rsidR="00E63F46" w:rsidRPr="002114C8" w:rsidRDefault="00912E07">
      <w:pPr>
        <w:spacing w:after="0" w:line="360" w:lineRule="auto"/>
        <w:ind w:left="115" w:right="58" w:firstLine="562"/>
        <w:jc w:val="both"/>
        <w:rPr>
          <w:rFonts w:ascii="Times New Roman" w:hAnsi="Times New Roman"/>
          <w:bCs/>
          <w:sz w:val="28"/>
          <w:szCs w:val="28"/>
          <w:lang w:val="uk-UA"/>
        </w:rPr>
      </w:pPr>
      <w:r w:rsidRPr="002114C8">
        <w:rPr>
          <w:rFonts w:ascii="Times New Roman" w:hAnsi="Times New Roman"/>
          <w:bCs/>
          <w:sz w:val="28"/>
          <w:szCs w:val="28"/>
          <w:lang w:val="uk-UA"/>
        </w:rPr>
        <w:t>Аналіз прямих іноземних інвестицій в Україну та з України має неодн</w:t>
      </w:r>
      <w:r w:rsidRPr="002114C8">
        <w:rPr>
          <w:rFonts w:ascii="Times New Roman" w:hAnsi="Times New Roman"/>
          <w:bCs/>
          <w:sz w:val="28"/>
          <w:szCs w:val="28"/>
          <w:lang w:val="uk-UA"/>
        </w:rPr>
        <w:t>о</w:t>
      </w:r>
      <w:r w:rsidRPr="002114C8">
        <w:rPr>
          <w:rFonts w:ascii="Times New Roman" w:hAnsi="Times New Roman"/>
          <w:bCs/>
          <w:sz w:val="28"/>
          <w:szCs w:val="28"/>
          <w:lang w:val="uk-UA"/>
        </w:rPr>
        <w:t>значні результати, оскільки Національний Банк України не надає інформацію у достатньому обсязі для складання повноцінної картини потоків ПІІ (див.  табл. 3.3).</w:t>
      </w:r>
    </w:p>
    <w:p w:rsidR="00E63F46" w:rsidRPr="002114C8" w:rsidRDefault="00912E07">
      <w:pPr>
        <w:spacing w:after="0" w:line="360" w:lineRule="auto"/>
        <w:ind w:left="115" w:right="58" w:firstLine="562"/>
        <w:jc w:val="right"/>
        <w:rPr>
          <w:rFonts w:ascii="Times New Roman" w:hAnsi="Times New Roman"/>
          <w:bCs/>
          <w:sz w:val="28"/>
          <w:szCs w:val="28"/>
          <w:lang w:val="uk-UA"/>
        </w:rPr>
      </w:pPr>
      <w:r w:rsidRPr="002114C8">
        <w:rPr>
          <w:rFonts w:ascii="Times New Roman" w:hAnsi="Times New Roman"/>
          <w:bCs/>
          <w:sz w:val="28"/>
          <w:szCs w:val="28"/>
          <w:lang w:val="uk-UA"/>
        </w:rPr>
        <w:t>Таблиця 3.</w:t>
      </w:r>
      <w:r w:rsidR="000358E9">
        <w:rPr>
          <w:rFonts w:ascii="Times New Roman" w:hAnsi="Times New Roman"/>
          <w:bCs/>
          <w:sz w:val="28"/>
          <w:szCs w:val="28"/>
          <w:lang w:val="uk-UA"/>
        </w:rPr>
        <w:t>1</w:t>
      </w:r>
    </w:p>
    <w:p w:rsidR="00E63F46" w:rsidRPr="002114C8" w:rsidRDefault="00912E07">
      <w:pPr>
        <w:spacing w:after="0" w:line="360" w:lineRule="auto"/>
        <w:ind w:left="115" w:right="58" w:firstLine="562"/>
        <w:jc w:val="center"/>
        <w:rPr>
          <w:rFonts w:ascii="Times New Roman" w:hAnsi="Times New Roman"/>
          <w:bCs/>
          <w:sz w:val="28"/>
          <w:szCs w:val="28"/>
          <w:lang w:val="uk-UA"/>
        </w:rPr>
      </w:pPr>
      <w:r w:rsidRPr="002114C8">
        <w:rPr>
          <w:rFonts w:ascii="Times New Roman" w:hAnsi="Times New Roman"/>
          <w:bCs/>
          <w:sz w:val="28"/>
          <w:szCs w:val="28"/>
          <w:lang w:val="uk-UA"/>
        </w:rPr>
        <w:t xml:space="preserve">Потік ПІІ між Україною і Великою </w:t>
      </w:r>
    </w:p>
    <w:p w:rsidR="00E63F46" w:rsidRPr="002114C8" w:rsidRDefault="00912E07">
      <w:pPr>
        <w:spacing w:after="0" w:line="360" w:lineRule="auto"/>
        <w:ind w:left="115" w:right="58" w:firstLine="562"/>
        <w:jc w:val="center"/>
        <w:rPr>
          <w:rFonts w:ascii="Times New Roman" w:hAnsi="Times New Roman"/>
          <w:bCs/>
          <w:sz w:val="28"/>
          <w:szCs w:val="28"/>
          <w:lang w:val="uk-UA"/>
        </w:rPr>
      </w:pPr>
      <w:r w:rsidRPr="002114C8">
        <w:rPr>
          <w:rFonts w:ascii="Times New Roman" w:hAnsi="Times New Roman"/>
          <w:bCs/>
          <w:sz w:val="28"/>
          <w:szCs w:val="28"/>
          <w:lang w:val="uk-UA"/>
        </w:rPr>
        <w:t>Британією та Ірландією, млн дол.США</w:t>
      </w:r>
    </w:p>
    <w:tbl>
      <w:tblPr>
        <w:tblW w:w="9457" w:type="dxa"/>
        <w:tblInd w:w="88" w:type="dxa"/>
        <w:tblLayout w:type="fixed"/>
        <w:tblLook w:val="04A0" w:firstRow="1" w:lastRow="0" w:firstColumn="1" w:lastColumn="0" w:noHBand="0" w:noVBand="1"/>
      </w:tblPr>
      <w:tblGrid>
        <w:gridCol w:w="2539"/>
        <w:gridCol w:w="1645"/>
        <w:gridCol w:w="1484"/>
        <w:gridCol w:w="1345"/>
        <w:gridCol w:w="1256"/>
        <w:gridCol w:w="1188"/>
      </w:tblGrid>
      <w:tr w:rsidR="00E63F46" w:rsidRPr="002114C8">
        <w:trPr>
          <w:trHeight w:val="488"/>
        </w:trPr>
        <w:tc>
          <w:tcPr>
            <w:tcW w:w="25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E63F46">
            <w:pPr>
              <w:spacing w:after="0" w:line="360" w:lineRule="auto"/>
              <w:ind w:left="115" w:right="58" w:firstLine="562"/>
              <w:jc w:val="center"/>
              <w:rPr>
                <w:rFonts w:ascii="Times New Roman" w:hAnsi="Times New Roman"/>
                <w:bCs/>
                <w:sz w:val="28"/>
                <w:szCs w:val="28"/>
                <w:lang w:val="uk-UA"/>
              </w:rPr>
            </w:pPr>
          </w:p>
        </w:tc>
        <w:tc>
          <w:tcPr>
            <w:tcW w:w="16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2018</w:t>
            </w:r>
          </w:p>
        </w:tc>
        <w:tc>
          <w:tcPr>
            <w:tcW w:w="1484"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2019</w:t>
            </w:r>
          </w:p>
        </w:tc>
        <w:tc>
          <w:tcPr>
            <w:tcW w:w="1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2020</w:t>
            </w:r>
          </w:p>
        </w:tc>
        <w:tc>
          <w:tcPr>
            <w:tcW w:w="1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2021</w:t>
            </w:r>
          </w:p>
        </w:tc>
        <w:tc>
          <w:tcPr>
            <w:tcW w:w="11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2022</w:t>
            </w:r>
          </w:p>
        </w:tc>
      </w:tr>
      <w:tr w:rsidR="00E63F46" w:rsidRPr="002114C8">
        <w:trPr>
          <w:trHeight w:val="488"/>
        </w:trPr>
        <w:tc>
          <w:tcPr>
            <w:tcW w:w="945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Велика Британія</w:t>
            </w:r>
          </w:p>
        </w:tc>
      </w:tr>
      <w:tr w:rsidR="00E63F46" w:rsidRPr="002114C8">
        <w:trPr>
          <w:trHeight w:val="488"/>
        </w:trPr>
        <w:tc>
          <w:tcPr>
            <w:tcW w:w="25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ПІІ в Україну</w:t>
            </w:r>
          </w:p>
        </w:tc>
        <w:tc>
          <w:tcPr>
            <w:tcW w:w="164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left="115" w:right="58" w:firstLine="562"/>
              <w:jc w:val="both"/>
              <w:rPr>
                <w:rFonts w:ascii="Times New Roman" w:hAnsi="Times New Roman"/>
                <w:bCs/>
                <w:sz w:val="28"/>
                <w:szCs w:val="28"/>
                <w:lang w:val="uk-UA"/>
              </w:rPr>
            </w:pPr>
            <w:r w:rsidRPr="002114C8">
              <w:rPr>
                <w:rFonts w:ascii="Times New Roman" w:hAnsi="Times New Roman"/>
                <w:bCs/>
                <w:sz w:val="28"/>
                <w:szCs w:val="28"/>
                <w:lang w:val="uk-UA" w:eastAsia="zh-CN"/>
              </w:rPr>
              <w:t>-</w:t>
            </w:r>
          </w:p>
        </w:tc>
        <w:tc>
          <w:tcPr>
            <w:tcW w:w="14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177.809</w:t>
            </w:r>
          </w:p>
        </w:tc>
        <w:tc>
          <w:tcPr>
            <w:tcW w:w="1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221.173</w:t>
            </w:r>
          </w:p>
        </w:tc>
        <w:tc>
          <w:tcPr>
            <w:tcW w:w="1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245.476</w:t>
            </w:r>
          </w:p>
        </w:tc>
        <w:tc>
          <w:tcPr>
            <w:tcW w:w="11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r>
      <w:tr w:rsidR="00E63F46" w:rsidRPr="002114C8">
        <w:trPr>
          <w:trHeight w:val="958"/>
        </w:trPr>
        <w:tc>
          <w:tcPr>
            <w:tcW w:w="25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ПІІ з України</w:t>
            </w:r>
          </w:p>
        </w:tc>
        <w:tc>
          <w:tcPr>
            <w:tcW w:w="164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-1164.628</w:t>
            </w:r>
          </w:p>
        </w:tc>
        <w:tc>
          <w:tcPr>
            <w:tcW w:w="14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-837.440</w:t>
            </w:r>
          </w:p>
        </w:tc>
        <w:tc>
          <w:tcPr>
            <w:tcW w:w="1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-870.048</w:t>
            </w:r>
          </w:p>
        </w:tc>
        <w:tc>
          <w:tcPr>
            <w:tcW w:w="1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-898.647</w:t>
            </w:r>
          </w:p>
        </w:tc>
        <w:tc>
          <w:tcPr>
            <w:tcW w:w="11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r>
      <w:tr w:rsidR="00E63F46" w:rsidRPr="002114C8">
        <w:trPr>
          <w:trHeight w:val="488"/>
        </w:trPr>
        <w:tc>
          <w:tcPr>
            <w:tcW w:w="945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Ірландія</w:t>
            </w:r>
          </w:p>
        </w:tc>
      </w:tr>
      <w:tr w:rsidR="00E63F46" w:rsidRPr="002114C8">
        <w:trPr>
          <w:trHeight w:val="488"/>
        </w:trPr>
        <w:tc>
          <w:tcPr>
            <w:tcW w:w="25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ПІІ в Україну</w:t>
            </w:r>
          </w:p>
        </w:tc>
        <w:tc>
          <w:tcPr>
            <w:tcW w:w="164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c>
          <w:tcPr>
            <w:tcW w:w="14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2.455</w:t>
            </w:r>
          </w:p>
        </w:tc>
        <w:tc>
          <w:tcPr>
            <w:tcW w:w="13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13.164</w:t>
            </w:r>
          </w:p>
        </w:tc>
        <w:tc>
          <w:tcPr>
            <w:tcW w:w="1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107.253</w:t>
            </w:r>
          </w:p>
        </w:tc>
        <w:tc>
          <w:tcPr>
            <w:tcW w:w="11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r>
      <w:tr w:rsidR="00E63F46" w:rsidRPr="002114C8">
        <w:trPr>
          <w:trHeight w:val="508"/>
        </w:trPr>
        <w:tc>
          <w:tcPr>
            <w:tcW w:w="25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ПІІ з України</w:t>
            </w:r>
          </w:p>
        </w:tc>
        <w:tc>
          <w:tcPr>
            <w:tcW w:w="164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c>
          <w:tcPr>
            <w:tcW w:w="148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c>
          <w:tcPr>
            <w:tcW w:w="134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c>
          <w:tcPr>
            <w:tcW w:w="125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c>
          <w:tcPr>
            <w:tcW w:w="11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E63F46" w:rsidRPr="002114C8" w:rsidRDefault="00912E07">
            <w:pPr>
              <w:spacing w:after="0" w:line="360" w:lineRule="auto"/>
              <w:ind w:right="58"/>
              <w:jc w:val="center"/>
              <w:rPr>
                <w:rFonts w:ascii="Times New Roman" w:hAnsi="Times New Roman"/>
                <w:bCs/>
                <w:sz w:val="28"/>
                <w:szCs w:val="28"/>
                <w:lang w:val="uk-UA"/>
              </w:rPr>
            </w:pPr>
            <w:r w:rsidRPr="002114C8">
              <w:rPr>
                <w:rFonts w:ascii="Times New Roman" w:hAnsi="Times New Roman"/>
                <w:bCs/>
                <w:sz w:val="28"/>
                <w:szCs w:val="28"/>
                <w:lang w:val="uk-UA" w:eastAsia="zh-CN"/>
              </w:rPr>
              <w:t>-</w:t>
            </w:r>
          </w:p>
        </w:tc>
      </w:tr>
    </w:tbl>
    <w:p w:rsidR="00E63F46" w:rsidRPr="002114C8" w:rsidRDefault="00912E07" w:rsidP="00465D9D">
      <w:pPr>
        <w:spacing w:afterLines="100" w:after="240" w:line="360" w:lineRule="auto"/>
        <w:ind w:left="115" w:right="58" w:firstLine="562"/>
        <w:jc w:val="both"/>
        <w:rPr>
          <w:rFonts w:ascii="Times New Roman" w:hAnsi="Times New Roman"/>
          <w:bCs/>
          <w:sz w:val="28"/>
          <w:szCs w:val="28"/>
          <w:lang w:val="uk-UA"/>
        </w:rPr>
      </w:pPr>
      <w:r w:rsidRPr="002114C8">
        <w:rPr>
          <w:rFonts w:ascii="Times New Roman" w:hAnsi="Times New Roman"/>
          <w:bCs/>
          <w:sz w:val="28"/>
          <w:szCs w:val="28"/>
          <w:lang w:val="uk-UA"/>
        </w:rPr>
        <w:t>Джерело: складено автором на основі [27]</w:t>
      </w:r>
    </w:p>
    <w:p w:rsidR="00E63F46" w:rsidRPr="002114C8" w:rsidRDefault="00912E07">
      <w:pPr>
        <w:spacing w:after="0" w:line="360" w:lineRule="auto"/>
        <w:ind w:left="115" w:right="58" w:firstLine="562"/>
        <w:jc w:val="both"/>
        <w:rPr>
          <w:rFonts w:ascii="Times New Roman" w:hAnsi="Times New Roman"/>
          <w:bCs/>
          <w:sz w:val="28"/>
          <w:szCs w:val="28"/>
          <w:lang w:val="uk-UA"/>
        </w:rPr>
      </w:pPr>
      <w:r w:rsidRPr="002114C8">
        <w:rPr>
          <w:rFonts w:ascii="Times New Roman" w:hAnsi="Times New Roman"/>
          <w:bCs/>
          <w:sz w:val="28"/>
          <w:szCs w:val="28"/>
          <w:lang w:val="uk-UA"/>
        </w:rPr>
        <w:t>Відповідно до табл.</w:t>
      </w:r>
      <w:r w:rsidR="000358E9">
        <w:rPr>
          <w:rFonts w:ascii="Times New Roman" w:hAnsi="Times New Roman"/>
          <w:bCs/>
          <w:sz w:val="28"/>
          <w:szCs w:val="28"/>
          <w:lang w:val="uk-UA"/>
        </w:rPr>
        <w:t xml:space="preserve"> </w:t>
      </w:r>
      <w:r w:rsidRPr="002114C8">
        <w:rPr>
          <w:rFonts w:ascii="Times New Roman" w:hAnsi="Times New Roman"/>
          <w:bCs/>
          <w:sz w:val="28"/>
          <w:szCs w:val="28"/>
          <w:lang w:val="uk-UA"/>
        </w:rPr>
        <w:t>3.</w:t>
      </w:r>
      <w:r w:rsidR="000358E9">
        <w:rPr>
          <w:rFonts w:ascii="Times New Roman" w:hAnsi="Times New Roman"/>
          <w:bCs/>
          <w:sz w:val="28"/>
          <w:szCs w:val="28"/>
          <w:lang w:val="uk-UA"/>
        </w:rPr>
        <w:t>1</w:t>
      </w:r>
      <w:r w:rsidRPr="002114C8">
        <w:rPr>
          <w:rFonts w:ascii="Times New Roman" w:hAnsi="Times New Roman"/>
          <w:bCs/>
          <w:sz w:val="28"/>
          <w:szCs w:val="28"/>
          <w:lang w:val="uk-UA"/>
        </w:rPr>
        <w:t>, спостерігався відтік капіталу з України прот</w:t>
      </w:r>
      <w:r w:rsidRPr="002114C8">
        <w:rPr>
          <w:rFonts w:ascii="Times New Roman" w:hAnsi="Times New Roman"/>
          <w:bCs/>
          <w:sz w:val="28"/>
          <w:szCs w:val="28"/>
          <w:lang w:val="uk-UA"/>
        </w:rPr>
        <w:t>я</w:t>
      </w:r>
      <w:r w:rsidRPr="002114C8">
        <w:rPr>
          <w:rFonts w:ascii="Times New Roman" w:hAnsi="Times New Roman"/>
          <w:bCs/>
          <w:sz w:val="28"/>
          <w:szCs w:val="28"/>
          <w:lang w:val="uk-UA"/>
        </w:rPr>
        <w:t xml:space="preserve">гом усього періоду. Найбільше значення спостерігалось у 2018 році  </w:t>
      </w:r>
      <w:r w:rsidRPr="002114C8">
        <w:rPr>
          <w:rFonts w:ascii="Times New Roman" w:hAnsi="Times New Roman" w:cs="Times New Roman"/>
          <w:bCs/>
          <w:sz w:val="28"/>
          <w:szCs w:val="28"/>
          <w:lang w:val="uk-UA"/>
        </w:rPr>
        <w:t>̶</w:t>
      </w:r>
      <w:r w:rsidRPr="002114C8">
        <w:rPr>
          <w:rFonts w:ascii="Times New Roman" w:hAnsi="Times New Roman"/>
          <w:bCs/>
          <w:sz w:val="28"/>
          <w:szCs w:val="28"/>
          <w:lang w:val="uk-UA"/>
        </w:rPr>
        <w:t xml:space="preserve">              1,164 млрд дол.США, в наступні роки здебільшого значення коливалось у межах 800 млн дол.США. Приплив капіталу був значно нижчим порівняно з відтоком, у 2021 році різниця склала 72,68%. У випадку з Ірландією, оцінити потоки важко, однак можна стверджувати, що приплив ПІІ в Україну з Ірл</w:t>
      </w:r>
      <w:r w:rsidRPr="002114C8">
        <w:rPr>
          <w:rFonts w:ascii="Times New Roman" w:hAnsi="Times New Roman"/>
          <w:bCs/>
          <w:sz w:val="28"/>
          <w:szCs w:val="28"/>
          <w:lang w:val="uk-UA"/>
        </w:rPr>
        <w:t>а</w:t>
      </w:r>
      <w:r w:rsidRPr="002114C8">
        <w:rPr>
          <w:rFonts w:ascii="Times New Roman" w:hAnsi="Times New Roman"/>
          <w:bCs/>
          <w:sz w:val="28"/>
          <w:szCs w:val="28"/>
          <w:lang w:val="uk-UA"/>
        </w:rPr>
        <w:t>ндії значно менший порівняно з аналогічними показниками у відносинах України та Великої Британії. У 2019 році приплив ПІІ до України з Ірландії на 98,6% був менший порівняно з ПІІ з Великої Британії, тоді як у 2020 році даний показник скоротився до 94,05%. У 2021 році приплив прямих інозе</w:t>
      </w:r>
      <w:r w:rsidRPr="002114C8">
        <w:rPr>
          <w:rFonts w:ascii="Times New Roman" w:hAnsi="Times New Roman"/>
          <w:bCs/>
          <w:sz w:val="28"/>
          <w:szCs w:val="28"/>
          <w:lang w:val="uk-UA"/>
        </w:rPr>
        <w:t>м</w:t>
      </w:r>
      <w:r w:rsidRPr="002114C8">
        <w:rPr>
          <w:rFonts w:ascii="Times New Roman" w:hAnsi="Times New Roman"/>
          <w:bCs/>
          <w:sz w:val="28"/>
          <w:szCs w:val="28"/>
          <w:lang w:val="uk-UA"/>
        </w:rPr>
        <w:lastRenderedPageBreak/>
        <w:t>них інвестицій з Ірландії збільшився до 107,25 млн дол.США, що на 87,7% більше за 2020 рік.</w:t>
      </w:r>
    </w:p>
    <w:p w:rsidR="00E63F46" w:rsidRPr="002114C8" w:rsidRDefault="00912E07">
      <w:pPr>
        <w:spacing w:after="0" w:line="360" w:lineRule="auto"/>
        <w:ind w:left="115" w:right="58" w:firstLine="562"/>
        <w:jc w:val="both"/>
        <w:rPr>
          <w:rFonts w:ascii="Times New Roman" w:hAnsi="Times New Roman"/>
          <w:bCs/>
          <w:sz w:val="28"/>
          <w:szCs w:val="28"/>
          <w:lang w:val="uk-UA"/>
        </w:rPr>
      </w:pPr>
      <w:r w:rsidRPr="002114C8">
        <w:rPr>
          <w:rFonts w:ascii="Times New Roman" w:hAnsi="Times New Roman"/>
          <w:bCs/>
          <w:sz w:val="28"/>
          <w:szCs w:val="28"/>
          <w:lang w:val="uk-UA"/>
        </w:rPr>
        <w:t>У підсумку можна стверджувати, що відносини України з Великою Бр</w:t>
      </w:r>
      <w:r w:rsidRPr="002114C8">
        <w:rPr>
          <w:rFonts w:ascii="Times New Roman" w:hAnsi="Times New Roman"/>
          <w:bCs/>
          <w:sz w:val="28"/>
          <w:szCs w:val="28"/>
          <w:lang w:val="uk-UA"/>
        </w:rPr>
        <w:t>и</w:t>
      </w:r>
      <w:r w:rsidRPr="002114C8">
        <w:rPr>
          <w:rFonts w:ascii="Times New Roman" w:hAnsi="Times New Roman"/>
          <w:bCs/>
          <w:sz w:val="28"/>
          <w:szCs w:val="28"/>
          <w:lang w:val="uk-UA"/>
        </w:rPr>
        <w:t>танією та Ірландією є прогресуючими. Як у торгівлі товарами, так і послуг</w:t>
      </w:r>
      <w:r w:rsidRPr="002114C8">
        <w:rPr>
          <w:rFonts w:ascii="Times New Roman" w:hAnsi="Times New Roman"/>
          <w:bCs/>
          <w:sz w:val="28"/>
          <w:szCs w:val="28"/>
          <w:lang w:val="uk-UA"/>
        </w:rPr>
        <w:t>а</w:t>
      </w:r>
      <w:r w:rsidRPr="002114C8">
        <w:rPr>
          <w:rFonts w:ascii="Times New Roman" w:hAnsi="Times New Roman"/>
          <w:bCs/>
          <w:sz w:val="28"/>
          <w:szCs w:val="28"/>
          <w:lang w:val="uk-UA"/>
        </w:rPr>
        <w:t>ми до 2022 році спостерігався ріст експорту та імпорту між Україною та об</w:t>
      </w:r>
      <w:r w:rsidRPr="002114C8">
        <w:rPr>
          <w:rFonts w:ascii="Times New Roman" w:hAnsi="Times New Roman"/>
          <w:bCs/>
          <w:sz w:val="28"/>
          <w:szCs w:val="28"/>
          <w:lang w:val="uk-UA"/>
        </w:rPr>
        <w:t>о</w:t>
      </w:r>
      <w:r w:rsidRPr="002114C8">
        <w:rPr>
          <w:rFonts w:ascii="Times New Roman" w:hAnsi="Times New Roman"/>
          <w:bCs/>
          <w:sz w:val="28"/>
          <w:szCs w:val="28"/>
          <w:lang w:val="uk-UA"/>
        </w:rPr>
        <w:t>ма країнами. Якщо звернути увагу на ПІІ, то очевидним є відтік капіталу з України протягом усього досліджуваного періоду. Даний показник як у укр</w:t>
      </w:r>
      <w:r w:rsidRPr="002114C8">
        <w:rPr>
          <w:rFonts w:ascii="Times New Roman" w:hAnsi="Times New Roman"/>
          <w:bCs/>
          <w:sz w:val="28"/>
          <w:szCs w:val="28"/>
          <w:lang w:val="uk-UA"/>
        </w:rPr>
        <w:t>а</w:t>
      </w:r>
      <w:r w:rsidRPr="002114C8">
        <w:rPr>
          <w:rFonts w:ascii="Times New Roman" w:hAnsi="Times New Roman"/>
          <w:bCs/>
          <w:sz w:val="28"/>
          <w:szCs w:val="28"/>
          <w:lang w:val="uk-UA"/>
        </w:rPr>
        <w:t xml:space="preserve">їнсько-ірландських, так і українсько-британських інвестиційних відносинах перевищував приплив капіталу. </w:t>
      </w:r>
    </w:p>
    <w:p w:rsidR="00E63F46" w:rsidRPr="002114C8" w:rsidRDefault="00912E07">
      <w:pPr>
        <w:rPr>
          <w:rFonts w:ascii="Times New Roman" w:hAnsi="Times New Roman" w:cs="Times New Roman"/>
          <w:b/>
          <w:sz w:val="28"/>
          <w:szCs w:val="28"/>
          <w:lang w:val="uk-UA"/>
        </w:rPr>
      </w:pPr>
      <w:r w:rsidRPr="002114C8">
        <w:rPr>
          <w:rFonts w:ascii="Times New Roman" w:hAnsi="Times New Roman" w:cs="Times New Roman"/>
          <w:b/>
          <w:sz w:val="28"/>
          <w:szCs w:val="28"/>
          <w:lang w:val="uk-UA"/>
        </w:rPr>
        <w:br w:type="page"/>
      </w:r>
    </w:p>
    <w:p w:rsidR="00E63F46" w:rsidRPr="002114C8" w:rsidRDefault="00912E07" w:rsidP="000358E9">
      <w:pPr>
        <w:spacing w:afterLines="100" w:after="240" w:line="360" w:lineRule="auto"/>
        <w:ind w:left="113" w:right="57"/>
        <w:jc w:val="center"/>
        <w:rPr>
          <w:rFonts w:ascii="Times New Roman" w:hAnsi="Times New Roman" w:cs="Times New Roman"/>
          <w:b/>
          <w:sz w:val="28"/>
          <w:szCs w:val="28"/>
          <w:lang w:val="uk-UA"/>
        </w:rPr>
      </w:pPr>
      <w:r w:rsidRPr="002114C8">
        <w:rPr>
          <w:rFonts w:ascii="Times New Roman" w:hAnsi="Times New Roman" w:cs="Times New Roman"/>
          <w:b/>
          <w:sz w:val="28"/>
          <w:szCs w:val="28"/>
          <w:lang w:val="uk-UA"/>
        </w:rPr>
        <w:lastRenderedPageBreak/>
        <w:t>ВИСНОВКИ</w:t>
      </w:r>
    </w:p>
    <w:p w:rsidR="00E63F46" w:rsidRPr="002114C8" w:rsidRDefault="00912E07">
      <w:pPr>
        <w:spacing w:after="0" w:line="360" w:lineRule="auto"/>
        <w:ind w:firstLine="706"/>
        <w:jc w:val="both"/>
        <w:rPr>
          <w:rFonts w:ascii="Times New Roman" w:hAnsi="Times New Roman" w:cs="Times New Roman"/>
          <w:sz w:val="28"/>
          <w:szCs w:val="28"/>
          <w:lang w:val="uk-UA"/>
        </w:rPr>
      </w:pPr>
      <w:r w:rsidRPr="002114C8">
        <w:rPr>
          <w:rFonts w:ascii="Times New Roman" w:hAnsi="Times New Roman"/>
          <w:spacing w:val="4"/>
          <w:sz w:val="28"/>
          <w:szCs w:val="28"/>
          <w:lang w:val="uk-UA"/>
        </w:rPr>
        <w:t>Від 23 червня 2016 року з ухваленням рішення про  вихід Сполученого Королівства зі складу Європейського Союзу основна увага у зовнішньоек</w:t>
      </w:r>
      <w:r w:rsidRPr="002114C8">
        <w:rPr>
          <w:rFonts w:ascii="Times New Roman" w:hAnsi="Times New Roman"/>
          <w:spacing w:val="4"/>
          <w:sz w:val="28"/>
          <w:szCs w:val="28"/>
          <w:lang w:val="uk-UA"/>
        </w:rPr>
        <w:t>о</w:t>
      </w:r>
      <w:r w:rsidRPr="002114C8">
        <w:rPr>
          <w:rFonts w:ascii="Times New Roman" w:hAnsi="Times New Roman"/>
          <w:spacing w:val="4"/>
          <w:sz w:val="28"/>
          <w:szCs w:val="28"/>
          <w:lang w:val="uk-UA"/>
        </w:rPr>
        <w:t>номічних відносинах була прикута до наслідків референдуму та нового н</w:t>
      </w:r>
      <w:r w:rsidRPr="002114C8">
        <w:rPr>
          <w:rFonts w:ascii="Times New Roman" w:hAnsi="Times New Roman"/>
          <w:spacing w:val="4"/>
          <w:sz w:val="28"/>
          <w:szCs w:val="28"/>
          <w:lang w:val="uk-UA"/>
        </w:rPr>
        <w:t>а</w:t>
      </w:r>
      <w:r w:rsidRPr="002114C8">
        <w:rPr>
          <w:rFonts w:ascii="Times New Roman" w:hAnsi="Times New Roman"/>
          <w:spacing w:val="4"/>
          <w:sz w:val="28"/>
          <w:szCs w:val="28"/>
          <w:lang w:val="uk-UA"/>
        </w:rPr>
        <w:t xml:space="preserve">прямку Великої Британії на світовій арені. Значних збитків зазнала й </w:t>
      </w:r>
      <w:r w:rsidRPr="002114C8">
        <w:rPr>
          <w:rFonts w:ascii="Times New Roman" w:hAnsi="Times New Roman"/>
          <w:sz w:val="28"/>
          <w:szCs w:val="28"/>
          <w:lang w:val="uk-UA"/>
        </w:rPr>
        <w:t>Ірла</w:t>
      </w:r>
      <w:r w:rsidRPr="002114C8">
        <w:rPr>
          <w:rFonts w:ascii="Times New Roman" w:hAnsi="Times New Roman"/>
          <w:sz w:val="28"/>
          <w:szCs w:val="28"/>
          <w:lang w:val="uk-UA"/>
        </w:rPr>
        <w:t>н</w:t>
      </w:r>
      <w:r w:rsidRPr="002114C8">
        <w:rPr>
          <w:rFonts w:ascii="Times New Roman" w:hAnsi="Times New Roman"/>
          <w:sz w:val="28"/>
          <w:szCs w:val="28"/>
          <w:lang w:val="uk-UA"/>
        </w:rPr>
        <w:t>дію, яка, за оцінками вчених, є країною-членом ЄС, яка найбільше постражд</w:t>
      </w:r>
      <w:r w:rsidRPr="002114C8">
        <w:rPr>
          <w:rFonts w:ascii="Times New Roman" w:hAnsi="Times New Roman"/>
          <w:sz w:val="28"/>
          <w:szCs w:val="28"/>
          <w:lang w:val="uk-UA"/>
        </w:rPr>
        <w:t>а</w:t>
      </w:r>
      <w:r w:rsidRPr="002114C8">
        <w:rPr>
          <w:rFonts w:ascii="Times New Roman" w:hAnsi="Times New Roman"/>
          <w:sz w:val="28"/>
          <w:szCs w:val="28"/>
          <w:lang w:val="uk-UA"/>
        </w:rPr>
        <w:t>ла від Brexit, і при цьому</w:t>
      </w:r>
      <w:r w:rsidRPr="002114C8">
        <w:rPr>
          <w:rFonts w:ascii="Times New Roman" w:hAnsi="Times New Roman" w:cs="Times New Roman"/>
          <w:sz w:val="28"/>
          <w:szCs w:val="28"/>
          <w:lang w:val="uk-UA"/>
        </w:rPr>
        <w:t xml:space="preserve"> досі залишається однією з країн Європейського Со</w:t>
      </w:r>
      <w:r w:rsidRPr="002114C8">
        <w:rPr>
          <w:rFonts w:ascii="Times New Roman" w:hAnsi="Times New Roman" w:cs="Times New Roman"/>
          <w:sz w:val="28"/>
          <w:szCs w:val="28"/>
          <w:lang w:val="uk-UA"/>
        </w:rPr>
        <w:t>ю</w:t>
      </w:r>
      <w:r w:rsidRPr="002114C8">
        <w:rPr>
          <w:rFonts w:ascii="Times New Roman" w:hAnsi="Times New Roman" w:cs="Times New Roman"/>
          <w:sz w:val="28"/>
          <w:szCs w:val="28"/>
          <w:lang w:val="uk-UA"/>
        </w:rPr>
        <w:t xml:space="preserve">зу з найбільшими показниками росту. </w:t>
      </w:r>
      <w:r w:rsidRPr="002114C8">
        <w:rPr>
          <w:rFonts w:ascii="Times New Roman" w:hAnsi="Times New Roman"/>
          <w:spacing w:val="4"/>
          <w:sz w:val="28"/>
          <w:szCs w:val="28"/>
          <w:lang w:val="uk-UA"/>
        </w:rPr>
        <w:t xml:space="preserve">Окрім цього, ситуація загострилась з початком пандемії COVID-19 та майже повним блокуванням міжнародних торгових шляхів. </w:t>
      </w:r>
      <w:r w:rsidRPr="002114C8">
        <w:rPr>
          <w:rFonts w:ascii="Times New Roman" w:hAnsi="Times New Roman" w:cs="Times New Roman"/>
          <w:sz w:val="28"/>
          <w:szCs w:val="28"/>
          <w:lang w:val="uk-UA"/>
        </w:rPr>
        <w:t xml:space="preserve"> </w:t>
      </w:r>
    </w:p>
    <w:p w:rsidR="00E63F46" w:rsidRPr="002114C8" w:rsidRDefault="00912E07">
      <w:pPr>
        <w:spacing w:after="0" w:line="360" w:lineRule="auto"/>
        <w:ind w:firstLine="708"/>
        <w:jc w:val="both"/>
        <w:rPr>
          <w:rFonts w:ascii="Times New Roman" w:hAnsi="Times New Roman"/>
          <w:sz w:val="28"/>
          <w:szCs w:val="28"/>
          <w:lang w:val="uk-UA"/>
        </w:rPr>
      </w:pPr>
      <w:r w:rsidRPr="002114C8">
        <w:rPr>
          <w:rFonts w:ascii="Times New Roman" w:eastAsia="SimSun" w:hAnsi="Times New Roman" w:cs="Times New Roman"/>
          <w:color w:val="000000"/>
          <w:sz w:val="28"/>
          <w:szCs w:val="28"/>
          <w:lang w:val="uk-UA" w:eastAsia="zh-CN" w:bidi="ar"/>
        </w:rPr>
        <w:t>Проаналізувавши рахунок поточних операцій Великої Британії та Ірла</w:t>
      </w:r>
      <w:r w:rsidRPr="002114C8">
        <w:rPr>
          <w:rFonts w:ascii="Times New Roman" w:eastAsia="SimSun" w:hAnsi="Times New Roman" w:cs="Times New Roman"/>
          <w:color w:val="000000"/>
          <w:sz w:val="28"/>
          <w:szCs w:val="28"/>
          <w:lang w:val="uk-UA" w:eastAsia="zh-CN" w:bidi="ar"/>
        </w:rPr>
        <w:t>н</w:t>
      </w:r>
      <w:r w:rsidRPr="002114C8">
        <w:rPr>
          <w:rFonts w:ascii="Times New Roman" w:eastAsia="SimSun" w:hAnsi="Times New Roman" w:cs="Times New Roman"/>
          <w:color w:val="000000"/>
          <w:sz w:val="28"/>
          <w:szCs w:val="28"/>
          <w:lang w:val="uk-UA" w:eastAsia="zh-CN" w:bidi="ar"/>
        </w:rPr>
        <w:t xml:space="preserve">дії протягом 2018-2022 рр., можна виділити основні тенденції. </w:t>
      </w:r>
      <w:r w:rsidRPr="002114C8">
        <w:rPr>
          <w:rFonts w:ascii="Times New Roman" w:hAnsi="Times New Roman"/>
          <w:sz w:val="28"/>
          <w:szCs w:val="28"/>
          <w:lang w:val="uk-UA"/>
        </w:rPr>
        <w:t>У випадку з В</w:t>
      </w:r>
      <w:r w:rsidRPr="002114C8">
        <w:rPr>
          <w:rFonts w:ascii="Times New Roman" w:hAnsi="Times New Roman"/>
          <w:sz w:val="28"/>
          <w:szCs w:val="28"/>
          <w:lang w:val="uk-UA"/>
        </w:rPr>
        <w:t>е</w:t>
      </w:r>
      <w:r w:rsidRPr="002114C8">
        <w:rPr>
          <w:rFonts w:ascii="Times New Roman" w:hAnsi="Times New Roman"/>
          <w:sz w:val="28"/>
          <w:szCs w:val="28"/>
          <w:lang w:val="uk-UA"/>
        </w:rPr>
        <w:t xml:space="preserve">ликою Британією, протягом досліджуваного періоду спостерігалось поступове зменшення  дефіцит, найзначніший спад спостерігався у 2021 році  </w:t>
      </w:r>
      <w:r w:rsidRPr="002114C8">
        <w:rPr>
          <w:rFonts w:ascii="Times New Roman" w:hAnsi="Times New Roman" w:cs="Times New Roman"/>
          <w:sz w:val="28"/>
          <w:szCs w:val="28"/>
          <w:lang w:val="uk-UA"/>
        </w:rPr>
        <w:t>̶</w:t>
      </w:r>
      <w:r w:rsidRPr="002114C8">
        <w:rPr>
          <w:rFonts w:ascii="Times New Roman" w:hAnsi="Times New Roman"/>
          <w:sz w:val="28"/>
          <w:szCs w:val="28"/>
          <w:lang w:val="uk-UA"/>
        </w:rPr>
        <w:t xml:space="preserve">  на 46,4%, попри значний ріст, на 59,8 млрд дол. США, дефіциту торговельного балансу. Однак, у тому ж році було досягнуто профіциту рахунку первинних доходів та, додатково, зменшення дефіциту вторинних доходів. Розглянувши Ірландську Республіку, бачимо, що попри різкий дефіцит у 2019 році, який продовжився у 2020 зі зниженням на 38,9 %, вже у 2021 році було досягнуто профіциту у 72,2 млрд дол. США. На відмінно від Сполученого Королівства, торговельний б</w:t>
      </w:r>
      <w:r w:rsidRPr="002114C8">
        <w:rPr>
          <w:rFonts w:ascii="Times New Roman" w:hAnsi="Times New Roman"/>
          <w:sz w:val="28"/>
          <w:szCs w:val="28"/>
          <w:lang w:val="uk-UA"/>
        </w:rPr>
        <w:t>а</w:t>
      </w:r>
      <w:r w:rsidRPr="002114C8">
        <w:rPr>
          <w:rFonts w:ascii="Times New Roman" w:hAnsi="Times New Roman"/>
          <w:sz w:val="28"/>
          <w:szCs w:val="28"/>
          <w:lang w:val="uk-UA"/>
        </w:rPr>
        <w:t>ланс Ірландії зводиться з профіцитом, тоді як баланс послуг, окрім 2021 року, рахунок первинних та рахунок вторинних доходів зводились з дефіцитом. З точки зору національних рахунків, профіцит даної статі платіжного балансу відображає чисту кредитну позицію, тобто країна більш ніж здатна фінансув</w:t>
      </w:r>
      <w:r w:rsidRPr="002114C8">
        <w:rPr>
          <w:rFonts w:ascii="Times New Roman" w:hAnsi="Times New Roman"/>
          <w:sz w:val="28"/>
          <w:szCs w:val="28"/>
          <w:lang w:val="uk-UA"/>
        </w:rPr>
        <w:t>а</w:t>
      </w:r>
      <w:r w:rsidRPr="002114C8">
        <w:rPr>
          <w:rFonts w:ascii="Times New Roman" w:hAnsi="Times New Roman"/>
          <w:sz w:val="28"/>
          <w:szCs w:val="28"/>
          <w:lang w:val="uk-UA"/>
        </w:rPr>
        <w:t>ти свою економічну діяльність у світовій економіці.</w:t>
      </w:r>
    </w:p>
    <w:p w:rsidR="00E63F46" w:rsidRPr="002114C8" w:rsidRDefault="00912E07">
      <w:pPr>
        <w:spacing w:after="0" w:line="360" w:lineRule="auto"/>
        <w:ind w:right="58" w:firstLine="706"/>
        <w:jc w:val="both"/>
        <w:rPr>
          <w:rFonts w:ascii="Times New Roman" w:hAnsi="Times New Roman"/>
          <w:sz w:val="28"/>
          <w:szCs w:val="28"/>
          <w:lang w:val="uk-UA"/>
        </w:rPr>
      </w:pPr>
      <w:r w:rsidRPr="002114C8">
        <w:rPr>
          <w:rFonts w:ascii="Times New Roman" w:hAnsi="Times New Roman" w:cs="Times New Roman"/>
          <w:sz w:val="28"/>
          <w:szCs w:val="28"/>
          <w:lang w:val="uk-UA"/>
        </w:rPr>
        <w:t>Фінансовий рахунок Великої Британії та Ірландії зводяться переважно з дефіцитом протягом 2018-2020 рр., що вказує на те, що обидві країни є інве</w:t>
      </w:r>
      <w:r w:rsidRPr="002114C8">
        <w:rPr>
          <w:rFonts w:ascii="Times New Roman" w:hAnsi="Times New Roman" w:cs="Times New Roman"/>
          <w:sz w:val="28"/>
          <w:szCs w:val="28"/>
          <w:lang w:val="uk-UA"/>
        </w:rPr>
        <w:t>с</w:t>
      </w:r>
      <w:r w:rsidRPr="002114C8">
        <w:rPr>
          <w:rFonts w:ascii="Times New Roman" w:hAnsi="Times New Roman" w:cs="Times New Roman"/>
          <w:sz w:val="28"/>
          <w:szCs w:val="28"/>
          <w:lang w:val="uk-UA"/>
        </w:rPr>
        <w:t xml:space="preserve">тиційно-привабливими для нерезидентів. </w:t>
      </w:r>
      <w:r w:rsidRPr="002114C8">
        <w:rPr>
          <w:rFonts w:ascii="Times New Roman" w:hAnsi="Times New Roman"/>
          <w:sz w:val="28"/>
          <w:szCs w:val="28"/>
          <w:lang w:val="uk-UA"/>
        </w:rPr>
        <w:t>У 2021 році приплив ПІІ до Спол</w:t>
      </w:r>
      <w:r w:rsidRPr="002114C8">
        <w:rPr>
          <w:rFonts w:ascii="Times New Roman" w:hAnsi="Times New Roman"/>
          <w:sz w:val="28"/>
          <w:szCs w:val="28"/>
          <w:lang w:val="uk-UA"/>
        </w:rPr>
        <w:t>у</w:t>
      </w:r>
      <w:r w:rsidRPr="002114C8">
        <w:rPr>
          <w:rFonts w:ascii="Times New Roman" w:hAnsi="Times New Roman"/>
          <w:sz w:val="28"/>
          <w:szCs w:val="28"/>
          <w:lang w:val="uk-UA"/>
        </w:rPr>
        <w:t xml:space="preserve">ченого Королівства зріс на 102,7%, тоді як відплив скоротився на 95,5%, що </w:t>
      </w:r>
      <w:r w:rsidRPr="002114C8">
        <w:rPr>
          <w:rFonts w:ascii="Times New Roman" w:hAnsi="Times New Roman"/>
          <w:sz w:val="28"/>
          <w:szCs w:val="28"/>
          <w:lang w:val="uk-UA"/>
        </w:rPr>
        <w:lastRenderedPageBreak/>
        <w:t>стало основним критерієм зменшення дефіциту фінансового рахунку для цієї країни у 4,13 разів. Основними інвестиційними партнерами Сполученого К</w:t>
      </w:r>
      <w:r w:rsidRPr="002114C8">
        <w:rPr>
          <w:rFonts w:ascii="Times New Roman" w:hAnsi="Times New Roman"/>
          <w:sz w:val="28"/>
          <w:szCs w:val="28"/>
          <w:lang w:val="uk-UA"/>
        </w:rPr>
        <w:t>о</w:t>
      </w:r>
      <w:r w:rsidRPr="002114C8">
        <w:rPr>
          <w:rFonts w:ascii="Times New Roman" w:hAnsi="Times New Roman"/>
          <w:sz w:val="28"/>
          <w:szCs w:val="28"/>
          <w:lang w:val="uk-UA"/>
        </w:rPr>
        <w:t>ролівства, за обсягом ПІІ, є США, Нідерланди, британські офшорні острови, Люксембург і Франція. На противагу, фінансовий рахунок Ірландії мав ме</w:t>
      </w:r>
      <w:r w:rsidRPr="002114C8">
        <w:rPr>
          <w:rFonts w:ascii="Times New Roman" w:hAnsi="Times New Roman"/>
          <w:sz w:val="28"/>
          <w:szCs w:val="28"/>
          <w:lang w:val="uk-UA"/>
        </w:rPr>
        <w:t>н</w:t>
      </w:r>
      <w:r w:rsidRPr="002114C8">
        <w:rPr>
          <w:rFonts w:ascii="Times New Roman" w:hAnsi="Times New Roman"/>
          <w:sz w:val="28"/>
          <w:szCs w:val="28"/>
          <w:lang w:val="uk-UA"/>
        </w:rPr>
        <w:t>ший дефіцит порівняно з Великою Британією, у середньому протягом 2018-2020 рр. цей показник на 57% був меншим порівняно з аналогічним показн</w:t>
      </w:r>
      <w:r w:rsidRPr="002114C8">
        <w:rPr>
          <w:rFonts w:ascii="Times New Roman" w:hAnsi="Times New Roman"/>
          <w:sz w:val="28"/>
          <w:szCs w:val="28"/>
          <w:lang w:val="uk-UA"/>
        </w:rPr>
        <w:t>и</w:t>
      </w:r>
      <w:r w:rsidRPr="002114C8">
        <w:rPr>
          <w:rFonts w:ascii="Times New Roman" w:hAnsi="Times New Roman"/>
          <w:sz w:val="28"/>
          <w:szCs w:val="28"/>
          <w:lang w:val="uk-UA"/>
        </w:rPr>
        <w:t>ком Сполученого Королівства. Попри це, у 2021 році фінансовий рахунок зв</w:t>
      </w:r>
      <w:r w:rsidRPr="002114C8">
        <w:rPr>
          <w:rFonts w:ascii="Times New Roman" w:hAnsi="Times New Roman"/>
          <w:sz w:val="28"/>
          <w:szCs w:val="28"/>
          <w:lang w:val="uk-UA"/>
        </w:rPr>
        <w:t>о</w:t>
      </w:r>
      <w:r w:rsidRPr="002114C8">
        <w:rPr>
          <w:rFonts w:ascii="Times New Roman" w:hAnsi="Times New Roman"/>
          <w:sz w:val="28"/>
          <w:szCs w:val="28"/>
          <w:lang w:val="uk-UA"/>
        </w:rPr>
        <w:t>дився з профіцитом у 72,38 млрд дол. США, у першу чергу завдяки збільше</w:t>
      </w:r>
      <w:r w:rsidRPr="002114C8">
        <w:rPr>
          <w:rFonts w:ascii="Times New Roman" w:hAnsi="Times New Roman"/>
          <w:sz w:val="28"/>
          <w:szCs w:val="28"/>
          <w:lang w:val="uk-UA"/>
        </w:rPr>
        <w:t>н</w:t>
      </w:r>
      <w:r w:rsidRPr="002114C8">
        <w:rPr>
          <w:rFonts w:ascii="Times New Roman" w:hAnsi="Times New Roman"/>
          <w:sz w:val="28"/>
          <w:szCs w:val="28"/>
          <w:lang w:val="uk-UA"/>
        </w:rPr>
        <w:t xml:space="preserve">ню активів прямих іноземних інвестицій. </w:t>
      </w:r>
    </w:p>
    <w:p w:rsidR="00E63F46" w:rsidRPr="002114C8" w:rsidRDefault="00912E07">
      <w:pPr>
        <w:spacing w:after="0" w:line="360" w:lineRule="auto"/>
        <w:ind w:left="115" w:right="58" w:firstLine="562"/>
        <w:jc w:val="both"/>
        <w:rPr>
          <w:rFonts w:ascii="Times New Roman" w:hAnsi="Times New Roman" w:cs="Times New Roman"/>
          <w:sz w:val="28"/>
          <w:szCs w:val="28"/>
          <w:lang w:val="uk-UA"/>
        </w:rPr>
      </w:pPr>
      <w:r w:rsidRPr="002114C8">
        <w:rPr>
          <w:rFonts w:ascii="Times New Roman Regular" w:hAnsi="Times New Roman Regular" w:cs="Times New Roman Regular"/>
          <w:sz w:val="28"/>
          <w:szCs w:val="28"/>
          <w:lang w:val="uk-UA"/>
        </w:rPr>
        <w:t xml:space="preserve">За допомогою регресійної моделі було проведено тестування впливу ВВП, ПІІ (активи), портфельних інвестицій (активи) та валютного курсу </w:t>
      </w:r>
      <w:r w:rsidRPr="002114C8">
        <w:rPr>
          <w:rFonts w:ascii="Times New Roman Regular" w:eastAsia="SimSun" w:hAnsi="Times New Roman Regular" w:cs="Times New Roman Regular"/>
          <w:color w:val="000000"/>
          <w:sz w:val="28"/>
          <w:szCs w:val="28"/>
          <w:lang w:val="uk-UA" w:eastAsia="zh-CN" w:bidi="ar"/>
        </w:rPr>
        <w:t>на баланс доходу від інвестицій Великої Британії</w:t>
      </w:r>
      <w:r w:rsidRPr="002114C8">
        <w:rPr>
          <w:rFonts w:ascii="Times New Roman Regular" w:hAnsi="Times New Roman Regular" w:cs="Times New Roman Regular"/>
          <w:sz w:val="28"/>
          <w:szCs w:val="28"/>
          <w:lang w:val="uk-UA"/>
        </w:rPr>
        <w:t xml:space="preserve">. </w:t>
      </w:r>
      <w:r w:rsidRPr="002114C8">
        <w:rPr>
          <w:rFonts w:ascii="Times New Roman" w:hAnsi="Times New Roman" w:cs="Times New Roman"/>
          <w:sz w:val="28"/>
          <w:szCs w:val="28"/>
          <w:lang w:val="uk-UA"/>
        </w:rPr>
        <w:t>Дану модель не можна брати за основу, оскільки ступінь взаємозалежності між залежною змінною та нез</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 xml:space="preserve">лежними не перевищила 50,1%. Однак, було виявлено, що найбільший вплив серед незалежних змінних на дохід </w:t>
      </w:r>
      <w:r w:rsidRPr="002114C8">
        <w:rPr>
          <w:rFonts w:ascii="Times New Roman" w:hAnsi="Times New Roman"/>
          <w:sz w:val="28"/>
          <w:szCs w:val="28"/>
          <w:lang w:val="uk-UA"/>
        </w:rPr>
        <w:t>від інвестицій Великої Британії</w:t>
      </w:r>
      <w:r w:rsidRPr="002114C8">
        <w:rPr>
          <w:rFonts w:ascii="Times New Roman" w:hAnsi="Times New Roman" w:cs="Times New Roman"/>
          <w:sz w:val="28"/>
          <w:szCs w:val="28"/>
          <w:lang w:val="uk-UA"/>
        </w:rPr>
        <w:t xml:space="preserve"> мають а</w:t>
      </w:r>
      <w:r w:rsidRPr="002114C8">
        <w:rPr>
          <w:rFonts w:ascii="Times New Roman" w:hAnsi="Times New Roman" w:cs="Times New Roman"/>
          <w:sz w:val="28"/>
          <w:szCs w:val="28"/>
          <w:lang w:val="uk-UA"/>
        </w:rPr>
        <w:t>к</w:t>
      </w:r>
      <w:r w:rsidRPr="002114C8">
        <w:rPr>
          <w:rFonts w:ascii="Times New Roman" w:hAnsi="Times New Roman" w:cs="Times New Roman"/>
          <w:sz w:val="28"/>
          <w:szCs w:val="28"/>
          <w:lang w:val="uk-UA"/>
        </w:rPr>
        <w:t>тиви ПІІ. Характерною рисою цього впливу є те, що він прямий. На форм</w:t>
      </w:r>
      <w:r w:rsidRPr="002114C8">
        <w:rPr>
          <w:rFonts w:ascii="Times New Roman" w:hAnsi="Times New Roman" w:cs="Times New Roman"/>
          <w:sz w:val="28"/>
          <w:szCs w:val="28"/>
          <w:lang w:val="uk-UA"/>
        </w:rPr>
        <w:t>у</w:t>
      </w:r>
      <w:r w:rsidRPr="002114C8">
        <w:rPr>
          <w:rFonts w:ascii="Times New Roman" w:hAnsi="Times New Roman" w:cs="Times New Roman"/>
          <w:sz w:val="28"/>
          <w:szCs w:val="28"/>
          <w:lang w:val="uk-UA"/>
        </w:rPr>
        <w:t>вання доходу від інвестицій також впливає валютний курс, який має 5% зн</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 xml:space="preserve">чущості в даній моделі і має зворотній вплив. </w:t>
      </w:r>
    </w:p>
    <w:p w:rsidR="00E63F46" w:rsidRPr="002114C8" w:rsidRDefault="00912E07">
      <w:pPr>
        <w:spacing w:after="0" w:line="360" w:lineRule="auto"/>
        <w:ind w:leftChars="6" w:left="13" w:right="58" w:firstLineChars="230" w:firstLine="644"/>
        <w:jc w:val="both"/>
        <w:rPr>
          <w:rFonts w:ascii="Times New Roman" w:hAnsi="Times New Roman"/>
          <w:bCs/>
          <w:sz w:val="28"/>
          <w:szCs w:val="28"/>
          <w:lang w:val="uk-UA"/>
        </w:rPr>
      </w:pPr>
      <w:r w:rsidRPr="002114C8">
        <w:rPr>
          <w:rFonts w:ascii="Times New Roman" w:hAnsi="Times New Roman" w:cs="Times New Roman"/>
          <w:sz w:val="28"/>
          <w:szCs w:val="28"/>
          <w:lang w:val="uk-UA"/>
        </w:rPr>
        <w:t>Також було проаналізовано дохідність облігацій Великої Британії, Ірл</w:t>
      </w:r>
      <w:r w:rsidRPr="002114C8">
        <w:rPr>
          <w:rFonts w:ascii="Times New Roman" w:hAnsi="Times New Roman" w:cs="Times New Roman"/>
          <w:sz w:val="28"/>
          <w:szCs w:val="28"/>
          <w:lang w:val="uk-UA"/>
        </w:rPr>
        <w:t>а</w:t>
      </w:r>
      <w:r w:rsidRPr="002114C8">
        <w:rPr>
          <w:rFonts w:ascii="Times New Roman" w:hAnsi="Times New Roman" w:cs="Times New Roman"/>
          <w:sz w:val="28"/>
          <w:szCs w:val="28"/>
          <w:lang w:val="uk-UA"/>
        </w:rPr>
        <w:t xml:space="preserve">ндії та України. З огляду на результат, </w:t>
      </w:r>
      <w:r w:rsidRPr="002114C8">
        <w:rPr>
          <w:rFonts w:ascii="Times New Roman" w:hAnsi="Times New Roman"/>
          <w:bCs/>
          <w:sz w:val="28"/>
          <w:szCs w:val="28"/>
          <w:lang w:val="uk-UA"/>
        </w:rPr>
        <w:t>потенційно привабливою для інвест</w:t>
      </w:r>
      <w:r w:rsidRPr="002114C8">
        <w:rPr>
          <w:rFonts w:ascii="Times New Roman" w:hAnsi="Times New Roman"/>
          <w:bCs/>
          <w:sz w:val="28"/>
          <w:szCs w:val="28"/>
          <w:lang w:val="uk-UA"/>
        </w:rPr>
        <w:t>о</w:t>
      </w:r>
      <w:r w:rsidRPr="002114C8">
        <w:rPr>
          <w:rFonts w:ascii="Times New Roman" w:hAnsi="Times New Roman"/>
          <w:bCs/>
          <w:sz w:val="28"/>
          <w:szCs w:val="28"/>
          <w:lang w:val="uk-UA"/>
        </w:rPr>
        <w:t>рів з метою отримання прибутку є Україна, оскільки прибутковість британс</w:t>
      </w:r>
      <w:r w:rsidRPr="002114C8">
        <w:rPr>
          <w:rFonts w:ascii="Times New Roman" w:hAnsi="Times New Roman"/>
          <w:bCs/>
          <w:sz w:val="28"/>
          <w:szCs w:val="28"/>
          <w:lang w:val="uk-UA"/>
        </w:rPr>
        <w:t>ь</w:t>
      </w:r>
      <w:r w:rsidRPr="002114C8">
        <w:rPr>
          <w:rFonts w:ascii="Times New Roman" w:hAnsi="Times New Roman"/>
          <w:bCs/>
          <w:sz w:val="28"/>
          <w:szCs w:val="28"/>
          <w:lang w:val="uk-UA"/>
        </w:rPr>
        <w:t>ких цінних паперів у 213 разів менша, а державні облігації Ірландії є збитк</w:t>
      </w:r>
      <w:r w:rsidRPr="002114C8">
        <w:rPr>
          <w:rFonts w:ascii="Times New Roman" w:hAnsi="Times New Roman"/>
          <w:bCs/>
          <w:sz w:val="28"/>
          <w:szCs w:val="28"/>
          <w:lang w:val="uk-UA"/>
        </w:rPr>
        <w:t>о</w:t>
      </w:r>
      <w:r w:rsidRPr="002114C8">
        <w:rPr>
          <w:rFonts w:ascii="Times New Roman" w:hAnsi="Times New Roman"/>
          <w:bCs/>
          <w:sz w:val="28"/>
          <w:szCs w:val="28"/>
          <w:lang w:val="uk-UA"/>
        </w:rPr>
        <w:t xml:space="preserve">вими. </w:t>
      </w:r>
      <w:r w:rsidRPr="002114C8">
        <w:rPr>
          <w:rFonts w:ascii="Times New Roman" w:hAnsi="Times New Roman" w:cs="Times New Roman"/>
          <w:sz w:val="28"/>
          <w:szCs w:val="28"/>
          <w:lang w:val="uk-UA"/>
        </w:rPr>
        <w:t>В</w:t>
      </w:r>
      <w:r w:rsidRPr="002114C8">
        <w:rPr>
          <w:rFonts w:ascii="Times New Roman" w:hAnsi="Times New Roman"/>
          <w:bCs/>
          <w:sz w:val="28"/>
          <w:szCs w:val="28"/>
          <w:lang w:val="uk-UA"/>
        </w:rPr>
        <w:t>арто зазначити, що такі інвестиції є високо ризикованими у зв'язку з  нестабільною політичною та економічною ситуацією, повʼязаною з повном</w:t>
      </w:r>
      <w:r w:rsidRPr="002114C8">
        <w:rPr>
          <w:rFonts w:ascii="Times New Roman" w:hAnsi="Times New Roman"/>
          <w:bCs/>
          <w:sz w:val="28"/>
          <w:szCs w:val="28"/>
          <w:lang w:val="uk-UA"/>
        </w:rPr>
        <w:t>а</w:t>
      </w:r>
      <w:r w:rsidRPr="002114C8">
        <w:rPr>
          <w:rFonts w:ascii="Times New Roman" w:hAnsi="Times New Roman"/>
          <w:bCs/>
          <w:sz w:val="28"/>
          <w:szCs w:val="28"/>
          <w:lang w:val="uk-UA"/>
        </w:rPr>
        <w:t>сштабним вторгненням.</w:t>
      </w:r>
    </w:p>
    <w:p w:rsidR="00E63F46" w:rsidRPr="002114C8" w:rsidRDefault="00912E07">
      <w:pPr>
        <w:spacing w:after="0" w:line="360" w:lineRule="auto"/>
        <w:ind w:leftChars="6" w:left="13" w:right="58" w:firstLineChars="230" w:firstLine="644"/>
        <w:jc w:val="both"/>
        <w:rPr>
          <w:rFonts w:ascii="Times New Roman" w:hAnsi="Times New Roman" w:cs="Times New Roman"/>
          <w:bCs/>
          <w:sz w:val="28"/>
          <w:szCs w:val="28"/>
          <w:lang w:val="uk-UA"/>
        </w:rPr>
      </w:pPr>
      <w:r w:rsidRPr="002114C8">
        <w:rPr>
          <w:rFonts w:ascii="Times New Roman" w:hAnsi="Times New Roman"/>
          <w:bCs/>
          <w:sz w:val="28"/>
          <w:szCs w:val="28"/>
          <w:lang w:val="uk-UA"/>
        </w:rPr>
        <w:t xml:space="preserve">У напрямку україно-британських та україно-ірландських відносинах можна вбачати доволі прогресуючу тенденцію. </w:t>
      </w:r>
      <w:r w:rsidRPr="002114C8">
        <w:rPr>
          <w:rFonts w:ascii="Times New Roman" w:hAnsi="Times New Roman"/>
          <w:sz w:val="28"/>
          <w:szCs w:val="28"/>
          <w:lang w:val="uk-UA"/>
        </w:rPr>
        <w:t>Сполучене Королівство було 12-м найбільшим двостороннім торговим партнером України з обсягом      1,77 млрд дол. США у січні-вересні 2020 року. Протягом 2018-2021 рр. імпорт товарів в Україну перевищував експорт до обох країн. Переважно українсько-</w:t>
      </w:r>
      <w:r w:rsidRPr="002114C8">
        <w:rPr>
          <w:rFonts w:ascii="Times New Roman" w:hAnsi="Times New Roman"/>
          <w:sz w:val="28"/>
          <w:szCs w:val="28"/>
          <w:lang w:val="uk-UA"/>
        </w:rPr>
        <w:lastRenderedPageBreak/>
        <w:t>британський торговельний потік значно перевищує українсько-ірландський потік. Максимум як експорту, так і імпорту з Великою Британією було дося</w:t>
      </w:r>
      <w:r w:rsidRPr="002114C8">
        <w:rPr>
          <w:rFonts w:ascii="Times New Roman" w:hAnsi="Times New Roman"/>
          <w:sz w:val="28"/>
          <w:szCs w:val="28"/>
          <w:lang w:val="uk-UA"/>
        </w:rPr>
        <w:t>г</w:t>
      </w:r>
      <w:r w:rsidRPr="002114C8">
        <w:rPr>
          <w:rFonts w:ascii="Times New Roman" w:hAnsi="Times New Roman"/>
          <w:sz w:val="28"/>
          <w:szCs w:val="28"/>
          <w:lang w:val="uk-UA"/>
        </w:rPr>
        <w:t>нуто у 2021 році, коли показники досягли 1,08 та 1,11 млрд дол.США відпов</w:t>
      </w:r>
      <w:r w:rsidRPr="002114C8">
        <w:rPr>
          <w:rFonts w:ascii="Times New Roman" w:hAnsi="Times New Roman"/>
          <w:sz w:val="28"/>
          <w:szCs w:val="28"/>
          <w:lang w:val="uk-UA"/>
        </w:rPr>
        <w:t>і</w:t>
      </w:r>
      <w:r w:rsidRPr="002114C8">
        <w:rPr>
          <w:rFonts w:ascii="Times New Roman" w:hAnsi="Times New Roman"/>
          <w:sz w:val="28"/>
          <w:szCs w:val="28"/>
          <w:lang w:val="uk-UA"/>
        </w:rPr>
        <w:t>дно. Протягом 2018-2021 рр. імпорт товарів в Україну перевищував експорт  з обома країнами. Звернувши увагу на торгівлю послугами між країнами,  то констатуємо, що ситуація з Великою Британією протилежна до торгівлі тов</w:t>
      </w:r>
      <w:r w:rsidRPr="002114C8">
        <w:rPr>
          <w:rFonts w:ascii="Times New Roman" w:hAnsi="Times New Roman"/>
          <w:sz w:val="28"/>
          <w:szCs w:val="28"/>
          <w:lang w:val="uk-UA"/>
        </w:rPr>
        <w:t>а</w:t>
      </w:r>
      <w:r w:rsidRPr="002114C8">
        <w:rPr>
          <w:rFonts w:ascii="Times New Roman" w:hAnsi="Times New Roman"/>
          <w:sz w:val="28"/>
          <w:szCs w:val="28"/>
          <w:lang w:val="uk-UA"/>
        </w:rPr>
        <w:t xml:space="preserve">рами, оскільки експорт у даному випадку перевищує імпорт. </w:t>
      </w:r>
      <w:r w:rsidRPr="002114C8">
        <w:rPr>
          <w:rFonts w:ascii="Times New Roman" w:hAnsi="Times New Roman" w:cs="Times New Roman"/>
          <w:bCs/>
          <w:sz w:val="28"/>
          <w:szCs w:val="28"/>
          <w:lang w:val="uk-UA"/>
        </w:rPr>
        <w:t xml:space="preserve">Експорт товарів до Великої Британії складав від 4,91% до 6,72% протягом 2018-2021рр. від загального експорту, тоді як аналогічний показник в українсько-ірландькому експорті коливався від 0,5% до 1,07%. </w:t>
      </w:r>
      <w:r w:rsidRPr="002114C8">
        <w:rPr>
          <w:rFonts w:ascii="Times New Roman" w:hAnsi="Times New Roman"/>
          <w:bCs/>
          <w:sz w:val="28"/>
          <w:szCs w:val="28"/>
          <w:lang w:val="uk-UA"/>
        </w:rPr>
        <w:t>Аналіз прямих іноземних інвестицій в Україну та з України має неоднозначні результати, оскільки Національний Банк України не надає інформацію у достатньому обсязі для складання по</w:t>
      </w:r>
      <w:r w:rsidRPr="002114C8">
        <w:rPr>
          <w:rFonts w:ascii="Times New Roman" w:hAnsi="Times New Roman"/>
          <w:bCs/>
          <w:sz w:val="28"/>
          <w:szCs w:val="28"/>
          <w:lang w:val="uk-UA"/>
        </w:rPr>
        <w:t>в</w:t>
      </w:r>
      <w:r w:rsidRPr="002114C8">
        <w:rPr>
          <w:rFonts w:ascii="Times New Roman" w:hAnsi="Times New Roman"/>
          <w:bCs/>
          <w:sz w:val="28"/>
          <w:szCs w:val="28"/>
          <w:lang w:val="uk-UA"/>
        </w:rPr>
        <w:t>ноцінної картини потоків ПІІ. Однак, можна стверджувати, що приплив кап</w:t>
      </w:r>
      <w:r w:rsidRPr="002114C8">
        <w:rPr>
          <w:rFonts w:ascii="Times New Roman" w:hAnsi="Times New Roman"/>
          <w:bCs/>
          <w:sz w:val="28"/>
          <w:szCs w:val="28"/>
          <w:lang w:val="uk-UA"/>
        </w:rPr>
        <w:t>і</w:t>
      </w:r>
      <w:r w:rsidRPr="002114C8">
        <w:rPr>
          <w:rFonts w:ascii="Times New Roman" w:hAnsi="Times New Roman"/>
          <w:bCs/>
          <w:sz w:val="28"/>
          <w:szCs w:val="28"/>
          <w:lang w:val="uk-UA"/>
        </w:rPr>
        <w:t>талу до України з Великої Британії був значно нижчим порівняно з відтоком, у 2021 році різниця склала 72,68%.</w:t>
      </w:r>
    </w:p>
    <w:p w:rsidR="00E63F46" w:rsidRPr="002114C8" w:rsidRDefault="00E63F46">
      <w:pPr>
        <w:spacing w:after="0" w:line="360" w:lineRule="auto"/>
        <w:ind w:leftChars="6" w:left="13" w:right="58" w:firstLineChars="230" w:firstLine="644"/>
        <w:jc w:val="both"/>
        <w:rPr>
          <w:rFonts w:ascii="Times New Roman" w:hAnsi="Times New Roman" w:cs="Times New Roman"/>
          <w:sz w:val="28"/>
          <w:szCs w:val="28"/>
          <w:lang w:val="uk-UA"/>
        </w:rPr>
      </w:pPr>
    </w:p>
    <w:p w:rsidR="00E63F46" w:rsidRPr="002114C8" w:rsidRDefault="00912E07">
      <w:pPr>
        <w:spacing w:after="0" w:line="360" w:lineRule="auto"/>
        <w:ind w:right="58" w:firstLine="706"/>
        <w:jc w:val="both"/>
        <w:rPr>
          <w:rFonts w:ascii="Times New Roman" w:hAnsi="Times New Roman"/>
          <w:sz w:val="28"/>
          <w:szCs w:val="28"/>
          <w:lang w:val="uk-UA"/>
        </w:rPr>
      </w:pPr>
      <w:r w:rsidRPr="002114C8">
        <w:rPr>
          <w:rFonts w:ascii="Times New Roman Regular" w:hAnsi="Times New Roman Regular" w:cs="Times New Roman Regular"/>
          <w:sz w:val="28"/>
          <w:szCs w:val="28"/>
          <w:lang w:val="uk-UA"/>
        </w:rPr>
        <w:t xml:space="preserve"> </w:t>
      </w:r>
    </w:p>
    <w:p w:rsidR="00E63F46" w:rsidRPr="002114C8" w:rsidRDefault="00E63F46" w:rsidP="00465D9D">
      <w:pPr>
        <w:spacing w:afterLines="100" w:after="240" w:line="360" w:lineRule="auto"/>
        <w:ind w:right="58" w:firstLine="708"/>
        <w:jc w:val="both"/>
        <w:rPr>
          <w:rFonts w:ascii="Times New Roman" w:hAnsi="Times New Roman"/>
          <w:sz w:val="28"/>
          <w:szCs w:val="28"/>
          <w:lang w:val="uk-UA"/>
        </w:rPr>
      </w:pPr>
    </w:p>
    <w:p w:rsidR="00E63F46" w:rsidRPr="002114C8" w:rsidRDefault="00E63F46">
      <w:pPr>
        <w:spacing w:after="0" w:line="360" w:lineRule="auto"/>
        <w:ind w:firstLine="708"/>
        <w:jc w:val="both"/>
        <w:rPr>
          <w:rFonts w:ascii="Times New Roman" w:hAnsi="Times New Roman" w:cs="Times New Roman"/>
          <w:sz w:val="28"/>
          <w:szCs w:val="28"/>
          <w:lang w:val="uk-UA" w:eastAsia="zh-CN"/>
        </w:rPr>
      </w:pPr>
    </w:p>
    <w:p w:rsidR="00E63F46" w:rsidRPr="002114C8" w:rsidRDefault="00E63F46">
      <w:pPr>
        <w:spacing w:after="0" w:line="360" w:lineRule="auto"/>
        <w:ind w:firstLine="706"/>
        <w:jc w:val="both"/>
        <w:rPr>
          <w:rFonts w:ascii="Times New Roman" w:hAnsi="Times New Roman"/>
          <w:sz w:val="28"/>
          <w:szCs w:val="28"/>
          <w:lang w:val="uk-UA"/>
        </w:rPr>
      </w:pPr>
    </w:p>
    <w:p w:rsidR="00E63F46" w:rsidRPr="002114C8" w:rsidRDefault="00912E07">
      <w:pPr>
        <w:spacing w:after="0" w:line="360" w:lineRule="auto"/>
        <w:ind w:firstLine="706"/>
        <w:jc w:val="both"/>
        <w:rPr>
          <w:rFonts w:ascii="Times New Roman" w:hAnsi="Times New Roman" w:cs="Times New Roman"/>
          <w:sz w:val="28"/>
          <w:szCs w:val="28"/>
          <w:lang w:val="uk-UA"/>
        </w:rPr>
      </w:pPr>
      <w:r w:rsidRPr="002114C8">
        <w:rPr>
          <w:rFonts w:ascii="Times New Roman" w:hAnsi="Times New Roman" w:cs="Times New Roman"/>
          <w:b/>
          <w:sz w:val="28"/>
          <w:szCs w:val="28"/>
          <w:lang w:val="uk-UA"/>
        </w:rPr>
        <w:br w:type="page"/>
      </w:r>
    </w:p>
    <w:p w:rsidR="00E63F46" w:rsidRPr="002114C8" w:rsidRDefault="00912E07">
      <w:pPr>
        <w:tabs>
          <w:tab w:val="left" w:pos="7650"/>
        </w:tabs>
        <w:spacing w:after="0" w:line="360" w:lineRule="auto"/>
        <w:ind w:left="113" w:right="57"/>
        <w:jc w:val="center"/>
        <w:rPr>
          <w:rFonts w:ascii="Times New Roman" w:hAnsi="Times New Roman" w:cs="Times New Roman"/>
          <w:b/>
          <w:sz w:val="28"/>
          <w:szCs w:val="28"/>
          <w:lang w:val="uk-UA"/>
        </w:rPr>
      </w:pPr>
      <w:r w:rsidRPr="002114C8">
        <w:rPr>
          <w:rFonts w:ascii="Times New Roman" w:hAnsi="Times New Roman" w:cs="Times New Roman"/>
          <w:b/>
          <w:sz w:val="28"/>
          <w:szCs w:val="28"/>
          <w:lang w:val="uk-UA"/>
        </w:rPr>
        <w:lastRenderedPageBreak/>
        <w:t>СПИСОК ВИКОРИСТАНИХ ДЖЕРЕЛ</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Nedumpara, J. Brexit and the UK’s Commitments at the World Trade Organization: The Challenges in Effecting a Legal Divorce from the European Union/James J Nedumpara, Sandeep Thomas Chandy; Manchester Journal of International Economic Law. - 2019 -Vol 16 - c.166-182.</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Brakman S. EXITitis in the UK: Gravity Estimates in the Aftermath of Brexit/ Steven Brakman, Harry Garretsen, Tristan Kohl – Munich Society for the Promotion of Economic Research - CESifo GmbH, 2021 – 24 c.</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Brakman, S., Garretsen, J., &amp; Kohl, T. (2018). Consequences of Brexit and options for a ‘Global Britain’. Papers in Regional Science, 97(1), 55-72 [Елек</w:t>
      </w:r>
      <w:r w:rsidRPr="00763E48">
        <w:rPr>
          <w:rFonts w:ascii="Times New Roman" w:hAnsi="Times New Roman" w:cs="Times New Roman"/>
          <w:sz w:val="28"/>
          <w:szCs w:val="28"/>
          <w:lang w:val="uk-UA"/>
        </w:rPr>
        <w:t>т</w:t>
      </w:r>
      <w:r w:rsidRPr="00763E48">
        <w:rPr>
          <w:rFonts w:ascii="Times New Roman" w:hAnsi="Times New Roman" w:cs="Times New Roman"/>
          <w:sz w:val="28"/>
          <w:szCs w:val="28"/>
          <w:lang w:val="uk-UA"/>
        </w:rPr>
        <w:t xml:space="preserve">ронний ресурс]. – Режим доступу: </w:t>
      </w:r>
      <w:hyperlink r:id="rId16" w:history="1">
        <w:r w:rsidRPr="00763E48">
          <w:rPr>
            <w:rStyle w:val="af"/>
            <w:rFonts w:ascii="Times New Roman" w:hAnsi="Times New Roman" w:cs="Times New Roman"/>
            <w:sz w:val="28"/>
            <w:szCs w:val="28"/>
            <w:lang w:val="uk-UA"/>
          </w:rPr>
          <w:t>https://core.ac.uk/download/pdf/232510659.pdf</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Campos, R. An Estimation of the Effects of Brexit on Trade and Migration/ Rodolfo G. Campos, Jacopo Timini; Banco de Espana Occasional Paper. - 2019 - No. 1912 - c.21</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Breinlich H. Exchange Rates and Consumer Prices: Evidence from Brexit / Holger Breinlich, Elsa Leromain, Dennis Novy, Thomas Sampson  – Munich Society for the Promotion of Economic Research - CESifo GmbH, 2019 – 49 c.</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Barrett G.Free Moment of Services and Breath/Gavin Barrett; UCD Working Papers, etc Love, Criminology &amp; Socio-Legal Studies - 2019 - No.5 - c.25</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Kohnert, D., The socio-economic impact of Brexit on CANZUK and the Anglosphere in times of Corona : The case of Canada, Australia and New Zealand/ Dirk Kohnert; Munich Personal RePEc Archive - 2021 - c.25</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Kreuzer, C., The Perception of Brexit Uncertainty and Government Affects March/Christian Kreuzer,  Christopher Pribernya, Johannes Hutherc - 2022 - c.17</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Almeida, A., A tentative exploration of the effects of Brexit on foreign direct investment vis-à-vis the United Kingdom/ Ana de Almeida, Teresa Sastre, Duncan van Limbergen and Marco Hoeberichts; Banco de Espana Occasional Paper. - 2019 - No. 1913 - c.28</w:t>
      </w:r>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Garoupa, N., Does European Union Really Matter for Long-Run Growth and Development? In Search of the Missing Counterfactual*/Nuno Garoupa, Rok </w:t>
      </w:r>
      <w:r w:rsidRPr="00763E48">
        <w:rPr>
          <w:rFonts w:ascii="Times New Roman" w:hAnsi="Times New Roman" w:cs="Times New Roman"/>
          <w:sz w:val="28"/>
          <w:szCs w:val="28"/>
          <w:lang w:val="uk-UA"/>
        </w:rPr>
        <w:lastRenderedPageBreak/>
        <w:t xml:space="preserve">Spruk - [Електронний ресурс]. – Режим доступу: </w:t>
      </w:r>
      <w:hyperlink r:id="rId17" w:history="1">
        <w:r w:rsidRPr="00763E48">
          <w:rPr>
            <w:rStyle w:val="af"/>
            <w:rFonts w:ascii="Times New Roman" w:hAnsi="Times New Roman" w:cs="Times New Roman"/>
            <w:sz w:val="28"/>
            <w:szCs w:val="28"/>
            <w:lang w:val="uk-UA"/>
          </w:rPr>
          <w:t>https://papers.ssrn.com/sol3/papers.cfm?abstract_id=3568134</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Міжнародного Валютного Фонду. [Електронний ресурс]. – Режим доступу: </w:t>
      </w:r>
      <w:hyperlink r:id="rId18" w:history="1">
        <w:r w:rsidRPr="00763E48">
          <w:rPr>
            <w:rStyle w:val="af"/>
            <w:rFonts w:ascii="Times New Roman" w:hAnsi="Times New Roman" w:cs="Times New Roman"/>
            <w:sz w:val="28"/>
            <w:szCs w:val="28"/>
            <w:lang w:val="uk-UA"/>
          </w:rPr>
          <w:t>https://www.imf.org/en/Data</w:t>
        </w:r>
      </w:hyperlink>
    </w:p>
    <w:p w:rsidR="00E63F46" w:rsidRPr="00763E48" w:rsidRDefault="00912E07" w:rsidP="00763E48">
      <w:pPr>
        <w:pStyle w:val="af2"/>
        <w:numPr>
          <w:ilvl w:val="0"/>
          <w:numId w:val="4"/>
        </w:numPr>
        <w:tabs>
          <w:tab w:val="left" w:pos="0"/>
        </w:tabs>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The World Trade Organization Reports./ Trade Profiles  - 2018 - c. 404 - [Еле</w:t>
      </w:r>
      <w:r w:rsidRPr="00763E48">
        <w:rPr>
          <w:rFonts w:ascii="Times New Roman" w:hAnsi="Times New Roman" w:cs="Times New Roman"/>
          <w:sz w:val="28"/>
          <w:szCs w:val="28"/>
          <w:lang w:val="uk-UA"/>
        </w:rPr>
        <w:t>к</w:t>
      </w:r>
      <w:r w:rsidRPr="00763E48">
        <w:rPr>
          <w:rFonts w:ascii="Times New Roman" w:hAnsi="Times New Roman" w:cs="Times New Roman"/>
          <w:sz w:val="28"/>
          <w:szCs w:val="28"/>
          <w:lang w:val="uk-UA"/>
        </w:rPr>
        <w:t xml:space="preserve">тронний ресурс]. – Режим доступу: </w:t>
      </w:r>
      <w:hyperlink r:id="rId19" w:history="1">
        <w:r w:rsidRPr="00763E48">
          <w:rPr>
            <w:rStyle w:val="af"/>
            <w:rFonts w:ascii="Times New Roman" w:hAnsi="Times New Roman" w:cs="Times New Roman"/>
            <w:sz w:val="28"/>
            <w:szCs w:val="28"/>
            <w:lang w:val="uk-UA"/>
          </w:rPr>
          <w:t>https://www.wto.org/english/res_e/booksp_e/trade_profiles19_e.pdf</w:t>
        </w:r>
      </w:hyperlink>
    </w:p>
    <w:p w:rsidR="00E63F46" w:rsidRPr="00763E48" w:rsidRDefault="00912E07" w:rsidP="00763E48">
      <w:pPr>
        <w:pStyle w:val="af2"/>
        <w:numPr>
          <w:ilvl w:val="0"/>
          <w:numId w:val="4"/>
        </w:numPr>
        <w:tabs>
          <w:tab w:val="left" w:pos="0"/>
        </w:tabs>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The World Trade Organization Reports./ Trade Profiles  - 2019 - c. 404 - [Еле</w:t>
      </w:r>
      <w:r w:rsidRPr="00763E48">
        <w:rPr>
          <w:rFonts w:ascii="Times New Roman" w:hAnsi="Times New Roman" w:cs="Times New Roman"/>
          <w:sz w:val="28"/>
          <w:szCs w:val="28"/>
          <w:lang w:val="uk-UA"/>
        </w:rPr>
        <w:t>к</w:t>
      </w:r>
      <w:r w:rsidRPr="00763E48">
        <w:rPr>
          <w:rFonts w:ascii="Times New Roman" w:hAnsi="Times New Roman" w:cs="Times New Roman"/>
          <w:sz w:val="28"/>
          <w:szCs w:val="28"/>
          <w:lang w:val="uk-UA"/>
        </w:rPr>
        <w:t xml:space="preserve">тронний ресурс]. – Режим доступу: </w:t>
      </w:r>
      <w:hyperlink r:id="rId20" w:history="1">
        <w:r w:rsidRPr="00763E48">
          <w:rPr>
            <w:rStyle w:val="af"/>
            <w:rFonts w:ascii="Times New Roman" w:hAnsi="Times New Roman" w:cs="Times New Roman"/>
            <w:sz w:val="28"/>
            <w:szCs w:val="28"/>
            <w:lang w:val="uk-UA"/>
          </w:rPr>
          <w:t>https://www.wto.org/english/res_e/booksp_e/trade_profiles20_e.pdf</w:t>
        </w:r>
      </w:hyperlink>
    </w:p>
    <w:p w:rsidR="00E63F46" w:rsidRPr="00763E48" w:rsidRDefault="00912E07" w:rsidP="00763E48">
      <w:pPr>
        <w:pStyle w:val="af2"/>
        <w:numPr>
          <w:ilvl w:val="0"/>
          <w:numId w:val="4"/>
        </w:numPr>
        <w:tabs>
          <w:tab w:val="left" w:pos="0"/>
        </w:tabs>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The World Trade Organization Reports./ Trade Profiles  - 2020 - c. 404 - [Еле</w:t>
      </w:r>
      <w:r w:rsidRPr="00763E48">
        <w:rPr>
          <w:rFonts w:ascii="Times New Roman" w:hAnsi="Times New Roman" w:cs="Times New Roman"/>
          <w:sz w:val="28"/>
          <w:szCs w:val="28"/>
          <w:lang w:val="uk-UA"/>
        </w:rPr>
        <w:t>к</w:t>
      </w:r>
      <w:r w:rsidRPr="00763E48">
        <w:rPr>
          <w:rFonts w:ascii="Times New Roman" w:hAnsi="Times New Roman" w:cs="Times New Roman"/>
          <w:sz w:val="28"/>
          <w:szCs w:val="28"/>
          <w:lang w:val="uk-UA"/>
        </w:rPr>
        <w:t xml:space="preserve">тронний ресурс]. – Режим доступу: </w:t>
      </w:r>
      <w:hyperlink r:id="rId21" w:history="1">
        <w:r w:rsidRPr="00763E48">
          <w:rPr>
            <w:rStyle w:val="af"/>
            <w:rFonts w:ascii="Times New Roman" w:hAnsi="Times New Roman" w:cs="Times New Roman"/>
            <w:sz w:val="28"/>
            <w:szCs w:val="28"/>
            <w:lang w:val="uk-UA"/>
          </w:rPr>
          <w:t>https://www.wto.org/english/res_e/booksp_e/trade_profiles21_e.pdf</w:t>
        </w:r>
      </w:hyperlink>
    </w:p>
    <w:p w:rsidR="00E63F46" w:rsidRPr="00763E48" w:rsidRDefault="00912E07" w:rsidP="00763E48">
      <w:pPr>
        <w:pStyle w:val="af2"/>
        <w:numPr>
          <w:ilvl w:val="0"/>
          <w:numId w:val="4"/>
        </w:numPr>
        <w:tabs>
          <w:tab w:val="left" w:pos="0"/>
        </w:tabs>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The World Trade Organization Reports./ Trade Profiles  - 2021 - c. 404 - [Еле</w:t>
      </w:r>
      <w:r w:rsidRPr="00763E48">
        <w:rPr>
          <w:rFonts w:ascii="Times New Roman" w:hAnsi="Times New Roman" w:cs="Times New Roman"/>
          <w:sz w:val="28"/>
          <w:szCs w:val="28"/>
          <w:lang w:val="uk-UA"/>
        </w:rPr>
        <w:t>к</w:t>
      </w:r>
      <w:r w:rsidRPr="00763E48">
        <w:rPr>
          <w:rFonts w:ascii="Times New Roman" w:hAnsi="Times New Roman" w:cs="Times New Roman"/>
          <w:sz w:val="28"/>
          <w:szCs w:val="28"/>
          <w:lang w:val="uk-UA"/>
        </w:rPr>
        <w:t xml:space="preserve">тронний ресурс]. – Режим доступу: </w:t>
      </w:r>
      <w:hyperlink r:id="rId22" w:history="1">
        <w:r w:rsidRPr="00763E48">
          <w:rPr>
            <w:rStyle w:val="af"/>
            <w:rFonts w:ascii="Times New Roman" w:hAnsi="Times New Roman" w:cs="Times New Roman"/>
            <w:sz w:val="28"/>
            <w:szCs w:val="28"/>
            <w:lang w:val="uk-UA"/>
          </w:rPr>
          <w:t>https://www.wto.org/english/res_e/booksp_e/trade_profiles22_e.pdf</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Santander trade portal. </w:t>
      </w:r>
      <w:r w:rsidRPr="00763E48">
        <w:rPr>
          <w:rFonts w:ascii="Times New Roman" w:hAnsi="Times New Roman" w:cs="Times New Roman"/>
          <w:color w:val="000000" w:themeColor="text1"/>
          <w:sz w:val="28"/>
          <w:szCs w:val="28"/>
          <w:lang w:val="uk-UA"/>
        </w:rPr>
        <w:t>[Електронний ресурс]. – Режим до</w:t>
      </w:r>
      <w:r w:rsidRPr="00763E48">
        <w:rPr>
          <w:rFonts w:ascii="Times New Roman" w:hAnsi="Times New Roman" w:cs="Times New Roman"/>
          <w:color w:val="000000" w:themeColor="text1"/>
          <w:sz w:val="28"/>
          <w:szCs w:val="28"/>
          <w:lang w:val="uk-UA"/>
        </w:rPr>
        <w:t>с</w:t>
      </w:r>
      <w:r w:rsidRPr="00763E48">
        <w:rPr>
          <w:rFonts w:ascii="Times New Roman" w:hAnsi="Times New Roman" w:cs="Times New Roman"/>
          <w:color w:val="000000" w:themeColor="text1"/>
          <w:sz w:val="28"/>
          <w:szCs w:val="28"/>
          <w:lang w:val="uk-UA"/>
        </w:rPr>
        <w:t xml:space="preserve">тупу: </w:t>
      </w:r>
      <w:hyperlink r:id="rId23" w:history="1">
        <w:r w:rsidRPr="00763E48">
          <w:rPr>
            <w:rStyle w:val="af"/>
            <w:rFonts w:ascii="Times New Roman" w:hAnsi="Times New Roman" w:cs="Times New Roman"/>
            <w:sz w:val="28"/>
            <w:szCs w:val="28"/>
            <w:lang w:val="uk-UA"/>
          </w:rPr>
          <w:t>https://santandertrade.com/en/portal</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CSO Ireland </w:t>
      </w:r>
      <w:r w:rsidRPr="00763E48">
        <w:rPr>
          <w:rFonts w:ascii="Times New Roman" w:hAnsi="Times New Roman" w:cs="Times New Roman"/>
          <w:color w:val="000000" w:themeColor="text1"/>
          <w:sz w:val="28"/>
          <w:szCs w:val="28"/>
          <w:lang w:val="uk-UA"/>
        </w:rPr>
        <w:t xml:space="preserve">[Електронний ресурс]. – Режим доступу: </w:t>
      </w:r>
      <w:hyperlink r:id="rId24" w:history="1">
        <w:r w:rsidRPr="00763E48">
          <w:rPr>
            <w:rStyle w:val="af"/>
            <w:rFonts w:ascii="Times New Roman" w:hAnsi="Times New Roman" w:cs="Times New Roman"/>
            <w:sz w:val="28"/>
            <w:szCs w:val="28"/>
            <w:lang w:val="uk-UA"/>
          </w:rPr>
          <w:t>https://www.cso.ie/en/releasesandpublications/ep/pfdia/foreigndirectinvestmentannual2021/</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Economist Intelligence Unit reports. Europe [Електронний ресурс] –           2023. – Режим доступу до ресурсу: </w:t>
      </w:r>
      <w:hyperlink r:id="rId25" w:history="1">
        <w:r w:rsidRPr="00763E48">
          <w:rPr>
            <w:rStyle w:val="af"/>
            <w:rFonts w:ascii="Times New Roman" w:hAnsi="Times New Roman" w:cs="Times New Roman"/>
            <w:sz w:val="28"/>
            <w:szCs w:val="28"/>
            <w:lang w:val="uk-UA"/>
          </w:rPr>
          <w:t>https://drive.google.com/drive/folders/1jM_Gj12YutCb1UViV4kLd4zHkbmW9HEa</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Federal reserve bank of St.Louis. </w:t>
      </w:r>
      <w:r w:rsidRPr="00763E48">
        <w:rPr>
          <w:rFonts w:ascii="Times New Roman" w:hAnsi="Times New Roman" w:cs="Times New Roman"/>
          <w:color w:val="000000" w:themeColor="text1"/>
          <w:sz w:val="28"/>
          <w:szCs w:val="28"/>
          <w:lang w:val="uk-UA"/>
        </w:rPr>
        <w:t xml:space="preserve">[Електронний ресурс]. – Режим доступу: </w:t>
      </w:r>
      <w:hyperlink r:id="rId26" w:history="1">
        <w:r w:rsidRPr="00763E48">
          <w:rPr>
            <w:rStyle w:val="af"/>
            <w:rFonts w:ascii="Times New Roman" w:hAnsi="Times New Roman" w:cs="Times New Roman"/>
            <w:color w:val="000000" w:themeColor="text1"/>
            <w:sz w:val="28"/>
            <w:szCs w:val="28"/>
            <w:lang w:val="uk-UA"/>
          </w:rPr>
          <w:t>https://fred.stlouisfed.org/</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Investing.com </w:t>
      </w:r>
      <w:r w:rsidRPr="00763E48">
        <w:rPr>
          <w:rFonts w:ascii="Times New Roman" w:hAnsi="Times New Roman" w:cs="Times New Roman"/>
          <w:color w:val="000000" w:themeColor="text1"/>
          <w:sz w:val="28"/>
          <w:szCs w:val="28"/>
          <w:lang w:val="uk-UA"/>
        </w:rPr>
        <w:t xml:space="preserve">[Електронний ресурс]. – Режим доступу: </w:t>
      </w:r>
      <w:hyperlink r:id="rId27" w:history="1">
        <w:r w:rsidRPr="00763E48">
          <w:rPr>
            <w:rStyle w:val="af"/>
            <w:rFonts w:ascii="Times New Roman" w:hAnsi="Times New Roman" w:cs="Times New Roman"/>
            <w:color w:val="000000" w:themeColor="text1"/>
            <w:sz w:val="28"/>
            <w:szCs w:val="28"/>
            <w:lang w:val="uk-UA"/>
          </w:rPr>
          <w:t>https://www.investing.com/</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Trading Economics </w:t>
      </w:r>
      <w:r w:rsidRPr="00763E48">
        <w:rPr>
          <w:rFonts w:ascii="Times New Roman" w:hAnsi="Times New Roman" w:cs="Times New Roman"/>
          <w:color w:val="000000" w:themeColor="text1"/>
          <w:sz w:val="28"/>
          <w:szCs w:val="28"/>
          <w:lang w:val="uk-UA"/>
        </w:rPr>
        <w:t xml:space="preserve">[Електронний ресурс]. – Режим доступу: </w:t>
      </w:r>
      <w:hyperlink r:id="rId28" w:history="1">
        <w:r w:rsidRPr="00763E48">
          <w:rPr>
            <w:rStyle w:val="af"/>
            <w:rFonts w:ascii="Times New Roman" w:hAnsi="Times New Roman" w:cs="Times New Roman"/>
            <w:color w:val="000000" w:themeColor="text1"/>
            <w:sz w:val="28"/>
            <w:szCs w:val="28"/>
            <w:lang w:val="uk-UA"/>
          </w:rPr>
          <w:t>https://tradingeconomics.com/</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lastRenderedPageBreak/>
        <w:t>Офіційний сайт XE Currency Convert [</w:t>
      </w:r>
      <w:r w:rsidRPr="00763E48">
        <w:rPr>
          <w:rFonts w:ascii="Times New Roman" w:hAnsi="Times New Roman" w:cs="Times New Roman"/>
          <w:color w:val="000000" w:themeColor="text1"/>
          <w:sz w:val="28"/>
          <w:szCs w:val="28"/>
          <w:lang w:val="uk-UA"/>
        </w:rPr>
        <w:t>Електронний ресурс]. – Режим дост</w:t>
      </w:r>
      <w:r w:rsidRPr="00763E48">
        <w:rPr>
          <w:rFonts w:ascii="Times New Roman" w:hAnsi="Times New Roman" w:cs="Times New Roman"/>
          <w:color w:val="000000" w:themeColor="text1"/>
          <w:sz w:val="28"/>
          <w:szCs w:val="28"/>
          <w:lang w:val="uk-UA"/>
        </w:rPr>
        <w:t>у</w:t>
      </w:r>
      <w:r w:rsidRPr="00763E48">
        <w:rPr>
          <w:rFonts w:ascii="Times New Roman" w:hAnsi="Times New Roman" w:cs="Times New Roman"/>
          <w:color w:val="000000" w:themeColor="text1"/>
          <w:sz w:val="28"/>
          <w:szCs w:val="28"/>
          <w:lang w:val="uk-UA"/>
        </w:rPr>
        <w:t xml:space="preserve">пу: </w:t>
      </w:r>
      <w:hyperlink r:id="rId29" w:history="1">
        <w:r w:rsidRPr="00763E48">
          <w:rPr>
            <w:rStyle w:val="af"/>
            <w:rFonts w:ascii="Times New Roman" w:hAnsi="Times New Roman" w:cs="Times New Roman"/>
            <w:color w:val="000000" w:themeColor="text1"/>
            <w:sz w:val="28"/>
            <w:szCs w:val="28"/>
            <w:lang w:val="uk-UA"/>
          </w:rPr>
          <w:t>https://www.xe.com/</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Political, Free Trade and Strategic Partnership Agreement  - 2020 - </w:t>
      </w:r>
      <w:r w:rsidRPr="00763E48">
        <w:rPr>
          <w:rFonts w:ascii="Times New Roman" w:hAnsi="Times New Roman" w:cs="Times New Roman"/>
          <w:color w:val="000000" w:themeColor="text1"/>
          <w:sz w:val="28"/>
          <w:szCs w:val="28"/>
          <w:lang w:val="uk-UA"/>
        </w:rPr>
        <w:t xml:space="preserve">Електронний ресурс]. – Режим доступу: </w:t>
      </w:r>
      <w:hyperlink r:id="rId30" w:history="1">
        <w:r w:rsidRPr="00763E48">
          <w:rPr>
            <w:rStyle w:val="af"/>
            <w:rFonts w:ascii="Times New Roman" w:hAnsi="Times New Roman" w:cs="Times New Roman"/>
            <w:color w:val="000000" w:themeColor="text1"/>
            <w:sz w:val="28"/>
            <w:szCs w:val="28"/>
            <w:lang w:val="uk-UA"/>
          </w:rPr>
          <w:t>https://assets.publishing.service.gov.uk/government/uploads/system/uploads/attachment_data/file/934935/CS_Ukraine_1.2020_UK_Ukraine_Political_Free_Trade_Strat_Partner_Agreement.pdf</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Офіційний сайт державного сектору Сполученого Королівства [</w:t>
      </w:r>
      <w:r w:rsidRPr="00763E48">
        <w:rPr>
          <w:rFonts w:ascii="Times New Roman" w:hAnsi="Times New Roman" w:cs="Times New Roman"/>
          <w:color w:val="000000" w:themeColor="text1"/>
          <w:sz w:val="28"/>
          <w:szCs w:val="28"/>
          <w:lang w:val="uk-UA"/>
        </w:rPr>
        <w:t>Електро</w:t>
      </w:r>
      <w:r w:rsidRPr="00763E48">
        <w:rPr>
          <w:rFonts w:ascii="Times New Roman" w:hAnsi="Times New Roman" w:cs="Times New Roman"/>
          <w:color w:val="000000" w:themeColor="text1"/>
          <w:sz w:val="28"/>
          <w:szCs w:val="28"/>
          <w:lang w:val="uk-UA"/>
        </w:rPr>
        <w:t>н</w:t>
      </w:r>
      <w:r w:rsidRPr="00763E48">
        <w:rPr>
          <w:rFonts w:ascii="Times New Roman" w:hAnsi="Times New Roman" w:cs="Times New Roman"/>
          <w:color w:val="000000" w:themeColor="text1"/>
          <w:sz w:val="28"/>
          <w:szCs w:val="28"/>
          <w:lang w:val="uk-UA"/>
        </w:rPr>
        <w:t xml:space="preserve">ний ресурс]. – Режим доступу: </w:t>
      </w:r>
      <w:hyperlink r:id="rId31" w:history="1">
        <w:r w:rsidRPr="00763E48">
          <w:rPr>
            <w:rStyle w:val="af"/>
            <w:rFonts w:ascii="Times New Roman" w:hAnsi="Times New Roman" w:cs="Times New Roman"/>
            <w:color w:val="000000" w:themeColor="text1"/>
            <w:sz w:val="28"/>
            <w:szCs w:val="28"/>
            <w:lang w:val="uk-UA"/>
          </w:rPr>
          <w:t>https://www.gov.uk/</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Державної статистичної служби України. </w:t>
      </w:r>
      <w:r w:rsidRPr="00763E48">
        <w:rPr>
          <w:rFonts w:ascii="Times New Roman" w:hAnsi="Times New Roman" w:cs="Times New Roman"/>
          <w:color w:val="000000" w:themeColor="text1"/>
          <w:sz w:val="28"/>
          <w:szCs w:val="28"/>
          <w:lang w:val="uk-UA"/>
        </w:rPr>
        <w:t>[Електронний р</w:t>
      </w:r>
      <w:r w:rsidRPr="00763E48">
        <w:rPr>
          <w:rFonts w:ascii="Times New Roman" w:hAnsi="Times New Roman" w:cs="Times New Roman"/>
          <w:color w:val="000000" w:themeColor="text1"/>
          <w:sz w:val="28"/>
          <w:szCs w:val="28"/>
          <w:lang w:val="uk-UA"/>
        </w:rPr>
        <w:t>е</w:t>
      </w:r>
      <w:r w:rsidRPr="00763E48">
        <w:rPr>
          <w:rFonts w:ascii="Times New Roman" w:hAnsi="Times New Roman" w:cs="Times New Roman"/>
          <w:color w:val="000000" w:themeColor="text1"/>
          <w:sz w:val="28"/>
          <w:szCs w:val="28"/>
          <w:lang w:val="uk-UA"/>
        </w:rPr>
        <w:t xml:space="preserve">сурс]. – Режим доступу: </w:t>
      </w:r>
      <w:hyperlink r:id="rId32" w:history="1">
        <w:r w:rsidRPr="00763E48">
          <w:rPr>
            <w:rStyle w:val="af"/>
            <w:rFonts w:ascii="Times New Roman" w:hAnsi="Times New Roman" w:cs="Times New Roman"/>
            <w:sz w:val="28"/>
            <w:szCs w:val="28"/>
            <w:lang w:val="uk-UA"/>
          </w:rPr>
          <w:t>http://www.ukrstat.gov.ua/</w:t>
        </w:r>
      </w:hyperlink>
    </w:p>
    <w:p w:rsidR="00E63F46" w:rsidRPr="00763E48" w:rsidRDefault="00912E07" w:rsidP="00763E48">
      <w:pPr>
        <w:pStyle w:val="af2"/>
        <w:numPr>
          <w:ilvl w:val="0"/>
          <w:numId w:val="4"/>
        </w:numPr>
        <w:spacing w:after="0" w:line="336" w:lineRule="auto"/>
        <w:ind w:left="357" w:hanging="357"/>
        <w:jc w:val="both"/>
        <w:rPr>
          <w:rFonts w:ascii="Times New Roman" w:hAnsi="Times New Roman" w:cs="Times New Roman"/>
          <w:sz w:val="28"/>
          <w:szCs w:val="28"/>
          <w:lang w:val="uk-UA"/>
        </w:rPr>
      </w:pPr>
      <w:r w:rsidRPr="00763E48">
        <w:rPr>
          <w:rFonts w:ascii="Times New Roman" w:hAnsi="Times New Roman" w:cs="Times New Roman"/>
          <w:sz w:val="28"/>
          <w:szCs w:val="28"/>
          <w:lang w:val="uk-UA"/>
        </w:rPr>
        <w:t xml:space="preserve">Офіційний сайт представництва України у Сполученому Королівстві. </w:t>
      </w:r>
      <w:r w:rsidRPr="00763E48">
        <w:rPr>
          <w:rFonts w:ascii="Times New Roman" w:hAnsi="Times New Roman" w:cs="Times New Roman"/>
          <w:color w:val="000000" w:themeColor="text1"/>
          <w:sz w:val="28"/>
          <w:szCs w:val="28"/>
          <w:lang w:val="uk-UA"/>
        </w:rPr>
        <w:t>[Ел</w:t>
      </w:r>
      <w:r w:rsidRPr="00763E48">
        <w:rPr>
          <w:rFonts w:ascii="Times New Roman" w:hAnsi="Times New Roman" w:cs="Times New Roman"/>
          <w:color w:val="000000" w:themeColor="text1"/>
          <w:sz w:val="28"/>
          <w:szCs w:val="28"/>
          <w:lang w:val="uk-UA"/>
        </w:rPr>
        <w:t>е</w:t>
      </w:r>
      <w:r w:rsidRPr="00763E48">
        <w:rPr>
          <w:rFonts w:ascii="Times New Roman" w:hAnsi="Times New Roman" w:cs="Times New Roman"/>
          <w:color w:val="000000" w:themeColor="text1"/>
          <w:sz w:val="28"/>
          <w:szCs w:val="28"/>
          <w:lang w:val="uk-UA"/>
        </w:rPr>
        <w:t xml:space="preserve">ктронний ресурс]. – Режим доступу: </w:t>
      </w:r>
      <w:hyperlink r:id="rId33" w:history="1">
        <w:r w:rsidRPr="00763E48">
          <w:rPr>
            <w:rStyle w:val="af"/>
            <w:rFonts w:ascii="Times New Roman" w:hAnsi="Times New Roman" w:cs="Times New Roman"/>
            <w:color w:val="000000" w:themeColor="text1"/>
            <w:sz w:val="28"/>
            <w:szCs w:val="28"/>
            <w:lang w:val="uk-UA"/>
          </w:rPr>
          <w:t>https://uk.mfa.gov.ua/en</w:t>
        </w:r>
      </w:hyperlink>
    </w:p>
    <w:p w:rsidR="00E63F46" w:rsidRPr="00763E48" w:rsidRDefault="00912E07" w:rsidP="00763E48">
      <w:pPr>
        <w:pStyle w:val="af2"/>
        <w:numPr>
          <w:ilvl w:val="0"/>
          <w:numId w:val="4"/>
        </w:numPr>
        <w:spacing w:after="0" w:line="336" w:lineRule="auto"/>
        <w:ind w:left="357" w:hanging="357"/>
        <w:jc w:val="both"/>
        <w:rPr>
          <w:rStyle w:val="af"/>
          <w:rFonts w:ascii="Times New Roman" w:hAnsi="Times New Roman" w:cs="Times New Roman"/>
          <w:color w:val="auto"/>
          <w:sz w:val="28"/>
          <w:szCs w:val="28"/>
          <w:u w:val="none"/>
          <w:lang w:val="uk-UA"/>
        </w:rPr>
      </w:pPr>
      <w:r w:rsidRPr="00763E48">
        <w:rPr>
          <w:rFonts w:ascii="Times New Roman" w:hAnsi="Times New Roman" w:cs="Times New Roman"/>
          <w:sz w:val="28"/>
          <w:szCs w:val="28"/>
          <w:lang w:val="uk-UA"/>
        </w:rPr>
        <w:t xml:space="preserve">Офіційний сайт Національного банку України. </w:t>
      </w:r>
      <w:r w:rsidRPr="00763E48">
        <w:rPr>
          <w:rFonts w:ascii="Times New Roman" w:hAnsi="Times New Roman" w:cs="Times New Roman"/>
          <w:color w:val="000000" w:themeColor="text1"/>
          <w:sz w:val="28"/>
          <w:szCs w:val="28"/>
          <w:lang w:val="uk-UA"/>
        </w:rPr>
        <w:t>[Електронний ресурс]. – Р</w:t>
      </w:r>
      <w:r w:rsidRPr="00763E48">
        <w:rPr>
          <w:rFonts w:ascii="Times New Roman" w:hAnsi="Times New Roman" w:cs="Times New Roman"/>
          <w:color w:val="000000" w:themeColor="text1"/>
          <w:sz w:val="28"/>
          <w:szCs w:val="28"/>
          <w:lang w:val="uk-UA"/>
        </w:rPr>
        <w:t>е</w:t>
      </w:r>
      <w:r w:rsidRPr="00763E48">
        <w:rPr>
          <w:rFonts w:ascii="Times New Roman" w:hAnsi="Times New Roman" w:cs="Times New Roman"/>
          <w:color w:val="000000" w:themeColor="text1"/>
          <w:sz w:val="28"/>
          <w:szCs w:val="28"/>
          <w:lang w:val="uk-UA"/>
        </w:rPr>
        <w:t xml:space="preserve">жим доступу: </w:t>
      </w:r>
      <w:hyperlink r:id="rId34" w:history="1">
        <w:r w:rsidRPr="00763E48">
          <w:rPr>
            <w:rStyle w:val="af"/>
            <w:rFonts w:ascii="Times New Roman" w:hAnsi="Times New Roman" w:cs="Times New Roman"/>
            <w:color w:val="000000" w:themeColor="text1"/>
            <w:sz w:val="28"/>
            <w:szCs w:val="28"/>
            <w:lang w:val="uk-UA"/>
          </w:rPr>
          <w:t>https://bank.gov.ua/</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United Kingdom</w:t>
      </w:r>
      <w:r w:rsidR="000358E9" w:rsidRPr="00763E48">
        <w:rPr>
          <w:rFonts w:ascii="Times New Roman" w:hAnsi="Times New Roman" w:cs="Times New Roman"/>
          <w:sz w:val="28"/>
          <w:szCs w:val="28"/>
          <w:lang w:val="en-US"/>
        </w:rPr>
        <w:t xml:space="preserve">, Current Account. International Monetary Fund.– URL: </w:t>
      </w:r>
      <w:hyperlink r:id="rId35"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Ireland</w:t>
      </w:r>
      <w:r w:rsidR="000358E9" w:rsidRPr="00763E48">
        <w:rPr>
          <w:rFonts w:ascii="Times New Roman" w:hAnsi="Times New Roman" w:cs="Times New Roman"/>
          <w:sz w:val="28"/>
          <w:szCs w:val="28"/>
          <w:lang w:val="en-US"/>
        </w:rPr>
        <w:t xml:space="preserve">, Current Account. International Monetary Fund.– URL: </w:t>
      </w:r>
      <w:hyperlink r:id="rId36"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United Kingdom</w:t>
      </w:r>
      <w:r w:rsidR="000358E9" w:rsidRPr="00763E48">
        <w:rPr>
          <w:rFonts w:ascii="Times New Roman" w:hAnsi="Times New Roman" w:cs="Times New Roman"/>
          <w:sz w:val="28"/>
          <w:szCs w:val="28"/>
          <w:lang w:val="en-US"/>
        </w:rPr>
        <w:t>, Trade Balance. International Monetary Fund.</w:t>
      </w:r>
      <w:r w:rsidR="000358E9" w:rsidRPr="00763E48">
        <w:rPr>
          <w:rFonts w:ascii="Times New Roman" w:hAnsi="Times New Roman" w:cs="Times New Roman"/>
          <w:sz w:val="28"/>
          <w:szCs w:val="28"/>
        </w:rPr>
        <w:t xml:space="preserve"> </w:t>
      </w:r>
      <w:r w:rsidR="000358E9" w:rsidRPr="00763E48">
        <w:rPr>
          <w:rFonts w:ascii="Times New Roman" w:hAnsi="Times New Roman" w:cs="Times New Roman"/>
          <w:sz w:val="28"/>
          <w:szCs w:val="28"/>
          <w:lang w:val="en-US"/>
        </w:rPr>
        <w:t xml:space="preserve">– URL: </w:t>
      </w:r>
      <w:hyperlink r:id="rId37"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United Kingdom</w:t>
      </w:r>
      <w:r w:rsidR="000358E9" w:rsidRPr="00763E48">
        <w:rPr>
          <w:rFonts w:ascii="Times New Roman" w:hAnsi="Times New Roman" w:cs="Times New Roman"/>
          <w:sz w:val="28"/>
          <w:szCs w:val="28"/>
          <w:lang w:val="en-US"/>
        </w:rPr>
        <w:t xml:space="preserve">, Balance of Service. International Monetary Fund. – URL: </w:t>
      </w:r>
      <w:hyperlink r:id="rId38"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United Kingdom</w:t>
      </w:r>
      <w:r w:rsidR="000358E9" w:rsidRPr="00763E48">
        <w:rPr>
          <w:rFonts w:ascii="Times New Roman" w:hAnsi="Times New Roman" w:cs="Times New Roman"/>
          <w:sz w:val="28"/>
          <w:szCs w:val="28"/>
          <w:lang w:val="en-US"/>
        </w:rPr>
        <w:t xml:space="preserve">, Primary Income Balance. International Monetary Fund. – URL: </w:t>
      </w:r>
      <w:hyperlink r:id="rId39"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lastRenderedPageBreak/>
        <w:t>United Kingdom</w:t>
      </w:r>
      <w:r w:rsidR="000358E9" w:rsidRPr="00763E48">
        <w:rPr>
          <w:rFonts w:ascii="Times New Roman" w:hAnsi="Times New Roman" w:cs="Times New Roman"/>
          <w:sz w:val="28"/>
          <w:szCs w:val="28"/>
          <w:lang w:val="en-US"/>
        </w:rPr>
        <w:t xml:space="preserve">, Secondary Income Balance. International Monetary Fund. – URL: </w:t>
      </w:r>
      <w:hyperlink r:id="rId40"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 xml:space="preserve">Ireland, </w:t>
      </w:r>
      <w:r w:rsidR="000358E9" w:rsidRPr="00763E48">
        <w:rPr>
          <w:rFonts w:ascii="Times New Roman" w:hAnsi="Times New Roman" w:cs="Times New Roman"/>
          <w:sz w:val="28"/>
          <w:szCs w:val="28"/>
          <w:lang w:val="en-US"/>
        </w:rPr>
        <w:t>Trade Balance. International Monetary Fund.</w:t>
      </w:r>
      <w:r w:rsidR="000358E9" w:rsidRPr="00763E48">
        <w:rPr>
          <w:rFonts w:ascii="Times New Roman" w:hAnsi="Times New Roman" w:cs="Times New Roman"/>
          <w:sz w:val="28"/>
          <w:szCs w:val="28"/>
        </w:rPr>
        <w:t xml:space="preserve"> </w:t>
      </w:r>
      <w:r w:rsidR="000358E9" w:rsidRPr="00763E48">
        <w:rPr>
          <w:rFonts w:ascii="Times New Roman" w:hAnsi="Times New Roman" w:cs="Times New Roman"/>
          <w:sz w:val="28"/>
          <w:szCs w:val="28"/>
          <w:lang w:val="en-US"/>
        </w:rPr>
        <w:t xml:space="preserve">– URL: </w:t>
      </w:r>
      <w:hyperlink r:id="rId41"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 xml:space="preserve">Ireland, </w:t>
      </w:r>
      <w:r w:rsidR="000358E9" w:rsidRPr="00763E48">
        <w:rPr>
          <w:rFonts w:ascii="Times New Roman" w:hAnsi="Times New Roman" w:cs="Times New Roman"/>
          <w:sz w:val="28"/>
          <w:szCs w:val="28"/>
          <w:lang w:val="en-US"/>
        </w:rPr>
        <w:t xml:space="preserve">Balance of Service. International Monetary Fund. – URL: </w:t>
      </w:r>
      <w:hyperlink r:id="rId42"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 xml:space="preserve">Ireland, </w:t>
      </w:r>
      <w:r w:rsidR="000358E9" w:rsidRPr="00763E48">
        <w:rPr>
          <w:rFonts w:ascii="Times New Roman" w:hAnsi="Times New Roman" w:cs="Times New Roman"/>
          <w:sz w:val="28"/>
          <w:szCs w:val="28"/>
          <w:lang w:val="en-US"/>
        </w:rPr>
        <w:t xml:space="preserve">Primary Income Balance. International Monetary Fund. – URL: </w:t>
      </w:r>
      <w:hyperlink r:id="rId43"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763E48" w:rsidRDefault="00253C1F" w:rsidP="00763E48">
      <w:pPr>
        <w:pStyle w:val="af2"/>
        <w:numPr>
          <w:ilvl w:val="0"/>
          <w:numId w:val="4"/>
        </w:numPr>
        <w:spacing w:after="0" w:line="336" w:lineRule="auto"/>
        <w:ind w:left="357" w:hanging="357"/>
        <w:jc w:val="both"/>
        <w:rPr>
          <w:rFonts w:ascii="Times New Roman" w:hAnsi="Times New Roman" w:cs="Times New Roman"/>
          <w:sz w:val="28"/>
          <w:szCs w:val="28"/>
          <w:lang w:val="en-US"/>
        </w:rPr>
      </w:pPr>
      <w:r w:rsidRPr="00763E48">
        <w:rPr>
          <w:rFonts w:ascii="Times New Roman" w:hAnsi="Times New Roman" w:cs="Times New Roman"/>
          <w:sz w:val="28"/>
          <w:szCs w:val="28"/>
          <w:lang w:val="en-US"/>
        </w:rPr>
        <w:t xml:space="preserve">Ireland, </w:t>
      </w:r>
      <w:r w:rsidR="000358E9" w:rsidRPr="00763E48">
        <w:rPr>
          <w:rFonts w:ascii="Times New Roman" w:hAnsi="Times New Roman" w:cs="Times New Roman"/>
          <w:sz w:val="28"/>
          <w:szCs w:val="28"/>
          <w:lang w:val="en-US"/>
        </w:rPr>
        <w:t xml:space="preserve">Secondary Income Balance. International Monetary Fund. – URL: </w:t>
      </w:r>
      <w:hyperlink r:id="rId44" w:history="1">
        <w:r w:rsidR="000358E9" w:rsidRPr="00763E48">
          <w:rPr>
            <w:rStyle w:val="af"/>
            <w:rFonts w:ascii="Times New Roman" w:hAnsi="Times New Roman" w:cs="Times New Roman"/>
            <w:sz w:val="28"/>
            <w:szCs w:val="28"/>
            <w:lang w:val="en-US"/>
          </w:rPr>
          <w:t>http://data.imf.org/?sk=7A51304B-6426-40C0-83DD-CA473CA1FD52&amp;sId=1542635306163</w:t>
        </w:r>
      </w:hyperlink>
    </w:p>
    <w:p w:rsidR="000358E9" w:rsidRPr="002114C8" w:rsidRDefault="000358E9" w:rsidP="000358E9">
      <w:pPr>
        <w:pStyle w:val="af2"/>
        <w:spacing w:after="0" w:line="360" w:lineRule="auto"/>
        <w:ind w:left="0"/>
        <w:jc w:val="both"/>
        <w:rPr>
          <w:rFonts w:ascii="Times New Roman Regular" w:hAnsi="Times New Roman Regular" w:cs="Times New Roman Regular" w:hint="eastAsia"/>
          <w:sz w:val="28"/>
          <w:szCs w:val="28"/>
          <w:lang w:val="uk-UA"/>
        </w:rPr>
      </w:pPr>
    </w:p>
    <w:p w:rsidR="00E63F46" w:rsidRPr="002114C8" w:rsidRDefault="00912E07">
      <w:pPr>
        <w:rPr>
          <w:rFonts w:ascii="Times New Roman" w:hAnsi="Times New Roman" w:cs="Times New Roman"/>
          <w:sz w:val="28"/>
          <w:szCs w:val="28"/>
          <w:lang w:val="uk-UA"/>
        </w:rPr>
      </w:pPr>
      <w:r w:rsidRPr="002114C8">
        <w:rPr>
          <w:rFonts w:ascii="Times New Roman" w:hAnsi="Times New Roman" w:cs="Times New Roman"/>
          <w:sz w:val="28"/>
          <w:szCs w:val="28"/>
          <w:lang w:val="uk-UA"/>
        </w:rPr>
        <w:br w:type="page"/>
      </w:r>
    </w:p>
    <w:p w:rsidR="00E63F46" w:rsidRPr="002114C8" w:rsidRDefault="00912E07">
      <w:pPr>
        <w:spacing w:after="0" w:line="360" w:lineRule="auto"/>
        <w:jc w:val="right"/>
        <w:rPr>
          <w:rFonts w:ascii="Times New Roman" w:hAnsi="Times New Roman" w:cs="Times New Roman"/>
          <w:b/>
          <w:sz w:val="28"/>
          <w:szCs w:val="28"/>
          <w:lang w:val="uk-UA"/>
        </w:rPr>
      </w:pPr>
      <w:r w:rsidRPr="002114C8">
        <w:rPr>
          <w:rFonts w:ascii="Times New Roman" w:hAnsi="Times New Roman" w:cs="Times New Roman"/>
          <w:b/>
          <w:sz w:val="28"/>
          <w:szCs w:val="28"/>
          <w:lang w:val="uk-UA"/>
        </w:rPr>
        <w:lastRenderedPageBreak/>
        <w:t>ДОДАТОК А</w:t>
      </w:r>
    </w:p>
    <w:p w:rsidR="00E63F46" w:rsidRPr="002114C8" w:rsidRDefault="00912E07">
      <w:pPr>
        <w:spacing w:line="360" w:lineRule="auto"/>
        <w:jc w:val="center"/>
        <w:rPr>
          <w:rFonts w:ascii="Times New Roman" w:hAnsi="Times New Roman" w:cs="Times New Roman"/>
          <w:sz w:val="28"/>
          <w:szCs w:val="28"/>
          <w:lang w:val="uk-UA"/>
        </w:rPr>
      </w:pPr>
      <w:r w:rsidRPr="002114C8">
        <w:rPr>
          <w:rFonts w:ascii="Times New Roman" w:hAnsi="Times New Roman" w:cs="Times New Roman"/>
          <w:sz w:val="28"/>
          <w:szCs w:val="28"/>
          <w:lang w:val="uk-UA"/>
        </w:rPr>
        <w:t xml:space="preserve">Дані для розрахунку регресійної моделі факторів впливу </w:t>
      </w:r>
    </w:p>
    <w:p w:rsidR="00E63F46" w:rsidRPr="002114C8" w:rsidRDefault="00912E07">
      <w:pPr>
        <w:spacing w:line="360" w:lineRule="auto"/>
        <w:jc w:val="center"/>
        <w:rPr>
          <w:rFonts w:ascii="Times New Roman" w:hAnsi="Times New Roman"/>
          <w:sz w:val="28"/>
          <w:szCs w:val="28"/>
          <w:lang w:val="uk-UA"/>
        </w:rPr>
      </w:pPr>
      <w:r w:rsidRPr="002114C8">
        <w:rPr>
          <w:rFonts w:ascii="Times New Roman" w:hAnsi="Times New Roman" w:cs="Times New Roman"/>
          <w:sz w:val="28"/>
          <w:szCs w:val="28"/>
          <w:lang w:val="uk-UA"/>
        </w:rPr>
        <w:t xml:space="preserve">на баланс доходу </w:t>
      </w:r>
      <w:r w:rsidRPr="002114C8">
        <w:rPr>
          <w:rFonts w:ascii="Times New Roman" w:hAnsi="Times New Roman"/>
          <w:sz w:val="28"/>
          <w:szCs w:val="28"/>
          <w:lang w:val="uk-UA"/>
        </w:rPr>
        <w:t>від інвестицій Великої Британії</w:t>
      </w:r>
    </w:p>
    <w:tbl>
      <w:tblPr>
        <w:tblW w:w="9280" w:type="dxa"/>
        <w:tblInd w:w="88" w:type="dxa"/>
        <w:tblLayout w:type="fixed"/>
        <w:tblLook w:val="04A0" w:firstRow="1" w:lastRow="0" w:firstColumn="1" w:lastColumn="0" w:noHBand="0" w:noVBand="1"/>
      </w:tblPr>
      <w:tblGrid>
        <w:gridCol w:w="1499"/>
        <w:gridCol w:w="1630"/>
        <w:gridCol w:w="1664"/>
        <w:gridCol w:w="1752"/>
        <w:gridCol w:w="1752"/>
        <w:gridCol w:w="983"/>
      </w:tblGrid>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E63F46" w:rsidRPr="002114C8" w:rsidRDefault="00912E07">
            <w:pPr>
              <w:jc w:val="center"/>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Time</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center"/>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inv</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center"/>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y</w:t>
            </w:r>
          </w:p>
        </w:tc>
        <w:tc>
          <w:tcPr>
            <w:tcW w:w="1752"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center"/>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d</w:t>
            </w:r>
          </w:p>
        </w:tc>
        <w:tc>
          <w:tcPr>
            <w:tcW w:w="1752"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center"/>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p</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center"/>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e</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1995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6230.33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208843.00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12976.42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20997.69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-5.94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1995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12880.86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211269.00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16258.38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-3307.25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-5.78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1995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4306.66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215245.00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13516.34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23558.40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1995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3961.77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217720.00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13757.74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20442.35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1996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9449.96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221486.00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18832.56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-1333.59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1996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-307.83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225839.00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8727.30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33795.23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1996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-3563.67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230096.00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6266.35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38140.49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1996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3723.07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233837.00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7888.00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22768.82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1997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27.71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233241.00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22628.06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22641.10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-6.12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1997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-816.02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235845.00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12542.77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59482.47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-6.88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1997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23967.66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242858.00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28995.36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-4324.54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1997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207.46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242008.00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10532.46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7201.44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-1.39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1998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-9080.91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245778.00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20547.19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39444.36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-0.94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1998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-1566.95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248133.00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20748.85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15140.56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-0.96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1998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11581.30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251225.00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43232.10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-29446.18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1998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47223.68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254190.00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73446.58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28090.94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-0.94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1999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-6204.10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256399.00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20395.40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22227.70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0.81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1999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128098.37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258184.00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148585.94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3514.50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1999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-3816.41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261803.00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37616.60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21012.66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3.17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1999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-5623.78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267764.00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35747.77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-24859.15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2.79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158320.84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272383.00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203994.67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14696.02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17729.17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274159.00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50936.52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67347.88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4.79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-55359.53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276759.00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17949.61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27812.67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8.50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7225.90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277842.00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19165.92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-7496.31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12.55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9234.49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282353.00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39431.15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83397.85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10.23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3611.55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286384.00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23098.01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41847.39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7.85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7726.44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288260.00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15138.07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35632.18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748.54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288326.00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-255.28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23788.74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0.37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34321.97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292210.00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34695.50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-22299.16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13443.92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295929.00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34120.92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56270.57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11838.83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299274.00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60375.23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-45377.01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-7.16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-28463.30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304102.00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-8289.64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-7486.71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-8.19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28381.17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307435.00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46967.00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33142.62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-11.02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16508.79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313452.00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8287.57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35979.16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-9.63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16175.50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317938.00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28748.93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-14289.16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-14995.82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320850.00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-1922.63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-15769.65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-7.87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22201.93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323545.00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12671.06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67611.46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-12.88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7911.50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330267.00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47579.14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11655.16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-10.45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23508.67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331555.00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44825.33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97773.46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-11.46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-12042.04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338053.00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23564.16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57068.32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-8.53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15771.15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341280.00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44734.44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64149.88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-2.66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-18564.72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348512.00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38883.63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102574.67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-107101.58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352669.00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40112.48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68992.05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1.91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17152.20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357182.00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36179.89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18419.43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6.65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-51031.05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361303.00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38865.20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119567.83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7.84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-48144.27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367337.00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10782.08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106249.24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-21268.06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371709.00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48038.68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49682.33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-4.80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59061.91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372488.00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44568.99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148703.80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-8.76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-1325.09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377273.00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57666.83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136980.70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-10.35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49329.27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386541.00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81325.56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137374.69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-8.06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24086.12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389938.00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78648.46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1815.65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-7.27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88790.02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392040.00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152754.42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-52527.36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-15836.13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397273.00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62501.57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-92468.13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38220.79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401016.00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74203.61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-78854.88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0.76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46864.45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400859.00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84512.07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-52622.34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7.15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33993.04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395589.00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135479.02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-237190.44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30.75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2009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-1600.78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387076.00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-3089.98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90572.09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37.91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2009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-11500.24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386896.00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-80331.70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11443.06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27.36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2009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-29092.66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389860.00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28508.44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2812.77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14.98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2009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-20751.34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388050.00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6515.32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6801.15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-4.28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-20610.13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397136.00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-3405.13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-58960.29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-8.11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37571.12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402391.00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28721.60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-53966.06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-10522.25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405229.00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22992.20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153983.57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5.88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-18765.84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407625.00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6098.78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-54059.08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30220.23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415481.00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17643.87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-53006.51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21399.73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412922.00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37203.56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63053.54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-8.54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9698.33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417021.00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28099.10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-165117.80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-7496.74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418787.00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-2112.93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-23670.19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0.48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-14015.49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423769.00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5745.39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112532.42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1.96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-2156.84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424990.00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11640.29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-70104.44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3.11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-2602.78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431601.00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17569.94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93327.09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1.83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-15952.14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432881.00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-22932.09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30832.87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9863.81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438017.00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-16642.17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-159.62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-60048.96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442531.00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27512.77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-54739.72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-14087.67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449539.00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-15562.82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-34254.34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1.90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2013</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56050.55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452209.00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50943.13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5062.11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-0.81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-230136.31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458833.00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-108598.12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78167.46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-6.38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39814.07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461255.00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531.84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47670.52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-8.78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70566.39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469975.00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46188.16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-10401.27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-7.05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2014</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-53049.95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472764.00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-52037.23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-4718.06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-83890.57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475800.00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-31476.99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45420.04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9.27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-6208.24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476773.00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-37506.77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-75944.85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9.87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-6901.20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481007.00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-5231.33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-25866.71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7.75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2015</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-8510.49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487418.00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14038.08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28889.13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-95501.56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492391.00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-5822.39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-61338.27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5.86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-33525.23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495831.00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12966.04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-64801.49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6.82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-41040.12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502446.00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33194.87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-44942.38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17.97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2016</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-121838.04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508793.00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-7430.24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-16266.77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22.23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-4507.03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514616.00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32297.50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59567.27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15.46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12627.41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518217.00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38941.00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52831.79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12.12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44996.05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522395.00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96957.98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-6321.78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0.31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2017</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-6431.35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529780.00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3847.40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-871.94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-6.50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-11625.79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531867.00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-8904.06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-57936.94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-10.92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30880.43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536753.00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-3173.50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-76708.46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-5.93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23394.11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541529.00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-3269.21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-2192.51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0.40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2018</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-46225.44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547261.00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-13285.36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-55339.60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3.21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2019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21864.77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551141.00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2280.24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48668.97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6.84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2019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-27290.12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556289.00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305.88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46437.15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5.83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2019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-22098.74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563184.00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13535.80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-16003.13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5.77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2019</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-13764.97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567734.00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-37620.23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21643.74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-0.11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2020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-58547.63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559907.00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9590.50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-84003.29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1.86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2020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-23240.86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475850.00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3153.64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96472.05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3.52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2020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-4457.85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534171.00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9580.96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17607.93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2020</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-50674.51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539666.00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-26769.92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81497.29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2021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5206.33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537907.00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14931.16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-17099.43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-7.26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2021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-4466.05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562248.00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26109.77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45948.34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-11.24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2021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95821.62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577356.00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71672.30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-46033.62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-6.21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Q4 2021</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58447.83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592735.00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48218.75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-53256.45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-2.06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Q1 2022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19113.75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605541.00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43317.88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-116915.08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2.73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Q2 2022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23576.03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616257.00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50842.02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-25116.55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11.38 </w:t>
            </w:r>
          </w:p>
        </w:tc>
      </w:tr>
      <w:tr w:rsidR="00E63F46" w:rsidRPr="002114C8">
        <w:trPr>
          <w:trHeight w:val="280"/>
        </w:trPr>
        <w:tc>
          <w:tcPr>
            <w:tcW w:w="1499"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Q3 2022</w:t>
            </w:r>
          </w:p>
        </w:tc>
        <w:tc>
          <w:tcPr>
            <w:tcW w:w="1630"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-9017.18 </w:t>
            </w:r>
          </w:p>
        </w:tc>
        <w:tc>
          <w:tcPr>
            <w:tcW w:w="1664"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626083.00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43473.68 </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E63F46" w:rsidRPr="002114C8" w:rsidRDefault="00912E07">
            <w:pPr>
              <w:jc w:val="right"/>
              <w:textAlignment w:val="top"/>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-38138.40 </w:t>
            </w:r>
          </w:p>
        </w:tc>
        <w:tc>
          <w:tcPr>
            <w:tcW w:w="983"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E63F46" w:rsidRPr="002114C8" w:rsidRDefault="00912E07">
            <w:pPr>
              <w:jc w:val="right"/>
              <w:textAlignment w:val="bottom"/>
              <w:rPr>
                <w:rFonts w:ascii="Times New Roman Regular" w:eastAsia="Times New Roman Regular" w:hAnsi="Times New Roman Regular" w:cs="Times New Roman Regular"/>
                <w:color w:val="000000"/>
                <w:sz w:val="28"/>
                <w:szCs w:val="28"/>
                <w:lang w:val="uk-UA"/>
              </w:rPr>
            </w:pPr>
            <w:r w:rsidRPr="002114C8">
              <w:rPr>
                <w:rFonts w:ascii="Times New Roman Regular" w:eastAsia="Times New Roman Regular" w:hAnsi="Times New Roman Regular" w:cs="Times New Roman Regular"/>
                <w:color w:val="000000"/>
                <w:sz w:val="28"/>
                <w:szCs w:val="28"/>
                <w:lang w:val="uk-UA" w:eastAsia="zh-CN" w:bidi="ar"/>
              </w:rPr>
              <w:t xml:space="preserve">17.20 </w:t>
            </w:r>
          </w:p>
        </w:tc>
      </w:tr>
    </w:tbl>
    <w:p w:rsidR="00E63F46" w:rsidRPr="002114C8" w:rsidRDefault="00E63F46">
      <w:pPr>
        <w:jc w:val="center"/>
        <w:rPr>
          <w:rFonts w:ascii="Times New Roman" w:hAnsi="Times New Roman"/>
          <w:sz w:val="28"/>
          <w:szCs w:val="28"/>
          <w:lang w:val="uk-UA"/>
        </w:rPr>
      </w:pPr>
    </w:p>
    <w:p w:rsidR="00E63F46" w:rsidRPr="002114C8" w:rsidRDefault="00E63F46">
      <w:pPr>
        <w:spacing w:line="360" w:lineRule="auto"/>
        <w:jc w:val="both"/>
        <w:rPr>
          <w:rFonts w:ascii="Times New Roman" w:hAnsi="Times New Roman" w:cs="Times New Roman"/>
          <w:sz w:val="28"/>
          <w:szCs w:val="28"/>
          <w:lang w:val="uk-UA"/>
        </w:rPr>
      </w:pPr>
    </w:p>
    <w:sectPr w:rsidR="00E63F46" w:rsidRPr="002114C8">
      <w:headerReference w:type="default" r:id="rId45"/>
      <w:pgSz w:w="11906" w:h="16838"/>
      <w:pgMar w:top="1134" w:right="680" w:bottom="1134" w:left="1701" w:header="706" w:footer="706" w:gutter="0"/>
      <w:pgNumType w:start="1"/>
      <w:cols w:space="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4EB" w:rsidRDefault="000004EB">
      <w:pPr>
        <w:spacing w:line="240" w:lineRule="auto"/>
      </w:pPr>
      <w:r>
        <w:separator/>
      </w:r>
    </w:p>
  </w:endnote>
  <w:endnote w:type="continuationSeparator" w:id="0">
    <w:p w:rsidR="000004EB" w:rsidRDefault="000004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Regular">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4EB" w:rsidRDefault="000004EB">
      <w:pPr>
        <w:spacing w:after="0"/>
      </w:pPr>
      <w:r>
        <w:separator/>
      </w:r>
    </w:p>
  </w:footnote>
  <w:footnote w:type="continuationSeparator" w:id="0">
    <w:p w:rsidR="000004EB" w:rsidRDefault="000004E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8552760"/>
    </w:sdtPr>
    <w:sdtEndPr/>
    <w:sdtContent>
      <w:p w:rsidR="003547F6" w:rsidRDefault="003547F6">
        <w:pPr>
          <w:pStyle w:val="ad"/>
          <w:jc w:val="right"/>
        </w:pPr>
        <w:r>
          <w:fldChar w:fldCharType="begin"/>
        </w:r>
        <w:r>
          <w:instrText xml:space="preserve"> PAGE   \* MERGEFORMAT </w:instrText>
        </w:r>
        <w:r>
          <w:fldChar w:fldCharType="separate"/>
        </w:r>
        <w:r w:rsidR="009B48BE">
          <w:rPr>
            <w:noProof/>
          </w:rPr>
          <w:t>44</w:t>
        </w:r>
        <w:r>
          <w:fldChar w:fldCharType="end"/>
        </w:r>
      </w:p>
    </w:sdtContent>
  </w:sdt>
  <w:p w:rsidR="003547F6" w:rsidRDefault="003547F6">
    <w:pPr>
      <w:pStyle w:val="ad"/>
      <w:jc w:val="right"/>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F28304"/>
    <w:multiLevelType w:val="singleLevel"/>
    <w:tmpl w:val="FBF28304"/>
    <w:lvl w:ilvl="0">
      <w:start w:val="1"/>
      <w:numFmt w:val="decimal"/>
      <w:suff w:val="space"/>
      <w:lvlText w:val="%1."/>
      <w:lvlJc w:val="left"/>
    </w:lvl>
  </w:abstractNum>
  <w:abstractNum w:abstractNumId="1">
    <w:nsid w:val="3EEE0209"/>
    <w:multiLevelType w:val="hybridMultilevel"/>
    <w:tmpl w:val="9162F15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7ED63728"/>
    <w:multiLevelType w:val="hybridMultilevel"/>
    <w:tmpl w:val="B73059F6"/>
    <w:lvl w:ilvl="0" w:tplc="D7382F68">
      <w:start w:val="1"/>
      <w:numFmt w:val="decimal"/>
      <w:lvlText w:val="%1)"/>
      <w:lvlJc w:val="left"/>
      <w:pPr>
        <w:ind w:left="360" w:hanging="360"/>
      </w:pPr>
      <w:rPr>
        <w:rFonts w:hint="default"/>
        <w:sz w:val="24"/>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defaultTabStop w:val="708"/>
  <w:autoHyphenation/>
  <w:hyphenationZone w:val="425"/>
  <w:drawingGridHorizontalSpacing w:val="110"/>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7EC1"/>
    <w:rsid w:val="AD7F21B7"/>
    <w:rsid w:val="ADEFC6B9"/>
    <w:rsid w:val="AE79066C"/>
    <w:rsid w:val="B77FE3FC"/>
    <w:rsid w:val="B7FCCBB8"/>
    <w:rsid w:val="BF3FE47C"/>
    <w:rsid w:val="C17FD57C"/>
    <w:rsid w:val="C44BE039"/>
    <w:rsid w:val="C899B79C"/>
    <w:rsid w:val="CB5899CD"/>
    <w:rsid w:val="DB6FB08B"/>
    <w:rsid w:val="DD97A187"/>
    <w:rsid w:val="DDDDCC9E"/>
    <w:rsid w:val="DEF86D57"/>
    <w:rsid w:val="DFDFB189"/>
    <w:rsid w:val="E7FF0103"/>
    <w:rsid w:val="EBA34C9D"/>
    <w:rsid w:val="EEF9A11E"/>
    <w:rsid w:val="EF4A8372"/>
    <w:rsid w:val="F7D9AE4A"/>
    <w:rsid w:val="F975C5F3"/>
    <w:rsid w:val="FAFFEB3C"/>
    <w:rsid w:val="FBBFE1E2"/>
    <w:rsid w:val="FC1BD22D"/>
    <w:rsid w:val="FEF7E2C3"/>
    <w:rsid w:val="FF9ECB63"/>
    <w:rsid w:val="FFAF5C3D"/>
    <w:rsid w:val="FFB5FE69"/>
    <w:rsid w:val="FFBF4C1B"/>
    <w:rsid w:val="FFF75403"/>
    <w:rsid w:val="000004EB"/>
    <w:rsid w:val="00002285"/>
    <w:rsid w:val="00003899"/>
    <w:rsid w:val="00004463"/>
    <w:rsid w:val="000060EA"/>
    <w:rsid w:val="000073BF"/>
    <w:rsid w:val="0001155B"/>
    <w:rsid w:val="00011888"/>
    <w:rsid w:val="00013273"/>
    <w:rsid w:val="00022882"/>
    <w:rsid w:val="00022ABD"/>
    <w:rsid w:val="00023CBB"/>
    <w:rsid w:val="00025E1B"/>
    <w:rsid w:val="000331C9"/>
    <w:rsid w:val="000358E9"/>
    <w:rsid w:val="000362A9"/>
    <w:rsid w:val="0003724E"/>
    <w:rsid w:val="00037FA7"/>
    <w:rsid w:val="00040C58"/>
    <w:rsid w:val="00041768"/>
    <w:rsid w:val="00052E01"/>
    <w:rsid w:val="0005374C"/>
    <w:rsid w:val="00064EA6"/>
    <w:rsid w:val="000668E7"/>
    <w:rsid w:val="000669B3"/>
    <w:rsid w:val="00070C3A"/>
    <w:rsid w:val="00070CB6"/>
    <w:rsid w:val="00074580"/>
    <w:rsid w:val="00076069"/>
    <w:rsid w:val="00076CB1"/>
    <w:rsid w:val="00082F4A"/>
    <w:rsid w:val="000854C7"/>
    <w:rsid w:val="00087524"/>
    <w:rsid w:val="00087F4A"/>
    <w:rsid w:val="00097FBB"/>
    <w:rsid w:val="000A72A9"/>
    <w:rsid w:val="000B2908"/>
    <w:rsid w:val="000B2FB2"/>
    <w:rsid w:val="000B5668"/>
    <w:rsid w:val="000B7A54"/>
    <w:rsid w:val="000C0A66"/>
    <w:rsid w:val="000C38F4"/>
    <w:rsid w:val="000C4C1C"/>
    <w:rsid w:val="000C518C"/>
    <w:rsid w:val="000C577B"/>
    <w:rsid w:val="000D2401"/>
    <w:rsid w:val="000D30D6"/>
    <w:rsid w:val="000D3B1A"/>
    <w:rsid w:val="000D43B6"/>
    <w:rsid w:val="000E377B"/>
    <w:rsid w:val="000E3B9B"/>
    <w:rsid w:val="000E3D8A"/>
    <w:rsid w:val="000E7AB9"/>
    <w:rsid w:val="00103420"/>
    <w:rsid w:val="0010510C"/>
    <w:rsid w:val="00106D4F"/>
    <w:rsid w:val="0010711D"/>
    <w:rsid w:val="00111266"/>
    <w:rsid w:val="00124D96"/>
    <w:rsid w:val="0012545D"/>
    <w:rsid w:val="00136835"/>
    <w:rsid w:val="00137EDA"/>
    <w:rsid w:val="00141FA2"/>
    <w:rsid w:val="001519D5"/>
    <w:rsid w:val="00155B97"/>
    <w:rsid w:val="00156009"/>
    <w:rsid w:val="00156298"/>
    <w:rsid w:val="00157C7A"/>
    <w:rsid w:val="001610DA"/>
    <w:rsid w:val="00161939"/>
    <w:rsid w:val="00164274"/>
    <w:rsid w:val="0017061A"/>
    <w:rsid w:val="00177EC1"/>
    <w:rsid w:val="00184E69"/>
    <w:rsid w:val="0019683F"/>
    <w:rsid w:val="001970F0"/>
    <w:rsid w:val="00197CED"/>
    <w:rsid w:val="001A1743"/>
    <w:rsid w:val="001A196A"/>
    <w:rsid w:val="001A4FB4"/>
    <w:rsid w:val="001A57F3"/>
    <w:rsid w:val="001A60A3"/>
    <w:rsid w:val="001B2742"/>
    <w:rsid w:val="001B3003"/>
    <w:rsid w:val="001B4C7E"/>
    <w:rsid w:val="001C0482"/>
    <w:rsid w:val="001C56B2"/>
    <w:rsid w:val="001C5CE2"/>
    <w:rsid w:val="001D279E"/>
    <w:rsid w:val="001D280D"/>
    <w:rsid w:val="001D574E"/>
    <w:rsid w:val="001E2BD9"/>
    <w:rsid w:val="001E5EEE"/>
    <w:rsid w:val="001E6576"/>
    <w:rsid w:val="001E72D7"/>
    <w:rsid w:val="001F1BBA"/>
    <w:rsid w:val="001F45FE"/>
    <w:rsid w:val="001F6E05"/>
    <w:rsid w:val="002017AF"/>
    <w:rsid w:val="002034C5"/>
    <w:rsid w:val="00203C3F"/>
    <w:rsid w:val="00204028"/>
    <w:rsid w:val="002114C8"/>
    <w:rsid w:val="00211E13"/>
    <w:rsid w:val="00212BCB"/>
    <w:rsid w:val="00212FCF"/>
    <w:rsid w:val="00217540"/>
    <w:rsid w:val="00217E1A"/>
    <w:rsid w:val="00220B94"/>
    <w:rsid w:val="002220BE"/>
    <w:rsid w:val="00223C12"/>
    <w:rsid w:val="00225035"/>
    <w:rsid w:val="002263F7"/>
    <w:rsid w:val="0022778E"/>
    <w:rsid w:val="002308E2"/>
    <w:rsid w:val="002326F0"/>
    <w:rsid w:val="00236AB8"/>
    <w:rsid w:val="00236C6D"/>
    <w:rsid w:val="002409CE"/>
    <w:rsid w:val="00245D49"/>
    <w:rsid w:val="00246F00"/>
    <w:rsid w:val="002470E9"/>
    <w:rsid w:val="002506F4"/>
    <w:rsid w:val="0025101B"/>
    <w:rsid w:val="00251FF2"/>
    <w:rsid w:val="00253C1F"/>
    <w:rsid w:val="00254DCA"/>
    <w:rsid w:val="00256820"/>
    <w:rsid w:val="0025694E"/>
    <w:rsid w:val="00262CCC"/>
    <w:rsid w:val="00266E38"/>
    <w:rsid w:val="00267AB0"/>
    <w:rsid w:val="00280A1B"/>
    <w:rsid w:val="00285C03"/>
    <w:rsid w:val="00290760"/>
    <w:rsid w:val="00291240"/>
    <w:rsid w:val="00291D67"/>
    <w:rsid w:val="002A0D27"/>
    <w:rsid w:val="002A1121"/>
    <w:rsid w:val="002A407F"/>
    <w:rsid w:val="002A4E03"/>
    <w:rsid w:val="002A5336"/>
    <w:rsid w:val="002A65A5"/>
    <w:rsid w:val="002B12B0"/>
    <w:rsid w:val="002B6045"/>
    <w:rsid w:val="002C209E"/>
    <w:rsid w:val="002C2ADC"/>
    <w:rsid w:val="002C43B4"/>
    <w:rsid w:val="002C4472"/>
    <w:rsid w:val="002C4A52"/>
    <w:rsid w:val="002C4CB4"/>
    <w:rsid w:val="002C5BEA"/>
    <w:rsid w:val="002C6866"/>
    <w:rsid w:val="002D5710"/>
    <w:rsid w:val="002E3615"/>
    <w:rsid w:val="002E4F9D"/>
    <w:rsid w:val="002F2FA4"/>
    <w:rsid w:val="002F3641"/>
    <w:rsid w:val="00301C27"/>
    <w:rsid w:val="00303C24"/>
    <w:rsid w:val="00304AC8"/>
    <w:rsid w:val="00305322"/>
    <w:rsid w:val="00307A27"/>
    <w:rsid w:val="00310F28"/>
    <w:rsid w:val="00316327"/>
    <w:rsid w:val="003175E2"/>
    <w:rsid w:val="00320F5C"/>
    <w:rsid w:val="00322910"/>
    <w:rsid w:val="003311F3"/>
    <w:rsid w:val="00331A30"/>
    <w:rsid w:val="003377AB"/>
    <w:rsid w:val="00337DC5"/>
    <w:rsid w:val="0034486F"/>
    <w:rsid w:val="00352C07"/>
    <w:rsid w:val="003547F6"/>
    <w:rsid w:val="00355DAC"/>
    <w:rsid w:val="00355F3A"/>
    <w:rsid w:val="00356D99"/>
    <w:rsid w:val="00361D7B"/>
    <w:rsid w:val="00362A30"/>
    <w:rsid w:val="003637B2"/>
    <w:rsid w:val="0037176F"/>
    <w:rsid w:val="003743F5"/>
    <w:rsid w:val="003759B5"/>
    <w:rsid w:val="0037618C"/>
    <w:rsid w:val="003815B3"/>
    <w:rsid w:val="00387966"/>
    <w:rsid w:val="003A4BA4"/>
    <w:rsid w:val="003A7088"/>
    <w:rsid w:val="003A7C8B"/>
    <w:rsid w:val="003B2416"/>
    <w:rsid w:val="003B33E9"/>
    <w:rsid w:val="003B75B2"/>
    <w:rsid w:val="003C5B58"/>
    <w:rsid w:val="003C65ED"/>
    <w:rsid w:val="003C6C3E"/>
    <w:rsid w:val="003C7275"/>
    <w:rsid w:val="003D031D"/>
    <w:rsid w:val="003D6B21"/>
    <w:rsid w:val="003E2B1A"/>
    <w:rsid w:val="003E378D"/>
    <w:rsid w:val="003E475C"/>
    <w:rsid w:val="003E5037"/>
    <w:rsid w:val="003E7015"/>
    <w:rsid w:val="003E75CA"/>
    <w:rsid w:val="003E79E4"/>
    <w:rsid w:val="003F1A5E"/>
    <w:rsid w:val="00400E4C"/>
    <w:rsid w:val="004037E4"/>
    <w:rsid w:val="00403C57"/>
    <w:rsid w:val="004046BB"/>
    <w:rsid w:val="00405D7D"/>
    <w:rsid w:val="004062D7"/>
    <w:rsid w:val="004072DD"/>
    <w:rsid w:val="00411EE3"/>
    <w:rsid w:val="004134FD"/>
    <w:rsid w:val="004170FF"/>
    <w:rsid w:val="00422066"/>
    <w:rsid w:val="00423189"/>
    <w:rsid w:val="004255A3"/>
    <w:rsid w:val="004306E4"/>
    <w:rsid w:val="00433827"/>
    <w:rsid w:val="00434474"/>
    <w:rsid w:val="00434882"/>
    <w:rsid w:val="00440513"/>
    <w:rsid w:val="00443C26"/>
    <w:rsid w:val="004469EF"/>
    <w:rsid w:val="00446AEC"/>
    <w:rsid w:val="00453706"/>
    <w:rsid w:val="00456320"/>
    <w:rsid w:val="00460012"/>
    <w:rsid w:val="0046112B"/>
    <w:rsid w:val="00462C37"/>
    <w:rsid w:val="00462FA9"/>
    <w:rsid w:val="0046343B"/>
    <w:rsid w:val="00465D9D"/>
    <w:rsid w:val="00471252"/>
    <w:rsid w:val="00471C5C"/>
    <w:rsid w:val="004727FF"/>
    <w:rsid w:val="00474027"/>
    <w:rsid w:val="004744CB"/>
    <w:rsid w:val="0048539D"/>
    <w:rsid w:val="004854C9"/>
    <w:rsid w:val="00491D69"/>
    <w:rsid w:val="00492107"/>
    <w:rsid w:val="00494726"/>
    <w:rsid w:val="004A2F82"/>
    <w:rsid w:val="004A6E91"/>
    <w:rsid w:val="004B15B5"/>
    <w:rsid w:val="004B21B5"/>
    <w:rsid w:val="004B2FB5"/>
    <w:rsid w:val="004B4BE4"/>
    <w:rsid w:val="004B666E"/>
    <w:rsid w:val="004C102F"/>
    <w:rsid w:val="004C3495"/>
    <w:rsid w:val="004E0767"/>
    <w:rsid w:val="004E2417"/>
    <w:rsid w:val="004E4E23"/>
    <w:rsid w:val="004E507B"/>
    <w:rsid w:val="004E6AB1"/>
    <w:rsid w:val="004E7F36"/>
    <w:rsid w:val="004F1FC0"/>
    <w:rsid w:val="004F3C06"/>
    <w:rsid w:val="004F59C8"/>
    <w:rsid w:val="00500053"/>
    <w:rsid w:val="00500E51"/>
    <w:rsid w:val="00501479"/>
    <w:rsid w:val="0051166A"/>
    <w:rsid w:val="005124B3"/>
    <w:rsid w:val="005134F6"/>
    <w:rsid w:val="0051570C"/>
    <w:rsid w:val="00515D70"/>
    <w:rsid w:val="00516A7E"/>
    <w:rsid w:val="0051763C"/>
    <w:rsid w:val="005207CC"/>
    <w:rsid w:val="00522669"/>
    <w:rsid w:val="00524C75"/>
    <w:rsid w:val="00525F12"/>
    <w:rsid w:val="005261BE"/>
    <w:rsid w:val="005271AE"/>
    <w:rsid w:val="005300B1"/>
    <w:rsid w:val="0053382B"/>
    <w:rsid w:val="00534D31"/>
    <w:rsid w:val="0053648F"/>
    <w:rsid w:val="005429E8"/>
    <w:rsid w:val="00543F2B"/>
    <w:rsid w:val="005443A8"/>
    <w:rsid w:val="00545586"/>
    <w:rsid w:val="00545C68"/>
    <w:rsid w:val="00550990"/>
    <w:rsid w:val="005601E7"/>
    <w:rsid w:val="005635FB"/>
    <w:rsid w:val="00565201"/>
    <w:rsid w:val="005656A6"/>
    <w:rsid w:val="00567013"/>
    <w:rsid w:val="00567B4E"/>
    <w:rsid w:val="00570FAE"/>
    <w:rsid w:val="0057610D"/>
    <w:rsid w:val="005764C8"/>
    <w:rsid w:val="00576F46"/>
    <w:rsid w:val="005778E0"/>
    <w:rsid w:val="00583671"/>
    <w:rsid w:val="0058484E"/>
    <w:rsid w:val="00585291"/>
    <w:rsid w:val="00587180"/>
    <w:rsid w:val="00587C7F"/>
    <w:rsid w:val="00590500"/>
    <w:rsid w:val="005909E5"/>
    <w:rsid w:val="00591D2A"/>
    <w:rsid w:val="00596955"/>
    <w:rsid w:val="005978C1"/>
    <w:rsid w:val="005A60BB"/>
    <w:rsid w:val="005B1183"/>
    <w:rsid w:val="005B40EE"/>
    <w:rsid w:val="005B419F"/>
    <w:rsid w:val="005B476D"/>
    <w:rsid w:val="005B48EA"/>
    <w:rsid w:val="005C38A9"/>
    <w:rsid w:val="005C4A00"/>
    <w:rsid w:val="005C7052"/>
    <w:rsid w:val="005E344A"/>
    <w:rsid w:val="005E4E0F"/>
    <w:rsid w:val="005F13A8"/>
    <w:rsid w:val="005F332E"/>
    <w:rsid w:val="005F474B"/>
    <w:rsid w:val="005F56BC"/>
    <w:rsid w:val="00601551"/>
    <w:rsid w:val="00603146"/>
    <w:rsid w:val="00605F11"/>
    <w:rsid w:val="006117E2"/>
    <w:rsid w:val="00611A59"/>
    <w:rsid w:val="00611F67"/>
    <w:rsid w:val="006142A8"/>
    <w:rsid w:val="0061702F"/>
    <w:rsid w:val="00617435"/>
    <w:rsid w:val="00617784"/>
    <w:rsid w:val="006205EC"/>
    <w:rsid w:val="006235D3"/>
    <w:rsid w:val="0062371E"/>
    <w:rsid w:val="00623C92"/>
    <w:rsid w:val="006241F5"/>
    <w:rsid w:val="00624F48"/>
    <w:rsid w:val="0062618E"/>
    <w:rsid w:val="00626E53"/>
    <w:rsid w:val="006319C8"/>
    <w:rsid w:val="00631E09"/>
    <w:rsid w:val="006329E9"/>
    <w:rsid w:val="0063316C"/>
    <w:rsid w:val="0063755B"/>
    <w:rsid w:val="0064166C"/>
    <w:rsid w:val="00645DCC"/>
    <w:rsid w:val="00646F9D"/>
    <w:rsid w:val="00647731"/>
    <w:rsid w:val="006511E2"/>
    <w:rsid w:val="00656A01"/>
    <w:rsid w:val="006645BF"/>
    <w:rsid w:val="006676AE"/>
    <w:rsid w:val="00670610"/>
    <w:rsid w:val="00670A48"/>
    <w:rsid w:val="0067212F"/>
    <w:rsid w:val="00674F79"/>
    <w:rsid w:val="00675E70"/>
    <w:rsid w:val="006763E0"/>
    <w:rsid w:val="00680376"/>
    <w:rsid w:val="006831FC"/>
    <w:rsid w:val="00687F11"/>
    <w:rsid w:val="006937BA"/>
    <w:rsid w:val="0069602E"/>
    <w:rsid w:val="00696A1E"/>
    <w:rsid w:val="00697AAF"/>
    <w:rsid w:val="006A137D"/>
    <w:rsid w:val="006A16C7"/>
    <w:rsid w:val="006A7618"/>
    <w:rsid w:val="006A7739"/>
    <w:rsid w:val="006B0C3E"/>
    <w:rsid w:val="006B5EB0"/>
    <w:rsid w:val="006B62DC"/>
    <w:rsid w:val="006C2C9C"/>
    <w:rsid w:val="006C2FB0"/>
    <w:rsid w:val="006C31D9"/>
    <w:rsid w:val="006C4D94"/>
    <w:rsid w:val="006C77AE"/>
    <w:rsid w:val="006D0E19"/>
    <w:rsid w:val="006D18EB"/>
    <w:rsid w:val="006D1B88"/>
    <w:rsid w:val="006D7797"/>
    <w:rsid w:val="006E1705"/>
    <w:rsid w:val="006E2170"/>
    <w:rsid w:val="006E2239"/>
    <w:rsid w:val="006E3E90"/>
    <w:rsid w:val="006E4219"/>
    <w:rsid w:val="006E4F51"/>
    <w:rsid w:val="006E7B27"/>
    <w:rsid w:val="006F42C8"/>
    <w:rsid w:val="006F68FC"/>
    <w:rsid w:val="00700029"/>
    <w:rsid w:val="00700C30"/>
    <w:rsid w:val="00700F4A"/>
    <w:rsid w:val="007018FB"/>
    <w:rsid w:val="007056A3"/>
    <w:rsid w:val="007121CF"/>
    <w:rsid w:val="0071297F"/>
    <w:rsid w:val="00712A6A"/>
    <w:rsid w:val="00715C91"/>
    <w:rsid w:val="007166A4"/>
    <w:rsid w:val="0072074F"/>
    <w:rsid w:val="00721110"/>
    <w:rsid w:val="007213E9"/>
    <w:rsid w:val="00721F93"/>
    <w:rsid w:val="00722F8E"/>
    <w:rsid w:val="00733748"/>
    <w:rsid w:val="00737850"/>
    <w:rsid w:val="007379C3"/>
    <w:rsid w:val="00737B51"/>
    <w:rsid w:val="00747DD7"/>
    <w:rsid w:val="00751645"/>
    <w:rsid w:val="007537F4"/>
    <w:rsid w:val="00756AF6"/>
    <w:rsid w:val="00757303"/>
    <w:rsid w:val="00757A10"/>
    <w:rsid w:val="00761415"/>
    <w:rsid w:val="0076198F"/>
    <w:rsid w:val="007624CF"/>
    <w:rsid w:val="007633B6"/>
    <w:rsid w:val="00763E48"/>
    <w:rsid w:val="0076535A"/>
    <w:rsid w:val="00765463"/>
    <w:rsid w:val="00766019"/>
    <w:rsid w:val="0077183D"/>
    <w:rsid w:val="00771FDF"/>
    <w:rsid w:val="00773322"/>
    <w:rsid w:val="007819F9"/>
    <w:rsid w:val="00781B6A"/>
    <w:rsid w:val="00782122"/>
    <w:rsid w:val="0078417F"/>
    <w:rsid w:val="00784D7E"/>
    <w:rsid w:val="0078562A"/>
    <w:rsid w:val="007865EC"/>
    <w:rsid w:val="00786F94"/>
    <w:rsid w:val="007875A7"/>
    <w:rsid w:val="007924EA"/>
    <w:rsid w:val="007933C2"/>
    <w:rsid w:val="007958CE"/>
    <w:rsid w:val="007A035A"/>
    <w:rsid w:val="007A1B16"/>
    <w:rsid w:val="007A3CDA"/>
    <w:rsid w:val="007A3EC4"/>
    <w:rsid w:val="007A48E9"/>
    <w:rsid w:val="007A49FA"/>
    <w:rsid w:val="007B12C5"/>
    <w:rsid w:val="007B1550"/>
    <w:rsid w:val="007B35EB"/>
    <w:rsid w:val="007B4C02"/>
    <w:rsid w:val="007B66BA"/>
    <w:rsid w:val="007C3771"/>
    <w:rsid w:val="007C5523"/>
    <w:rsid w:val="007C70AC"/>
    <w:rsid w:val="007D3D26"/>
    <w:rsid w:val="007D42B4"/>
    <w:rsid w:val="007D6338"/>
    <w:rsid w:val="007D6CCA"/>
    <w:rsid w:val="007D78DF"/>
    <w:rsid w:val="007E0947"/>
    <w:rsid w:val="007E6978"/>
    <w:rsid w:val="007E7AE4"/>
    <w:rsid w:val="007E7E5E"/>
    <w:rsid w:val="007F0A41"/>
    <w:rsid w:val="007F206A"/>
    <w:rsid w:val="007F293C"/>
    <w:rsid w:val="007F575A"/>
    <w:rsid w:val="007F620C"/>
    <w:rsid w:val="0080006E"/>
    <w:rsid w:val="00800E53"/>
    <w:rsid w:val="0080301B"/>
    <w:rsid w:val="00810B0F"/>
    <w:rsid w:val="00812366"/>
    <w:rsid w:val="0081363C"/>
    <w:rsid w:val="00814BA1"/>
    <w:rsid w:val="00815EDA"/>
    <w:rsid w:val="00816703"/>
    <w:rsid w:val="00820248"/>
    <w:rsid w:val="00823F7C"/>
    <w:rsid w:val="00825492"/>
    <w:rsid w:val="0083125B"/>
    <w:rsid w:val="0083441B"/>
    <w:rsid w:val="00835637"/>
    <w:rsid w:val="008410FE"/>
    <w:rsid w:val="008412CA"/>
    <w:rsid w:val="0084173F"/>
    <w:rsid w:val="00845DF7"/>
    <w:rsid w:val="0084695F"/>
    <w:rsid w:val="00846DB1"/>
    <w:rsid w:val="00847239"/>
    <w:rsid w:val="00854D09"/>
    <w:rsid w:val="00863707"/>
    <w:rsid w:val="00876E51"/>
    <w:rsid w:val="00881A3B"/>
    <w:rsid w:val="008901A9"/>
    <w:rsid w:val="00892705"/>
    <w:rsid w:val="008935AD"/>
    <w:rsid w:val="00893B96"/>
    <w:rsid w:val="008968F4"/>
    <w:rsid w:val="008A64FA"/>
    <w:rsid w:val="008A695C"/>
    <w:rsid w:val="008A6F4B"/>
    <w:rsid w:val="008A710B"/>
    <w:rsid w:val="008B3ADF"/>
    <w:rsid w:val="008C0650"/>
    <w:rsid w:val="008C1E50"/>
    <w:rsid w:val="008C486C"/>
    <w:rsid w:val="008C4AEE"/>
    <w:rsid w:val="008D04FE"/>
    <w:rsid w:val="008D2627"/>
    <w:rsid w:val="008D2FF9"/>
    <w:rsid w:val="008D4933"/>
    <w:rsid w:val="008E0563"/>
    <w:rsid w:val="008E05B2"/>
    <w:rsid w:val="008E0B67"/>
    <w:rsid w:val="008E3687"/>
    <w:rsid w:val="008E4E17"/>
    <w:rsid w:val="008F1225"/>
    <w:rsid w:val="008F13D8"/>
    <w:rsid w:val="008F18A2"/>
    <w:rsid w:val="00900C33"/>
    <w:rsid w:val="00904D68"/>
    <w:rsid w:val="00906A63"/>
    <w:rsid w:val="00912E07"/>
    <w:rsid w:val="0091329C"/>
    <w:rsid w:val="0091362D"/>
    <w:rsid w:val="0091380C"/>
    <w:rsid w:val="00917461"/>
    <w:rsid w:val="009174F2"/>
    <w:rsid w:val="0091788F"/>
    <w:rsid w:val="00921890"/>
    <w:rsid w:val="0092291D"/>
    <w:rsid w:val="00925863"/>
    <w:rsid w:val="00925977"/>
    <w:rsid w:val="0092645E"/>
    <w:rsid w:val="0093615D"/>
    <w:rsid w:val="00936BB3"/>
    <w:rsid w:val="00943875"/>
    <w:rsid w:val="00946B80"/>
    <w:rsid w:val="009514B7"/>
    <w:rsid w:val="00957919"/>
    <w:rsid w:val="00962D97"/>
    <w:rsid w:val="009642A8"/>
    <w:rsid w:val="0096603C"/>
    <w:rsid w:val="00966EE2"/>
    <w:rsid w:val="009700AB"/>
    <w:rsid w:val="00970617"/>
    <w:rsid w:val="009709D0"/>
    <w:rsid w:val="00973A00"/>
    <w:rsid w:val="00973E4F"/>
    <w:rsid w:val="0097447C"/>
    <w:rsid w:val="009755C8"/>
    <w:rsid w:val="00975A30"/>
    <w:rsid w:val="009847D0"/>
    <w:rsid w:val="009852F8"/>
    <w:rsid w:val="00985CF4"/>
    <w:rsid w:val="00990B25"/>
    <w:rsid w:val="00993166"/>
    <w:rsid w:val="00994B61"/>
    <w:rsid w:val="00996E5C"/>
    <w:rsid w:val="009A1FBA"/>
    <w:rsid w:val="009A3069"/>
    <w:rsid w:val="009A6255"/>
    <w:rsid w:val="009B0BE3"/>
    <w:rsid w:val="009B13A4"/>
    <w:rsid w:val="009B48BE"/>
    <w:rsid w:val="009B6635"/>
    <w:rsid w:val="009B74DF"/>
    <w:rsid w:val="009C0B3F"/>
    <w:rsid w:val="009C2D91"/>
    <w:rsid w:val="009C4D5D"/>
    <w:rsid w:val="009D1F2D"/>
    <w:rsid w:val="009D2D11"/>
    <w:rsid w:val="009D31EC"/>
    <w:rsid w:val="009D42FA"/>
    <w:rsid w:val="009D5D3B"/>
    <w:rsid w:val="009D64FD"/>
    <w:rsid w:val="009D663A"/>
    <w:rsid w:val="009E34F1"/>
    <w:rsid w:val="009E40DD"/>
    <w:rsid w:val="009E5A8C"/>
    <w:rsid w:val="009E6DA1"/>
    <w:rsid w:val="009F1386"/>
    <w:rsid w:val="00A00E60"/>
    <w:rsid w:val="00A02363"/>
    <w:rsid w:val="00A03211"/>
    <w:rsid w:val="00A106B5"/>
    <w:rsid w:val="00A14707"/>
    <w:rsid w:val="00A148DA"/>
    <w:rsid w:val="00A15398"/>
    <w:rsid w:val="00A1600B"/>
    <w:rsid w:val="00A16354"/>
    <w:rsid w:val="00A16540"/>
    <w:rsid w:val="00A25C3A"/>
    <w:rsid w:val="00A273A2"/>
    <w:rsid w:val="00A32193"/>
    <w:rsid w:val="00A36029"/>
    <w:rsid w:val="00A36993"/>
    <w:rsid w:val="00A36A38"/>
    <w:rsid w:val="00A400A9"/>
    <w:rsid w:val="00A41610"/>
    <w:rsid w:val="00A417DD"/>
    <w:rsid w:val="00A46616"/>
    <w:rsid w:val="00A55DAB"/>
    <w:rsid w:val="00A65045"/>
    <w:rsid w:val="00A7163B"/>
    <w:rsid w:val="00A77E9F"/>
    <w:rsid w:val="00A82254"/>
    <w:rsid w:val="00A825AA"/>
    <w:rsid w:val="00A83069"/>
    <w:rsid w:val="00A8358D"/>
    <w:rsid w:val="00A85F20"/>
    <w:rsid w:val="00A917E0"/>
    <w:rsid w:val="00A92970"/>
    <w:rsid w:val="00A92E93"/>
    <w:rsid w:val="00A94564"/>
    <w:rsid w:val="00A95C4E"/>
    <w:rsid w:val="00AA1012"/>
    <w:rsid w:val="00AA5807"/>
    <w:rsid w:val="00AB33FA"/>
    <w:rsid w:val="00AB3B9C"/>
    <w:rsid w:val="00AB40C5"/>
    <w:rsid w:val="00AC2AC5"/>
    <w:rsid w:val="00AC3C1D"/>
    <w:rsid w:val="00AC539A"/>
    <w:rsid w:val="00AC61C1"/>
    <w:rsid w:val="00AC7454"/>
    <w:rsid w:val="00AC7B01"/>
    <w:rsid w:val="00AD4C68"/>
    <w:rsid w:val="00AD61DB"/>
    <w:rsid w:val="00AD6E3D"/>
    <w:rsid w:val="00AE05F7"/>
    <w:rsid w:val="00AE2A4F"/>
    <w:rsid w:val="00AE5D3A"/>
    <w:rsid w:val="00AF38C3"/>
    <w:rsid w:val="00B06008"/>
    <w:rsid w:val="00B061BC"/>
    <w:rsid w:val="00B105A4"/>
    <w:rsid w:val="00B10D8A"/>
    <w:rsid w:val="00B115BC"/>
    <w:rsid w:val="00B13080"/>
    <w:rsid w:val="00B16FB3"/>
    <w:rsid w:val="00B22669"/>
    <w:rsid w:val="00B22A58"/>
    <w:rsid w:val="00B272D3"/>
    <w:rsid w:val="00B3749C"/>
    <w:rsid w:val="00B438E6"/>
    <w:rsid w:val="00B44200"/>
    <w:rsid w:val="00B45C0F"/>
    <w:rsid w:val="00B51CD7"/>
    <w:rsid w:val="00B52052"/>
    <w:rsid w:val="00B523AB"/>
    <w:rsid w:val="00B60F32"/>
    <w:rsid w:val="00B63F65"/>
    <w:rsid w:val="00B655D3"/>
    <w:rsid w:val="00B72A3B"/>
    <w:rsid w:val="00B77666"/>
    <w:rsid w:val="00B828E5"/>
    <w:rsid w:val="00B828F9"/>
    <w:rsid w:val="00B872B6"/>
    <w:rsid w:val="00B90091"/>
    <w:rsid w:val="00B901EF"/>
    <w:rsid w:val="00BA0706"/>
    <w:rsid w:val="00BA0E9D"/>
    <w:rsid w:val="00BA1739"/>
    <w:rsid w:val="00BA57A8"/>
    <w:rsid w:val="00BA5DB9"/>
    <w:rsid w:val="00BA774D"/>
    <w:rsid w:val="00BA775A"/>
    <w:rsid w:val="00BB027C"/>
    <w:rsid w:val="00BB1C5B"/>
    <w:rsid w:val="00BC492A"/>
    <w:rsid w:val="00BD0D33"/>
    <w:rsid w:val="00BD709E"/>
    <w:rsid w:val="00BD7586"/>
    <w:rsid w:val="00BD7D79"/>
    <w:rsid w:val="00BE0F6E"/>
    <w:rsid w:val="00BE21BD"/>
    <w:rsid w:val="00BE32FE"/>
    <w:rsid w:val="00BE5C44"/>
    <w:rsid w:val="00BF10BB"/>
    <w:rsid w:val="00BF22AB"/>
    <w:rsid w:val="00BF4A47"/>
    <w:rsid w:val="00BF4ECA"/>
    <w:rsid w:val="00BF54AA"/>
    <w:rsid w:val="00BF6424"/>
    <w:rsid w:val="00C00561"/>
    <w:rsid w:val="00C036B5"/>
    <w:rsid w:val="00C04B35"/>
    <w:rsid w:val="00C05335"/>
    <w:rsid w:val="00C1374C"/>
    <w:rsid w:val="00C17B3F"/>
    <w:rsid w:val="00C208D7"/>
    <w:rsid w:val="00C21B36"/>
    <w:rsid w:val="00C22196"/>
    <w:rsid w:val="00C24D6A"/>
    <w:rsid w:val="00C32C02"/>
    <w:rsid w:val="00C32FA7"/>
    <w:rsid w:val="00C370A4"/>
    <w:rsid w:val="00C37261"/>
    <w:rsid w:val="00C409ED"/>
    <w:rsid w:val="00C40B50"/>
    <w:rsid w:val="00C4300B"/>
    <w:rsid w:val="00C44935"/>
    <w:rsid w:val="00C44C41"/>
    <w:rsid w:val="00C45199"/>
    <w:rsid w:val="00C4577A"/>
    <w:rsid w:val="00C468CF"/>
    <w:rsid w:val="00C5194C"/>
    <w:rsid w:val="00C53360"/>
    <w:rsid w:val="00C533AD"/>
    <w:rsid w:val="00C533D6"/>
    <w:rsid w:val="00C6135C"/>
    <w:rsid w:val="00C645AD"/>
    <w:rsid w:val="00C65389"/>
    <w:rsid w:val="00C66F6C"/>
    <w:rsid w:val="00C67BB7"/>
    <w:rsid w:val="00C719B3"/>
    <w:rsid w:val="00C75106"/>
    <w:rsid w:val="00C82355"/>
    <w:rsid w:val="00C83521"/>
    <w:rsid w:val="00C84F1F"/>
    <w:rsid w:val="00C85A3F"/>
    <w:rsid w:val="00C85AE3"/>
    <w:rsid w:val="00C91102"/>
    <w:rsid w:val="00C916D4"/>
    <w:rsid w:val="00C94E4D"/>
    <w:rsid w:val="00CA313D"/>
    <w:rsid w:val="00CA4A0C"/>
    <w:rsid w:val="00CA51ED"/>
    <w:rsid w:val="00CA5209"/>
    <w:rsid w:val="00CB025E"/>
    <w:rsid w:val="00CB040E"/>
    <w:rsid w:val="00CB335B"/>
    <w:rsid w:val="00CB4494"/>
    <w:rsid w:val="00CB5007"/>
    <w:rsid w:val="00CC3C1E"/>
    <w:rsid w:val="00CC3F5D"/>
    <w:rsid w:val="00CD0F36"/>
    <w:rsid w:val="00CD6D14"/>
    <w:rsid w:val="00CD729A"/>
    <w:rsid w:val="00CE39BC"/>
    <w:rsid w:val="00CE5191"/>
    <w:rsid w:val="00CE53C6"/>
    <w:rsid w:val="00CE6749"/>
    <w:rsid w:val="00D02FB1"/>
    <w:rsid w:val="00D14340"/>
    <w:rsid w:val="00D1558C"/>
    <w:rsid w:val="00D17BA8"/>
    <w:rsid w:val="00D231AB"/>
    <w:rsid w:val="00D26EC8"/>
    <w:rsid w:val="00D26F6C"/>
    <w:rsid w:val="00D271FD"/>
    <w:rsid w:val="00D3053E"/>
    <w:rsid w:val="00D30706"/>
    <w:rsid w:val="00D40475"/>
    <w:rsid w:val="00D40CE9"/>
    <w:rsid w:val="00D41417"/>
    <w:rsid w:val="00D41DFA"/>
    <w:rsid w:val="00D45A80"/>
    <w:rsid w:val="00D47255"/>
    <w:rsid w:val="00D50808"/>
    <w:rsid w:val="00D5163A"/>
    <w:rsid w:val="00D53947"/>
    <w:rsid w:val="00D54914"/>
    <w:rsid w:val="00D55E46"/>
    <w:rsid w:val="00D60581"/>
    <w:rsid w:val="00D6136B"/>
    <w:rsid w:val="00D627B1"/>
    <w:rsid w:val="00D66A37"/>
    <w:rsid w:val="00D6752B"/>
    <w:rsid w:val="00D67DBF"/>
    <w:rsid w:val="00D712FE"/>
    <w:rsid w:val="00D741B0"/>
    <w:rsid w:val="00D75B3A"/>
    <w:rsid w:val="00D765E5"/>
    <w:rsid w:val="00D80FAF"/>
    <w:rsid w:val="00D83BA6"/>
    <w:rsid w:val="00D86449"/>
    <w:rsid w:val="00D90EF9"/>
    <w:rsid w:val="00DA2DB3"/>
    <w:rsid w:val="00DA3339"/>
    <w:rsid w:val="00DB2A33"/>
    <w:rsid w:val="00DC4646"/>
    <w:rsid w:val="00DC4F0C"/>
    <w:rsid w:val="00DD5454"/>
    <w:rsid w:val="00DD68C5"/>
    <w:rsid w:val="00DD6D37"/>
    <w:rsid w:val="00DE3719"/>
    <w:rsid w:val="00DE4303"/>
    <w:rsid w:val="00DE45BC"/>
    <w:rsid w:val="00DE73E4"/>
    <w:rsid w:val="00DF1DF8"/>
    <w:rsid w:val="00DF7991"/>
    <w:rsid w:val="00E03176"/>
    <w:rsid w:val="00E03BA0"/>
    <w:rsid w:val="00E10711"/>
    <w:rsid w:val="00E13BD4"/>
    <w:rsid w:val="00E1753A"/>
    <w:rsid w:val="00E1766A"/>
    <w:rsid w:val="00E2013B"/>
    <w:rsid w:val="00E25EC2"/>
    <w:rsid w:val="00E31773"/>
    <w:rsid w:val="00E334F7"/>
    <w:rsid w:val="00E338B2"/>
    <w:rsid w:val="00E40CED"/>
    <w:rsid w:val="00E41673"/>
    <w:rsid w:val="00E4185E"/>
    <w:rsid w:val="00E4321A"/>
    <w:rsid w:val="00E43E08"/>
    <w:rsid w:val="00E456D8"/>
    <w:rsid w:val="00E459FB"/>
    <w:rsid w:val="00E476C6"/>
    <w:rsid w:val="00E51F9D"/>
    <w:rsid w:val="00E60F43"/>
    <w:rsid w:val="00E62CCB"/>
    <w:rsid w:val="00E63F46"/>
    <w:rsid w:val="00E666DF"/>
    <w:rsid w:val="00E677F6"/>
    <w:rsid w:val="00E714B8"/>
    <w:rsid w:val="00E730D6"/>
    <w:rsid w:val="00E744B4"/>
    <w:rsid w:val="00E74CDA"/>
    <w:rsid w:val="00E75DB0"/>
    <w:rsid w:val="00E76CE8"/>
    <w:rsid w:val="00E77A07"/>
    <w:rsid w:val="00E77D60"/>
    <w:rsid w:val="00E81E09"/>
    <w:rsid w:val="00E8215C"/>
    <w:rsid w:val="00E848C3"/>
    <w:rsid w:val="00E86826"/>
    <w:rsid w:val="00E9217E"/>
    <w:rsid w:val="00EA309B"/>
    <w:rsid w:val="00EA638D"/>
    <w:rsid w:val="00EA6615"/>
    <w:rsid w:val="00EA67E2"/>
    <w:rsid w:val="00EB1D0F"/>
    <w:rsid w:val="00EB1F2A"/>
    <w:rsid w:val="00EB2D5C"/>
    <w:rsid w:val="00EB5AAE"/>
    <w:rsid w:val="00EB69A2"/>
    <w:rsid w:val="00EB6CFD"/>
    <w:rsid w:val="00EC1739"/>
    <w:rsid w:val="00EC331D"/>
    <w:rsid w:val="00EC57D8"/>
    <w:rsid w:val="00EC6613"/>
    <w:rsid w:val="00EC76D4"/>
    <w:rsid w:val="00ED2BEF"/>
    <w:rsid w:val="00ED64A2"/>
    <w:rsid w:val="00EE4929"/>
    <w:rsid w:val="00EE4F1F"/>
    <w:rsid w:val="00EE6BFA"/>
    <w:rsid w:val="00EF1E5A"/>
    <w:rsid w:val="00EF5160"/>
    <w:rsid w:val="00EF6F7C"/>
    <w:rsid w:val="00EF7000"/>
    <w:rsid w:val="00EF7DE7"/>
    <w:rsid w:val="00F018C6"/>
    <w:rsid w:val="00F057BF"/>
    <w:rsid w:val="00F12207"/>
    <w:rsid w:val="00F15B69"/>
    <w:rsid w:val="00F17EEF"/>
    <w:rsid w:val="00F17F26"/>
    <w:rsid w:val="00F2150B"/>
    <w:rsid w:val="00F220B5"/>
    <w:rsid w:val="00F22C5C"/>
    <w:rsid w:val="00F25665"/>
    <w:rsid w:val="00F25778"/>
    <w:rsid w:val="00F27528"/>
    <w:rsid w:val="00F27AC1"/>
    <w:rsid w:val="00F328DD"/>
    <w:rsid w:val="00F40B2A"/>
    <w:rsid w:val="00F4161E"/>
    <w:rsid w:val="00F4305A"/>
    <w:rsid w:val="00F449E2"/>
    <w:rsid w:val="00F472EC"/>
    <w:rsid w:val="00F50EB9"/>
    <w:rsid w:val="00F5157E"/>
    <w:rsid w:val="00F51FD0"/>
    <w:rsid w:val="00F5491F"/>
    <w:rsid w:val="00F60DB6"/>
    <w:rsid w:val="00F63862"/>
    <w:rsid w:val="00F65B35"/>
    <w:rsid w:val="00F73841"/>
    <w:rsid w:val="00F7720A"/>
    <w:rsid w:val="00F77E72"/>
    <w:rsid w:val="00F811EC"/>
    <w:rsid w:val="00F86758"/>
    <w:rsid w:val="00F87145"/>
    <w:rsid w:val="00F95E83"/>
    <w:rsid w:val="00F96870"/>
    <w:rsid w:val="00FA0049"/>
    <w:rsid w:val="00FA2C4B"/>
    <w:rsid w:val="00FA2E15"/>
    <w:rsid w:val="00FA3649"/>
    <w:rsid w:val="00FA4B56"/>
    <w:rsid w:val="00FA7E03"/>
    <w:rsid w:val="00FB134A"/>
    <w:rsid w:val="00FB3F53"/>
    <w:rsid w:val="00FB7123"/>
    <w:rsid w:val="00FB785C"/>
    <w:rsid w:val="00FC2146"/>
    <w:rsid w:val="00FC5DFC"/>
    <w:rsid w:val="00FC6DAC"/>
    <w:rsid w:val="00FC710A"/>
    <w:rsid w:val="00FC7C00"/>
    <w:rsid w:val="00FD2E78"/>
    <w:rsid w:val="00FD3C53"/>
    <w:rsid w:val="00FD7719"/>
    <w:rsid w:val="00FD77C6"/>
    <w:rsid w:val="00FE2158"/>
    <w:rsid w:val="00FE2FEB"/>
    <w:rsid w:val="00FE69F4"/>
    <w:rsid w:val="00FF0CB6"/>
    <w:rsid w:val="00FF1196"/>
    <w:rsid w:val="00FF2D6A"/>
    <w:rsid w:val="0F5F048E"/>
    <w:rsid w:val="0FFA107F"/>
    <w:rsid w:val="1E9DB1E8"/>
    <w:rsid w:val="1F7B471E"/>
    <w:rsid w:val="3FEDC06D"/>
    <w:rsid w:val="46FA9AB6"/>
    <w:rsid w:val="4D5FC918"/>
    <w:rsid w:val="57FD29B8"/>
    <w:rsid w:val="59DB81C7"/>
    <w:rsid w:val="5B7FD4FC"/>
    <w:rsid w:val="5DB5D693"/>
    <w:rsid w:val="5F3B0A1A"/>
    <w:rsid w:val="5F7F86BD"/>
    <w:rsid w:val="5FF5ED49"/>
    <w:rsid w:val="63E6C8C6"/>
    <w:rsid w:val="6A7BB84A"/>
    <w:rsid w:val="6B823693"/>
    <w:rsid w:val="6CB20BCE"/>
    <w:rsid w:val="6DDF0C38"/>
    <w:rsid w:val="6F570EDD"/>
    <w:rsid w:val="7733CC6A"/>
    <w:rsid w:val="777F1DBF"/>
    <w:rsid w:val="77BD54E0"/>
    <w:rsid w:val="7B6FCD2C"/>
    <w:rsid w:val="7B7F4F74"/>
    <w:rsid w:val="7BC5DE5A"/>
    <w:rsid w:val="7BE41821"/>
    <w:rsid w:val="7CF632EF"/>
    <w:rsid w:val="7DA717FA"/>
    <w:rsid w:val="7DD5B151"/>
    <w:rsid w:val="7DEE26F7"/>
    <w:rsid w:val="7EE75535"/>
    <w:rsid w:val="7EFD89E6"/>
    <w:rsid w:val="7F67E1C4"/>
    <w:rsid w:val="7F6CCB4A"/>
    <w:rsid w:val="7FBF18DC"/>
    <w:rsid w:val="7FEFFE3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rFonts w:asciiTheme="minorHAnsi" w:eastAsiaTheme="minorEastAsia" w:hAnsiTheme="minorHAnsi" w:cstheme="minorBidi"/>
      <w:sz w:val="22"/>
      <w:szCs w:val="22"/>
      <w:lang w:val="ru-RU" w:eastAsia="ru-RU"/>
    </w:rPr>
  </w:style>
  <w:style w:type="paragraph" w:styleId="2">
    <w:name w:val="heading 2"/>
    <w:basedOn w:val="a"/>
    <w:next w:val="a"/>
    <w:link w:val="20"/>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pPr>
      <w:keepNext/>
      <w:keepLines/>
      <w:spacing w:before="40" w:after="0"/>
      <w:outlineLvl w:val="2"/>
    </w:pPr>
    <w:rPr>
      <w:rFonts w:asciiTheme="majorHAnsi" w:eastAsiaTheme="majorEastAsia" w:hAnsiTheme="majorHAnsi" w:cstheme="majorBidi"/>
      <w:color w:val="244061"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pPr>
      <w:spacing w:after="0" w:line="240" w:lineRule="auto"/>
    </w:pPr>
    <w:rPr>
      <w:rFonts w:ascii="Tahoma" w:hAnsi="Tahoma" w:cs="Tahoma"/>
      <w:sz w:val="16"/>
      <w:szCs w:val="16"/>
    </w:rPr>
  </w:style>
  <w:style w:type="character" w:styleId="a5">
    <w:name w:val="annotation reference"/>
    <w:basedOn w:val="a0"/>
    <w:uiPriority w:val="99"/>
    <w:semiHidden/>
    <w:unhideWhenUsed/>
    <w:rPr>
      <w:sz w:val="16"/>
      <w:szCs w:val="16"/>
    </w:rPr>
  </w:style>
  <w:style w:type="paragraph" w:styleId="a6">
    <w:name w:val="annotation text"/>
    <w:basedOn w:val="a"/>
    <w:link w:val="a7"/>
    <w:uiPriority w:val="99"/>
    <w:semiHidden/>
    <w:unhideWhenUsed/>
    <w:pPr>
      <w:spacing w:line="240" w:lineRule="auto"/>
    </w:pPr>
    <w:rPr>
      <w:sz w:val="20"/>
      <w:szCs w:val="20"/>
    </w:rPr>
  </w:style>
  <w:style w:type="paragraph" w:styleId="a8">
    <w:name w:val="annotation subject"/>
    <w:basedOn w:val="a6"/>
    <w:next w:val="a6"/>
    <w:link w:val="a9"/>
    <w:uiPriority w:val="99"/>
    <w:semiHidden/>
    <w:unhideWhenUsed/>
    <w:rPr>
      <w:b/>
      <w:bCs/>
    </w:rPr>
  </w:style>
  <w:style w:type="character" w:styleId="aa">
    <w:name w:val="FollowedHyperlink"/>
    <w:basedOn w:val="a0"/>
    <w:uiPriority w:val="99"/>
    <w:semiHidden/>
    <w:unhideWhenUsed/>
    <w:rPr>
      <w:color w:val="800080" w:themeColor="followedHyperlink"/>
      <w:u w:val="single"/>
    </w:rPr>
  </w:style>
  <w:style w:type="paragraph" w:styleId="ab">
    <w:name w:val="footer"/>
    <w:basedOn w:val="a"/>
    <w:link w:val="ac"/>
    <w:uiPriority w:val="99"/>
    <w:unhideWhenUsed/>
    <w:pPr>
      <w:tabs>
        <w:tab w:val="center" w:pos="4677"/>
        <w:tab w:val="right" w:pos="9355"/>
      </w:tabs>
      <w:spacing w:after="0" w:line="240" w:lineRule="auto"/>
    </w:pPr>
  </w:style>
  <w:style w:type="paragraph" w:styleId="ad">
    <w:name w:val="header"/>
    <w:basedOn w:val="a"/>
    <w:link w:val="ae"/>
    <w:uiPriority w:val="99"/>
    <w:unhideWhenUsed/>
    <w:pPr>
      <w:tabs>
        <w:tab w:val="center" w:pos="4677"/>
        <w:tab w:val="right" w:pos="9355"/>
      </w:tabs>
      <w:spacing w:after="0" w:line="240" w:lineRule="auto"/>
    </w:pPr>
  </w:style>
  <w:style w:type="paragraph" w:styleId="HTML">
    <w:name w:val="HTML Preformatted"/>
    <w:basedOn w:val="a"/>
    <w:link w:val="HTML0"/>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styleId="af">
    <w:name w:val="Hyperlink"/>
    <w:basedOn w:val="a0"/>
    <w:uiPriority w:val="99"/>
    <w:unhideWhenUsed/>
    <w:rPr>
      <w:color w:val="0000FF" w:themeColor="hyperlink"/>
      <w:u w:val="single"/>
    </w:rPr>
  </w:style>
  <w:style w:type="table" w:styleId="af0">
    <w:name w:val="Table Grid"/>
    <w:basedOn w:val="a1"/>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af1">
    <w:name w:val="Light Shading"/>
    <w:basedOn w:val="a1"/>
    <w:uiPriority w:val="60"/>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20">
    <w:name w:val="Заголовок 2 Знак"/>
    <w:basedOn w:val="a0"/>
    <w:link w:val="2"/>
    <w:uiPriority w:val="9"/>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semiHidden/>
    <w:rPr>
      <w:rFonts w:asciiTheme="majorHAnsi" w:eastAsiaTheme="majorEastAsia" w:hAnsiTheme="majorHAnsi" w:cstheme="majorBidi"/>
      <w:color w:val="244061" w:themeColor="accent1" w:themeShade="80"/>
      <w:sz w:val="24"/>
      <w:szCs w:val="24"/>
    </w:rPr>
  </w:style>
  <w:style w:type="character" w:customStyle="1" w:styleId="hugenum">
    <w:name w:val="hugenum"/>
    <w:basedOn w:val="a0"/>
  </w:style>
  <w:style w:type="character" w:customStyle="1" w:styleId="ae">
    <w:name w:val="Верхний колонтитул Знак"/>
    <w:basedOn w:val="a0"/>
    <w:link w:val="ad"/>
    <w:uiPriority w:val="99"/>
  </w:style>
  <w:style w:type="character" w:customStyle="1" w:styleId="ac">
    <w:name w:val="Нижний колонтитул Знак"/>
    <w:basedOn w:val="a0"/>
    <w:link w:val="ab"/>
    <w:uiPriority w:val="99"/>
  </w:style>
  <w:style w:type="character" w:customStyle="1" w:styleId="a4">
    <w:name w:val="Текст выноски Знак"/>
    <w:basedOn w:val="a0"/>
    <w:link w:val="a3"/>
    <w:uiPriority w:val="99"/>
    <w:semiHidden/>
    <w:rPr>
      <w:rFonts w:ascii="Tahoma" w:hAnsi="Tahoma" w:cs="Tahoma"/>
      <w:sz w:val="16"/>
      <w:szCs w:val="16"/>
    </w:rPr>
  </w:style>
  <w:style w:type="character" w:customStyle="1" w:styleId="apple-converted-space">
    <w:name w:val="apple-converted-space"/>
    <w:basedOn w:val="a0"/>
  </w:style>
  <w:style w:type="paragraph" w:styleId="af2">
    <w:name w:val="List Paragraph"/>
    <w:basedOn w:val="a"/>
    <w:uiPriority w:val="34"/>
    <w:qFormat/>
    <w:pPr>
      <w:ind w:left="720"/>
      <w:contextualSpacing/>
    </w:pPr>
  </w:style>
  <w:style w:type="character" w:customStyle="1" w:styleId="a7">
    <w:name w:val="Текст примечания Знак"/>
    <w:basedOn w:val="a0"/>
    <w:link w:val="a6"/>
    <w:uiPriority w:val="99"/>
    <w:semiHidden/>
    <w:rPr>
      <w:sz w:val="20"/>
      <w:szCs w:val="20"/>
    </w:rPr>
  </w:style>
  <w:style w:type="character" w:customStyle="1" w:styleId="a9">
    <w:name w:val="Тема примечания Знак"/>
    <w:basedOn w:val="a7"/>
    <w:link w:val="a8"/>
    <w:uiPriority w:val="99"/>
    <w:semiHidden/>
    <w:rPr>
      <w:b/>
      <w:bCs/>
      <w:sz w:val="20"/>
      <w:szCs w:val="20"/>
    </w:rPr>
  </w:style>
  <w:style w:type="character" w:customStyle="1" w:styleId="HTML0">
    <w:name w:val="Стандартный HTML Знак"/>
    <w:basedOn w:val="a0"/>
    <w:link w:val="HTML"/>
    <w:uiPriority w:val="99"/>
    <w:semiHidden/>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rFonts w:asciiTheme="minorHAnsi" w:eastAsiaTheme="minorEastAsia" w:hAnsiTheme="minorHAnsi" w:cstheme="minorBidi"/>
      <w:sz w:val="22"/>
      <w:szCs w:val="22"/>
      <w:lang w:val="ru-RU" w:eastAsia="ru-RU"/>
    </w:rPr>
  </w:style>
  <w:style w:type="paragraph" w:styleId="2">
    <w:name w:val="heading 2"/>
    <w:basedOn w:val="a"/>
    <w:next w:val="a"/>
    <w:link w:val="20"/>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pPr>
      <w:keepNext/>
      <w:keepLines/>
      <w:spacing w:before="40" w:after="0"/>
      <w:outlineLvl w:val="2"/>
    </w:pPr>
    <w:rPr>
      <w:rFonts w:asciiTheme="majorHAnsi" w:eastAsiaTheme="majorEastAsia" w:hAnsiTheme="majorHAnsi" w:cstheme="majorBidi"/>
      <w:color w:val="244061"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pPr>
      <w:spacing w:after="0" w:line="240" w:lineRule="auto"/>
    </w:pPr>
    <w:rPr>
      <w:rFonts w:ascii="Tahoma" w:hAnsi="Tahoma" w:cs="Tahoma"/>
      <w:sz w:val="16"/>
      <w:szCs w:val="16"/>
    </w:rPr>
  </w:style>
  <w:style w:type="character" w:styleId="a5">
    <w:name w:val="annotation reference"/>
    <w:basedOn w:val="a0"/>
    <w:uiPriority w:val="99"/>
    <w:semiHidden/>
    <w:unhideWhenUsed/>
    <w:rPr>
      <w:sz w:val="16"/>
      <w:szCs w:val="16"/>
    </w:rPr>
  </w:style>
  <w:style w:type="paragraph" w:styleId="a6">
    <w:name w:val="annotation text"/>
    <w:basedOn w:val="a"/>
    <w:link w:val="a7"/>
    <w:uiPriority w:val="99"/>
    <w:semiHidden/>
    <w:unhideWhenUsed/>
    <w:pPr>
      <w:spacing w:line="240" w:lineRule="auto"/>
    </w:pPr>
    <w:rPr>
      <w:sz w:val="20"/>
      <w:szCs w:val="20"/>
    </w:rPr>
  </w:style>
  <w:style w:type="paragraph" w:styleId="a8">
    <w:name w:val="annotation subject"/>
    <w:basedOn w:val="a6"/>
    <w:next w:val="a6"/>
    <w:link w:val="a9"/>
    <w:uiPriority w:val="99"/>
    <w:semiHidden/>
    <w:unhideWhenUsed/>
    <w:rPr>
      <w:b/>
      <w:bCs/>
    </w:rPr>
  </w:style>
  <w:style w:type="character" w:styleId="aa">
    <w:name w:val="FollowedHyperlink"/>
    <w:basedOn w:val="a0"/>
    <w:uiPriority w:val="99"/>
    <w:semiHidden/>
    <w:unhideWhenUsed/>
    <w:rPr>
      <w:color w:val="800080" w:themeColor="followedHyperlink"/>
      <w:u w:val="single"/>
    </w:rPr>
  </w:style>
  <w:style w:type="paragraph" w:styleId="ab">
    <w:name w:val="footer"/>
    <w:basedOn w:val="a"/>
    <w:link w:val="ac"/>
    <w:uiPriority w:val="99"/>
    <w:unhideWhenUsed/>
    <w:pPr>
      <w:tabs>
        <w:tab w:val="center" w:pos="4677"/>
        <w:tab w:val="right" w:pos="9355"/>
      </w:tabs>
      <w:spacing w:after="0" w:line="240" w:lineRule="auto"/>
    </w:pPr>
  </w:style>
  <w:style w:type="paragraph" w:styleId="ad">
    <w:name w:val="header"/>
    <w:basedOn w:val="a"/>
    <w:link w:val="ae"/>
    <w:uiPriority w:val="99"/>
    <w:unhideWhenUsed/>
    <w:pPr>
      <w:tabs>
        <w:tab w:val="center" w:pos="4677"/>
        <w:tab w:val="right" w:pos="9355"/>
      </w:tabs>
      <w:spacing w:after="0" w:line="240" w:lineRule="auto"/>
    </w:pPr>
  </w:style>
  <w:style w:type="paragraph" w:styleId="HTML">
    <w:name w:val="HTML Preformatted"/>
    <w:basedOn w:val="a"/>
    <w:link w:val="HTML0"/>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styleId="af">
    <w:name w:val="Hyperlink"/>
    <w:basedOn w:val="a0"/>
    <w:uiPriority w:val="99"/>
    <w:unhideWhenUsed/>
    <w:rPr>
      <w:color w:val="0000FF" w:themeColor="hyperlink"/>
      <w:u w:val="single"/>
    </w:rPr>
  </w:style>
  <w:style w:type="table" w:styleId="af0">
    <w:name w:val="Table Grid"/>
    <w:basedOn w:val="a1"/>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af1">
    <w:name w:val="Light Shading"/>
    <w:basedOn w:val="a1"/>
    <w:uiPriority w:val="60"/>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20">
    <w:name w:val="Заголовок 2 Знак"/>
    <w:basedOn w:val="a0"/>
    <w:link w:val="2"/>
    <w:uiPriority w:val="9"/>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semiHidden/>
    <w:rPr>
      <w:rFonts w:asciiTheme="majorHAnsi" w:eastAsiaTheme="majorEastAsia" w:hAnsiTheme="majorHAnsi" w:cstheme="majorBidi"/>
      <w:color w:val="244061" w:themeColor="accent1" w:themeShade="80"/>
      <w:sz w:val="24"/>
      <w:szCs w:val="24"/>
    </w:rPr>
  </w:style>
  <w:style w:type="character" w:customStyle="1" w:styleId="hugenum">
    <w:name w:val="hugenum"/>
    <w:basedOn w:val="a0"/>
  </w:style>
  <w:style w:type="character" w:customStyle="1" w:styleId="ae">
    <w:name w:val="Верхний колонтитул Знак"/>
    <w:basedOn w:val="a0"/>
    <w:link w:val="ad"/>
    <w:uiPriority w:val="99"/>
  </w:style>
  <w:style w:type="character" w:customStyle="1" w:styleId="ac">
    <w:name w:val="Нижний колонтитул Знак"/>
    <w:basedOn w:val="a0"/>
    <w:link w:val="ab"/>
    <w:uiPriority w:val="99"/>
  </w:style>
  <w:style w:type="character" w:customStyle="1" w:styleId="a4">
    <w:name w:val="Текст выноски Знак"/>
    <w:basedOn w:val="a0"/>
    <w:link w:val="a3"/>
    <w:uiPriority w:val="99"/>
    <w:semiHidden/>
    <w:rPr>
      <w:rFonts w:ascii="Tahoma" w:hAnsi="Tahoma" w:cs="Tahoma"/>
      <w:sz w:val="16"/>
      <w:szCs w:val="16"/>
    </w:rPr>
  </w:style>
  <w:style w:type="character" w:customStyle="1" w:styleId="apple-converted-space">
    <w:name w:val="apple-converted-space"/>
    <w:basedOn w:val="a0"/>
  </w:style>
  <w:style w:type="paragraph" w:styleId="af2">
    <w:name w:val="List Paragraph"/>
    <w:basedOn w:val="a"/>
    <w:uiPriority w:val="34"/>
    <w:qFormat/>
    <w:pPr>
      <w:ind w:left="720"/>
      <w:contextualSpacing/>
    </w:pPr>
  </w:style>
  <w:style w:type="character" w:customStyle="1" w:styleId="a7">
    <w:name w:val="Текст примечания Знак"/>
    <w:basedOn w:val="a0"/>
    <w:link w:val="a6"/>
    <w:uiPriority w:val="99"/>
    <w:semiHidden/>
    <w:rPr>
      <w:sz w:val="20"/>
      <w:szCs w:val="20"/>
    </w:rPr>
  </w:style>
  <w:style w:type="character" w:customStyle="1" w:styleId="a9">
    <w:name w:val="Тема примечания Знак"/>
    <w:basedOn w:val="a7"/>
    <w:link w:val="a8"/>
    <w:uiPriority w:val="99"/>
    <w:semiHidden/>
    <w:rPr>
      <w:b/>
      <w:bCs/>
      <w:sz w:val="20"/>
      <w:szCs w:val="20"/>
    </w:rPr>
  </w:style>
  <w:style w:type="character" w:customStyle="1" w:styleId="HTML0">
    <w:name w:val="Стандартный HTML Знак"/>
    <w:basedOn w:val="a0"/>
    <w:link w:val="HTML"/>
    <w:uiPriority w:val="99"/>
    <w:semiHidden/>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www.imf.org/en/Data" TargetMode="External"/><Relationship Id="rId26" Type="http://schemas.openxmlformats.org/officeDocument/2006/relationships/hyperlink" Target="https://fred.stlouisfed.org/" TargetMode="External"/><Relationship Id="rId39" Type="http://schemas.openxmlformats.org/officeDocument/2006/relationships/hyperlink" Target="http://data.imf.org/?sk=7A51304B-6426-40C0-83DD-CA473CA1FD52&amp;sId=1542635306163" TargetMode="External"/><Relationship Id="rId3" Type="http://schemas.microsoft.com/office/2007/relationships/stylesWithEffects" Target="stylesWithEffects.xml"/><Relationship Id="rId21" Type="http://schemas.openxmlformats.org/officeDocument/2006/relationships/hyperlink" Target="https://www.wto.org/english/res_e/booksp_e/trade_profiles21_e.pdf" TargetMode="External"/><Relationship Id="rId34" Type="http://schemas.openxmlformats.org/officeDocument/2006/relationships/hyperlink" Target="https://bank.gov.ua/" TargetMode="External"/><Relationship Id="rId42" Type="http://schemas.openxmlformats.org/officeDocument/2006/relationships/hyperlink" Target="http://data.imf.org/?sk=7A51304B-6426-40C0-83DD-CA473CA1FD52&amp;sId=1542635306163"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papers.ssrn.com/sol3/papers.cfm?abstract_id=3568134" TargetMode="External"/><Relationship Id="rId25" Type="http://schemas.openxmlformats.org/officeDocument/2006/relationships/hyperlink" Target="https://drive.google.com/drive/folders/1jM_Gj12YutCb1UViV4kLd4zHkbmW9HEa" TargetMode="External"/><Relationship Id="rId33" Type="http://schemas.openxmlformats.org/officeDocument/2006/relationships/hyperlink" Target="https://uk.mfa.gov.ua/en" TargetMode="External"/><Relationship Id="rId38" Type="http://schemas.openxmlformats.org/officeDocument/2006/relationships/hyperlink" Target="http://data.imf.org/?sk=7A51304B-6426-40C0-83DD-CA473CA1FD52&amp;sId=1542635306163"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core.ac.uk/download/pdf/232510659.pdf" TargetMode="External"/><Relationship Id="rId20" Type="http://schemas.openxmlformats.org/officeDocument/2006/relationships/hyperlink" Target="https://www.wto.org/english/res_e/booksp_e/trade_profiles20_e.pdf" TargetMode="External"/><Relationship Id="rId29" Type="http://schemas.openxmlformats.org/officeDocument/2006/relationships/hyperlink" Target="https://www.xe.com/" TargetMode="External"/><Relationship Id="rId41" Type="http://schemas.openxmlformats.org/officeDocument/2006/relationships/hyperlink" Target="http://data.imf.org/?sk=7A51304B-6426-40C0-83DD-CA473CA1FD52&amp;sId=1542635306163"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www.cso.ie/en/releasesandpublications/ep/pfdia/foreigndirectinvestmentannual2021/" TargetMode="External"/><Relationship Id="rId32" Type="http://schemas.openxmlformats.org/officeDocument/2006/relationships/hyperlink" Target="http://www.ukrstat.gov.ua/" TargetMode="External"/><Relationship Id="rId37" Type="http://schemas.openxmlformats.org/officeDocument/2006/relationships/hyperlink" Target="http://data.imf.org/?sk=7A51304B-6426-40C0-83DD-CA473CA1FD52&amp;sId=1542635306163" TargetMode="External"/><Relationship Id="rId40" Type="http://schemas.openxmlformats.org/officeDocument/2006/relationships/hyperlink" Target="http://data.imf.org/?sk=7A51304B-6426-40C0-83DD-CA473CA1FD52&amp;sId=1542635306163"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s://santandertrade.com/en/portal" TargetMode="External"/><Relationship Id="rId28" Type="http://schemas.openxmlformats.org/officeDocument/2006/relationships/hyperlink" Target="https://tradingeconomics.com/" TargetMode="External"/><Relationship Id="rId36" Type="http://schemas.openxmlformats.org/officeDocument/2006/relationships/hyperlink" Target="http://data.imf.org/?sk=7A51304B-6426-40C0-83DD-CA473CA1FD52&amp;sId=1542635306163" TargetMode="External"/><Relationship Id="rId10" Type="http://schemas.openxmlformats.org/officeDocument/2006/relationships/chart" Target="charts/chart3.xml"/><Relationship Id="rId19" Type="http://schemas.openxmlformats.org/officeDocument/2006/relationships/hyperlink" Target="https://www.wto.org/english/res_e/booksp_e/trade_profiles19_e.pdf" TargetMode="External"/><Relationship Id="rId31" Type="http://schemas.openxmlformats.org/officeDocument/2006/relationships/hyperlink" Target="https://www.gov.uk/" TargetMode="External"/><Relationship Id="rId44" Type="http://schemas.openxmlformats.org/officeDocument/2006/relationships/hyperlink" Target="http://data.imf.org/?sk=7A51304B-6426-40C0-83DD-CA473CA1FD52&amp;sId=1542635306163"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www.wto.org/english/res_e/booksp_e/trade_profiles22_e.pdf" TargetMode="External"/><Relationship Id="rId27" Type="http://schemas.openxmlformats.org/officeDocument/2006/relationships/hyperlink" Target="https://www.investing.com/" TargetMode="External"/><Relationship Id="rId30" Type="http://schemas.openxmlformats.org/officeDocument/2006/relationships/hyperlink" Target="https://assets.publishing.service.gov.uk/government/uploads/system/uploads/attachment_data/file/934935/CS_Ukraine_1.2020_UK_Ukraine_Political_Free_Trade_Strat_Partner_Agreement.pdf" TargetMode="External"/><Relationship Id="rId35" Type="http://schemas.openxmlformats.org/officeDocument/2006/relationships/hyperlink" Target="http://data.imf.org/?sk=7A51304B-6426-40C0-83DD-CA473CA1FD52&amp;sId=1542635306163" TargetMode="External"/><Relationship Id="rId43" Type="http://schemas.openxmlformats.org/officeDocument/2006/relationships/hyperlink" Target="http://data.imf.org/?sk=7A51304B-6426-40C0-83DD-CA473CA1FD52&amp;sId=154263530616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Users/arinatruba/Documents/&#1050;&#1091;&#1088;&#1089;&#1086;&#1074;&#1072;%20&#1088;&#1086;&#1073;&#1086;&#1090;&#1072;%203%20&#1082;&#1091;&#1088;&#1089;/Balance_of_Payments_Standard_Prese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Users/arinatruba/Documents/&#1050;&#1091;&#1088;&#1089;&#1086;&#1074;&#1072;%20&#1088;&#1086;&#1073;&#1086;&#1090;&#1072;%203%20&#1082;&#1091;&#1088;&#1089;/Balance_of_Payments_Standard_Prese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Users/arinatruba/Documents/&#1050;&#1091;&#1088;&#1089;&#1086;&#1074;&#1072;%20&#1088;&#1086;&#1073;&#1086;&#1090;&#1072;%203%20&#1082;&#1091;&#1088;&#1089;/Balance_of_Payments_Standard_Prese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Users/arinatruba/Documents/&#1050;&#1091;&#1088;&#1089;&#1086;&#1074;&#1072;%20&#1088;&#1086;&#1073;&#1086;&#1090;&#1072;%203%20&#1082;&#1091;&#1088;&#1089;/Balance_of_Payments_Standard_Prese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Users/arinatruba/Documents/&#1050;&#1091;&#1088;&#1089;&#1086;&#1074;&#1072;%20&#1088;&#1086;&#1073;&#1086;&#1090;&#1072;%203%20&#1082;&#1091;&#1088;&#1089;/Balance_of_Payments_Standard_Prese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Users/arinatruba/Documents/&#1050;&#1091;&#1088;&#1089;&#1086;&#1074;&#1072;%20&#1088;&#1086;&#1073;&#1086;&#1090;&#1072;%203%20&#1082;&#1091;&#1088;&#1089;/Balance_of_Payments_Standard_Presen.xlsx" TargetMode="External"/></Relationships>
</file>

<file path=word/charts/_rels/chart7.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1" Type="http://schemas.openxmlformats.org/officeDocument/2006/relationships/oleObject" Target="/Users/arinatruba/Documents/&#1050;&#1091;&#1088;&#1089;&#1086;&#1074;&#1072;%20&#1088;&#1086;&#1073;&#1086;&#1090;&#1072;%203%20&#1082;&#1091;&#1088;&#1089;/&#1059;&#1082;&#1088;&#1072;&#1110;&#776;&#1085;&#1072;+&#1082;&#1088;&#1072;&#1110;&#776;&#1085;&#108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8335342559105495E-2"/>
          <c:y val="4.0118298473146199E-2"/>
          <c:w val="0.88555555555555598"/>
          <c:h val="0.70257341810475304"/>
        </c:manualLayout>
      </c:layout>
      <c:areaChart>
        <c:grouping val="standard"/>
        <c:varyColors val="0"/>
        <c:ser>
          <c:idx val="0"/>
          <c:order val="0"/>
          <c:tx>
            <c:strRef>
              <c:f>[Balance_of_Payments_Standard_Presen.xlsx]Торгів!$A$2</c:f>
              <c:strCache>
                <c:ptCount val="1"/>
                <c:pt idx="0">
                  <c:v>Торгівельний Баланс ВБ</c:v>
                </c:pt>
              </c:strCache>
            </c:strRef>
          </c:tx>
          <c:spPr>
            <a:solidFill>
              <a:schemeClr val="tx1">
                <a:lumMod val="50000"/>
                <a:lumOff val="50000"/>
              </a:schemeClr>
            </a:solidFill>
            <a:ln>
              <a:noFill/>
            </a:ln>
            <a:effectLst/>
          </c:spPr>
          <c:dLbls>
            <c:delete val="1"/>
          </c:dLbls>
          <c:cat>
            <c:numRef>
              <c:f>[Balance_of_Payments_Standard_Presen.xlsx]Торгів!$B$1:$F$1</c:f>
              <c:numCache>
                <c:formatCode>General</c:formatCode>
                <c:ptCount val="5"/>
                <c:pt idx="0">
                  <c:v>2018</c:v>
                </c:pt>
                <c:pt idx="1">
                  <c:v>2019</c:v>
                </c:pt>
                <c:pt idx="2">
                  <c:v>2020</c:v>
                </c:pt>
                <c:pt idx="3">
                  <c:v>2021</c:v>
                </c:pt>
                <c:pt idx="4">
                  <c:v>2022</c:v>
                </c:pt>
              </c:numCache>
            </c:numRef>
          </c:cat>
          <c:val>
            <c:numRef>
              <c:f>[Balance_of_Payments_Standard_Presen.xlsx]Торгів!$B$2:$E$2</c:f>
              <c:numCache>
                <c:formatCode>#,##0.00_ </c:formatCode>
                <c:ptCount val="4"/>
                <c:pt idx="0">
                  <c:v>-191.203</c:v>
                </c:pt>
                <c:pt idx="1">
                  <c:v>-189.482</c:v>
                </c:pt>
                <c:pt idx="2">
                  <c:v>-172.738</c:v>
                </c:pt>
                <c:pt idx="3">
                  <c:v>-232.548</c:v>
                </c:pt>
              </c:numCache>
            </c:numRef>
          </c:val>
        </c:ser>
        <c:ser>
          <c:idx val="3"/>
          <c:order val="3"/>
          <c:tx>
            <c:strRef>
              <c:f>[Balance_of_Payments_Standard_Presen.xlsx]Торгів!$A$5</c:f>
              <c:strCache>
                <c:ptCount val="1"/>
                <c:pt idx="0">
                  <c:v>Торгівельний Баланс Ірландії</c:v>
                </c:pt>
              </c:strCache>
            </c:strRef>
          </c:tx>
          <c:spPr>
            <a:solidFill>
              <a:schemeClr val="accent1">
                <a:lumMod val="40000"/>
                <a:lumOff val="60000"/>
              </a:schemeClr>
            </a:solidFill>
            <a:ln>
              <a:noFill/>
            </a:ln>
            <a:effectLst/>
          </c:spPr>
          <c:dLbls>
            <c:dLbl>
              <c:idx val="0"/>
              <c:layout>
                <c:manualLayout>
                  <c:x val="4.5640725570509098E-2"/>
                  <c:y val="8.9502144322207693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0382289838112001E-2"/>
                  <c:y val="-1.1933619242961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45720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[Balance_of_Payments_Standard_Presen.xlsx]Торгів!$B$1:$F$1</c:f>
              <c:numCache>
                <c:formatCode>General</c:formatCode>
                <c:ptCount val="5"/>
                <c:pt idx="0">
                  <c:v>2018</c:v>
                </c:pt>
                <c:pt idx="1">
                  <c:v>2019</c:v>
                </c:pt>
                <c:pt idx="2">
                  <c:v>2020</c:v>
                </c:pt>
                <c:pt idx="3">
                  <c:v>2021</c:v>
                </c:pt>
                <c:pt idx="4">
                  <c:v>2022</c:v>
                </c:pt>
              </c:numCache>
            </c:numRef>
          </c:cat>
          <c:val>
            <c:numRef>
              <c:f>[Balance_of_Payments_Standard_Presen.xlsx]Торгів!$B$5:$E$5</c:f>
              <c:numCache>
                <c:formatCode>#,##0.00_ </c:formatCode>
                <c:ptCount val="4"/>
                <c:pt idx="0">
                  <c:v>129.048</c:v>
                </c:pt>
                <c:pt idx="1">
                  <c:v>133.36799999999999</c:v>
                </c:pt>
                <c:pt idx="2">
                  <c:v>162.352</c:v>
                </c:pt>
                <c:pt idx="3">
                  <c:v>197.982</c:v>
                </c:pt>
              </c:numCache>
            </c:numRef>
          </c:val>
        </c:ser>
        <c:dLbls>
          <c:showLegendKey val="0"/>
          <c:showVal val="1"/>
          <c:showCatName val="0"/>
          <c:showSerName val="0"/>
          <c:showPercent val="0"/>
          <c:showBubbleSize val="0"/>
        </c:dLbls>
        <c:axId val="93102080"/>
        <c:axId val="93190016"/>
      </c:areaChart>
      <c:lineChart>
        <c:grouping val="standard"/>
        <c:varyColors val="0"/>
        <c:ser>
          <c:idx val="1"/>
          <c:order val="1"/>
          <c:tx>
            <c:strRef>
              <c:f>[Balance_of_Payments_Standard_Presen.xlsx]Торгів!$A$3</c:f>
              <c:strCache>
                <c:ptCount val="1"/>
                <c:pt idx="0">
                  <c:v>Експорт ВБ</c:v>
                </c:pt>
              </c:strCache>
            </c:strRef>
          </c:tx>
          <c:spPr>
            <a:ln w="19050" cap="rnd">
              <a:solidFill>
                <a:schemeClr val="tx1"/>
              </a:solidFill>
              <a:round/>
            </a:ln>
            <a:effectLst/>
          </c:spPr>
          <c:marker>
            <c:symbol val="circle"/>
            <c:size val="5"/>
            <c:spPr>
              <a:solidFill>
                <a:schemeClr val="bg1"/>
              </a:solidFill>
              <a:ln w="9525">
                <a:solidFill>
                  <a:schemeClr val="tx1"/>
                </a:solidFill>
              </a:ln>
              <a:effectLst/>
            </c:spPr>
          </c:marker>
          <c:dLbls>
            <c:dLbl>
              <c:idx val="3"/>
              <c:layout>
                <c:manualLayout>
                  <c:x val="-1.27682694919859E-2"/>
                  <c:y val="-5.7929036929761004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[Balance_of_Payments_Standard_Presen.xlsx]Торгів!$B$1:$F$1</c:f>
              <c:numCache>
                <c:formatCode>General</c:formatCode>
                <c:ptCount val="5"/>
                <c:pt idx="0">
                  <c:v>2018</c:v>
                </c:pt>
                <c:pt idx="1">
                  <c:v>2019</c:v>
                </c:pt>
                <c:pt idx="2">
                  <c:v>2020</c:v>
                </c:pt>
                <c:pt idx="3">
                  <c:v>2021</c:v>
                </c:pt>
                <c:pt idx="4">
                  <c:v>2022</c:v>
                </c:pt>
              </c:numCache>
            </c:numRef>
          </c:cat>
          <c:val>
            <c:numRef>
              <c:f>[Balance_of_Payments_Standard_Presen.xlsx]Торгів!$B$3:$E$3</c:f>
              <c:numCache>
                <c:formatCode>#,##0.00_ </c:formatCode>
                <c:ptCount val="4"/>
                <c:pt idx="0">
                  <c:v>467.666</c:v>
                </c:pt>
                <c:pt idx="1">
                  <c:v>464.24299999999999</c:v>
                </c:pt>
                <c:pt idx="2">
                  <c:v>394.44600000000003</c:v>
                </c:pt>
                <c:pt idx="3">
                  <c:v>444.75900000000001</c:v>
                </c:pt>
              </c:numCache>
            </c:numRef>
          </c:val>
          <c:smooth val="0"/>
        </c:ser>
        <c:ser>
          <c:idx val="2"/>
          <c:order val="2"/>
          <c:tx>
            <c:strRef>
              <c:f>[Balance_of_Payments_Standard_Presen.xlsx]Торгів!$A$4</c:f>
              <c:strCache>
                <c:ptCount val="1"/>
                <c:pt idx="0">
                  <c:v>Імпорт ВБ</c:v>
                </c:pt>
              </c:strCache>
            </c:strRef>
          </c:tx>
          <c:spPr>
            <a:ln w="12700" cap="rnd" cmpd="sng">
              <a:solidFill>
                <a:schemeClr val="tx1"/>
              </a:solidFill>
              <a:prstDash val="sysDash"/>
              <a:round/>
            </a:ln>
            <a:effectLst/>
          </c:spPr>
          <c:marker>
            <c:symbol val="circle"/>
            <c:size val="5"/>
            <c:spPr>
              <a:solidFill>
                <a:schemeClr val="bg1"/>
              </a:solidFill>
              <a:ln w="9525">
                <a:solidFill>
                  <a:schemeClr val="tx1"/>
                </a:solidFill>
              </a:ln>
              <a:effectLst/>
            </c:spPr>
          </c:marker>
          <c:dLbls>
            <c:dLbl>
              <c:idx val="1"/>
              <c:layout>
                <c:manualLayout>
                  <c:x val="-9.0555102780041693E-3"/>
                  <c:y val="-1.44822592324403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9.0555102780041693E-3"/>
                  <c:y val="-1.73787110789282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0957167436385E-2"/>
                  <c:y val="-2.89645184648805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[Balance_of_Payments_Standard_Presen.xlsx]Торгів!$B$1:$F$1</c:f>
              <c:numCache>
                <c:formatCode>General</c:formatCode>
                <c:ptCount val="5"/>
                <c:pt idx="0">
                  <c:v>2018</c:v>
                </c:pt>
                <c:pt idx="1">
                  <c:v>2019</c:v>
                </c:pt>
                <c:pt idx="2">
                  <c:v>2020</c:v>
                </c:pt>
                <c:pt idx="3">
                  <c:v>2021</c:v>
                </c:pt>
                <c:pt idx="4">
                  <c:v>2022</c:v>
                </c:pt>
              </c:numCache>
            </c:numRef>
          </c:cat>
          <c:val>
            <c:numRef>
              <c:f>[Balance_of_Payments_Standard_Presen.xlsx]Торгів!$B$4:$E$4</c:f>
              <c:numCache>
                <c:formatCode>#,##0.00_ </c:formatCode>
                <c:ptCount val="4"/>
                <c:pt idx="0">
                  <c:v>658.86900000000003</c:v>
                </c:pt>
                <c:pt idx="1">
                  <c:v>653.72500000000002</c:v>
                </c:pt>
                <c:pt idx="2">
                  <c:v>567.18499999999995</c:v>
                </c:pt>
                <c:pt idx="3">
                  <c:v>677.30700000000002</c:v>
                </c:pt>
              </c:numCache>
            </c:numRef>
          </c:val>
          <c:smooth val="0"/>
        </c:ser>
        <c:ser>
          <c:idx val="4"/>
          <c:order val="4"/>
          <c:tx>
            <c:strRef>
              <c:f>[Balance_of_Payments_Standard_Presen.xlsx]Торгів!$A$6</c:f>
              <c:strCache>
                <c:ptCount val="1"/>
                <c:pt idx="0">
                  <c:v>Експорт Ірландії</c:v>
                </c:pt>
              </c:strCache>
            </c:strRef>
          </c:tx>
          <c:spPr>
            <a:ln w="19050" cap="rnd">
              <a:solidFill>
                <a:schemeClr val="tx1"/>
              </a:solidFill>
              <a:round/>
            </a:ln>
            <a:effectLst/>
          </c:spPr>
          <c:marker>
            <c:symbol val="circle"/>
            <c:size val="5"/>
            <c:spPr>
              <a:solidFill>
                <a:schemeClr val="tx1"/>
              </a:solidFill>
              <a:ln w="9525">
                <a:solidFill>
                  <a:schemeClr val="tx1"/>
                </a:solidFill>
              </a:ln>
              <a:effectLst/>
            </c:spPr>
          </c:marker>
          <c:dLbls>
            <c:dLbl>
              <c:idx val="2"/>
              <c:layout>
                <c:manualLayout>
                  <c:x val="-1.27682694919859E-2"/>
                  <c:y val="0"/>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0957167436385E-2"/>
                  <c:y val="2.89645184648805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[Balance_of_Payments_Standard_Presen.xlsx]Торгів!$B$1:$F$1</c:f>
              <c:numCache>
                <c:formatCode>General</c:formatCode>
                <c:ptCount val="5"/>
                <c:pt idx="0">
                  <c:v>2018</c:v>
                </c:pt>
                <c:pt idx="1">
                  <c:v>2019</c:v>
                </c:pt>
                <c:pt idx="2">
                  <c:v>2020</c:v>
                </c:pt>
                <c:pt idx="3">
                  <c:v>2021</c:v>
                </c:pt>
                <c:pt idx="4">
                  <c:v>2022</c:v>
                </c:pt>
              </c:numCache>
            </c:numRef>
          </c:cat>
          <c:val>
            <c:numRef>
              <c:f>[Balance_of_Payments_Standard_Presen.xlsx]Торгів!$B$6:$E$6</c:f>
              <c:numCache>
                <c:formatCode>#,##0.00_ </c:formatCode>
                <c:ptCount val="4"/>
                <c:pt idx="0">
                  <c:v>249.52199999999999</c:v>
                </c:pt>
                <c:pt idx="1">
                  <c:v>254.66200000000001</c:v>
                </c:pt>
                <c:pt idx="2">
                  <c:v>276.96899999999999</c:v>
                </c:pt>
                <c:pt idx="3">
                  <c:v>330.34699999999998</c:v>
                </c:pt>
              </c:numCache>
            </c:numRef>
          </c:val>
          <c:smooth val="0"/>
        </c:ser>
        <c:ser>
          <c:idx val="5"/>
          <c:order val="5"/>
          <c:tx>
            <c:strRef>
              <c:f>[Balance_of_Payments_Standard_Presen.xlsx]Торгів!$A$7</c:f>
              <c:strCache>
                <c:ptCount val="1"/>
                <c:pt idx="0">
                  <c:v>Імпорт Ірландії</c:v>
                </c:pt>
              </c:strCache>
            </c:strRef>
          </c:tx>
          <c:spPr>
            <a:ln w="12700" cap="rnd" cmpd="sng">
              <a:solidFill>
                <a:schemeClr val="tx1"/>
              </a:solidFill>
              <a:prstDash val="sysDash"/>
              <a:round/>
            </a:ln>
            <a:effectLst/>
          </c:spPr>
          <c:marker>
            <c:symbol val="circle"/>
            <c:size val="5"/>
            <c:spPr>
              <a:solidFill>
                <a:schemeClr val="tx1"/>
              </a:solidFill>
              <a:ln w="9525">
                <a:solidFill>
                  <a:schemeClr val="tx1"/>
                </a:solidFill>
              </a:ln>
              <a:effectLst/>
            </c:spPr>
          </c:marker>
          <c:dLbls>
            <c:delete val="1"/>
          </c:dLbls>
          <c:cat>
            <c:numRef>
              <c:f>[Balance_of_Payments_Standard_Presen.xlsx]Торгів!$B$1:$F$1</c:f>
              <c:numCache>
                <c:formatCode>General</c:formatCode>
                <c:ptCount val="5"/>
                <c:pt idx="0">
                  <c:v>2018</c:v>
                </c:pt>
                <c:pt idx="1">
                  <c:v>2019</c:v>
                </c:pt>
                <c:pt idx="2">
                  <c:v>2020</c:v>
                </c:pt>
                <c:pt idx="3">
                  <c:v>2021</c:v>
                </c:pt>
                <c:pt idx="4">
                  <c:v>2022</c:v>
                </c:pt>
              </c:numCache>
            </c:numRef>
          </c:cat>
          <c:val>
            <c:numRef>
              <c:f>[Balance_of_Payments_Standard_Presen.xlsx]Торгів!$B$7:$E$7</c:f>
              <c:numCache>
                <c:formatCode>#,##0.00_ </c:formatCode>
                <c:ptCount val="4"/>
                <c:pt idx="0">
                  <c:v>120.474</c:v>
                </c:pt>
                <c:pt idx="1">
                  <c:v>121.294</c:v>
                </c:pt>
                <c:pt idx="2">
                  <c:v>114.617</c:v>
                </c:pt>
                <c:pt idx="3">
                  <c:v>132.36500000000001</c:v>
                </c:pt>
              </c:numCache>
            </c:numRef>
          </c:val>
          <c:smooth val="0"/>
        </c:ser>
        <c:dLbls>
          <c:showLegendKey val="0"/>
          <c:showVal val="1"/>
          <c:showCatName val="0"/>
          <c:showSerName val="0"/>
          <c:showPercent val="0"/>
          <c:showBubbleSize val="0"/>
        </c:dLbls>
        <c:marker val="1"/>
        <c:smooth val="0"/>
        <c:axId val="93102080"/>
        <c:axId val="93190016"/>
      </c:lineChart>
      <c:catAx>
        <c:axId val="93102080"/>
        <c:scaling>
          <c:orientation val="minMax"/>
        </c:scaling>
        <c:delete val="0"/>
        <c:axPos val="b"/>
        <c:minorGridlines>
          <c:spPr>
            <a:ln w="9525" cap="flat" cmpd="sng" algn="ctr">
              <a:solidFill>
                <a:schemeClr val="tx1">
                  <a:alpha val="45000"/>
                </a:schemeClr>
              </a:solidFill>
              <a:prstDash val="dash"/>
              <a:round/>
            </a:ln>
            <a:effectLst/>
          </c:spPr>
        </c:minorGridlines>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93190016"/>
        <c:crosses val="autoZero"/>
        <c:auto val="1"/>
        <c:lblAlgn val="ctr"/>
        <c:lblOffset val="90"/>
        <c:tickLblSkip val="1"/>
        <c:noMultiLvlLbl val="0"/>
      </c:catAx>
      <c:valAx>
        <c:axId val="93190016"/>
        <c:scaling>
          <c:orientation val="minMax"/>
        </c:scaling>
        <c:delete val="0"/>
        <c:axPos val="l"/>
        <c:majorGridlines>
          <c:spPr>
            <a:ln w="9525" cap="flat" cmpd="sng" algn="ctr">
              <a:solidFill>
                <a:schemeClr val="tx1">
                  <a:alpha val="45000"/>
                </a:schemeClr>
              </a:solidFill>
              <a:prstDash val="dash"/>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93102080"/>
        <c:crosses val="autoZero"/>
        <c:crossBetween val="midCat"/>
      </c:valAx>
      <c:spPr>
        <a:noFill/>
        <a:ln w="9525" cmpd="sng">
          <a:solidFill>
            <a:schemeClr val="tx1"/>
          </a:solidFill>
          <a:prstDash val="solid"/>
        </a:ln>
        <a:effectLst/>
      </c:spPr>
    </c:plotArea>
    <c:legend>
      <c:legendPos val="b"/>
      <c:legendEntry>
        <c:idx val="0"/>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4"/>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5"/>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ayout>
        <c:manualLayout>
          <c:xMode val="edge"/>
          <c:yMode val="edge"/>
          <c:x val="2.46732982250829E-2"/>
          <c:y val="0.83311579339921704"/>
          <c:w val="0.94528964306612095"/>
          <c:h val="0.14133880290882"/>
        </c:manualLayout>
      </c:layout>
      <c:overlay val="0"/>
      <c:spPr>
        <a:noFill/>
        <a:ln>
          <a:noFill/>
        </a:ln>
        <a:effectLst/>
      </c:spPr>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noFill/>
    <a:ln w="12700" cap="flat" cmpd="sng" algn="ctr">
      <a:solidFill>
        <a:schemeClr val="tx1">
          <a:lumMod val="15000"/>
          <a:lumOff val="85000"/>
        </a:schemeClr>
      </a:solidFill>
      <a:prstDash val="solid"/>
      <a:round/>
    </a:ln>
    <a:effectLst/>
  </c:spPr>
  <c:txPr>
    <a:bodyPr/>
    <a:lstStyle/>
    <a:p>
      <a:pPr>
        <a:defRPr lang="en-US" sz="110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0"/>
          <c:order val="0"/>
          <c:tx>
            <c:strRef>
              <c:f>[Balance_of_Payments_Standard_Presen.xlsx]Сервіс!$A$2</c:f>
              <c:strCache>
                <c:ptCount val="1"/>
                <c:pt idx="0">
                  <c:v>Баланс послуг ВБ</c:v>
                </c:pt>
              </c:strCache>
            </c:strRef>
          </c:tx>
          <c:spPr>
            <a:solidFill>
              <a:schemeClr val="tx1">
                <a:lumMod val="50000"/>
                <a:lumOff val="50000"/>
              </a:schemeClr>
            </a:solidFill>
            <a:ln>
              <a:noFill/>
            </a:ln>
            <a:effectLst/>
          </c:spPr>
          <c:dLbls>
            <c:delete val="1"/>
          </c:dLbls>
          <c:cat>
            <c:numRef>
              <c:f>[Balance_of_Payments_Standard_Presen.xlsx]Сервіс!$B$1:$E$1</c:f>
              <c:numCache>
                <c:formatCode>General</c:formatCode>
                <c:ptCount val="4"/>
                <c:pt idx="0">
                  <c:v>2018</c:v>
                </c:pt>
                <c:pt idx="1">
                  <c:v>2019</c:v>
                </c:pt>
                <c:pt idx="2">
                  <c:v>2020</c:v>
                </c:pt>
                <c:pt idx="3">
                  <c:v>2021</c:v>
                </c:pt>
              </c:numCache>
            </c:numRef>
          </c:cat>
          <c:val>
            <c:numRef>
              <c:f>[Balance_of_Payments_Standard_Presen.xlsx]Сервіс!$B$2:$E$2</c:f>
              <c:numCache>
                <c:formatCode>#,##0.0</c:formatCode>
                <c:ptCount val="4"/>
                <c:pt idx="0">
                  <c:v>147.32</c:v>
                </c:pt>
                <c:pt idx="1">
                  <c:v>143.274</c:v>
                </c:pt>
                <c:pt idx="2">
                  <c:v>181.03399999999999</c:v>
                </c:pt>
                <c:pt idx="3">
                  <c:v>193.98400000000001</c:v>
                </c:pt>
              </c:numCache>
            </c:numRef>
          </c:val>
        </c:ser>
        <c:ser>
          <c:idx val="3"/>
          <c:order val="3"/>
          <c:tx>
            <c:strRef>
              <c:f>[Balance_of_Payments_Standard_Presen.xlsx]Сервіс!$A$5</c:f>
              <c:strCache>
                <c:ptCount val="1"/>
                <c:pt idx="0">
                  <c:v>Баланс послуг Ірландії</c:v>
                </c:pt>
              </c:strCache>
            </c:strRef>
          </c:tx>
          <c:spPr>
            <a:solidFill>
              <a:schemeClr val="accent1">
                <a:lumMod val="40000"/>
                <a:lumOff val="60000"/>
              </a:schemeClr>
            </a:solidFill>
            <a:ln>
              <a:noFill/>
            </a:ln>
            <a:effectLst/>
          </c:spPr>
          <c:dLbls>
            <c:delete val="1"/>
          </c:dLbls>
          <c:cat>
            <c:numRef>
              <c:f>[Balance_of_Payments_Standard_Presen.xlsx]Сервіс!$B$1:$E$1</c:f>
              <c:numCache>
                <c:formatCode>General</c:formatCode>
                <c:ptCount val="4"/>
                <c:pt idx="0">
                  <c:v>2018</c:v>
                </c:pt>
                <c:pt idx="1">
                  <c:v>2019</c:v>
                </c:pt>
                <c:pt idx="2">
                  <c:v>2020</c:v>
                </c:pt>
                <c:pt idx="3">
                  <c:v>2021</c:v>
                </c:pt>
              </c:numCache>
            </c:numRef>
          </c:cat>
          <c:val>
            <c:numRef>
              <c:f>[Balance_of_Payments_Standard_Presen.xlsx]Сервіс!$B$5:$E$5</c:f>
              <c:numCache>
                <c:formatCode>#,##0.0</c:formatCode>
                <c:ptCount val="4"/>
                <c:pt idx="0">
                  <c:v>-18.568999999999999</c:v>
                </c:pt>
                <c:pt idx="1">
                  <c:v>-84.033000000000001</c:v>
                </c:pt>
                <c:pt idx="2">
                  <c:v>-80.236000000000004</c:v>
                </c:pt>
                <c:pt idx="3">
                  <c:v>1.5009999999999999</c:v>
                </c:pt>
              </c:numCache>
            </c:numRef>
          </c:val>
        </c:ser>
        <c:dLbls>
          <c:showLegendKey val="0"/>
          <c:showVal val="1"/>
          <c:showCatName val="0"/>
          <c:showSerName val="0"/>
          <c:showPercent val="0"/>
          <c:showBubbleSize val="0"/>
        </c:dLbls>
        <c:axId val="87816448"/>
        <c:axId val="90533888"/>
      </c:areaChart>
      <c:lineChart>
        <c:grouping val="standard"/>
        <c:varyColors val="0"/>
        <c:ser>
          <c:idx val="1"/>
          <c:order val="1"/>
          <c:tx>
            <c:strRef>
              <c:f>[Balance_of_Payments_Standard_Presen.xlsx]Сервіс!$A$3</c:f>
              <c:strCache>
                <c:ptCount val="1"/>
                <c:pt idx="0">
                  <c:v>Експорт ВБ</c:v>
                </c:pt>
              </c:strCache>
            </c:strRef>
          </c:tx>
          <c:spPr>
            <a:ln w="15875" cap="rnd">
              <a:solidFill>
                <a:schemeClr val="tx1"/>
              </a:solidFill>
              <a:round/>
            </a:ln>
            <a:effectLst/>
          </c:spPr>
          <c:marker>
            <c:symbol val="circle"/>
            <c:size val="5"/>
            <c:spPr>
              <a:solidFill>
                <a:schemeClr val="bg1"/>
              </a:solidFill>
              <a:ln w="9525">
                <a:solidFill>
                  <a:schemeClr val="tx1"/>
                </a:solidFill>
              </a:ln>
              <a:effectLst/>
            </c:spPr>
          </c:marker>
          <c:dLbls>
            <c:dLbl>
              <c:idx val="2"/>
              <c:layout>
                <c:manualLayout>
                  <c:x val="-1.42236270248913E-2"/>
                  <c:y val="-1.713979646491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6448044251284097E-2"/>
                  <c:y val="1.42831637207640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[Balance_of_Payments_Standard_Presen.xlsx]Сервіс!$B$1:$E$1</c:f>
              <c:numCache>
                <c:formatCode>General</c:formatCode>
                <c:ptCount val="4"/>
                <c:pt idx="0">
                  <c:v>2018</c:v>
                </c:pt>
                <c:pt idx="1">
                  <c:v>2019</c:v>
                </c:pt>
                <c:pt idx="2">
                  <c:v>2020</c:v>
                </c:pt>
                <c:pt idx="3">
                  <c:v>2021</c:v>
                </c:pt>
              </c:numCache>
            </c:numRef>
          </c:cat>
          <c:val>
            <c:numRef>
              <c:f>[Balance_of_Payments_Standard_Presen.xlsx]Сервіс!$B$3:$E$3</c:f>
              <c:numCache>
                <c:formatCode>#,##0.0</c:formatCode>
                <c:ptCount val="4"/>
                <c:pt idx="0">
                  <c:v>431.339</c:v>
                </c:pt>
                <c:pt idx="1">
                  <c:v>428.89800000000002</c:v>
                </c:pt>
                <c:pt idx="2">
                  <c:v>397.28699999999998</c:v>
                </c:pt>
                <c:pt idx="3">
                  <c:v>454.411</c:v>
                </c:pt>
              </c:numCache>
            </c:numRef>
          </c:val>
          <c:smooth val="0"/>
        </c:ser>
        <c:ser>
          <c:idx val="2"/>
          <c:order val="2"/>
          <c:tx>
            <c:strRef>
              <c:f>[Balance_of_Payments_Standard_Presen.xlsx]Сервіс!$A$4</c:f>
              <c:strCache>
                <c:ptCount val="1"/>
                <c:pt idx="0">
                  <c:v>Імпорт ВБ</c:v>
                </c:pt>
              </c:strCache>
            </c:strRef>
          </c:tx>
          <c:spPr>
            <a:ln w="12700" cap="rnd" cmpd="sng">
              <a:solidFill>
                <a:schemeClr val="tx1"/>
              </a:solidFill>
              <a:prstDash val="sysDash"/>
              <a:round/>
            </a:ln>
            <a:effectLst/>
          </c:spPr>
          <c:marker>
            <c:symbol val="circle"/>
            <c:size val="5"/>
            <c:spPr>
              <a:solidFill>
                <a:schemeClr val="bg1"/>
              </a:solidFill>
              <a:ln w="9525">
                <a:solidFill>
                  <a:schemeClr val="tx1"/>
                </a:solidFill>
              </a:ln>
              <a:effectLst/>
            </c:spPr>
          </c:marker>
          <c:dLbls>
            <c:dLbl>
              <c:idx val="0"/>
              <c:layout>
                <c:manualLayout>
                  <c:x val="-9.4824180165942306E-3"/>
                  <c:y val="5.7132654883056598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5804030027657099E-3"/>
                  <c:y val="5.71326548830566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6.3216120110628198E-3"/>
                  <c:y val="0"/>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8028447254049802E-2"/>
                  <c:y val="1.14265309766112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18288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[Balance_of_Payments_Standard_Presen.xlsx]Сервіс!$B$1:$E$1</c:f>
              <c:numCache>
                <c:formatCode>General</c:formatCode>
                <c:ptCount val="4"/>
                <c:pt idx="0">
                  <c:v>2018</c:v>
                </c:pt>
                <c:pt idx="1">
                  <c:v>2019</c:v>
                </c:pt>
                <c:pt idx="2">
                  <c:v>2020</c:v>
                </c:pt>
                <c:pt idx="3">
                  <c:v>2021</c:v>
                </c:pt>
              </c:numCache>
            </c:numRef>
          </c:cat>
          <c:val>
            <c:numRef>
              <c:f>[Balance_of_Payments_Standard_Presen.xlsx]Сервіс!$B$4:$E$4</c:f>
              <c:numCache>
                <c:formatCode>#,##0.0</c:formatCode>
                <c:ptCount val="4"/>
                <c:pt idx="0">
                  <c:v>284.01900000000001</c:v>
                </c:pt>
                <c:pt idx="1">
                  <c:v>285.62299999999999</c:v>
                </c:pt>
                <c:pt idx="2">
                  <c:v>216.25200000000001</c:v>
                </c:pt>
                <c:pt idx="3">
                  <c:v>260.42599999999999</c:v>
                </c:pt>
              </c:numCache>
            </c:numRef>
          </c:val>
          <c:smooth val="0"/>
        </c:ser>
        <c:ser>
          <c:idx val="4"/>
          <c:order val="4"/>
          <c:tx>
            <c:strRef>
              <c:f>[Balance_of_Payments_Standard_Presen.xlsx]Сервіс!$A$6</c:f>
              <c:strCache>
                <c:ptCount val="1"/>
                <c:pt idx="0">
                  <c:v>Експорт Ірландії</c:v>
                </c:pt>
              </c:strCache>
            </c:strRef>
          </c:tx>
          <c:spPr>
            <a:ln w="15875" cap="rnd">
              <a:solidFill>
                <a:schemeClr val="tx1"/>
              </a:solidFill>
              <a:round/>
            </a:ln>
            <a:effectLst/>
          </c:spPr>
          <c:marker>
            <c:symbol val="circle"/>
            <c:size val="5"/>
            <c:spPr>
              <a:solidFill>
                <a:schemeClr val="tx1"/>
              </a:solidFill>
              <a:ln w="9525">
                <a:solidFill>
                  <a:schemeClr val="tx1"/>
                </a:solidFill>
              </a:ln>
              <a:effectLst/>
            </c:spPr>
          </c:marker>
          <c:dLbls>
            <c:dLbl>
              <c:idx val="0"/>
              <c:layout>
                <c:manualLayout>
                  <c:x val="-1.7384433030422801E-2"/>
                  <c:y val="2.8566327441528301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32872382457527E-2"/>
                  <c:y val="1.14265309766112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7.7538522323192402E-2"/>
                  <c:y val="3.21371183717193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8546029237455601E-2"/>
                  <c:y val="5.71326548830566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82880" rIns="38100" bIns="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[Balance_of_Payments_Standard_Presen.xlsx]Сервіс!$B$1:$E$1</c:f>
              <c:numCache>
                <c:formatCode>General</c:formatCode>
                <c:ptCount val="4"/>
                <c:pt idx="0">
                  <c:v>2018</c:v>
                </c:pt>
                <c:pt idx="1">
                  <c:v>2019</c:v>
                </c:pt>
                <c:pt idx="2">
                  <c:v>2020</c:v>
                </c:pt>
                <c:pt idx="3">
                  <c:v>2021</c:v>
                </c:pt>
              </c:numCache>
            </c:numRef>
          </c:cat>
          <c:val>
            <c:numRef>
              <c:f>[Balance_of_Payments_Standard_Presen.xlsx]Сервіс!$B$6:$E$6</c:f>
              <c:numCache>
                <c:formatCode>#,##0.0</c:formatCode>
                <c:ptCount val="4"/>
                <c:pt idx="0">
                  <c:v>222.07300000000001</c:v>
                </c:pt>
                <c:pt idx="1">
                  <c:v>247.65</c:v>
                </c:pt>
                <c:pt idx="2">
                  <c:v>292.09100000000001</c:v>
                </c:pt>
                <c:pt idx="3">
                  <c:v>346.68</c:v>
                </c:pt>
              </c:numCache>
            </c:numRef>
          </c:val>
          <c:smooth val="0"/>
        </c:ser>
        <c:ser>
          <c:idx val="5"/>
          <c:order val="5"/>
          <c:tx>
            <c:strRef>
              <c:f>[Balance_of_Payments_Standard_Presen.xlsx]Сервіс!$A$7</c:f>
              <c:strCache>
                <c:ptCount val="1"/>
                <c:pt idx="0">
                  <c:v>Імпорт Ірландії</c:v>
                </c:pt>
              </c:strCache>
            </c:strRef>
          </c:tx>
          <c:spPr>
            <a:ln w="12700" cap="rnd" cmpd="sng">
              <a:solidFill>
                <a:schemeClr val="tx1"/>
              </a:solidFill>
              <a:prstDash val="sysDash"/>
              <a:round/>
            </a:ln>
            <a:effectLst/>
          </c:spPr>
          <c:marker>
            <c:symbol val="circle"/>
            <c:size val="5"/>
            <c:spPr>
              <a:solidFill>
                <a:schemeClr val="tx1"/>
              </a:solidFill>
              <a:ln w="9525">
                <a:solidFill>
                  <a:schemeClr val="tx1"/>
                </a:solidFill>
              </a:ln>
              <a:effectLst/>
            </c:spPr>
          </c:marker>
          <c:dLbls>
            <c:dLbl>
              <c:idx val="0"/>
              <c:layout>
                <c:manualLayout>
                  <c:x val="-1.10628210193599E-2"/>
                  <c:y val="-5.44545616854133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0545239035954201E-2"/>
                  <c:y val="-8.5698982324584894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4.8399841959699602E-3"/>
                  <c:y val="-9.8740899115743897E-3"/>
                </c:manualLayout>
              </c:layout>
              <c:spPr>
                <a:noFill/>
                <a:ln>
                  <a:noFill/>
                </a:ln>
                <a:effectLst/>
              </c:spPr>
              <c:txPr>
                <a:bodyPr rot="0" spcFirstLastPara="0" vertOverflow="ellipsis" vert="horz" wrap="square" lIns="38100" tIns="0" rIns="38100" bIns="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0545239035954201E-2"/>
                  <c:y val="-5.71326548830566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[Balance_of_Payments_Standard_Presen.xlsx]Сервіс!$B$1:$E$1</c:f>
              <c:numCache>
                <c:formatCode>General</c:formatCode>
                <c:ptCount val="4"/>
                <c:pt idx="0">
                  <c:v>2018</c:v>
                </c:pt>
                <c:pt idx="1">
                  <c:v>2019</c:v>
                </c:pt>
                <c:pt idx="2">
                  <c:v>2020</c:v>
                </c:pt>
                <c:pt idx="3">
                  <c:v>2021</c:v>
                </c:pt>
              </c:numCache>
            </c:numRef>
          </c:cat>
          <c:val>
            <c:numRef>
              <c:f>[Balance_of_Payments_Standard_Presen.xlsx]Сервіс!$B$7:$E$7</c:f>
              <c:numCache>
                <c:formatCode>#,##0.0</c:formatCode>
                <c:ptCount val="4"/>
                <c:pt idx="0">
                  <c:v>240.643</c:v>
                </c:pt>
                <c:pt idx="1">
                  <c:v>331.68400000000003</c:v>
                </c:pt>
                <c:pt idx="2">
                  <c:v>372.32799999999997</c:v>
                </c:pt>
                <c:pt idx="3">
                  <c:v>345.17899999999997</c:v>
                </c:pt>
              </c:numCache>
            </c:numRef>
          </c:val>
          <c:smooth val="0"/>
        </c:ser>
        <c:dLbls>
          <c:showLegendKey val="0"/>
          <c:showVal val="1"/>
          <c:showCatName val="0"/>
          <c:showSerName val="0"/>
          <c:showPercent val="0"/>
          <c:showBubbleSize val="0"/>
        </c:dLbls>
        <c:marker val="1"/>
        <c:smooth val="0"/>
        <c:axId val="87816448"/>
        <c:axId val="90533888"/>
      </c:lineChart>
      <c:catAx>
        <c:axId val="87816448"/>
        <c:scaling>
          <c:orientation val="minMax"/>
        </c:scaling>
        <c:delete val="0"/>
        <c:axPos val="b"/>
        <c:minorGridlines>
          <c:spPr>
            <a:ln w="12700" cap="flat" cmpd="sng" algn="ctr">
              <a:solidFill>
                <a:schemeClr val="tx1">
                  <a:alpha val="45000"/>
                </a:schemeClr>
              </a:solidFill>
              <a:prstDash val="sysDash"/>
              <a:round/>
            </a:ln>
            <a:effectLst/>
          </c:spPr>
        </c:minorGridlines>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90533888"/>
        <c:crosses val="autoZero"/>
        <c:auto val="1"/>
        <c:lblAlgn val="ctr"/>
        <c:lblOffset val="100"/>
        <c:noMultiLvlLbl val="0"/>
      </c:catAx>
      <c:valAx>
        <c:axId val="90533888"/>
        <c:scaling>
          <c:orientation val="minMax"/>
          <c:min val="-100"/>
        </c:scaling>
        <c:delete val="0"/>
        <c:axPos val="l"/>
        <c:majorGridlines>
          <c:spPr>
            <a:ln w="12700" cap="flat" cmpd="sng" algn="ctr">
              <a:solidFill>
                <a:schemeClr val="tx1">
                  <a:alpha val="45000"/>
                </a:schemeClr>
              </a:solidFill>
              <a:prstDash val="sysDash"/>
              <a:round/>
            </a:ln>
            <a:effectLst/>
          </c:spPr>
        </c:majorGridlines>
        <c:numFmt formatCode="#,##0.0" sourceLinked="1"/>
        <c:majorTickMark val="none"/>
        <c:minorTickMark val="none"/>
        <c:tickLblPos val="nextTo"/>
        <c:spPr>
          <a:noFill/>
          <a:ln>
            <a:noFill/>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87816448"/>
        <c:crosses val="autoZero"/>
        <c:crossBetween val="midCat"/>
      </c:valAx>
      <c:spPr>
        <a:noFill/>
        <a:ln w="6350">
          <a:solidFill>
            <a:schemeClr val="tx1"/>
          </a:solidFill>
        </a:ln>
        <a:effectLst/>
      </c:spPr>
    </c:plotArea>
    <c:legend>
      <c:legendPos val="b"/>
      <c:legendEntry>
        <c:idx val="0"/>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4"/>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5"/>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overlay val="0"/>
      <c:spPr>
        <a:noFill/>
        <a:ln>
          <a:noFill/>
        </a:ln>
        <a:effectLst/>
      </c:spPr>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anchor="ctr" anchorCtr="0"/>
    <a:lstStyle/>
    <a:p>
      <a:pPr>
        <a:defRPr lang="en-US" sz="110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168351516364702E-2"/>
          <c:y val="4.2068965517241402E-2"/>
          <c:w val="0.88001201080972902"/>
          <c:h val="0.668310344827586"/>
        </c:manualLayout>
      </c:layout>
      <c:areaChart>
        <c:grouping val="standard"/>
        <c:varyColors val="0"/>
        <c:ser>
          <c:idx val="0"/>
          <c:order val="0"/>
          <c:tx>
            <c:strRef>
              <c:f>[Balance_of_Payments_Standard_Presen.xlsx]Вторинні!$A$2</c:f>
              <c:strCache>
                <c:ptCount val="1"/>
                <c:pt idx="0">
                  <c:v>Рахунок вторинних доходів ВБ</c:v>
                </c:pt>
              </c:strCache>
            </c:strRef>
          </c:tx>
          <c:spPr>
            <a:solidFill>
              <a:schemeClr val="tx1">
                <a:lumMod val="50000"/>
                <a:lumOff val="50000"/>
              </a:schemeClr>
            </a:solidFill>
            <a:ln>
              <a:noFill/>
            </a:ln>
            <a:effectLst/>
          </c:spPr>
          <c:dLbls>
            <c:delete val="1"/>
          </c:dLbls>
          <c:cat>
            <c:numRef>
              <c:f>[Balance_of_Payments_Standard_Presen.xlsx]Вторинні!$B$1:$F$1</c:f>
              <c:numCache>
                <c:formatCode>General</c:formatCode>
                <c:ptCount val="5"/>
                <c:pt idx="0">
                  <c:v>2018</c:v>
                </c:pt>
                <c:pt idx="1">
                  <c:v>2019</c:v>
                </c:pt>
                <c:pt idx="2">
                  <c:v>2020</c:v>
                </c:pt>
                <c:pt idx="3">
                  <c:v>2021</c:v>
                </c:pt>
                <c:pt idx="4">
                  <c:v>2022</c:v>
                </c:pt>
              </c:numCache>
            </c:numRef>
          </c:cat>
          <c:val>
            <c:numRef>
              <c:f>[Balance_of_Payments_Standard_Presen.xlsx]Вторинні!$B$2:$E$2</c:f>
              <c:numCache>
                <c:formatCode>#,##0.00_ </c:formatCode>
                <c:ptCount val="4"/>
                <c:pt idx="0">
                  <c:v>-33.921999999999997</c:v>
                </c:pt>
                <c:pt idx="1">
                  <c:v>-33.585999999999999</c:v>
                </c:pt>
                <c:pt idx="2">
                  <c:v>-35.466000000000001</c:v>
                </c:pt>
                <c:pt idx="3">
                  <c:v>-24.609000000000002</c:v>
                </c:pt>
              </c:numCache>
            </c:numRef>
          </c:val>
        </c:ser>
        <c:ser>
          <c:idx val="3"/>
          <c:order val="3"/>
          <c:tx>
            <c:strRef>
              <c:f>[Balance_of_Payments_Standard_Presen.xlsx]Вторинні!$A$5</c:f>
              <c:strCache>
                <c:ptCount val="1"/>
                <c:pt idx="0">
                  <c:v>Рахунок вторинних доходів Ірландії</c:v>
                </c:pt>
              </c:strCache>
            </c:strRef>
          </c:tx>
          <c:spPr>
            <a:solidFill>
              <a:schemeClr val="accent1">
                <a:lumMod val="40000"/>
                <a:lumOff val="60000"/>
              </a:schemeClr>
            </a:solidFill>
            <a:ln>
              <a:noFill/>
            </a:ln>
            <a:effectLst/>
          </c:spPr>
          <c:dLbls>
            <c:delete val="1"/>
          </c:dLbls>
          <c:cat>
            <c:numRef>
              <c:f>[Balance_of_Payments_Standard_Presen.xlsx]Вторинні!$B$1:$F$1</c:f>
              <c:numCache>
                <c:formatCode>General</c:formatCode>
                <c:ptCount val="5"/>
                <c:pt idx="0">
                  <c:v>2018</c:v>
                </c:pt>
                <c:pt idx="1">
                  <c:v>2019</c:v>
                </c:pt>
                <c:pt idx="2">
                  <c:v>2020</c:v>
                </c:pt>
                <c:pt idx="3">
                  <c:v>2021</c:v>
                </c:pt>
                <c:pt idx="4">
                  <c:v>2022</c:v>
                </c:pt>
              </c:numCache>
            </c:numRef>
          </c:cat>
          <c:val>
            <c:numRef>
              <c:f>[Balance_of_Payments_Standard_Presen.xlsx]Вторинні!$B$5:$E$5</c:f>
              <c:numCache>
                <c:formatCode>#,##0.00_ </c:formatCode>
                <c:ptCount val="4"/>
                <c:pt idx="0">
                  <c:v>-4.4089999999999998</c:v>
                </c:pt>
                <c:pt idx="1">
                  <c:v>-4.0069999999999997</c:v>
                </c:pt>
                <c:pt idx="2">
                  <c:v>-4.3109999999999999</c:v>
                </c:pt>
                <c:pt idx="3">
                  <c:v>-5.173</c:v>
                </c:pt>
              </c:numCache>
            </c:numRef>
          </c:val>
        </c:ser>
        <c:dLbls>
          <c:showLegendKey val="0"/>
          <c:showVal val="1"/>
          <c:showCatName val="0"/>
          <c:showSerName val="0"/>
          <c:showPercent val="0"/>
          <c:showBubbleSize val="0"/>
        </c:dLbls>
        <c:axId val="27100672"/>
        <c:axId val="27102208"/>
      </c:areaChart>
      <c:lineChart>
        <c:grouping val="standard"/>
        <c:varyColors val="0"/>
        <c:ser>
          <c:idx val="1"/>
          <c:order val="1"/>
          <c:tx>
            <c:strRef>
              <c:f>[Balance_of_Payments_Standard_Presen.xlsx]Вторинні!$A$3</c:f>
              <c:strCache>
                <c:ptCount val="1"/>
                <c:pt idx="0">
                  <c:v>Кредит ВБ</c:v>
                </c:pt>
              </c:strCache>
            </c:strRef>
          </c:tx>
          <c:spPr>
            <a:ln w="15875" cap="rnd">
              <a:solidFill>
                <a:schemeClr val="tx1"/>
              </a:solidFill>
              <a:round/>
            </a:ln>
            <a:effectLst/>
          </c:spPr>
          <c:marker>
            <c:symbol val="circle"/>
            <c:size val="5"/>
            <c:spPr>
              <a:solidFill>
                <a:schemeClr val="bg1"/>
              </a:solidFill>
              <a:ln w="9525">
                <a:solidFill>
                  <a:schemeClr val="tx1"/>
                </a:solidFill>
              </a:ln>
              <a:effectLst/>
            </c:spPr>
          </c:marker>
          <c:dLbls>
            <c:dLbl>
              <c:idx val="3"/>
              <c:layout>
                <c:manualLayout>
                  <c:x val="-3.66329696727054E-2"/>
                  <c:y val="-8.62068965517241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[Balance_of_Payments_Standard_Presen.xlsx]Вторинні!$B$1:$F$1</c:f>
              <c:numCache>
                <c:formatCode>General</c:formatCode>
                <c:ptCount val="5"/>
                <c:pt idx="0">
                  <c:v>2018</c:v>
                </c:pt>
                <c:pt idx="1">
                  <c:v>2019</c:v>
                </c:pt>
                <c:pt idx="2">
                  <c:v>2020</c:v>
                </c:pt>
                <c:pt idx="3">
                  <c:v>2021</c:v>
                </c:pt>
                <c:pt idx="4">
                  <c:v>2022</c:v>
                </c:pt>
              </c:numCache>
            </c:numRef>
          </c:cat>
          <c:val>
            <c:numRef>
              <c:f>[Balance_of_Payments_Standard_Presen.xlsx]Вторинні!$B$3:$E$3</c:f>
              <c:numCache>
                <c:formatCode>#,##0.00_ </c:formatCode>
                <c:ptCount val="4"/>
                <c:pt idx="0">
                  <c:v>45.847000000000001</c:v>
                </c:pt>
                <c:pt idx="1">
                  <c:v>35.445</c:v>
                </c:pt>
                <c:pt idx="2">
                  <c:v>34.753</c:v>
                </c:pt>
                <c:pt idx="3">
                  <c:v>38.478000000000002</c:v>
                </c:pt>
              </c:numCache>
            </c:numRef>
          </c:val>
          <c:smooth val="0"/>
        </c:ser>
        <c:ser>
          <c:idx val="2"/>
          <c:order val="2"/>
          <c:tx>
            <c:strRef>
              <c:f>[Balance_of_Payments_Standard_Presen.xlsx]Вторинні!$A$4</c:f>
              <c:strCache>
                <c:ptCount val="1"/>
                <c:pt idx="0">
                  <c:v>Дебіт ВБ</c:v>
                </c:pt>
              </c:strCache>
            </c:strRef>
          </c:tx>
          <c:spPr>
            <a:ln w="15875" cap="rnd">
              <a:solidFill>
                <a:schemeClr val="tx1"/>
              </a:solidFill>
              <a:prstDash val="sysDash"/>
              <a:round/>
            </a:ln>
            <a:effectLst/>
          </c:spPr>
          <c:marker>
            <c:symbol val="circle"/>
            <c:size val="5"/>
            <c:spPr>
              <a:solidFill>
                <a:schemeClr val="bg1"/>
              </a:solidFill>
              <a:ln w="9525">
                <a:solidFill>
                  <a:schemeClr val="tx1"/>
                </a:solidFill>
              </a:ln>
              <a:effectLst/>
            </c:spPr>
          </c:marker>
          <c:dLbls>
            <c:dLbl>
              <c:idx val="3"/>
              <c:layout>
                <c:manualLayout>
                  <c:x val="-3.1628465619057203E-2"/>
                  <c:y val="-5.6896551724137899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[Balance_of_Payments_Standard_Presen.xlsx]Вторинні!$B$1:$F$1</c:f>
              <c:numCache>
                <c:formatCode>General</c:formatCode>
                <c:ptCount val="5"/>
                <c:pt idx="0">
                  <c:v>2018</c:v>
                </c:pt>
                <c:pt idx="1">
                  <c:v>2019</c:v>
                </c:pt>
                <c:pt idx="2">
                  <c:v>2020</c:v>
                </c:pt>
                <c:pt idx="3">
                  <c:v>2021</c:v>
                </c:pt>
                <c:pt idx="4">
                  <c:v>2022</c:v>
                </c:pt>
              </c:numCache>
            </c:numRef>
          </c:cat>
          <c:val>
            <c:numRef>
              <c:f>[Balance_of_Payments_Standard_Presen.xlsx]Вторинні!$B$4:$E$4</c:f>
              <c:numCache>
                <c:formatCode>#,##0.00_ </c:formatCode>
                <c:ptCount val="4"/>
                <c:pt idx="0">
                  <c:v>79.769000000000005</c:v>
                </c:pt>
                <c:pt idx="1">
                  <c:v>69.031999999999996</c:v>
                </c:pt>
                <c:pt idx="2">
                  <c:v>70.22</c:v>
                </c:pt>
                <c:pt idx="3">
                  <c:v>63.087000000000003</c:v>
                </c:pt>
              </c:numCache>
            </c:numRef>
          </c:val>
          <c:smooth val="0"/>
        </c:ser>
        <c:ser>
          <c:idx val="4"/>
          <c:order val="4"/>
          <c:tx>
            <c:strRef>
              <c:f>[Balance_of_Payments_Standard_Presen.xlsx]Вторинні!$A$6</c:f>
              <c:strCache>
                <c:ptCount val="1"/>
                <c:pt idx="0">
                  <c:v>Кредит Ірландії</c:v>
                </c:pt>
              </c:strCache>
            </c:strRef>
          </c:tx>
          <c:spPr>
            <a:ln w="15875" cap="rnd">
              <a:solidFill>
                <a:schemeClr val="tx1"/>
              </a:solidFill>
              <a:round/>
            </a:ln>
            <a:effectLst/>
          </c:spPr>
          <c:marker>
            <c:symbol val="circle"/>
            <c:size val="5"/>
            <c:spPr>
              <a:solidFill>
                <a:schemeClr val="tx1"/>
              </a:solidFill>
              <a:ln w="9525">
                <a:solidFill>
                  <a:schemeClr val="tx1"/>
                </a:solidFill>
              </a:ln>
              <a:effectLst/>
            </c:spPr>
          </c:marker>
          <c:dLbls>
            <c:dLbl>
              <c:idx val="3"/>
              <c:layout>
                <c:manualLayout>
                  <c:x val="-2.1819637673906499E-2"/>
                  <c:y val="0.02"/>
                </c:manualLayout>
              </c:layout>
              <c:spPr>
                <a:noFill/>
                <a:ln>
                  <a:noFill/>
                </a:ln>
                <a:effectLst/>
              </c:spPr>
              <c:txPr>
                <a:bodyPr rot="0" spcFirstLastPara="0" vertOverflow="ellipsis" vert="horz" wrap="square" lIns="38100" tIns="0" rIns="38100" bIns="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82880" rIns="38100" bIns="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[Balance_of_Payments_Standard_Presen.xlsx]Вторинні!$B$1:$F$1</c:f>
              <c:numCache>
                <c:formatCode>General</c:formatCode>
                <c:ptCount val="5"/>
                <c:pt idx="0">
                  <c:v>2018</c:v>
                </c:pt>
                <c:pt idx="1">
                  <c:v>2019</c:v>
                </c:pt>
                <c:pt idx="2">
                  <c:v>2020</c:v>
                </c:pt>
                <c:pt idx="3">
                  <c:v>2021</c:v>
                </c:pt>
                <c:pt idx="4">
                  <c:v>2022</c:v>
                </c:pt>
              </c:numCache>
            </c:numRef>
          </c:cat>
          <c:val>
            <c:numRef>
              <c:f>[Balance_of_Payments_Standard_Presen.xlsx]Вторинні!$B$6:$E$6</c:f>
              <c:numCache>
                <c:formatCode>#,##0.00_ </c:formatCode>
                <c:ptCount val="4"/>
                <c:pt idx="0">
                  <c:v>6.0979999999999999</c:v>
                </c:pt>
                <c:pt idx="1">
                  <c:v>5.5890000000000004</c:v>
                </c:pt>
                <c:pt idx="2">
                  <c:v>6.86</c:v>
                </c:pt>
                <c:pt idx="3">
                  <c:v>7.8179999999999996</c:v>
                </c:pt>
              </c:numCache>
            </c:numRef>
          </c:val>
          <c:smooth val="0"/>
        </c:ser>
        <c:ser>
          <c:idx val="5"/>
          <c:order val="5"/>
          <c:tx>
            <c:strRef>
              <c:f>[Balance_of_Payments_Standard_Presen.xlsx]Вторинні!$A$7</c:f>
              <c:strCache>
                <c:ptCount val="1"/>
                <c:pt idx="0">
                  <c:v>Дебіт Ірландії</c:v>
                </c:pt>
              </c:strCache>
            </c:strRef>
          </c:tx>
          <c:spPr>
            <a:ln w="15875" cap="rnd">
              <a:solidFill>
                <a:schemeClr val="tx1"/>
              </a:solidFill>
              <a:prstDash val="sysDash"/>
              <a:round/>
            </a:ln>
            <a:effectLst/>
          </c:spPr>
          <c:marker>
            <c:symbol val="circle"/>
            <c:size val="5"/>
            <c:spPr>
              <a:solidFill>
                <a:schemeClr val="tx1"/>
              </a:solidFill>
              <a:ln w="9525">
                <a:solidFill>
                  <a:schemeClr val="tx1"/>
                </a:solidFill>
              </a:ln>
              <a:effectLst/>
            </c:spPr>
          </c:marker>
          <c:dLbls>
            <c:dLbl>
              <c:idx val="3"/>
              <c:layout>
                <c:manualLayout>
                  <c:x val="-4.3439095185667097E-2"/>
                  <c:y val="-1.13793103448276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27432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noFill/>
                      <a:round/>
                    </a:ln>
                    <a:effectLst/>
                  </c:spPr>
                </c15:leaderLines>
              </c:ext>
            </c:extLst>
          </c:dLbls>
          <c:cat>
            <c:numRef>
              <c:f>[Balance_of_Payments_Standard_Presen.xlsx]Вторинні!$B$1:$F$1</c:f>
              <c:numCache>
                <c:formatCode>General</c:formatCode>
                <c:ptCount val="5"/>
                <c:pt idx="0">
                  <c:v>2018</c:v>
                </c:pt>
                <c:pt idx="1">
                  <c:v>2019</c:v>
                </c:pt>
                <c:pt idx="2">
                  <c:v>2020</c:v>
                </c:pt>
                <c:pt idx="3">
                  <c:v>2021</c:v>
                </c:pt>
                <c:pt idx="4">
                  <c:v>2022</c:v>
                </c:pt>
              </c:numCache>
            </c:numRef>
          </c:cat>
          <c:val>
            <c:numRef>
              <c:f>[Balance_of_Payments_Standard_Presen.xlsx]Вторинні!$B$7:$E$7</c:f>
              <c:numCache>
                <c:formatCode>#,##0.00_ </c:formatCode>
                <c:ptCount val="4"/>
                <c:pt idx="0">
                  <c:v>10.507999999999999</c:v>
                </c:pt>
                <c:pt idx="1">
                  <c:v>9.5969999999999995</c:v>
                </c:pt>
                <c:pt idx="2">
                  <c:v>11.170999999999999</c:v>
                </c:pt>
                <c:pt idx="3">
                  <c:v>12.992000000000001</c:v>
                </c:pt>
              </c:numCache>
            </c:numRef>
          </c:val>
          <c:smooth val="0"/>
        </c:ser>
        <c:dLbls>
          <c:showLegendKey val="0"/>
          <c:showVal val="1"/>
          <c:showCatName val="0"/>
          <c:showSerName val="0"/>
          <c:showPercent val="0"/>
          <c:showBubbleSize val="0"/>
        </c:dLbls>
        <c:marker val="1"/>
        <c:smooth val="0"/>
        <c:axId val="27100672"/>
        <c:axId val="27102208"/>
      </c:lineChart>
      <c:catAx>
        <c:axId val="27100672"/>
        <c:scaling>
          <c:orientation val="minMax"/>
        </c:scaling>
        <c:delete val="0"/>
        <c:axPos val="b"/>
        <c:minorGridlines>
          <c:spPr>
            <a:ln w="12700" cap="flat" cmpd="sng" algn="ctr">
              <a:solidFill>
                <a:schemeClr val="tx1">
                  <a:alpha val="45000"/>
                </a:schemeClr>
              </a:solidFill>
              <a:prstDash val="sysDash"/>
              <a:round/>
            </a:ln>
            <a:effectLst/>
          </c:spPr>
        </c:minorGridlines>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102208"/>
        <c:crosses val="autoZero"/>
        <c:auto val="1"/>
        <c:lblAlgn val="ctr"/>
        <c:lblOffset val="100"/>
        <c:noMultiLvlLbl val="0"/>
      </c:catAx>
      <c:valAx>
        <c:axId val="27102208"/>
        <c:scaling>
          <c:orientation val="minMax"/>
          <c:max val="100"/>
          <c:min val="-40"/>
        </c:scaling>
        <c:delete val="0"/>
        <c:axPos val="l"/>
        <c:majorGridlines>
          <c:spPr>
            <a:ln w="12700" cap="flat" cmpd="sng" algn="ctr">
              <a:solidFill>
                <a:schemeClr val="tx1">
                  <a:alpha val="45000"/>
                </a:schemeClr>
              </a:solidFill>
              <a:prstDash val="sysDash"/>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100672"/>
        <c:crosses val="autoZero"/>
        <c:crossBetween val="midCat"/>
      </c:valAx>
      <c:spPr>
        <a:noFill/>
        <a:ln>
          <a:solidFill>
            <a:schemeClr val="tx1"/>
          </a:solidFill>
        </a:ln>
        <a:effectLst/>
      </c:spPr>
    </c:plotArea>
    <c:legend>
      <c:legendPos val="b"/>
      <c:legendEntry>
        <c:idx val="0"/>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4"/>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5"/>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ayout>
        <c:manualLayout>
          <c:xMode val="edge"/>
          <c:yMode val="edge"/>
          <c:x val="9.1812685725996504E-2"/>
          <c:y val="0.77105212908153498"/>
          <c:w val="0.89599344195102004"/>
          <c:h val="0.206033988924957"/>
        </c:manualLayout>
      </c:layout>
      <c:overlay val="0"/>
      <c:spPr>
        <a:noFill/>
        <a:ln>
          <a:noFill/>
        </a:ln>
        <a:effectLst/>
      </c:spPr>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10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0"/>
          <c:order val="0"/>
          <c:tx>
            <c:strRef>
              <c:f>[Balance_of_Payments_Standard_Presen.xlsx]ПІІ!$A$2</c:f>
              <c:strCache>
                <c:ptCount val="1"/>
                <c:pt idx="0">
                  <c:v>Сальдо ПІІ ВБ</c:v>
                </c:pt>
              </c:strCache>
            </c:strRef>
          </c:tx>
          <c:spPr>
            <a:solidFill>
              <a:schemeClr val="tx1">
                <a:lumMod val="65000"/>
                <a:lumOff val="35000"/>
              </a:schemeClr>
            </a:solidFill>
            <a:ln>
              <a:noFill/>
            </a:ln>
            <a:effectLst/>
          </c:spPr>
          <c:dLbls>
            <c:delete val="1"/>
          </c:dLbls>
          <c:cat>
            <c:numRef>
              <c:f>[Balance_of_Payments_Standard_Presen.xlsx]ПІІ!$B$1:$E$1</c:f>
              <c:numCache>
                <c:formatCode>General</c:formatCode>
                <c:ptCount val="4"/>
                <c:pt idx="0">
                  <c:v>2018</c:v>
                </c:pt>
                <c:pt idx="1">
                  <c:v>2019</c:v>
                </c:pt>
                <c:pt idx="2">
                  <c:v>2020</c:v>
                </c:pt>
                <c:pt idx="3">
                  <c:v>2021</c:v>
                </c:pt>
              </c:numCache>
            </c:numRef>
          </c:cat>
          <c:val>
            <c:numRef>
              <c:f>[Balance_of_Payments_Standard_Presen.xlsx]ПІІ!$B$2:$E$2</c:f>
              <c:numCache>
                <c:formatCode>#,##0.00_ </c:formatCode>
                <c:ptCount val="4"/>
                <c:pt idx="0">
                  <c:v>-3.5760000000000001</c:v>
                </c:pt>
                <c:pt idx="1">
                  <c:v>-41.289000000000001</c:v>
                </c:pt>
                <c:pt idx="2">
                  <c:v>-136.91999999999999</c:v>
                </c:pt>
                <c:pt idx="3">
                  <c:v>155.00899999999999</c:v>
                </c:pt>
              </c:numCache>
            </c:numRef>
          </c:val>
        </c:ser>
        <c:ser>
          <c:idx val="3"/>
          <c:order val="3"/>
          <c:tx>
            <c:strRef>
              <c:f>[Balance_of_Payments_Standard_Presen.xlsx]ПІІ!$A$5</c:f>
              <c:strCache>
                <c:ptCount val="1"/>
                <c:pt idx="0">
                  <c:v>Сальдо ПІІ Ірландія</c:v>
                </c:pt>
              </c:strCache>
            </c:strRef>
          </c:tx>
          <c:spPr>
            <a:solidFill>
              <a:schemeClr val="accent1">
                <a:lumMod val="40000"/>
                <a:lumOff val="60000"/>
              </a:schemeClr>
            </a:solidFill>
            <a:ln>
              <a:noFill/>
            </a:ln>
            <a:effectLst/>
          </c:spPr>
          <c:dLbls>
            <c:delete val="1"/>
          </c:dLbls>
          <c:cat>
            <c:numRef>
              <c:f>[Balance_of_Payments_Standard_Presen.xlsx]ПІІ!$B$1:$E$1</c:f>
              <c:numCache>
                <c:formatCode>General</c:formatCode>
                <c:ptCount val="4"/>
                <c:pt idx="0">
                  <c:v>2018</c:v>
                </c:pt>
                <c:pt idx="1">
                  <c:v>2019</c:v>
                </c:pt>
                <c:pt idx="2">
                  <c:v>2020</c:v>
                </c:pt>
                <c:pt idx="3">
                  <c:v>2021</c:v>
                </c:pt>
              </c:numCache>
            </c:numRef>
          </c:cat>
          <c:val>
            <c:numRef>
              <c:f>[Balance_of_Payments_Standard_Presen.xlsx]ПІІ!$B$5:$E$5</c:f>
              <c:numCache>
                <c:formatCode>#,##0.00_ </c:formatCode>
                <c:ptCount val="4"/>
                <c:pt idx="0">
                  <c:v>27.440999999999999</c:v>
                </c:pt>
                <c:pt idx="1">
                  <c:v>-97.444000000000003</c:v>
                </c:pt>
                <c:pt idx="2">
                  <c:v>-126.747</c:v>
                </c:pt>
                <c:pt idx="3">
                  <c:v>62.639000000000003</c:v>
                </c:pt>
              </c:numCache>
            </c:numRef>
          </c:val>
        </c:ser>
        <c:dLbls>
          <c:showLegendKey val="0"/>
          <c:showVal val="1"/>
          <c:showCatName val="0"/>
          <c:showSerName val="0"/>
          <c:showPercent val="0"/>
          <c:showBubbleSize val="0"/>
        </c:dLbls>
        <c:axId val="27286144"/>
        <c:axId val="27300224"/>
      </c:areaChart>
      <c:lineChart>
        <c:grouping val="standard"/>
        <c:varyColors val="0"/>
        <c:ser>
          <c:idx val="1"/>
          <c:order val="1"/>
          <c:tx>
            <c:strRef>
              <c:f>[Balance_of_Payments_Standard_Presen.xlsx]ПІІ!$A$3</c:f>
              <c:strCache>
                <c:ptCount val="1"/>
                <c:pt idx="0">
                  <c:v>Активи ВБ</c:v>
                </c:pt>
              </c:strCache>
            </c:strRef>
          </c:tx>
          <c:spPr>
            <a:ln w="15875" cap="rnd">
              <a:solidFill>
                <a:schemeClr val="tx1"/>
              </a:solidFill>
              <a:round/>
            </a:ln>
            <a:effectLst/>
          </c:spPr>
          <c:marker>
            <c:symbol val="circle"/>
            <c:size val="5"/>
            <c:spPr>
              <a:solidFill>
                <a:schemeClr val="bg1"/>
              </a:solidFill>
              <a:ln w="9525">
                <a:solidFill>
                  <a:schemeClr val="tx1"/>
                </a:solidFill>
              </a:ln>
              <a:effectLst/>
            </c:spPr>
          </c:marker>
          <c:dLbls>
            <c:dLbl>
              <c:idx val="0"/>
              <c:layout>
                <c:manualLayout>
                  <c:x val="-1.3349272763498701E-2"/>
                  <c:y val="1.24028137726768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6499302649930299E-2"/>
                  <c:y val="-4.33172898926324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6636780235106601E-2"/>
                  <c:y val="1.85116623472788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0023909145248101E-2"/>
                  <c:y val="-4.31321732691596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91440" rIns="38100" bIns="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[Balance_of_Payments_Standard_Presen.xlsx]ПІІ!$B$1:$E$1</c:f>
              <c:numCache>
                <c:formatCode>General</c:formatCode>
                <c:ptCount val="4"/>
                <c:pt idx="0">
                  <c:v>2018</c:v>
                </c:pt>
                <c:pt idx="1">
                  <c:v>2019</c:v>
                </c:pt>
                <c:pt idx="2">
                  <c:v>2020</c:v>
                </c:pt>
                <c:pt idx="3">
                  <c:v>2021</c:v>
                </c:pt>
              </c:numCache>
            </c:numRef>
          </c:cat>
          <c:val>
            <c:numRef>
              <c:f>[Balance_of_Payments_Standard_Presen.xlsx]ПІІ!$B$3:$E$3</c:f>
              <c:numCache>
                <c:formatCode>#,##0.00_ </c:formatCode>
                <c:ptCount val="4"/>
                <c:pt idx="0">
                  <c:v>-28.632000000000001</c:v>
                </c:pt>
                <c:pt idx="1">
                  <c:v>-21.498000000000001</c:v>
                </c:pt>
                <c:pt idx="2">
                  <c:v>-4.444</c:v>
                </c:pt>
                <c:pt idx="3">
                  <c:v>160.93100000000001</c:v>
                </c:pt>
              </c:numCache>
            </c:numRef>
          </c:val>
          <c:smooth val="0"/>
        </c:ser>
        <c:ser>
          <c:idx val="2"/>
          <c:order val="2"/>
          <c:tx>
            <c:strRef>
              <c:f>[Balance_of_Payments_Standard_Presen.xlsx]ПІІ!$A$4</c:f>
              <c:strCache>
                <c:ptCount val="1"/>
                <c:pt idx="0">
                  <c:v>Пасиви ВБ</c:v>
                </c:pt>
              </c:strCache>
            </c:strRef>
          </c:tx>
          <c:spPr>
            <a:ln w="15875" cap="rnd" cmpd="sng">
              <a:solidFill>
                <a:schemeClr val="tx1"/>
              </a:solidFill>
              <a:prstDash val="sysDash"/>
              <a:round/>
            </a:ln>
            <a:effectLst/>
          </c:spPr>
          <c:marker>
            <c:symbol val="circle"/>
            <c:size val="5"/>
            <c:spPr>
              <a:solidFill>
                <a:schemeClr val="bg1"/>
              </a:solidFill>
              <a:ln w="9525">
                <a:solidFill>
                  <a:schemeClr val="tx1"/>
                </a:solidFill>
              </a:ln>
              <a:effectLst/>
            </c:spPr>
          </c:marker>
          <c:dLbls>
            <c:dLbl>
              <c:idx val="0"/>
              <c:layout>
                <c:manualLayout>
                  <c:x val="-1.6636780235106601E-2"/>
                  <c:y val="-6.2939651980747904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8330344690177299E-2"/>
                  <c:y val="-3.702332469455760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7.8103207810320804E-2"/>
                  <c:y val="-1.24028137726768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1579996015142497E-2"/>
                  <c:y val="7.4046649389115093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18288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[Balance_of_Payments_Standard_Presen.xlsx]ПІІ!$B$1:$E$1</c:f>
              <c:numCache>
                <c:formatCode>General</c:formatCode>
                <c:ptCount val="4"/>
                <c:pt idx="0">
                  <c:v>2018</c:v>
                </c:pt>
                <c:pt idx="1">
                  <c:v>2019</c:v>
                </c:pt>
                <c:pt idx="2">
                  <c:v>2020</c:v>
                </c:pt>
                <c:pt idx="3">
                  <c:v>2021</c:v>
                </c:pt>
              </c:numCache>
            </c:numRef>
          </c:cat>
          <c:val>
            <c:numRef>
              <c:f>[Balance_of_Payments_Standard_Presen.xlsx]ПІІ!$B$4:$E$4</c:f>
              <c:numCache>
                <c:formatCode>#,##0.00_ </c:formatCode>
                <c:ptCount val="4"/>
                <c:pt idx="0">
                  <c:v>-25.055</c:v>
                </c:pt>
                <c:pt idx="1">
                  <c:v>19.79</c:v>
                </c:pt>
                <c:pt idx="2">
                  <c:v>132.476</c:v>
                </c:pt>
                <c:pt idx="3">
                  <c:v>5.9219999999999997</c:v>
                </c:pt>
              </c:numCache>
            </c:numRef>
          </c:val>
          <c:smooth val="0"/>
        </c:ser>
        <c:ser>
          <c:idx val="4"/>
          <c:order val="4"/>
          <c:tx>
            <c:strRef>
              <c:f>[Balance_of_Payments_Standard_Presen.xlsx]ПІІ!$A$6</c:f>
              <c:strCache>
                <c:ptCount val="1"/>
                <c:pt idx="0">
                  <c:v>Активи Ірландія</c:v>
                </c:pt>
              </c:strCache>
            </c:strRef>
          </c:tx>
          <c:spPr>
            <a:ln w="15875" cap="rnd">
              <a:solidFill>
                <a:schemeClr val="tx1"/>
              </a:solidFill>
              <a:round/>
            </a:ln>
            <a:effectLst/>
          </c:spPr>
          <c:marker>
            <c:symbol val="circle"/>
            <c:size val="5"/>
            <c:spPr>
              <a:solidFill>
                <a:schemeClr val="tx1"/>
              </a:solidFill>
              <a:ln w="9525">
                <a:solidFill>
                  <a:schemeClr val="tx1"/>
                </a:solidFill>
              </a:ln>
              <a:effectLst/>
            </c:spPr>
          </c:marker>
          <c:dLbls>
            <c:dLbl>
              <c:idx val="0"/>
              <c:layout>
                <c:manualLayout>
                  <c:x val="-9.9621438533572405E-3"/>
                  <c:y val="-1.24028137726768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6636780235106601E-2"/>
                  <c:y val="-1.53646797482414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5.9772863120143502E-2"/>
                  <c:y val="-1.24028137726768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49671249252839E-2"/>
                  <c:y val="3.3876342095520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18288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[Balance_of_Payments_Standard_Presen.xlsx]ПІІ!$B$1:$E$1</c:f>
              <c:numCache>
                <c:formatCode>General</c:formatCode>
                <c:ptCount val="4"/>
                <c:pt idx="0">
                  <c:v>2018</c:v>
                </c:pt>
                <c:pt idx="1">
                  <c:v>2019</c:v>
                </c:pt>
                <c:pt idx="2">
                  <c:v>2020</c:v>
                </c:pt>
                <c:pt idx="3">
                  <c:v>2021</c:v>
                </c:pt>
              </c:numCache>
            </c:numRef>
          </c:cat>
          <c:val>
            <c:numRef>
              <c:f>[Balance_of_Payments_Standard_Presen.xlsx]ПІІ!$B$6:$E$6</c:f>
              <c:numCache>
                <c:formatCode>#,##0.00_ </c:formatCode>
                <c:ptCount val="4"/>
                <c:pt idx="0">
                  <c:v>94.802999999999997</c:v>
                </c:pt>
                <c:pt idx="1">
                  <c:v>-144.077</c:v>
                </c:pt>
                <c:pt idx="2">
                  <c:v>-91.963999999999999</c:v>
                </c:pt>
                <c:pt idx="3">
                  <c:v>143.65700000000001</c:v>
                </c:pt>
              </c:numCache>
            </c:numRef>
          </c:val>
          <c:smooth val="0"/>
        </c:ser>
        <c:ser>
          <c:idx val="5"/>
          <c:order val="5"/>
          <c:tx>
            <c:strRef>
              <c:f>[Balance_of_Payments_Standard_Presen.xlsx]ПІІ!$A$7</c:f>
              <c:strCache>
                <c:ptCount val="1"/>
                <c:pt idx="0">
                  <c:v>Пасиви Ірландія</c:v>
                </c:pt>
              </c:strCache>
            </c:strRef>
          </c:tx>
          <c:spPr>
            <a:ln w="15875" cap="rnd" cmpd="sng">
              <a:solidFill>
                <a:schemeClr val="tx1"/>
              </a:solidFill>
              <a:prstDash val="sysDash"/>
              <a:round/>
            </a:ln>
            <a:effectLst/>
          </c:spPr>
          <c:marker>
            <c:symbol val="circle"/>
            <c:size val="5"/>
            <c:spPr>
              <a:solidFill>
                <a:schemeClr val="tx1"/>
              </a:solidFill>
              <a:ln w="9525">
                <a:solidFill>
                  <a:schemeClr val="tx1"/>
                </a:solidFill>
              </a:ln>
              <a:effectLst/>
            </c:spPr>
          </c:marker>
          <c:dLbls>
            <c:dLbl>
              <c:idx val="0"/>
              <c:layout>
                <c:manualLayout>
                  <c:x val="-1.3349272763498701E-2"/>
                  <c:y val="7.4046649389115093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9810719266786202E-3"/>
                  <c:y val="6.16438356164384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49432157800359E-2"/>
                  <c:y val="-2.48056275453535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8.3682008368200795E-3"/>
                  <c:y val="0"/>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18288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[Balance_of_Payments_Standard_Presen.xlsx]ПІІ!$B$1:$E$1</c:f>
              <c:numCache>
                <c:formatCode>General</c:formatCode>
                <c:ptCount val="4"/>
                <c:pt idx="0">
                  <c:v>2018</c:v>
                </c:pt>
                <c:pt idx="1">
                  <c:v>2019</c:v>
                </c:pt>
                <c:pt idx="2">
                  <c:v>2020</c:v>
                </c:pt>
                <c:pt idx="3">
                  <c:v>2021</c:v>
                </c:pt>
              </c:numCache>
            </c:numRef>
          </c:cat>
          <c:val>
            <c:numRef>
              <c:f>[Balance_of_Payments_Standard_Presen.xlsx]ПІІ!$B$7:$E$7</c:f>
              <c:numCache>
                <c:formatCode>#,##0.00_ </c:formatCode>
                <c:ptCount val="4"/>
                <c:pt idx="0">
                  <c:v>67.361000000000004</c:v>
                </c:pt>
                <c:pt idx="1">
                  <c:v>-46.633000000000003</c:v>
                </c:pt>
                <c:pt idx="2">
                  <c:v>34.781999999999996</c:v>
                </c:pt>
                <c:pt idx="3">
                  <c:v>81.018000000000001</c:v>
                </c:pt>
              </c:numCache>
            </c:numRef>
          </c:val>
          <c:smooth val="0"/>
        </c:ser>
        <c:dLbls>
          <c:showLegendKey val="0"/>
          <c:showVal val="1"/>
          <c:showCatName val="0"/>
          <c:showSerName val="0"/>
          <c:showPercent val="0"/>
          <c:showBubbleSize val="0"/>
        </c:dLbls>
        <c:marker val="1"/>
        <c:smooth val="0"/>
        <c:axId val="27286144"/>
        <c:axId val="27300224"/>
      </c:lineChart>
      <c:catAx>
        <c:axId val="27286144"/>
        <c:scaling>
          <c:orientation val="minMax"/>
        </c:scaling>
        <c:delete val="0"/>
        <c:axPos val="b"/>
        <c:minorGridlines>
          <c:spPr>
            <a:ln w="12700" cap="flat" cmpd="sng" algn="ctr">
              <a:solidFill>
                <a:schemeClr val="tx1">
                  <a:alpha val="45000"/>
                </a:schemeClr>
              </a:solidFill>
              <a:prstDash val="sysDash"/>
              <a:round/>
            </a:ln>
            <a:effectLst/>
          </c:spPr>
        </c:minorGridlines>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300224"/>
        <c:crosses val="autoZero"/>
        <c:auto val="1"/>
        <c:lblAlgn val="ctr"/>
        <c:lblOffset val="100"/>
        <c:noMultiLvlLbl val="0"/>
      </c:catAx>
      <c:valAx>
        <c:axId val="27300224"/>
        <c:scaling>
          <c:orientation val="minMax"/>
        </c:scaling>
        <c:delete val="0"/>
        <c:axPos val="l"/>
        <c:majorGridlines>
          <c:spPr>
            <a:ln w="12700" cap="flat" cmpd="sng" algn="ctr">
              <a:solidFill>
                <a:schemeClr val="tx1">
                  <a:alpha val="45000"/>
                </a:schemeClr>
              </a:solidFill>
              <a:prstDash val="sysDot"/>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286144"/>
        <c:crosses val="autoZero"/>
        <c:crossBetween val="midCat"/>
      </c:valAx>
      <c:spPr>
        <a:noFill/>
        <a:ln>
          <a:solidFill>
            <a:schemeClr val="tx1"/>
          </a:solidFill>
        </a:ln>
        <a:effectLst/>
      </c:spPr>
    </c:plotArea>
    <c:legend>
      <c:legendPos val="b"/>
      <c:legendEntry>
        <c:idx val="0"/>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4"/>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5"/>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ayout>
        <c:manualLayout>
          <c:xMode val="edge"/>
          <c:yMode val="edge"/>
          <c:x val="5.6883841402669902E-2"/>
          <c:y val="0.82413920770085203"/>
          <c:w val="0.90984259812711699"/>
          <c:h val="0.153646797482414"/>
        </c:manualLayout>
      </c:layout>
      <c:overlay val="0"/>
      <c:spPr>
        <a:noFill/>
        <a:ln>
          <a:noFill/>
        </a:ln>
        <a:effectLst/>
      </c:spPr>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10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202846576263599"/>
          <c:y val="5.2311630139177702E-2"/>
          <c:w val="0.87241958982404999"/>
          <c:h val="0.69966405375139995"/>
        </c:manualLayout>
      </c:layout>
      <c:areaChart>
        <c:grouping val="standard"/>
        <c:varyColors val="0"/>
        <c:ser>
          <c:idx val="0"/>
          <c:order val="0"/>
          <c:tx>
            <c:strRef>
              <c:f>[Balance_of_Payments_Standard_Presen.xlsx]Портфельні!$A$2</c:f>
              <c:strCache>
                <c:ptCount val="1"/>
                <c:pt idx="0">
                  <c:v>Сальдо Портфельних інвестицій ВБ</c:v>
                </c:pt>
              </c:strCache>
            </c:strRef>
          </c:tx>
          <c:spPr>
            <a:solidFill>
              <a:schemeClr val="tx1">
                <a:lumMod val="50000"/>
                <a:lumOff val="50000"/>
              </a:schemeClr>
            </a:solidFill>
            <a:ln>
              <a:noFill/>
            </a:ln>
            <a:effectLst/>
          </c:spPr>
          <c:dLbls>
            <c:delete val="1"/>
          </c:dLbls>
          <c:cat>
            <c:numRef>
              <c:f>[Balance_of_Payments_Standard_Presen.xlsx]Портфельні!$B$1:$E$1</c:f>
              <c:numCache>
                <c:formatCode>General</c:formatCode>
                <c:ptCount val="4"/>
                <c:pt idx="0">
                  <c:v>2018</c:v>
                </c:pt>
                <c:pt idx="1">
                  <c:v>2019</c:v>
                </c:pt>
                <c:pt idx="2">
                  <c:v>2020</c:v>
                </c:pt>
                <c:pt idx="3">
                  <c:v>2021</c:v>
                </c:pt>
              </c:numCache>
            </c:numRef>
          </c:cat>
          <c:val>
            <c:numRef>
              <c:f>[Balance_of_Payments_Standard_Presen.xlsx]Портфельні!$B$2:$E$2</c:f>
              <c:numCache>
                <c:formatCode>#,##0.00_ </c:formatCode>
                <c:ptCount val="4"/>
                <c:pt idx="0">
                  <c:v>-353.57100000000003</c:v>
                </c:pt>
                <c:pt idx="1">
                  <c:v>34.756</c:v>
                </c:pt>
                <c:pt idx="2">
                  <c:v>31.995000000000001</c:v>
                </c:pt>
                <c:pt idx="3">
                  <c:v>-262.34699999999998</c:v>
                </c:pt>
              </c:numCache>
            </c:numRef>
          </c:val>
        </c:ser>
        <c:ser>
          <c:idx val="3"/>
          <c:order val="3"/>
          <c:tx>
            <c:strRef>
              <c:f>[Balance_of_Payments_Standard_Presen.xlsx]Портфельні!$A$5</c:f>
              <c:strCache>
                <c:ptCount val="1"/>
                <c:pt idx="0">
                  <c:v>Сальдо Портфельних інвестицій Ірландії</c:v>
                </c:pt>
              </c:strCache>
            </c:strRef>
          </c:tx>
          <c:spPr>
            <a:solidFill>
              <a:schemeClr val="accent1">
                <a:lumMod val="40000"/>
                <a:lumOff val="60000"/>
              </a:schemeClr>
            </a:solidFill>
            <a:ln>
              <a:noFill/>
            </a:ln>
            <a:effectLst/>
          </c:spPr>
          <c:dLbls>
            <c:delete val="1"/>
          </c:dLbls>
          <c:cat>
            <c:numRef>
              <c:f>[Balance_of_Payments_Standard_Presen.xlsx]Портфельні!$B$1:$E$1</c:f>
              <c:numCache>
                <c:formatCode>General</c:formatCode>
                <c:ptCount val="4"/>
                <c:pt idx="0">
                  <c:v>2018</c:v>
                </c:pt>
                <c:pt idx="1">
                  <c:v>2019</c:v>
                </c:pt>
                <c:pt idx="2">
                  <c:v>2020</c:v>
                </c:pt>
                <c:pt idx="3">
                  <c:v>2021</c:v>
                </c:pt>
              </c:numCache>
            </c:numRef>
          </c:cat>
          <c:val>
            <c:numRef>
              <c:f>[Balance_of_Payments_Standard_Presen.xlsx]Портфельні!$B$5:$E$5</c:f>
              <c:numCache>
                <c:formatCode>#,##0.00_ </c:formatCode>
                <c:ptCount val="4"/>
                <c:pt idx="0">
                  <c:v>43.994</c:v>
                </c:pt>
                <c:pt idx="1">
                  <c:v>32.398000000000003</c:v>
                </c:pt>
                <c:pt idx="2">
                  <c:v>-24.15</c:v>
                </c:pt>
                <c:pt idx="3">
                  <c:v>-7.1059999999999999</c:v>
                </c:pt>
              </c:numCache>
            </c:numRef>
          </c:val>
        </c:ser>
        <c:dLbls>
          <c:showLegendKey val="0"/>
          <c:showVal val="1"/>
          <c:showCatName val="0"/>
          <c:showSerName val="0"/>
          <c:showPercent val="0"/>
          <c:showBubbleSize val="0"/>
        </c:dLbls>
        <c:axId val="27493120"/>
        <c:axId val="27494656"/>
      </c:areaChart>
      <c:lineChart>
        <c:grouping val="standard"/>
        <c:varyColors val="0"/>
        <c:ser>
          <c:idx val="1"/>
          <c:order val="1"/>
          <c:tx>
            <c:strRef>
              <c:f>[Balance_of_Payments_Standard_Presen.xlsx]Портфельні!$A$3</c:f>
              <c:strCache>
                <c:ptCount val="1"/>
                <c:pt idx="0">
                  <c:v>Активи ВБ</c:v>
                </c:pt>
              </c:strCache>
            </c:strRef>
          </c:tx>
          <c:spPr>
            <a:ln w="15875" cap="rnd">
              <a:solidFill>
                <a:schemeClr val="tx1"/>
              </a:solidFill>
              <a:round/>
            </a:ln>
            <a:effectLst/>
          </c:spPr>
          <c:marker>
            <c:symbol val="circle"/>
            <c:size val="5"/>
            <c:spPr>
              <a:solidFill>
                <a:schemeClr val="bg1"/>
              </a:solidFill>
              <a:ln w="9525">
                <a:solidFill>
                  <a:schemeClr val="tx1"/>
                </a:solidFill>
              </a:ln>
              <a:effectLst/>
            </c:spPr>
          </c:marker>
          <c:dLbls>
            <c:dLbl>
              <c:idx val="0"/>
              <c:layout>
                <c:manualLayout>
                  <c:x val="-1.6551455554473799E-3"/>
                  <c:y val="3.09645455952934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9.7361503261610399E-3"/>
                  <c:y val="-7.74113639882335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4604225489241601E-2"/>
                  <c:y val="-2.6319863755999398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9472300652322101E-2"/>
                  <c:y val="5.68199411673634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18288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[Balance_of_Payments_Standard_Presen.xlsx]Портфельні!$B$1:$E$1</c:f>
              <c:numCache>
                <c:formatCode>General</c:formatCode>
                <c:ptCount val="4"/>
                <c:pt idx="0">
                  <c:v>2018</c:v>
                </c:pt>
                <c:pt idx="1">
                  <c:v>2019</c:v>
                </c:pt>
                <c:pt idx="2">
                  <c:v>2020</c:v>
                </c:pt>
                <c:pt idx="3">
                  <c:v>2021</c:v>
                </c:pt>
              </c:numCache>
            </c:numRef>
          </c:cat>
          <c:val>
            <c:numRef>
              <c:f>[Balance_of_Payments_Standard_Presen.xlsx]Портфельні!$B$3:$E$3</c:f>
              <c:numCache>
                <c:formatCode>#,##0.00_ </c:formatCode>
                <c:ptCount val="4"/>
                <c:pt idx="0">
                  <c:v>-192.17699999999999</c:v>
                </c:pt>
                <c:pt idx="1">
                  <c:v>100.746</c:v>
                </c:pt>
                <c:pt idx="2">
                  <c:v>111.57299999999999</c:v>
                </c:pt>
                <c:pt idx="3">
                  <c:v>-70.441000000000003</c:v>
                </c:pt>
              </c:numCache>
            </c:numRef>
          </c:val>
          <c:smooth val="0"/>
        </c:ser>
        <c:ser>
          <c:idx val="2"/>
          <c:order val="2"/>
          <c:tx>
            <c:strRef>
              <c:f>[Balance_of_Payments_Standard_Presen.xlsx]Портфельні!$A$4</c:f>
              <c:strCache>
                <c:ptCount val="1"/>
                <c:pt idx="0">
                  <c:v>Пасиви ВБ</c:v>
                </c:pt>
              </c:strCache>
            </c:strRef>
          </c:tx>
          <c:spPr>
            <a:ln w="12700" cap="rnd" cmpd="sng">
              <a:solidFill>
                <a:schemeClr val="tx1"/>
              </a:solidFill>
              <a:prstDash val="sysDash"/>
              <a:round/>
            </a:ln>
            <a:effectLst/>
          </c:spPr>
          <c:marker>
            <c:symbol val="circle"/>
            <c:size val="5"/>
            <c:spPr>
              <a:solidFill>
                <a:schemeClr val="bg1"/>
              </a:solidFill>
              <a:ln w="9525">
                <a:solidFill>
                  <a:schemeClr val="tx1"/>
                </a:solidFill>
              </a:ln>
              <a:effectLst/>
            </c:spPr>
          </c:marker>
          <c:dLbls>
            <c:dLbl>
              <c:idx val="1"/>
              <c:layout>
                <c:manualLayout>
                  <c:x val="0"/>
                  <c:y val="1.02183000464467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9.7361503261610399E-3"/>
                  <c:y val="2.32234091964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5995521370850001E-2"/>
                  <c:y val="-1.811425917324660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[Balance_of_Payments_Standard_Presen.xlsx]Портфельні!$B$1:$E$1</c:f>
              <c:numCache>
                <c:formatCode>General</c:formatCode>
                <c:ptCount val="4"/>
                <c:pt idx="0">
                  <c:v>2018</c:v>
                </c:pt>
                <c:pt idx="1">
                  <c:v>2019</c:v>
                </c:pt>
                <c:pt idx="2">
                  <c:v>2020</c:v>
                </c:pt>
                <c:pt idx="3">
                  <c:v>2021</c:v>
                </c:pt>
              </c:numCache>
            </c:numRef>
          </c:cat>
          <c:val>
            <c:numRef>
              <c:f>[Balance_of_Payments_Standard_Presen.xlsx]Портфельні!$B$4:$E$4</c:f>
              <c:numCache>
                <c:formatCode>#,##0.00_ </c:formatCode>
                <c:ptCount val="4"/>
                <c:pt idx="0">
                  <c:v>161.393</c:v>
                </c:pt>
                <c:pt idx="1">
                  <c:v>65.989999999999995</c:v>
                </c:pt>
                <c:pt idx="2">
                  <c:v>79.578000000000003</c:v>
                </c:pt>
                <c:pt idx="3">
                  <c:v>191.905</c:v>
                </c:pt>
              </c:numCache>
            </c:numRef>
          </c:val>
          <c:smooth val="0"/>
        </c:ser>
        <c:ser>
          <c:idx val="4"/>
          <c:order val="4"/>
          <c:tx>
            <c:strRef>
              <c:f>[Balance_of_Payments_Standard_Presen.xlsx]Портфельні!$A$6</c:f>
              <c:strCache>
                <c:ptCount val="1"/>
                <c:pt idx="0">
                  <c:v>Активи Ірландії</c:v>
                </c:pt>
              </c:strCache>
            </c:strRef>
          </c:tx>
          <c:spPr>
            <a:ln w="15875" cap="rnd">
              <a:solidFill>
                <a:schemeClr val="tx1"/>
              </a:solidFill>
              <a:round/>
            </a:ln>
            <a:effectLst/>
          </c:spPr>
          <c:marker>
            <c:symbol val="circle"/>
            <c:size val="5"/>
            <c:spPr>
              <a:solidFill>
                <a:schemeClr val="tx1"/>
              </a:solidFill>
              <a:ln w="9525">
                <a:solidFill>
                  <a:schemeClr val="tx1"/>
                </a:solidFill>
              </a:ln>
              <a:effectLst/>
            </c:spPr>
          </c:marker>
          <c:dLbls>
            <c:dLbl>
              <c:idx val="0"/>
              <c:layout>
                <c:manualLayout>
                  <c:x val="-1.29490799337942E-2"/>
                  <c:y val="-7.7411363988233502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4604225489241601E-2"/>
                  <c:y val="2.32234091964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12939343783468E-2"/>
                  <c:y val="-1.03731227744233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29490799337942E-2"/>
                  <c:y val="1.28502864220467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36576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[Balance_of_Payments_Standard_Presen.xlsx]Портфельні!$B$1:$E$1</c:f>
              <c:numCache>
                <c:formatCode>General</c:formatCode>
                <c:ptCount val="4"/>
                <c:pt idx="0">
                  <c:v>2018</c:v>
                </c:pt>
                <c:pt idx="1">
                  <c:v>2019</c:v>
                </c:pt>
                <c:pt idx="2">
                  <c:v>2020</c:v>
                </c:pt>
                <c:pt idx="3">
                  <c:v>2021</c:v>
                </c:pt>
              </c:numCache>
            </c:numRef>
          </c:cat>
          <c:val>
            <c:numRef>
              <c:f>[Balance_of_Payments_Standard_Presen.xlsx]Портфельні!$B$6:$E$6</c:f>
              <c:numCache>
                <c:formatCode>#,##0.00_ </c:formatCode>
                <c:ptCount val="4"/>
                <c:pt idx="0">
                  <c:v>157.309</c:v>
                </c:pt>
                <c:pt idx="1">
                  <c:v>358.17</c:v>
                </c:pt>
                <c:pt idx="2">
                  <c:v>269.04599999999999</c:v>
                </c:pt>
                <c:pt idx="3">
                  <c:v>415.24</c:v>
                </c:pt>
              </c:numCache>
            </c:numRef>
          </c:val>
          <c:smooth val="0"/>
        </c:ser>
        <c:ser>
          <c:idx val="5"/>
          <c:order val="5"/>
          <c:tx>
            <c:strRef>
              <c:f>[Balance_of_Payments_Standard_Presen.xlsx]Портфельні!$A$7</c:f>
              <c:strCache>
                <c:ptCount val="1"/>
                <c:pt idx="0">
                  <c:v>Пасиви Ірландії</c:v>
                </c:pt>
              </c:strCache>
            </c:strRef>
          </c:tx>
          <c:spPr>
            <a:ln w="12700" cap="rnd" cmpd="sng">
              <a:solidFill>
                <a:schemeClr val="tx1"/>
              </a:solidFill>
              <a:prstDash val="sysDash"/>
              <a:round/>
            </a:ln>
            <a:effectLst/>
          </c:spPr>
          <c:marker>
            <c:symbol val="circle"/>
            <c:size val="5"/>
            <c:spPr>
              <a:solidFill>
                <a:schemeClr val="tx1"/>
              </a:solidFill>
              <a:ln w="9525">
                <a:solidFill>
                  <a:schemeClr val="tx1"/>
                </a:solidFill>
              </a:ln>
              <a:effectLst/>
            </c:spPr>
          </c:marker>
          <c:dLbls>
            <c:dLbl>
              <c:idx val="0"/>
              <c:layout>
                <c:manualLayout>
                  <c:x val="-9.7361503261610399E-3"/>
                  <c:y val="5.10915002322341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13912958816084E-2"/>
                  <c:y val="1.811425917324660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4604225489241601E-2"/>
                  <c:y val="2.30685864684936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5995521370850001E-2"/>
                  <c:y val="2.848738194766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82880" rIns="38100" bIns="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[Balance_of_Payments_Standard_Presen.xlsx]Портфельні!$B$1:$E$1</c:f>
              <c:numCache>
                <c:formatCode>General</c:formatCode>
                <c:ptCount val="4"/>
                <c:pt idx="0">
                  <c:v>2018</c:v>
                </c:pt>
                <c:pt idx="1">
                  <c:v>2019</c:v>
                </c:pt>
                <c:pt idx="2">
                  <c:v>2020</c:v>
                </c:pt>
                <c:pt idx="3">
                  <c:v>2021</c:v>
                </c:pt>
              </c:numCache>
            </c:numRef>
          </c:cat>
          <c:val>
            <c:numRef>
              <c:f>[Balance_of_Payments_Standard_Presen.xlsx]Портфельні!$B$7:$E$7</c:f>
              <c:numCache>
                <c:formatCode>#,##0.00_ </c:formatCode>
                <c:ptCount val="4"/>
                <c:pt idx="0">
                  <c:v>113.315</c:v>
                </c:pt>
                <c:pt idx="1">
                  <c:v>325.77100000000002</c:v>
                </c:pt>
                <c:pt idx="2">
                  <c:v>293.197</c:v>
                </c:pt>
                <c:pt idx="3">
                  <c:v>422.34699999999998</c:v>
                </c:pt>
              </c:numCache>
            </c:numRef>
          </c:val>
          <c:smooth val="0"/>
        </c:ser>
        <c:dLbls>
          <c:showLegendKey val="0"/>
          <c:showVal val="1"/>
          <c:showCatName val="0"/>
          <c:showSerName val="0"/>
          <c:showPercent val="0"/>
          <c:showBubbleSize val="0"/>
        </c:dLbls>
        <c:marker val="1"/>
        <c:smooth val="0"/>
        <c:axId val="27493120"/>
        <c:axId val="27494656"/>
      </c:lineChart>
      <c:catAx>
        <c:axId val="27493120"/>
        <c:scaling>
          <c:orientation val="minMax"/>
        </c:scaling>
        <c:delete val="0"/>
        <c:axPos val="b"/>
        <c:minorGridlines>
          <c:spPr>
            <a:ln w="9525" cap="flat" cmpd="sng" algn="ctr">
              <a:solidFill>
                <a:schemeClr val="tx1">
                  <a:alpha val="45000"/>
                </a:schemeClr>
              </a:solidFill>
              <a:prstDash val="dash"/>
              <a:round/>
            </a:ln>
            <a:effectLst/>
          </c:spPr>
        </c:minorGridlines>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494656"/>
        <c:crosses val="autoZero"/>
        <c:auto val="1"/>
        <c:lblAlgn val="ctr"/>
        <c:lblOffset val="100"/>
        <c:noMultiLvlLbl val="0"/>
      </c:catAx>
      <c:valAx>
        <c:axId val="27494656"/>
        <c:scaling>
          <c:orientation val="minMax"/>
        </c:scaling>
        <c:delete val="0"/>
        <c:axPos val="l"/>
        <c:majorGridlines>
          <c:spPr>
            <a:ln w="9525" cap="flat" cmpd="sng" algn="ctr">
              <a:solidFill>
                <a:schemeClr val="tx1">
                  <a:alpha val="45000"/>
                </a:schemeClr>
              </a:solidFill>
              <a:prstDash val="dash"/>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493120"/>
        <c:crosses val="autoZero"/>
        <c:crossBetween val="midCat"/>
      </c:valAx>
      <c:spPr>
        <a:noFill/>
        <a:ln>
          <a:solidFill>
            <a:schemeClr val="tx1"/>
          </a:solidFill>
        </a:ln>
        <a:effectLst/>
      </c:spPr>
    </c:plotArea>
    <c:legend>
      <c:legendPos val="b"/>
      <c:legendEntry>
        <c:idx val="0"/>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4"/>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5"/>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ayout>
        <c:manualLayout>
          <c:xMode val="edge"/>
          <c:yMode val="edge"/>
          <c:x val="1.16824980893111E-2"/>
          <c:y val="0.81341582546401803"/>
          <c:w val="0.98504203515667699"/>
          <c:h val="0.16704656463692599"/>
        </c:manualLayout>
      </c:layout>
      <c:overlay val="0"/>
      <c:spPr>
        <a:noFill/>
        <a:ln>
          <a:noFill/>
        </a:ln>
        <a:effectLst/>
      </c:spPr>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10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0"/>
          <c:order val="0"/>
          <c:tx>
            <c:strRef>
              <c:f>[Balance_of_Payments_Standard_Presen.xlsx]Інші!$A$2</c:f>
              <c:strCache>
                <c:ptCount val="1"/>
                <c:pt idx="0">
                  <c:v>Сальдо інших інвестицій ВБ</c:v>
                </c:pt>
              </c:strCache>
            </c:strRef>
          </c:tx>
          <c:spPr>
            <a:solidFill>
              <a:schemeClr val="tx1">
                <a:lumMod val="50000"/>
                <a:lumOff val="50000"/>
              </a:schemeClr>
            </a:solidFill>
            <a:ln>
              <a:noFill/>
            </a:ln>
            <a:effectLst/>
          </c:spPr>
          <c:dLbls>
            <c:delete val="1"/>
          </c:dLbls>
          <c:cat>
            <c:numRef>
              <c:f>[Balance_of_Payments_Standard_Presen.xlsx]Інші!$B$1:$E$1</c:f>
              <c:numCache>
                <c:formatCode>General</c:formatCode>
                <c:ptCount val="4"/>
                <c:pt idx="0">
                  <c:v>2018</c:v>
                </c:pt>
                <c:pt idx="1">
                  <c:v>2019</c:v>
                </c:pt>
                <c:pt idx="2">
                  <c:v>2020</c:v>
                </c:pt>
                <c:pt idx="3">
                  <c:v>2021</c:v>
                </c:pt>
              </c:numCache>
            </c:numRef>
          </c:cat>
          <c:val>
            <c:numRef>
              <c:f>[Balance_of_Payments_Standard_Presen.xlsx]Інші!$B$2:$E$2</c:f>
              <c:numCache>
                <c:formatCode>#,##0.00_ </c:formatCode>
                <c:ptCount val="4"/>
                <c:pt idx="0">
                  <c:v>199.084</c:v>
                </c:pt>
                <c:pt idx="1">
                  <c:v>-95.563999999999993</c:v>
                </c:pt>
                <c:pt idx="2">
                  <c:v>-34.024999999999999</c:v>
                </c:pt>
                <c:pt idx="3">
                  <c:v>95.004000000000005</c:v>
                </c:pt>
              </c:numCache>
            </c:numRef>
          </c:val>
        </c:ser>
        <c:ser>
          <c:idx val="3"/>
          <c:order val="3"/>
          <c:tx>
            <c:strRef>
              <c:f>[Balance_of_Payments_Standard_Presen.xlsx]Інші!$A$5</c:f>
              <c:strCache>
                <c:ptCount val="1"/>
                <c:pt idx="0">
                  <c:v>Сальдо інших інвестицій Ірландії</c:v>
                </c:pt>
              </c:strCache>
            </c:strRef>
          </c:tx>
          <c:spPr>
            <a:solidFill>
              <a:schemeClr val="accent1">
                <a:lumMod val="40000"/>
                <a:lumOff val="60000"/>
              </a:schemeClr>
            </a:solidFill>
            <a:ln>
              <a:noFill/>
            </a:ln>
            <a:effectLst/>
          </c:spPr>
          <c:dLbls>
            <c:delete val="1"/>
          </c:dLbls>
          <c:cat>
            <c:numRef>
              <c:f>[Balance_of_Payments_Standard_Presen.xlsx]Інші!$B$1:$E$1</c:f>
              <c:numCache>
                <c:formatCode>General</c:formatCode>
                <c:ptCount val="4"/>
                <c:pt idx="0">
                  <c:v>2018</c:v>
                </c:pt>
                <c:pt idx="1">
                  <c:v>2019</c:v>
                </c:pt>
                <c:pt idx="2">
                  <c:v>2020</c:v>
                </c:pt>
                <c:pt idx="3">
                  <c:v>2021</c:v>
                </c:pt>
              </c:numCache>
            </c:numRef>
          </c:cat>
          <c:val>
            <c:numRef>
              <c:f>[Balance_of_Payments_Standard_Presen.xlsx]Інші!$B$5:$E$5</c:f>
              <c:numCache>
                <c:formatCode>#,##0.00_ </c:formatCode>
                <c:ptCount val="4"/>
                <c:pt idx="0">
                  <c:v>-119.11199999999999</c:v>
                </c:pt>
                <c:pt idx="1">
                  <c:v>11.666</c:v>
                </c:pt>
                <c:pt idx="2">
                  <c:v>104.014</c:v>
                </c:pt>
                <c:pt idx="3">
                  <c:v>4.3220000000000001</c:v>
                </c:pt>
              </c:numCache>
            </c:numRef>
          </c:val>
        </c:ser>
        <c:dLbls>
          <c:showLegendKey val="0"/>
          <c:showVal val="1"/>
          <c:showCatName val="0"/>
          <c:showSerName val="0"/>
          <c:showPercent val="0"/>
          <c:showBubbleSize val="0"/>
        </c:dLbls>
        <c:axId val="27843200"/>
        <c:axId val="87966080"/>
      </c:areaChart>
      <c:lineChart>
        <c:grouping val="standard"/>
        <c:varyColors val="0"/>
        <c:ser>
          <c:idx val="1"/>
          <c:order val="1"/>
          <c:tx>
            <c:strRef>
              <c:f>[Balance_of_Payments_Standard_Presen.xlsx]Інші!$A$3</c:f>
              <c:strCache>
                <c:ptCount val="1"/>
                <c:pt idx="0">
                  <c:v>Активи ВБ</c:v>
                </c:pt>
              </c:strCache>
            </c:strRef>
          </c:tx>
          <c:spPr>
            <a:ln w="15875" cap="rnd">
              <a:solidFill>
                <a:schemeClr val="tx1"/>
              </a:solidFill>
              <a:round/>
            </a:ln>
            <a:effectLst/>
          </c:spPr>
          <c:marker>
            <c:symbol val="circle"/>
            <c:size val="5"/>
            <c:spPr>
              <a:solidFill>
                <a:schemeClr val="bg1"/>
              </a:solidFill>
              <a:ln w="9525">
                <a:solidFill>
                  <a:schemeClr val="tx1"/>
                </a:solidFill>
              </a:ln>
              <a:effectLst/>
            </c:spPr>
          </c:marker>
          <c:dLbls>
            <c:dLbl>
              <c:idx val="0"/>
              <c:layout>
                <c:manualLayout>
                  <c:x val="-1.26145552560647E-2"/>
                  <c:y val="-2.8409090909090901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5579514824797798E-3"/>
                  <c:y val="1.18963068181818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8005390835579501E-2"/>
                  <c:y val="6.2144886363636402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51212938005391E-2"/>
                  <c:y val="-2.36150568181817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9144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[Balance_of_Payments_Standard_Presen.xlsx]Інші!$B$1:$E$1</c:f>
              <c:numCache>
                <c:formatCode>General</c:formatCode>
                <c:ptCount val="4"/>
                <c:pt idx="0">
                  <c:v>2018</c:v>
                </c:pt>
                <c:pt idx="1">
                  <c:v>2019</c:v>
                </c:pt>
                <c:pt idx="2">
                  <c:v>2020</c:v>
                </c:pt>
                <c:pt idx="3">
                  <c:v>2021</c:v>
                </c:pt>
              </c:numCache>
            </c:numRef>
          </c:cat>
          <c:val>
            <c:numRef>
              <c:f>[Balance_of_Payments_Standard_Presen.xlsx]Інші!$B$3:$E$3</c:f>
              <c:numCache>
                <c:formatCode>#,##0.00_ </c:formatCode>
                <c:ptCount val="4"/>
                <c:pt idx="0">
                  <c:v>344.48</c:v>
                </c:pt>
                <c:pt idx="1">
                  <c:v>-348.416</c:v>
                </c:pt>
                <c:pt idx="2">
                  <c:v>498.54199999999997</c:v>
                </c:pt>
                <c:pt idx="3">
                  <c:v>407.61399999999998</c:v>
                </c:pt>
              </c:numCache>
            </c:numRef>
          </c:val>
          <c:smooth val="0"/>
        </c:ser>
        <c:ser>
          <c:idx val="2"/>
          <c:order val="2"/>
          <c:tx>
            <c:strRef>
              <c:f>[Balance_of_Payments_Standard_Presen.xlsx]Інші!$A$4</c:f>
              <c:strCache>
                <c:ptCount val="1"/>
                <c:pt idx="0">
                  <c:v>Пасиви ВБ</c:v>
                </c:pt>
              </c:strCache>
            </c:strRef>
          </c:tx>
          <c:spPr>
            <a:ln w="12700" cap="rnd" cmpd="sng">
              <a:solidFill>
                <a:schemeClr val="tx1"/>
              </a:solidFill>
              <a:prstDash val="sysDash"/>
              <a:round/>
            </a:ln>
            <a:effectLst/>
          </c:spPr>
          <c:marker>
            <c:symbol val="circle"/>
            <c:size val="5"/>
            <c:spPr>
              <a:solidFill>
                <a:schemeClr val="bg1"/>
              </a:solidFill>
              <a:ln w="9525">
                <a:solidFill>
                  <a:schemeClr val="tx1"/>
                </a:solidFill>
              </a:ln>
              <a:effectLst/>
            </c:spPr>
          </c:marker>
          <c:dLbls>
            <c:dLbl>
              <c:idx val="0"/>
              <c:layout>
                <c:manualLayout>
                  <c:x val="-1.07816711590297E-2"/>
                  <c:y val="-6.0369318181818198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6.6522911051212899E-2"/>
                  <c:y val="-2.6633522727272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4339622641509399E-2"/>
                  <c:y val="8.8778409090909099E-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4177897574123997E-2"/>
                  <c:y val="3.8529829545454503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18288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[Balance_of_Payments_Standard_Presen.xlsx]Інші!$B$1:$E$1</c:f>
              <c:numCache>
                <c:formatCode>General</c:formatCode>
                <c:ptCount val="4"/>
                <c:pt idx="0">
                  <c:v>2018</c:v>
                </c:pt>
                <c:pt idx="1">
                  <c:v>2019</c:v>
                </c:pt>
                <c:pt idx="2">
                  <c:v>2020</c:v>
                </c:pt>
                <c:pt idx="3">
                  <c:v>2021</c:v>
                </c:pt>
              </c:numCache>
            </c:numRef>
          </c:cat>
          <c:val>
            <c:numRef>
              <c:f>[Balance_of_Payments_Standard_Presen.xlsx]Інші!$B$4:$E$4</c:f>
              <c:numCache>
                <c:formatCode>#,##0.00_ </c:formatCode>
                <c:ptCount val="4"/>
                <c:pt idx="0">
                  <c:v>145.39599999999999</c:v>
                </c:pt>
                <c:pt idx="1">
                  <c:v>-252.852</c:v>
                </c:pt>
                <c:pt idx="2">
                  <c:v>532.56700000000001</c:v>
                </c:pt>
                <c:pt idx="3">
                  <c:v>312.61</c:v>
                </c:pt>
              </c:numCache>
            </c:numRef>
          </c:val>
          <c:smooth val="0"/>
        </c:ser>
        <c:ser>
          <c:idx val="4"/>
          <c:order val="4"/>
          <c:tx>
            <c:strRef>
              <c:f>[Balance_of_Payments_Standard_Presen.xlsx]Інші!$A$6</c:f>
              <c:strCache>
                <c:ptCount val="1"/>
                <c:pt idx="0">
                  <c:v>Активи Ірландії</c:v>
                </c:pt>
              </c:strCache>
            </c:strRef>
          </c:tx>
          <c:spPr>
            <a:ln w="15875" cap="rnd">
              <a:solidFill>
                <a:schemeClr val="tx1"/>
              </a:solidFill>
              <a:round/>
            </a:ln>
            <a:effectLst/>
          </c:spPr>
          <c:marker>
            <c:symbol val="circle"/>
            <c:size val="5"/>
            <c:spPr>
              <a:solidFill>
                <a:schemeClr val="tx1"/>
              </a:solidFill>
              <a:ln w="9525">
                <a:solidFill>
                  <a:schemeClr val="tx1"/>
                </a:solidFill>
              </a:ln>
              <a:effectLst/>
            </c:spPr>
          </c:marker>
          <c:dLbls>
            <c:dLbl>
              <c:idx val="0"/>
              <c:layout>
                <c:manualLayout>
                  <c:x val="-1.72506738544474E-3"/>
                  <c:y val="5.326704545454549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4339622641509399E-2"/>
                  <c:y val="-2.96519886363636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8.9487870619946105E-3"/>
                  <c:y val="0"/>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87870619946092E-2"/>
                  <c:y val="-2.9651988636363601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0" rIns="38100" bIns="18288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[Balance_of_Payments_Standard_Presen.xlsx]Інші!$B$1:$E$1</c:f>
              <c:numCache>
                <c:formatCode>General</c:formatCode>
                <c:ptCount val="4"/>
                <c:pt idx="0">
                  <c:v>2018</c:v>
                </c:pt>
                <c:pt idx="1">
                  <c:v>2019</c:v>
                </c:pt>
                <c:pt idx="2">
                  <c:v>2020</c:v>
                </c:pt>
                <c:pt idx="3">
                  <c:v>2021</c:v>
                </c:pt>
              </c:numCache>
            </c:numRef>
          </c:cat>
          <c:val>
            <c:numRef>
              <c:f>[Balance_of_Payments_Standard_Presen.xlsx]Інші!$B$6:$E$6</c:f>
              <c:numCache>
                <c:formatCode>#,##0.00_ </c:formatCode>
                <c:ptCount val="4"/>
                <c:pt idx="0">
                  <c:v>0.436</c:v>
                </c:pt>
                <c:pt idx="1">
                  <c:v>138.19</c:v>
                </c:pt>
                <c:pt idx="2">
                  <c:v>226.65799999999999</c:v>
                </c:pt>
                <c:pt idx="3">
                  <c:v>16.198</c:v>
                </c:pt>
              </c:numCache>
            </c:numRef>
          </c:val>
          <c:smooth val="0"/>
        </c:ser>
        <c:ser>
          <c:idx val="5"/>
          <c:order val="5"/>
          <c:tx>
            <c:strRef>
              <c:f>[Balance_of_Payments_Standard_Presen.xlsx]Інші!$A$7</c:f>
              <c:strCache>
                <c:ptCount val="1"/>
                <c:pt idx="0">
                  <c:v>Пасиви Ірландії</c:v>
                </c:pt>
              </c:strCache>
            </c:strRef>
          </c:tx>
          <c:spPr>
            <a:ln w="12700" cap="rnd" cmpd="sng">
              <a:solidFill>
                <a:schemeClr val="tx1"/>
              </a:solidFill>
              <a:prstDash val="sysDash"/>
              <a:round/>
            </a:ln>
            <a:effectLst/>
          </c:spPr>
          <c:marker>
            <c:symbol val="circle"/>
            <c:size val="5"/>
            <c:spPr>
              <a:solidFill>
                <a:schemeClr val="tx1"/>
              </a:solidFill>
              <a:ln w="9525">
                <a:solidFill>
                  <a:schemeClr val="tx1"/>
                </a:solidFill>
              </a:ln>
              <a:effectLst/>
            </c:spPr>
          </c:marker>
          <c:dLbls>
            <c:dLbl>
              <c:idx val="0"/>
              <c:layout>
                <c:manualLayout>
                  <c:x val="-1.4339622641509399E-2"/>
                  <c:y val="2.0774147727272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4339622641509399E-2"/>
                  <c:y val="1.7755681818181799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5.2075471698113197E-2"/>
                  <c:y val="-5.6107954545454503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3396226415094298E-2"/>
                  <c:y val="2.07741477272727E-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82880" rIns="38100" bIns="0"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[Balance_of_Payments_Standard_Presen.xlsx]Інші!$B$1:$E$1</c:f>
              <c:numCache>
                <c:formatCode>General</c:formatCode>
                <c:ptCount val="4"/>
                <c:pt idx="0">
                  <c:v>2018</c:v>
                </c:pt>
                <c:pt idx="1">
                  <c:v>2019</c:v>
                </c:pt>
                <c:pt idx="2">
                  <c:v>2020</c:v>
                </c:pt>
                <c:pt idx="3">
                  <c:v>2021</c:v>
                </c:pt>
              </c:numCache>
            </c:numRef>
          </c:cat>
          <c:val>
            <c:numRef>
              <c:f>[Balance_of_Payments_Standard_Presen.xlsx]Інші!$B$7:$E$7</c:f>
              <c:numCache>
                <c:formatCode>#,##0.00_ </c:formatCode>
                <c:ptCount val="4"/>
                <c:pt idx="0">
                  <c:v>119.548</c:v>
                </c:pt>
                <c:pt idx="1">
                  <c:v>126.524</c:v>
                </c:pt>
                <c:pt idx="2">
                  <c:v>122.64400000000001</c:v>
                </c:pt>
                <c:pt idx="3">
                  <c:v>11.875</c:v>
                </c:pt>
              </c:numCache>
            </c:numRef>
          </c:val>
          <c:smooth val="0"/>
        </c:ser>
        <c:dLbls>
          <c:showLegendKey val="0"/>
          <c:showVal val="1"/>
          <c:showCatName val="0"/>
          <c:showSerName val="0"/>
          <c:showPercent val="0"/>
          <c:showBubbleSize val="0"/>
        </c:dLbls>
        <c:marker val="1"/>
        <c:smooth val="0"/>
        <c:axId val="27843200"/>
        <c:axId val="87966080"/>
      </c:lineChart>
      <c:catAx>
        <c:axId val="27843200"/>
        <c:scaling>
          <c:orientation val="minMax"/>
        </c:scaling>
        <c:delete val="0"/>
        <c:axPos val="b"/>
        <c:minorGridlines>
          <c:spPr>
            <a:ln w="12700" cap="flat" cmpd="sng" algn="ctr">
              <a:solidFill>
                <a:schemeClr val="tx1">
                  <a:alpha val="45000"/>
                </a:schemeClr>
              </a:solidFill>
              <a:prstDash val="sysDash"/>
              <a:round/>
            </a:ln>
            <a:effectLst/>
          </c:spPr>
        </c:minorGridlines>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87966080"/>
        <c:crosses val="autoZero"/>
        <c:auto val="1"/>
        <c:lblAlgn val="ctr"/>
        <c:lblOffset val="100"/>
        <c:noMultiLvlLbl val="0"/>
      </c:catAx>
      <c:valAx>
        <c:axId val="87966080"/>
        <c:scaling>
          <c:orientation val="minMax"/>
        </c:scaling>
        <c:delete val="0"/>
        <c:axPos val="l"/>
        <c:majorGridlines>
          <c:spPr>
            <a:ln w="12700" cap="flat" cmpd="sng" algn="ctr">
              <a:solidFill>
                <a:schemeClr val="tx1">
                  <a:alpha val="45000"/>
                </a:schemeClr>
              </a:solidFill>
              <a:prstDash val="sysDash"/>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843200"/>
        <c:crosses val="autoZero"/>
        <c:crossBetween val="midCat"/>
      </c:valAx>
      <c:spPr>
        <a:noFill/>
        <a:ln>
          <a:solidFill>
            <a:schemeClr val="tx1"/>
          </a:solidFill>
        </a:ln>
        <a:effectLst/>
      </c:spPr>
    </c:plotArea>
    <c:legend>
      <c:legendPos val="b"/>
      <c:legendEntry>
        <c:idx val="0"/>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4"/>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5"/>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overlay val="0"/>
      <c:spPr>
        <a:noFill/>
        <a:ln>
          <a:noFill/>
        </a:ln>
        <a:effectLst/>
      </c:spPr>
      <c:txPr>
        <a:bodyPr rot="0" spcFirstLastPara="0" vertOverflow="ellipsis" vert="horz" wrap="square" anchor="ctr" anchorCtr="1"/>
        <a:lstStyle/>
        <a:p>
          <a:pPr>
            <a:defRPr lang="en-US" sz="11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10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'[Україна+країни.xls]Товари'!$A$2</c:f>
              <c:strCache>
                <c:ptCount val="1"/>
                <c:pt idx="0">
                  <c:v>Експорт товарів ВБ</c:v>
                </c:pt>
              </c:strCache>
            </c:strRef>
          </c:tx>
          <c:spPr>
            <a:ln w="15875" cap="rnd">
              <a:solidFill>
                <a:schemeClr val="tx1"/>
              </a:solidFill>
              <a:round/>
            </a:ln>
            <a:effectLst/>
          </c:spPr>
          <c:marker>
            <c:symbol val="circle"/>
            <c:size val="5"/>
            <c:spPr>
              <a:solidFill>
                <a:schemeClr val="tx1"/>
              </a:solidFill>
              <a:ln w="9525">
                <a:solidFill>
                  <a:schemeClr val="tx1"/>
                </a:solidFill>
              </a:ln>
              <a:effectLst/>
            </c:spPr>
          </c:marker>
          <c:dLbls>
            <c:dLbl>
              <c:idx val="0"/>
              <c:layout>
                <c:manualLayout>
                  <c:x val="5.5066079295154197E-2"/>
                  <c:y val="-7.1833648393194701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2290748898678399E-2"/>
                  <c:y val="1.2287334593572801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5.9361233480176197E-2"/>
                  <c:y val="8.2419659735349704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2488986784141E-2"/>
                  <c:y val="0.167296786389414"/>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'[Україна+країни.xls]Товари'!$B$1:$E$1</c:f>
              <c:numCache>
                <c:formatCode>General</c:formatCode>
                <c:ptCount val="4"/>
                <c:pt idx="0">
                  <c:v>2018</c:v>
                </c:pt>
                <c:pt idx="1">
                  <c:v>2019</c:v>
                </c:pt>
                <c:pt idx="2">
                  <c:v>2020</c:v>
                </c:pt>
                <c:pt idx="3">
                  <c:v>2021</c:v>
                </c:pt>
              </c:numCache>
            </c:numRef>
          </c:cat>
          <c:val>
            <c:numRef>
              <c:f>'[Україна+країни.xls]Товари'!$B$2:$E$2</c:f>
              <c:numCache>
                <c:formatCode>General</c:formatCode>
                <c:ptCount val="4"/>
                <c:pt idx="0">
                  <c:v>584.22900000000004</c:v>
                </c:pt>
                <c:pt idx="1">
                  <c:v>628.08699999999999</c:v>
                </c:pt>
                <c:pt idx="2">
                  <c:v>666.851</c:v>
                </c:pt>
                <c:pt idx="3" formatCode="#,##0.00">
                  <c:v>1083.2370000000001</c:v>
                </c:pt>
              </c:numCache>
            </c:numRef>
          </c:val>
          <c:smooth val="0"/>
        </c:ser>
        <c:ser>
          <c:idx val="1"/>
          <c:order val="1"/>
          <c:tx>
            <c:strRef>
              <c:f>'[Україна+країни.xls]Товари'!$A$3</c:f>
              <c:strCache>
                <c:ptCount val="1"/>
                <c:pt idx="0">
                  <c:v>Імпорт товарів ВБ</c:v>
                </c:pt>
              </c:strCache>
            </c:strRef>
          </c:tx>
          <c:spPr>
            <a:ln w="12700" cap="rnd" cmpd="sng">
              <a:solidFill>
                <a:schemeClr val="tx1"/>
              </a:solidFill>
              <a:prstDash val="sysDash"/>
              <a:round/>
            </a:ln>
            <a:effectLst/>
          </c:spPr>
          <c:marker>
            <c:symbol val="circle"/>
            <c:size val="5"/>
            <c:spPr>
              <a:solidFill>
                <a:schemeClr val="tx1"/>
              </a:solidFill>
              <a:ln w="12700" cmpd="sng">
                <a:solidFill>
                  <a:schemeClr val="tx1"/>
                </a:solidFill>
                <a:prstDash val="sysDash"/>
              </a:ln>
              <a:effectLst/>
            </c:spPr>
          </c:marker>
          <c:dLbls>
            <c:dLbl>
              <c:idx val="0"/>
              <c:layout>
                <c:manualLayout>
                  <c:x val="4.5154185022026401E-2"/>
                  <c:y val="1.43667296786389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6.64096916299559E-2"/>
                  <c:y val="4.3667296786389399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'[Україна+країни.xls]Товари'!$B$1:$E$1</c:f>
              <c:numCache>
                <c:formatCode>General</c:formatCode>
                <c:ptCount val="4"/>
                <c:pt idx="0">
                  <c:v>2018</c:v>
                </c:pt>
                <c:pt idx="1">
                  <c:v>2019</c:v>
                </c:pt>
                <c:pt idx="2">
                  <c:v>2020</c:v>
                </c:pt>
                <c:pt idx="3">
                  <c:v>2021</c:v>
                </c:pt>
              </c:numCache>
            </c:numRef>
          </c:cat>
          <c:val>
            <c:numRef>
              <c:f>'[Україна+країни.xls]Товари'!$B$3:$E$3</c:f>
              <c:numCache>
                <c:formatCode>General</c:formatCode>
                <c:ptCount val="4"/>
                <c:pt idx="0">
                  <c:v>892.12</c:v>
                </c:pt>
                <c:pt idx="1">
                  <c:v>769.91</c:v>
                </c:pt>
                <c:pt idx="2">
                  <c:v>734.24300000000005</c:v>
                </c:pt>
                <c:pt idx="3" formatCode="#,##0.00">
                  <c:v>1115.2149999999999</c:v>
                </c:pt>
              </c:numCache>
            </c:numRef>
          </c:val>
          <c:smooth val="0"/>
        </c:ser>
        <c:ser>
          <c:idx val="2"/>
          <c:order val="2"/>
          <c:tx>
            <c:strRef>
              <c:f>'[Україна+країни.xls]Товари'!$A$4</c:f>
              <c:strCache>
                <c:ptCount val="1"/>
                <c:pt idx="0">
                  <c:v>Експорт товарів Ірландія </c:v>
                </c:pt>
              </c:strCache>
            </c:strRef>
          </c:tx>
          <c:spPr>
            <a:ln w="15875" cap="rnd">
              <a:solidFill>
                <a:schemeClr val="tx1"/>
              </a:solidFill>
              <a:round/>
            </a:ln>
            <a:effectLst/>
          </c:spPr>
          <c:marker>
            <c:symbol val="circle"/>
            <c:size val="5"/>
            <c:spPr>
              <a:solidFill>
                <a:schemeClr val="bg1"/>
              </a:solidFill>
              <a:ln w="9525">
                <a:solidFill>
                  <a:schemeClr val="tx1"/>
                </a:solidFill>
              </a:ln>
              <a:effectLst/>
            </c:spPr>
          </c:marker>
          <c:dLbls>
            <c:dLbl>
              <c:idx val="0"/>
              <c:layout>
                <c:manualLayout>
                  <c:x val="6.3546255506607904E-2"/>
                  <c:y val="7.2778827977315705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2.7533039647577098E-3"/>
                  <c:y val="9.4517958412098299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2.6654064272211699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26872246696035E-2"/>
                  <c:y val="2.4196597353497201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'[Україна+країни.xls]Товари'!$B$1:$E$1</c:f>
              <c:numCache>
                <c:formatCode>General</c:formatCode>
                <c:ptCount val="4"/>
                <c:pt idx="0">
                  <c:v>2018</c:v>
                </c:pt>
                <c:pt idx="1">
                  <c:v>2019</c:v>
                </c:pt>
                <c:pt idx="2">
                  <c:v>2020</c:v>
                </c:pt>
                <c:pt idx="3">
                  <c:v>2021</c:v>
                </c:pt>
              </c:numCache>
            </c:numRef>
          </c:cat>
          <c:val>
            <c:numRef>
              <c:f>'[Україна+країни.xls]Товари'!$B$4:$E$4</c:f>
              <c:numCache>
                <c:formatCode>General</c:formatCode>
                <c:ptCount val="4"/>
                <c:pt idx="0">
                  <c:v>77.507999999999996</c:v>
                </c:pt>
                <c:pt idx="1">
                  <c:v>153.23500000000001</c:v>
                </c:pt>
                <c:pt idx="2">
                  <c:v>94.364999999999995</c:v>
                </c:pt>
                <c:pt idx="3" formatCode="#,##0.00">
                  <c:v>97.882000000000005</c:v>
                </c:pt>
              </c:numCache>
            </c:numRef>
          </c:val>
          <c:smooth val="0"/>
        </c:ser>
        <c:ser>
          <c:idx val="3"/>
          <c:order val="3"/>
          <c:tx>
            <c:strRef>
              <c:f>'[Україна+країни.xls]Товари'!$A$5</c:f>
              <c:strCache>
                <c:ptCount val="1"/>
                <c:pt idx="0">
                  <c:v>Імпорт товарів Ірландія</c:v>
                </c:pt>
              </c:strCache>
            </c:strRef>
          </c:tx>
          <c:spPr>
            <a:ln w="12700" cap="rnd" cmpd="sng">
              <a:solidFill>
                <a:schemeClr val="tx1"/>
              </a:solidFill>
              <a:prstDash val="sysDash"/>
              <a:round/>
            </a:ln>
            <a:effectLst/>
          </c:spPr>
          <c:marker>
            <c:symbol val="circle"/>
            <c:size val="5"/>
            <c:spPr>
              <a:solidFill>
                <a:schemeClr val="bg1"/>
              </a:solidFill>
              <a:ln w="9525">
                <a:solidFill>
                  <a:schemeClr val="tx1"/>
                </a:solidFill>
              </a:ln>
              <a:effectLst/>
            </c:spPr>
          </c:marker>
          <c:dLbls>
            <c:dLbl>
              <c:idx val="0"/>
              <c:layout>
                <c:manualLayout>
                  <c:x val="4.2290748898678399E-2"/>
                  <c:y val="-4.9149338374291102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3.3920704845814997E-2"/>
                  <c:y val="7.3724007561436697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26651982378855E-2"/>
                  <c:y val="2.1928166351606802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5352422907489002E-2"/>
                  <c:y val="9.6408317580340304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'[Україна+країни.xls]Товари'!$B$1:$E$1</c:f>
              <c:numCache>
                <c:formatCode>General</c:formatCode>
                <c:ptCount val="4"/>
                <c:pt idx="0">
                  <c:v>2018</c:v>
                </c:pt>
                <c:pt idx="1">
                  <c:v>2019</c:v>
                </c:pt>
                <c:pt idx="2">
                  <c:v>2020</c:v>
                </c:pt>
                <c:pt idx="3">
                  <c:v>2021</c:v>
                </c:pt>
              </c:numCache>
            </c:numRef>
          </c:cat>
          <c:val>
            <c:numRef>
              <c:f>'[Україна+країни.xls]Товари'!$B$5:$E$5</c:f>
              <c:numCache>
                <c:formatCode>General</c:formatCode>
                <c:ptCount val="4"/>
                <c:pt idx="0">
                  <c:v>143.82599999999999</c:v>
                </c:pt>
                <c:pt idx="1">
                  <c:v>169.56399999999999</c:v>
                </c:pt>
                <c:pt idx="2">
                  <c:v>209.304</c:v>
                </c:pt>
                <c:pt idx="3" formatCode="#,##0.00">
                  <c:v>231.45599999999999</c:v>
                </c:pt>
              </c:numCache>
            </c:numRef>
          </c:val>
          <c:smooth val="0"/>
        </c:ser>
        <c:dLbls>
          <c:showLegendKey val="0"/>
          <c:showVal val="1"/>
          <c:showCatName val="0"/>
          <c:showSerName val="0"/>
          <c:showPercent val="0"/>
          <c:showBubbleSize val="0"/>
        </c:dLbls>
        <c:marker val="1"/>
        <c:smooth val="0"/>
        <c:axId val="88013056"/>
        <c:axId val="27430912"/>
      </c:lineChart>
      <c:catAx>
        <c:axId val="88013056"/>
        <c:scaling>
          <c:orientation val="minMax"/>
        </c:scaling>
        <c:delete val="0"/>
        <c:axPos val="b"/>
        <c:majorGridlines>
          <c:spPr>
            <a:ln w="12700" cap="flat" cmpd="sng" algn="ctr">
              <a:solidFill>
                <a:schemeClr val="tx1">
                  <a:alpha val="45000"/>
                </a:schemeClr>
              </a:solidFill>
              <a:prstDash val="sysDash"/>
              <a:round/>
            </a:ln>
            <a:effectLst/>
          </c:spPr>
        </c:majorGridlines>
        <c:numFmt formatCode="General" sourceLinked="1"/>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27430912"/>
        <c:crosses val="autoZero"/>
        <c:auto val="1"/>
        <c:lblAlgn val="ctr"/>
        <c:lblOffset val="100"/>
        <c:noMultiLvlLbl val="0"/>
      </c:catAx>
      <c:valAx>
        <c:axId val="27430912"/>
        <c:scaling>
          <c:orientation val="minMax"/>
        </c:scaling>
        <c:delete val="0"/>
        <c:axPos val="l"/>
        <c:majorGridlines>
          <c:spPr>
            <a:ln w="12700" cap="flat" cmpd="sng" algn="ctr">
              <a:solidFill>
                <a:schemeClr val="tx1">
                  <a:alpha val="45000"/>
                </a:schemeClr>
              </a:solidFill>
              <a:prstDash val="sysDash"/>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88013056"/>
        <c:crosses val="autoZero"/>
        <c:crossBetween val="midCat"/>
      </c:valAx>
      <c:spPr>
        <a:noFill/>
        <a:ln w="12700" cmpd="sng">
          <a:solidFill>
            <a:schemeClr val="tx1"/>
          </a:solidFill>
          <a:prstDash val="solid"/>
        </a:ln>
        <a:effectLst/>
      </c:spPr>
    </c:plotArea>
    <c:legend>
      <c:legendPos val="b"/>
      <c:legendEntry>
        <c:idx val="0"/>
        <c:txPr>
          <a:bodyPr rot="0" spcFirstLastPara="0" vertOverflow="ellipsis" vert="horz" wrap="square"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overlay val="0"/>
      <c:spPr>
        <a:noFill/>
        <a:ln>
          <a:noFill/>
        </a:ln>
        <a:effectLst/>
      </c:spPr>
      <c:txPr>
        <a:bodyPr rot="0" spcFirstLastPara="0" vertOverflow="ellipsis" vert="horz" wrap="square" anchor="ctr" anchorCtr="1"/>
        <a:lstStyle/>
        <a:p>
          <a:pPr>
            <a:defRPr lang="en-US" sz="9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'[Україна+країни.xls]Послуги'!$A$2</c:f>
              <c:strCache>
                <c:ptCount val="1"/>
                <c:pt idx="0">
                  <c:v>Експорт послуг ВБ</c:v>
                </c:pt>
              </c:strCache>
            </c:strRef>
          </c:tx>
          <c:spPr>
            <a:ln w="15875" cap="rnd">
              <a:solidFill>
                <a:schemeClr val="tx1"/>
              </a:solidFill>
              <a:round/>
            </a:ln>
            <a:effectLst/>
          </c:spPr>
          <c:marker>
            <c:symbol val="circle"/>
            <c:size val="5"/>
            <c:spPr>
              <a:solidFill>
                <a:schemeClr val="tx1"/>
              </a:solidFill>
              <a:ln w="9525">
                <a:solidFill>
                  <a:schemeClr val="tx1"/>
                </a:solidFill>
              </a:ln>
              <a:effectLst/>
            </c:spPr>
          </c:marker>
          <c:dLbls>
            <c:dLbl>
              <c:idx val="0"/>
              <c:layout>
                <c:manualLayout>
                  <c:x val="5.4403591278324101E-2"/>
                  <c:y val="9.8366740905716406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11377134372680001"/>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30739632321505E-2"/>
                  <c:y val="1.6332590942835901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'[Україна+країни.xls]Послуги'!$B$1:$E$1</c:f>
              <c:numCache>
                <c:formatCode>General</c:formatCode>
                <c:ptCount val="4"/>
                <c:pt idx="0">
                  <c:v>2018</c:v>
                </c:pt>
                <c:pt idx="1">
                  <c:v>2019</c:v>
                </c:pt>
                <c:pt idx="2">
                  <c:v>2020</c:v>
                </c:pt>
                <c:pt idx="3">
                  <c:v>2021</c:v>
                </c:pt>
              </c:numCache>
            </c:numRef>
          </c:cat>
          <c:val>
            <c:numRef>
              <c:f>'[Україна+країни.xls]Послуги'!$B$2:$E$2</c:f>
              <c:numCache>
                <c:formatCode>General</c:formatCode>
                <c:ptCount val="4"/>
                <c:pt idx="0">
                  <c:v>573.33799999999997</c:v>
                </c:pt>
                <c:pt idx="1">
                  <c:v>604.375</c:v>
                </c:pt>
                <c:pt idx="2">
                  <c:v>635.73500000000001</c:v>
                </c:pt>
                <c:pt idx="3" formatCode="#,##0.00">
                  <c:v>784.54300000000001</c:v>
                </c:pt>
              </c:numCache>
            </c:numRef>
          </c:val>
          <c:smooth val="0"/>
        </c:ser>
        <c:ser>
          <c:idx val="1"/>
          <c:order val="1"/>
          <c:tx>
            <c:strRef>
              <c:f>'[Україна+країни.xls]Послуги'!$A$3</c:f>
              <c:strCache>
                <c:ptCount val="1"/>
                <c:pt idx="0">
                  <c:v>Імпорт послуг ВБ</c:v>
                </c:pt>
              </c:strCache>
            </c:strRef>
          </c:tx>
          <c:spPr>
            <a:ln w="12700" cap="rnd" cmpd="sng">
              <a:solidFill>
                <a:schemeClr val="tx1"/>
              </a:solidFill>
              <a:prstDash val="sysDash"/>
              <a:round/>
            </a:ln>
            <a:effectLst/>
          </c:spPr>
          <c:marker>
            <c:symbol val="circle"/>
            <c:size val="5"/>
            <c:spPr>
              <a:solidFill>
                <a:schemeClr val="tx1"/>
              </a:solidFill>
              <a:ln w="9525">
                <a:solidFill>
                  <a:schemeClr val="tx1"/>
                </a:solidFill>
              </a:ln>
              <a:effectLst/>
            </c:spPr>
          </c:marker>
          <c:dLbls>
            <c:dLbl>
              <c:idx val="0"/>
              <c:layout>
                <c:manualLayout>
                  <c:x val="6.1885421120136799E-2"/>
                  <c:y val="0.11061618411284301"/>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5.7716973065412604E-3"/>
                  <c:y val="6.3103192279138796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3180846515604998E-2"/>
                  <c:y val="9.6510764662212298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'[Україна+країни.xls]Послуги'!$B$1:$E$1</c:f>
              <c:numCache>
                <c:formatCode>General</c:formatCode>
                <c:ptCount val="4"/>
                <c:pt idx="0">
                  <c:v>2018</c:v>
                </c:pt>
                <c:pt idx="1">
                  <c:v>2019</c:v>
                </c:pt>
                <c:pt idx="2">
                  <c:v>2020</c:v>
                </c:pt>
                <c:pt idx="3">
                  <c:v>2021</c:v>
                </c:pt>
              </c:numCache>
            </c:numRef>
          </c:cat>
          <c:val>
            <c:numRef>
              <c:f>'[Україна+країни.xls]Послуги'!$B$3:$E$3</c:f>
              <c:numCache>
                <c:formatCode>General</c:formatCode>
                <c:ptCount val="4"/>
                <c:pt idx="0">
                  <c:v>511.983</c:v>
                </c:pt>
                <c:pt idx="1">
                  <c:v>610.77300000000002</c:v>
                </c:pt>
                <c:pt idx="2">
                  <c:v>519.678</c:v>
                </c:pt>
                <c:pt idx="3" formatCode="#,##0.00">
                  <c:v>609.553</c:v>
                </c:pt>
              </c:numCache>
            </c:numRef>
          </c:val>
          <c:smooth val="0"/>
        </c:ser>
        <c:ser>
          <c:idx val="2"/>
          <c:order val="2"/>
          <c:tx>
            <c:strRef>
              <c:f>'[Україна+країни.xls]Послуги'!$A$4</c:f>
              <c:strCache>
                <c:ptCount val="1"/>
                <c:pt idx="0">
                  <c:v>Експорт послуг Ірландія</c:v>
                </c:pt>
              </c:strCache>
            </c:strRef>
          </c:tx>
          <c:spPr>
            <a:ln w="15875" cap="rnd">
              <a:solidFill>
                <a:schemeClr val="tx1"/>
              </a:solidFill>
              <a:round/>
            </a:ln>
            <a:effectLst/>
          </c:spPr>
          <c:marker>
            <c:symbol val="circle"/>
            <c:size val="5"/>
            <c:spPr>
              <a:solidFill>
                <a:schemeClr val="bg1"/>
              </a:solidFill>
              <a:ln w="9525">
                <a:solidFill>
                  <a:schemeClr val="tx1"/>
                </a:solidFill>
              </a:ln>
              <a:effectLst/>
            </c:spPr>
          </c:marker>
          <c:dLbls>
            <c:dLbl>
              <c:idx val="0"/>
              <c:layout>
                <c:manualLayout>
                  <c:x val="5.0555793073963198E-2"/>
                  <c:y val="-3.3407572383073502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3.94399315946986E-2"/>
                  <c:y val="1.61469933184855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'[Україна+країни.xls]Послуги'!$B$1:$E$1</c:f>
              <c:numCache>
                <c:formatCode>General</c:formatCode>
                <c:ptCount val="4"/>
                <c:pt idx="0">
                  <c:v>2018</c:v>
                </c:pt>
                <c:pt idx="1">
                  <c:v>2019</c:v>
                </c:pt>
                <c:pt idx="2">
                  <c:v>2020</c:v>
                </c:pt>
                <c:pt idx="3">
                  <c:v>2021</c:v>
                </c:pt>
              </c:numCache>
            </c:numRef>
          </c:cat>
          <c:val>
            <c:numRef>
              <c:f>'[Україна+країни.xls]Послуги'!$B$4:$E$4</c:f>
              <c:numCache>
                <c:formatCode>0.000_ </c:formatCode>
                <c:ptCount val="4"/>
                <c:pt idx="0">
                  <c:v>58.898000000000003</c:v>
                </c:pt>
                <c:pt idx="1">
                  <c:v>89.046000000000006</c:v>
                </c:pt>
                <c:pt idx="2">
                  <c:v>119.43899999999999</c:v>
                </c:pt>
                <c:pt idx="3">
                  <c:v>124.628</c:v>
                </c:pt>
              </c:numCache>
            </c:numRef>
          </c:val>
          <c:smooth val="0"/>
        </c:ser>
        <c:ser>
          <c:idx val="3"/>
          <c:order val="3"/>
          <c:tx>
            <c:strRef>
              <c:f>'[Україна+країни.xls]Послуги'!$A$5</c:f>
              <c:strCache>
                <c:ptCount val="1"/>
                <c:pt idx="0">
                  <c:v>Імпорт послуг Ірландія</c:v>
                </c:pt>
              </c:strCache>
            </c:strRef>
          </c:tx>
          <c:spPr>
            <a:ln w="12700" cap="rnd" cmpd="sng">
              <a:solidFill>
                <a:schemeClr val="tx1"/>
              </a:solidFill>
              <a:prstDash val="sysDash"/>
              <a:round/>
            </a:ln>
            <a:effectLst/>
          </c:spPr>
          <c:marker>
            <c:symbol val="circle"/>
            <c:size val="5"/>
            <c:spPr>
              <a:solidFill>
                <a:schemeClr val="bg1"/>
              </a:solidFill>
              <a:ln w="9525">
                <a:solidFill>
                  <a:schemeClr val="tx1"/>
                </a:solidFill>
              </a:ln>
              <a:effectLst/>
            </c:spPr>
          </c:marker>
          <c:dLbls>
            <c:dLbl>
              <c:idx val="0"/>
              <c:layout>
                <c:manualLayout>
                  <c:x val="5.2479692176143601E-2"/>
                  <c:y val="-9.6510764662212298E-3"/>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4.8738777255237301E-2"/>
                  <c:y val="2.9324424647364501E-2"/>
                </c:manualLayout>
              </c:layout>
              <c:dLblPos val="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1256947413424498E-2"/>
                  <c:y val="0"/>
                </c:manualLayout>
              </c:layout>
              <c:dLblPos val="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'[Україна+країни.xls]Послуги'!$B$1:$E$1</c:f>
              <c:numCache>
                <c:formatCode>General</c:formatCode>
                <c:ptCount val="4"/>
                <c:pt idx="0">
                  <c:v>2018</c:v>
                </c:pt>
                <c:pt idx="1">
                  <c:v>2019</c:v>
                </c:pt>
                <c:pt idx="2">
                  <c:v>2020</c:v>
                </c:pt>
                <c:pt idx="3">
                  <c:v>2021</c:v>
                </c:pt>
              </c:numCache>
            </c:numRef>
          </c:cat>
          <c:val>
            <c:numRef>
              <c:f>'[Україна+країни.xls]Послуги'!$B$5:$E$5</c:f>
              <c:numCache>
                <c:formatCode>0.000_ </c:formatCode>
                <c:ptCount val="4"/>
                <c:pt idx="0">
                  <c:v>252.44</c:v>
                </c:pt>
                <c:pt idx="1">
                  <c:v>315.29199999999997</c:v>
                </c:pt>
                <c:pt idx="2">
                  <c:v>262.39800000000002</c:v>
                </c:pt>
                <c:pt idx="3">
                  <c:v>376.59199999999998</c:v>
                </c:pt>
              </c:numCache>
            </c:numRef>
          </c:val>
          <c:smooth val="0"/>
        </c:ser>
        <c:dLbls>
          <c:showLegendKey val="0"/>
          <c:showVal val="1"/>
          <c:showCatName val="0"/>
          <c:showSerName val="0"/>
          <c:showPercent val="0"/>
          <c:showBubbleSize val="0"/>
        </c:dLbls>
        <c:marker val="1"/>
        <c:smooth val="0"/>
        <c:axId val="89150592"/>
        <c:axId val="89152128"/>
      </c:lineChart>
      <c:catAx>
        <c:axId val="89150592"/>
        <c:scaling>
          <c:orientation val="minMax"/>
        </c:scaling>
        <c:delete val="0"/>
        <c:axPos val="b"/>
        <c:majorGridlines>
          <c:spPr>
            <a:ln w="12700" cap="flat" cmpd="sng" algn="ctr">
              <a:solidFill>
                <a:schemeClr val="tx1">
                  <a:alpha val="45000"/>
                </a:schemeClr>
              </a:solidFill>
              <a:prstDash val="sysDash"/>
              <a:round/>
            </a:ln>
            <a:effectLst/>
          </c:spPr>
        </c:majorGridlines>
        <c:numFmt formatCode="General" sourceLinked="1"/>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89152128"/>
        <c:crosses val="autoZero"/>
        <c:auto val="1"/>
        <c:lblAlgn val="ctr"/>
        <c:lblOffset val="100"/>
        <c:noMultiLvlLbl val="0"/>
      </c:catAx>
      <c:valAx>
        <c:axId val="89152128"/>
        <c:scaling>
          <c:orientation val="minMax"/>
        </c:scaling>
        <c:delete val="0"/>
        <c:axPos val="l"/>
        <c:majorGridlines>
          <c:spPr>
            <a:ln w="12700" cap="flat" cmpd="sng" algn="ctr">
              <a:solidFill>
                <a:schemeClr val="tx1">
                  <a:alpha val="45000"/>
                </a:schemeClr>
              </a:solidFill>
              <a:prstDash val="sysDash"/>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crossAx val="89150592"/>
        <c:crosses val="autoZero"/>
        <c:crossBetween val="midCat"/>
      </c:valAx>
      <c:spPr>
        <a:noFill/>
        <a:ln w="12700" cmpd="sng">
          <a:solidFill>
            <a:schemeClr val="tx1"/>
          </a:solidFill>
          <a:prstDash val="solid"/>
        </a:ln>
        <a:effectLst/>
      </c:spPr>
    </c:plotArea>
    <c:legend>
      <c:legendPos val="b"/>
      <c:legendEntry>
        <c:idx val="0"/>
        <c:txPr>
          <a:bodyPr rot="0" spcFirstLastPara="0" vertOverflow="ellipsis" vert="horz" wrap="square"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1"/>
        <c:txPr>
          <a:bodyPr rot="0" spcFirstLastPara="0" vertOverflow="ellipsis" vert="horz" wrap="square"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2"/>
        <c:txPr>
          <a:bodyPr rot="0" spcFirstLastPara="0" vertOverflow="ellipsis" vert="horz" wrap="square"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legendEntry>
        <c:idx val="3"/>
        <c:txPr>
          <a:bodyPr rot="0" spcFirstLastPara="0" vertOverflow="ellipsis" vert="horz" wrap="square"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Entry>
      <c:overlay val="0"/>
      <c:spPr>
        <a:noFill/>
        <a:ln>
          <a:noFill/>
        </a:ln>
        <a:effectLst/>
      </c:spPr>
      <c:txPr>
        <a:bodyPr rot="0" spcFirstLastPara="0" vertOverflow="ellipsis" vert="horz" wrap="square" anchor="ctr" anchorCtr="1"/>
        <a:lstStyle/>
        <a:p>
          <a:pPr>
            <a:defRPr lang="en-US" sz="1200" b="0" i="0" u="none" strike="noStrike" kern="1200" baseline="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sz="1200">
          <a:solidFill>
            <a:sysClr val="windowText" lastClr="000000"/>
          </a:solidFill>
          <a:latin typeface="Times New Roman Regular" panose="02020603050405020304" charset="0"/>
          <a:ea typeface="Times New Roman Regular" panose="02020603050405020304" charset="0"/>
          <a:cs typeface="Times New Roman Regular" panose="02020603050405020304" charset="0"/>
          <a:sym typeface="Times New Roman Regular" panose="02020603050405020304"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9525" cmpd="sng">
          <a:solidFill>
            <a:schemeClr val="lt1">
              <a:shade val="50000"/>
            </a:schemeClr>
          </a:solidFill>
        </a:ln>
      </a:spPr>
      <a:bodyPr wrap="square" rtlCol="0" anchor="t"/>
      <a:lstStyle/>
      <a:style>
        <a:lnRef idx="0">
          <a:scrgbClr r="0" g="0" b="0"/>
        </a:lnRef>
        <a:fillRef idx="0">
          <a:scrgbClr r="0" g="0" b="0"/>
        </a:fillRef>
        <a:effectRef idx="0">
          <a:scrgbClr r="0" g="0" b="0"/>
        </a:effectRef>
        <a:fontRef idx="minor">
          <a:schemeClr val="dk1"/>
        </a:fontRef>
      </a:style>
    </a:txDef>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44</Pages>
  <Words>11201</Words>
  <Characters>63850</Characters>
  <Application>Microsoft Office Word</Application>
  <DocSecurity>0</DocSecurity>
  <Lines>532</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74902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cp:lastModifiedBy>
  <cp:revision>2</cp:revision>
  <cp:lastPrinted>2022-05-06T02:26:00Z</cp:lastPrinted>
  <dcterms:created xsi:type="dcterms:W3CDTF">2023-06-21T10:26:00Z</dcterms:created>
  <dcterms:modified xsi:type="dcterms:W3CDTF">2023-06-21T10:26:00Z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1033-5.1.0.7912</vt:lpwstr>
  </property>
</Properties>
</file>