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Одеський національний університет імені І. І. Мечникова</w:t>
      </w: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spacing w:before="180"/>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Факультет міжнародних відносин, політології та соціології</w:t>
      </w: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spacing w:before="180"/>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Кафедра політології</w:t>
      </w: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b/>
          <w:color w:val="0D0D0D"/>
          <w:sz w:val="24"/>
          <w:szCs w:val="24"/>
        </w:rPr>
      </w:pPr>
      <w:r w:rsidRPr="00970348">
        <w:rPr>
          <w:rFonts w:ascii="Times New Roman" w:eastAsia="Times New Roman" w:hAnsi="Times New Roman" w:cs="Times New Roman"/>
          <w:b/>
          <w:color w:val="0D0D0D"/>
          <w:sz w:val="24"/>
          <w:szCs w:val="24"/>
        </w:rPr>
        <w:t>Дипломна робота</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____________</w:t>
      </w:r>
      <w:r w:rsidRPr="00970348">
        <w:rPr>
          <w:rFonts w:ascii="Times New Roman" w:eastAsia="Times New Roman" w:hAnsi="Times New Roman" w:cs="Times New Roman"/>
          <w:color w:val="0D0D0D"/>
          <w:sz w:val="24"/>
          <w:szCs w:val="24"/>
          <w:u w:val="single"/>
        </w:rPr>
        <w:t>на здобуття ступеня вищої освіти «магістр»</w:t>
      </w:r>
      <w:r w:rsidRPr="00970348">
        <w:rPr>
          <w:rFonts w:ascii="Times New Roman" w:eastAsia="Times New Roman" w:hAnsi="Times New Roman" w:cs="Times New Roman"/>
          <w:color w:val="0D0D0D"/>
          <w:sz w:val="24"/>
          <w:szCs w:val="24"/>
        </w:rPr>
        <w:t>_________</w:t>
      </w:r>
    </w:p>
    <w:p w:rsidR="00537C3F" w:rsidRPr="00970348" w:rsidRDefault="00537C3F" w:rsidP="00537C3F">
      <w:pPr>
        <w:jc w:val="center"/>
        <w:rPr>
          <w:rFonts w:ascii="Times New Roman" w:eastAsia="Times New Roman" w:hAnsi="Times New Roman" w:cs="Times New Roman"/>
          <w:b/>
          <w:color w:val="0D0D0D"/>
          <w:sz w:val="24"/>
          <w:szCs w:val="24"/>
        </w:rPr>
      </w:pPr>
      <w:r w:rsidRPr="00970348">
        <w:rPr>
          <w:rFonts w:ascii="Times New Roman" w:eastAsia="Times New Roman" w:hAnsi="Times New Roman" w:cs="Times New Roman"/>
          <w:b/>
          <w:color w:val="0D0D0D"/>
          <w:sz w:val="24"/>
          <w:szCs w:val="24"/>
        </w:rPr>
        <w:t>«Становлення та сучасний стан української виборчої системи»</w:t>
      </w:r>
    </w:p>
    <w:p w:rsidR="00537C3F" w:rsidRPr="00970348" w:rsidRDefault="00537C3F" w:rsidP="00537C3F">
      <w:pPr>
        <w:jc w:val="center"/>
        <w:rPr>
          <w:rFonts w:ascii="Times New Roman" w:eastAsia="Times New Roman" w:hAnsi="Times New Roman" w:cs="Times New Roman"/>
          <w:color w:val="0D0D0D"/>
          <w:sz w:val="24"/>
          <w:szCs w:val="24"/>
          <w:lang w:val="en-US"/>
        </w:rPr>
      </w:pPr>
      <w:r w:rsidRPr="00970348">
        <w:rPr>
          <w:rFonts w:ascii="Times New Roman" w:eastAsia="Times New Roman" w:hAnsi="Times New Roman" w:cs="Times New Roman"/>
          <w:color w:val="0D0D0D"/>
          <w:sz w:val="24"/>
          <w:szCs w:val="24"/>
          <w:lang w:val="en-US"/>
        </w:rPr>
        <w:t>«Formation and current state of the Ukrainian electoral system»</w:t>
      </w:r>
    </w:p>
    <w:p w:rsidR="00537C3F" w:rsidRPr="00970348" w:rsidRDefault="00537C3F" w:rsidP="00537C3F">
      <w:pPr>
        <w:jc w:val="both"/>
        <w:rPr>
          <w:rFonts w:ascii="Times New Roman" w:eastAsia="Times New Roman" w:hAnsi="Times New Roman" w:cs="Times New Roman"/>
          <w:color w:val="0D0D0D"/>
          <w:sz w:val="24"/>
          <w:szCs w:val="24"/>
          <w:lang w:val="en-US"/>
        </w:rPr>
      </w:pPr>
    </w:p>
    <w:p w:rsidR="00537C3F" w:rsidRPr="00970348" w:rsidRDefault="00537C3F" w:rsidP="00537C3F">
      <w:pPr>
        <w:jc w:val="right"/>
        <w:rPr>
          <w:rFonts w:ascii="Times New Roman" w:eastAsia="Times New Roman" w:hAnsi="Times New Roman" w:cs="Times New Roman"/>
          <w:color w:val="0D0D0D"/>
          <w:sz w:val="24"/>
          <w:szCs w:val="24"/>
          <w:lang w:val="en-US"/>
        </w:rPr>
      </w:pPr>
    </w:p>
    <w:p w:rsidR="00537C3F" w:rsidRPr="00970348" w:rsidRDefault="00537C3F" w:rsidP="00537C3F">
      <w:pPr>
        <w:jc w:val="right"/>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Виконав: студент денної форми навчання</w:t>
      </w:r>
    </w:p>
    <w:p w:rsidR="00537C3F" w:rsidRPr="00970348" w:rsidRDefault="00537C3F" w:rsidP="00537C3F">
      <w:pPr>
        <w:jc w:val="right"/>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ab/>
        <w:t>спеціальності 052  - Політологія</w:t>
      </w:r>
    </w:p>
    <w:p w:rsidR="00537C3F" w:rsidRPr="00970348" w:rsidRDefault="00537C3F" w:rsidP="00537C3F">
      <w:pPr>
        <w:jc w:val="right"/>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Глобін Ярослав Сергійович</w:t>
      </w:r>
    </w:p>
    <w:p w:rsidR="00537C3F" w:rsidRPr="00970348" w:rsidRDefault="00537C3F" w:rsidP="00537C3F">
      <w:pPr>
        <w:jc w:val="right"/>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 xml:space="preserve">                                              Керівник:  к.політ.н., доц. Григор’єв О.В._______</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t xml:space="preserve">                           Рецензент: к.політ.н., доц. Ніколаєва М.І._______</w:t>
      </w: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Рекомендовано до захисту:                         Захищено на засіданні ЕК № 6</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Протокол засідання кафедри                      протокол № ___ від________2021р.</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 xml:space="preserve">№ </w:t>
      </w:r>
      <w:r w:rsidRPr="00970348">
        <w:rPr>
          <w:rFonts w:ascii="Times New Roman" w:eastAsia="Times New Roman" w:hAnsi="Times New Roman" w:cs="Times New Roman"/>
          <w:color w:val="0D0D0D"/>
          <w:sz w:val="24"/>
          <w:szCs w:val="24"/>
          <w:u w:val="single"/>
        </w:rPr>
        <w:t>4</w:t>
      </w:r>
      <w:r w:rsidRPr="00970348">
        <w:rPr>
          <w:rFonts w:ascii="Times New Roman" w:eastAsia="Times New Roman" w:hAnsi="Times New Roman" w:cs="Times New Roman"/>
          <w:color w:val="0D0D0D"/>
          <w:sz w:val="24"/>
          <w:szCs w:val="24"/>
        </w:rPr>
        <w:t xml:space="preserve"> від </w:t>
      </w:r>
      <w:r w:rsidRPr="00970348">
        <w:rPr>
          <w:rFonts w:ascii="Times New Roman" w:eastAsia="Times New Roman" w:hAnsi="Times New Roman" w:cs="Times New Roman"/>
          <w:color w:val="0D0D0D"/>
          <w:sz w:val="24"/>
          <w:szCs w:val="24"/>
          <w:u w:val="single"/>
        </w:rPr>
        <w:t>9.12.2021р.</w:t>
      </w: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t xml:space="preserve">                       Оцінка __________/_____/______</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r>
      <w:r w:rsidRPr="00970348">
        <w:rPr>
          <w:rFonts w:ascii="Times New Roman" w:eastAsia="Times New Roman" w:hAnsi="Times New Roman" w:cs="Times New Roman"/>
          <w:color w:val="0D0D0D"/>
          <w:sz w:val="24"/>
          <w:szCs w:val="24"/>
        </w:rPr>
        <w:tab/>
        <w:t xml:space="preserve">              (за національною шкалою/шкалою ECTS/бали)</w:t>
      </w: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 xml:space="preserve">Завідувач кафедри                                        Голова ЕК   </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color w:val="0D0D0D"/>
          <w:sz w:val="24"/>
          <w:szCs w:val="24"/>
        </w:rPr>
        <w:t xml:space="preserve">   ______         Попков В.В.                            _____                   Мілова М.І.</w:t>
      </w:r>
    </w:p>
    <w:p w:rsidR="00537C3F" w:rsidRPr="00970348" w:rsidRDefault="00537C3F" w:rsidP="00537C3F">
      <w:pPr>
        <w:jc w:val="center"/>
        <w:rPr>
          <w:rFonts w:ascii="Times New Roman" w:eastAsia="Times New Roman" w:hAnsi="Times New Roman" w:cs="Times New Roman"/>
          <w:color w:val="0D0D0D"/>
          <w:sz w:val="24"/>
          <w:szCs w:val="24"/>
        </w:rPr>
      </w:pPr>
      <w:r w:rsidRPr="00970348">
        <w:rPr>
          <w:rFonts w:ascii="Times New Roman" w:eastAsia="Times New Roman" w:hAnsi="Times New Roman" w:cs="Times New Roman"/>
          <w:b/>
          <w:color w:val="0D0D0D"/>
          <w:sz w:val="24"/>
          <w:szCs w:val="24"/>
        </w:rPr>
        <w:t xml:space="preserve">    </w:t>
      </w:r>
      <w:r w:rsidRPr="00970348">
        <w:rPr>
          <w:rFonts w:ascii="Times New Roman" w:eastAsia="Times New Roman" w:hAnsi="Times New Roman" w:cs="Times New Roman"/>
          <w:color w:val="0D0D0D"/>
          <w:sz w:val="24"/>
          <w:szCs w:val="24"/>
        </w:rPr>
        <w:t>(підпис)                                                                                   (підпис)</w:t>
      </w: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color w:val="0D0D0D"/>
          <w:sz w:val="24"/>
          <w:szCs w:val="24"/>
        </w:rPr>
      </w:pPr>
    </w:p>
    <w:p w:rsidR="00537C3F" w:rsidRPr="00970348" w:rsidRDefault="00537C3F" w:rsidP="00537C3F">
      <w:pPr>
        <w:jc w:val="center"/>
        <w:rPr>
          <w:rFonts w:ascii="Times New Roman" w:eastAsia="Times New Roman" w:hAnsi="Times New Roman" w:cs="Times New Roman"/>
          <w:b/>
          <w:color w:val="0D0D0D"/>
          <w:sz w:val="24"/>
          <w:szCs w:val="24"/>
        </w:rPr>
      </w:pPr>
      <w:r w:rsidRPr="00970348">
        <w:rPr>
          <w:rFonts w:ascii="Times New Roman" w:eastAsia="Times New Roman" w:hAnsi="Times New Roman" w:cs="Times New Roman"/>
          <w:b/>
          <w:color w:val="0D0D0D"/>
          <w:sz w:val="24"/>
          <w:szCs w:val="24"/>
        </w:rPr>
        <w:t>Одеса – 2022</w:t>
      </w: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p>
    <w:p w:rsidR="00C429C5" w:rsidRDefault="00C429C5" w:rsidP="00537C3F">
      <w:pPr>
        <w:spacing w:line="360" w:lineRule="auto"/>
        <w:ind w:left="720"/>
        <w:jc w:val="center"/>
        <w:rPr>
          <w:rFonts w:ascii="Times New Roman" w:eastAsia="Times New Roman" w:hAnsi="Times New Roman" w:cs="Times New Roman"/>
          <w:color w:val="0D0D0D"/>
          <w:sz w:val="28"/>
          <w:szCs w:val="28"/>
        </w:rPr>
      </w:pPr>
    </w:p>
    <w:p w:rsidR="00537C3F" w:rsidRDefault="00537C3F" w:rsidP="00537C3F">
      <w:pPr>
        <w:spacing w:line="360" w:lineRule="auto"/>
        <w:ind w:left="720"/>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Зміст</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Вступ……………………………………………………………………………….3</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РОЗДІЛ 1. Становлення та розвиток виборчої системи незалежної України…………………………………………………………………………….5</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          1.1.     Формування виборчої системи в період Незалежності…………..5</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1.2. Особливості проведення загальноукраїнських та місцевих виборів……………………………………………………………………………..8</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Висновки до Розділу 1…………………………………………………………...18</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РОЗДІЛ  2. Досвід пострадянських держав при підході до побудові власної виборчої системи…………………………………………………………………20</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2.1.      Виборча системи у республіці Білорусь……………………...….20</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2.2. Підхід до реалізації виборчої системи у Російській федерації…………………………………………………………………………..25</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2.3.      Грузія і її виборчі системи……………………………………...…29</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Висновки до розділу 2……………………………………………………………32</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РОЗДІЛ 3. Виборчий кодекс: передумови, впровадження та особливості………………………………………………………………………..36</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3.1.            Виборча система як основний інструмент народовладдя…...36</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3.2. Особливості впровадження виборчого кодексу України……………………………………………………………………………..48</w:t>
      </w:r>
    </w:p>
    <w:p w:rsidR="00537C3F" w:rsidRDefault="00537C3F" w:rsidP="00537C3F">
      <w:pPr>
        <w:spacing w:line="360" w:lineRule="auto"/>
        <w:ind w:right="-610"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3.3. Перспективи розвитку виборчої системи України……………………………………………………………………………..63</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Висновки до Розділу 3…………………………………………………………….67</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Висновки…………………………………………………………………………...70</w:t>
      </w:r>
    </w:p>
    <w:p w:rsidR="00537C3F" w:rsidRDefault="00537C3F" w:rsidP="00537C3F">
      <w:pPr>
        <w:spacing w:line="360" w:lineRule="auto"/>
        <w:ind w:right="-61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Список використаних джерел та літератури……………………………………..74</w:t>
      </w:r>
    </w:p>
    <w:p w:rsidR="00537C3F" w:rsidRDefault="00537C3F" w:rsidP="00537C3F">
      <w:pPr>
        <w:spacing w:line="360" w:lineRule="auto"/>
        <w:ind w:firstLine="1134"/>
        <w:rPr>
          <w:rFonts w:ascii="Times New Roman" w:eastAsia="Times New Roman" w:hAnsi="Times New Roman" w:cs="Times New Roman"/>
          <w:color w:val="0D0D0D"/>
          <w:sz w:val="28"/>
          <w:szCs w:val="28"/>
        </w:rPr>
      </w:pPr>
    </w:p>
    <w:p w:rsidR="00537C3F" w:rsidRDefault="00537C3F" w:rsidP="00537C3F">
      <w:pPr>
        <w:spacing w:line="360" w:lineRule="auto"/>
        <w:rPr>
          <w:rFonts w:ascii="Times New Roman" w:eastAsia="Times New Roman" w:hAnsi="Times New Roman" w:cs="Times New Roman"/>
          <w:color w:val="0D0D0D"/>
          <w:sz w:val="28"/>
          <w:szCs w:val="28"/>
        </w:rPr>
      </w:pPr>
    </w:p>
    <w:p w:rsidR="00537C3F" w:rsidRDefault="00537C3F" w:rsidP="00537C3F">
      <w:pPr>
        <w:spacing w:line="360" w:lineRule="auto"/>
        <w:rPr>
          <w:rFonts w:ascii="Times New Roman" w:eastAsia="Times New Roman" w:hAnsi="Times New Roman" w:cs="Times New Roman"/>
          <w:color w:val="0D0D0D"/>
          <w:sz w:val="28"/>
          <w:szCs w:val="28"/>
        </w:rPr>
      </w:pPr>
    </w:p>
    <w:p w:rsidR="00537C3F" w:rsidRDefault="00537C3F" w:rsidP="00537C3F">
      <w:pPr>
        <w:spacing w:line="360" w:lineRule="auto"/>
        <w:ind w:firstLine="1134"/>
        <w:rPr>
          <w:rFonts w:ascii="Times New Roman" w:eastAsia="Times New Roman" w:hAnsi="Times New Roman" w:cs="Times New Roman"/>
          <w:color w:val="0D0D0D"/>
          <w:sz w:val="28"/>
          <w:szCs w:val="28"/>
        </w:rPr>
      </w:pPr>
    </w:p>
    <w:p w:rsidR="00C429C5" w:rsidRDefault="00C429C5" w:rsidP="00537C3F">
      <w:pPr>
        <w:spacing w:line="360" w:lineRule="auto"/>
        <w:jc w:val="center"/>
        <w:rPr>
          <w:rFonts w:ascii="Times New Roman" w:eastAsia="Times New Roman" w:hAnsi="Times New Roman" w:cs="Times New Roman"/>
          <w:b/>
          <w:color w:val="0D0D0D"/>
          <w:sz w:val="28"/>
          <w:szCs w:val="28"/>
        </w:rPr>
      </w:pPr>
    </w:p>
    <w:p w:rsidR="00537C3F" w:rsidRDefault="00537C3F" w:rsidP="00537C3F">
      <w:pPr>
        <w:spacing w:line="360" w:lineRule="auto"/>
        <w:jc w:val="center"/>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ВСТУП</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Актуальність теми</w:t>
      </w:r>
      <w:r>
        <w:rPr>
          <w:rFonts w:ascii="Times New Roman" w:eastAsia="Times New Roman" w:hAnsi="Times New Roman" w:cs="Times New Roman"/>
          <w:color w:val="0D0D0D"/>
          <w:sz w:val="28"/>
          <w:szCs w:val="28"/>
        </w:rPr>
        <w:t>. Питання виборчого процесу так чи інакше пoстає у будь-якому рoзвинутому суспільстві. Ще з тих часів кoли суспільне життя людини вийшло за кордони сімейно-родoвих відносин, де монополія на владу належала, як правилo, найстаршим та найсильнішим, постало питання хтo гoлoвний. Саме від тoді можна простежити істoрію «вибoрчого процесу». Згодoм, у давньoгрецьких полісах булo закладено базoві оснoви від яких прохoдячи стoліття евoлюції виборчий прoцес набув сьогоденного масштабу, складної прoте ефективної структури, тoнкощів у реалізації, тoщо. У сучасному світі існує трoхи менше двoхсот незалежних держав і майже кожна має власну унікальну вибoрчу систему. Незважаючи на багатoвікову еволюцію цього явища, і вивчення йoго з усіх стoрін, саме цю тему я вважаю найбільш актуальнoю для сучасної України.</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Об’єктом дослідження</w:t>
      </w:r>
      <w:r>
        <w:rPr>
          <w:rFonts w:ascii="Times New Roman" w:eastAsia="Times New Roman" w:hAnsi="Times New Roman" w:cs="Times New Roman"/>
          <w:color w:val="0D0D0D"/>
          <w:sz w:val="28"/>
          <w:szCs w:val="28"/>
        </w:rPr>
        <w:t xml:space="preserve"> виступає вибoрча система України, як система захoдів націлених на наділення владoю конкретного пoлітичного суб’єкта.</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Предметoм дoслідження є характеристика oсобливoстей вибoрчої системи України: її станoвлення, сучаснoго стану та пoдальших перспектив рoзвитку.</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Метoю дослідження</w:t>
      </w:r>
      <w:r>
        <w:rPr>
          <w:rFonts w:ascii="Times New Roman" w:eastAsia="Times New Roman" w:hAnsi="Times New Roman" w:cs="Times New Roman"/>
          <w:color w:val="0D0D0D"/>
          <w:sz w:val="28"/>
          <w:szCs w:val="28"/>
        </w:rPr>
        <w:t xml:space="preserve"> є визначення oсобливостей функціoнування вибoрчої системи. Дoслідження евoлюції вибoрчого законодавства з часів здобуття незалежності і до сьoгодні. Oзнайoмлення з новими аспектами законотворчої діяльності у плoщині вибoрів в Україні.</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 xml:space="preserve">Завдання дослідження </w:t>
      </w:r>
      <w:r>
        <w:rPr>
          <w:rFonts w:ascii="Times New Roman" w:eastAsia="Times New Roman" w:hAnsi="Times New Roman" w:cs="Times New Roman"/>
          <w:color w:val="0D0D0D"/>
          <w:sz w:val="28"/>
          <w:szCs w:val="28"/>
        </w:rPr>
        <w:t>: поставлена мета дослідження зумoвила виконання таких дoслідницьких задач :</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Прoаналізувати шлях станoвлення вибoрчої системи в Україні.</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Визначити осoбливості прoведення вибoрів, їх види щo змінювались відпoвідно дo зміни курсу держави;</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Прoаналізувати існуючі вибoрчі системи;</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Прoаналізувати різнoманітні вибoрчі системи країн сусідів, вихідців пострадянського прoстору;</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Пoрівняти дoсвід країн сусідів з українськoю практикoю</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Надати аналіз функціoнування вибoрчого закoнодавства в істoрії незалежнoї України;</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Навести та прoаналізувати оснoвні новoвведення до вибoрчого законoдавства.</w:t>
      </w:r>
    </w:p>
    <w:p w:rsidR="00537C3F" w:rsidRDefault="00537C3F" w:rsidP="00537C3F">
      <w:pPr>
        <w:numPr>
          <w:ilvl w:val="0"/>
          <w:numId w:val="1"/>
        </w:num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Спрoбувати надати прогнoз пoдальших перспектив розвитку виборчої системи.</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Стан наукoвої розрoбленості прoблеми: Дoслідженням вибoрчого прoцесу займались Слюсаренко А. Г; Томенко М. В; Тищик Б.; Кульчицький В. С; Фесенко В.Фісун О; Федоренко В.Л; Томенко М; Бебик В.М.; Дешко Т.; Завалевська В; Михальченко М; Райковський Б.Ста інші.</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Методи дoслідження: відповіднo дo мети і завдань в рoбoті використанo ряд взаємoпов’язаних метoдів дoслідження, таких як: загальнoнауковий, системний аналіз, пoрівняння та узагальнення, для вивчення рoбіт вітчизняних та зарубіжних автoрів, монітoрингу та істoричного визначення існуючoго стану прoблеми, мoделювання та принцип детермінізму для виведення на цій оснoві перспектив рoзвитку різних аспектів вибoрчого процесу.</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Структура дипломної роботи:</w:t>
      </w: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Рoбота складається зі вступу, трьoх розділів, висновків, списку використаних джерел та літератури. Загальний обсяг дипломної роботи 82 сторінки. Список використаних джерел та літератури охоплює 101 найменування.</w:t>
      </w:r>
    </w:p>
    <w:p w:rsidR="00FA3CCC" w:rsidRDefault="00FA3CCC" w:rsidP="00537C3F">
      <w:pPr>
        <w:spacing w:line="360" w:lineRule="auto"/>
        <w:ind w:left="284" w:right="-610" w:firstLine="709"/>
        <w:jc w:val="both"/>
        <w:rPr>
          <w:rFonts w:ascii="Times New Roman" w:eastAsia="Times New Roman" w:hAnsi="Times New Roman" w:cs="Times New Roman"/>
          <w:color w:val="0D0D0D"/>
          <w:sz w:val="28"/>
          <w:szCs w:val="28"/>
        </w:rPr>
      </w:pPr>
    </w:p>
    <w:p w:rsidR="00FA3CCC" w:rsidRDefault="00FA3CCC" w:rsidP="00537C3F">
      <w:pPr>
        <w:spacing w:line="360" w:lineRule="auto"/>
        <w:ind w:left="284" w:right="-610" w:firstLine="709"/>
        <w:jc w:val="both"/>
        <w:rPr>
          <w:rFonts w:ascii="Times New Roman" w:eastAsia="Times New Roman" w:hAnsi="Times New Roman" w:cs="Times New Roman"/>
          <w:color w:val="0D0D0D"/>
          <w:sz w:val="28"/>
          <w:szCs w:val="28"/>
        </w:rPr>
      </w:pPr>
    </w:p>
    <w:p w:rsidR="00FA3CCC" w:rsidRDefault="00FA3CCC" w:rsidP="00537C3F">
      <w:pPr>
        <w:spacing w:line="360" w:lineRule="auto"/>
        <w:ind w:left="284" w:right="-610" w:firstLine="709"/>
        <w:jc w:val="both"/>
        <w:rPr>
          <w:rFonts w:ascii="Times New Roman" w:eastAsia="Times New Roman" w:hAnsi="Times New Roman" w:cs="Times New Roman"/>
          <w:color w:val="0D0D0D"/>
          <w:sz w:val="28"/>
          <w:szCs w:val="28"/>
        </w:rPr>
      </w:pPr>
    </w:p>
    <w:p w:rsidR="00FA3CCC" w:rsidRDefault="00FA3CCC" w:rsidP="00FA3CCC">
      <w:pPr>
        <w:spacing w:line="360" w:lineRule="auto"/>
        <w:rPr>
          <w:rFonts w:ascii="Times New Roman" w:eastAsia="Times New Roman" w:hAnsi="Times New Roman" w:cs="Times New Roman"/>
          <w:b/>
          <w:color w:val="0D0D0D"/>
          <w:sz w:val="28"/>
          <w:szCs w:val="28"/>
        </w:rPr>
      </w:pPr>
    </w:p>
    <w:p w:rsidR="00FA3CCC" w:rsidRDefault="00FA3CCC" w:rsidP="00FA3CCC">
      <w:pPr>
        <w:spacing w:line="360" w:lineRule="auto"/>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Висновки</w:t>
      </w:r>
    </w:p>
    <w:p w:rsidR="00FA3CCC" w:rsidRDefault="00FA3CCC" w:rsidP="00FA3CCC">
      <w:pPr>
        <w:spacing w:line="360" w:lineRule="auto"/>
        <w:jc w:val="both"/>
        <w:rPr>
          <w:rFonts w:ascii="Times New Roman" w:eastAsia="Times New Roman" w:hAnsi="Times New Roman" w:cs="Times New Roman"/>
          <w:b/>
          <w:color w:val="0D0D0D"/>
          <w:sz w:val="28"/>
          <w:szCs w:val="28"/>
        </w:rPr>
      </w:pP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 роки незалежності в Україні змінилася виборча система, змінилась і кількість виборців, які взяли участь у виборах.</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Відповідно до закону 1993 року Україна зберігає свою абсолютну більшість у два тури.</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Обраним буде кандидат, який набере понад 25% зареєстрованих виборців, але набере більше 50% голосів. Кандидатів можуть висувати як партії блоку, так і самі. [40]</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результаті позачергових виборів 1994 року її 49 депутатів були єдиними депутатами, обраними в першому турі, а результати другого туру не дозволили повноцінно сформувати Раду (45 необраних). Я не міг цього зробити.</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1997 році виборча система до Палати представників була змінена, запровадивши паралельну (змішану) систему.</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Пропорційне представництво з обмеженим списком голосування в одному багатомандатному виборчому окрузі (225 депутатів); мажоритарного правління з відносною більшістю в 225 одномандатних округах (округах не більше 10 виборчих різниць) %, або на 4 % менше, ніж у 1994 р.). Спостережуваний поріг голосування для національних виборчих округів становить 4%.</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 виборах 1998 року було 30 партій і блоків, вісім з яких подолали його 4%-й бар'єр, і його 4278 кандидатів в одномандатних округах. Комуністична партія України залишалася найвищою (121 місце з 445 партій) і найсильнішою партією.</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про вибори 2001 року скасував виборчу систему 1997 року та дозволив 10% відхилення кількості виборців у районах при формуванні одномандатних виборчих округів з урахуванням важливих меж районів і міст області.</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 виборах 2002 року 6 з 33 партій і блоків подолали його 4%-й бар'єр і отримали місця в парламенті.</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Комуністична партія України Віктора Ющенка (23,57%), Комуністична партія України (19,98%), Єдина Україна (11,77%), Блок Юлії Тимошенко (7,26%), Соціалістична партія України (6,87%), Соціал-демократична партія України ( Юнайтед) (6,22) %). Відповідно до Закону про вибори 2004 року, пропорційна система голосування впроваджується в одному виборчому окрузі з кількома мандатами на основі закритих списків виборців. Кандидатів можуть висувати лише політичні партії та блоки, самовисування заборонено, а прохідний бар’єр знизили до 3%.</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Після цього 2006 та 2007 роки були виборчими (достроковими). За офіційними результатами виборів 2006 року до Вищої асамблеї 5-ї Генеральної Асамблеї було обрано 45 політичних партій і блоків.</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Партія регіонів (32,14%), табір Юлії Тимошенко (22,29%), Народний союз «Наша Україна» (13,95%), Соціалістична партія України (5,69%), Комуністична партія України (3 місце). 6%.</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У 2007 році після розпуску парламенту за указом президента Віктора Ющенка відбулися вибори. За результатами виборів до парламенту пройшли 20 політичних партій і блоків.</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Партія регіонів, Блок Юлії Тимошенко, Наша Українська Народна Самооборона, Комуністична партія України, Блок Литвина.</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Після 2011 року виборча процедура знову змінилася.</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Було знову запроваджено самовисування для одноосібних мандатів, виборчий бар’єр підвищено до 5%, а граничне відхилення для виборчого округу встановлено на рівні 12%.</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Відповідно до цього закону було створено 7-й і 8-й з’їзди Верховної Ради України.</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Формування певного протоколу проведення виборів в Україні датується серединою ХХІ століття. У минулому скликанні Верховної Ради було досягнуто значного прогресу в прийнятті виборчого законодавства. Цей документ ухвалили в першому читанні наприкінці 2017 року. У липні цього року нинішня Верховна Рада ратифікувала виборчий закон у другому читанні </w:t>
      </w:r>
      <w:r>
        <w:rPr>
          <w:rFonts w:ascii="Times New Roman" w:eastAsia="Times New Roman" w:hAnsi="Times New Roman" w:cs="Times New Roman"/>
          <w:color w:val="0D0D0D"/>
          <w:sz w:val="28"/>
          <w:szCs w:val="28"/>
        </w:rPr>
        <w:lastRenderedPageBreak/>
        <w:t>без розгляду пропозиції чинного президента Володимира Зеленського. З цієї причини законопроект був відхилений і вже «переданий» на наступне скликання 9-го Конгресу. [86]</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про вибори складається з п'яти його документів, а саме:</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Закони, що регулюють президентські, законодавчі, місцеві вибори, вибори ЦВК та вибори до державних виборчих списків. Забігаючи вперед, ще одна перевага прийняття законодавства полягає в тому, що буде важче вносити корективи для кожних окремих виборів. Це мінімізує вплив політиків на виборче законодавство та забезпечує стабільність політичної системи країни[19].</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Незважаючи на те, що Палата схвалила новий закон про вибори, законодавці повернуться до його ратифікації наступного року. Як зазначають експерти, багато недоліків необхідно усунути після виконання дипломної роботи.</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Новий закон про вибори передбачає пропорційну систему голосування за відкритими списками. Проте механізми відбору цих списків викликають проблеми для виборців. Однак ці зміни до загальних виборів набудуть чинності лише у 2023 році. Тому є оптимізм, що соціальні норми кодексу будуть ефективно донесені, а сама система буде прозорою.</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Декілька положень закону, які регулюють формування списків кандидатів політичними партіями, містять елемент «закритості» системи. Вище це консолідація правила про те, що її перші дев’ять імен у партійному списку є «недоторканними» (для партій за межами виборчого бар’єру), решта позицій у партійному списку залежать від регіонального розподілу місць. Рішучий. У той же час експерти розкритикували закон, який вимагає принаймні додаткових 7000 голосів, щоб понизити опонента на одну сходинку, наприклад обмеження у 25% голосів для подальшого просування кандидата. Це нововведення може спричинити великі збої та посилити конкуренцію між однопартійними кандидатами в окрузі. Тому заборонена Кодексом «мажоритарна система» скоріш за все відродиться у формі внутрішньопартійної конкуренції.</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Хабарництво, маніпуляції та недобросовісна конкуренція.</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Однак головним недоліком проблеми є нерозуміння того, як система працює для виборців. Нарешті, виборці в кожному регіоні отримують бюлетені і повинні спочатку проголосувати за партію в цілому, а в разі необхідності вибрати кандидата зі списку партії після списку всіх політичних фракцій. Це значно ускладнює процес агрегування та визначення списку зацікавлених сторін.</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Згідно з новим законом, в Україні буде 27 адміністративних районів замість 225 відповідно до концепції розподілу адміністративних районів. Винятком є Київ та дві її області.</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Дніпропетровськ і Херсон (вони «приписані» до кримської представницької квоти), поділені на два округи.</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Отже, чим вища явка виборців, тим більш представницький округ у законодавчій владі. Це ризикує створити більше «викривлення», оскільки певні місця можуть бути представлені більше, ніж інші. Це може вплинути на деталі майбутніх законодавчих процесів.</w:t>
      </w:r>
    </w:p>
    <w:p w:rsidR="00FA3CCC" w:rsidRDefault="00FA3CCC" w:rsidP="00FA3CCC">
      <w:pPr>
        <w:spacing w:line="360" w:lineRule="auto"/>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Іншим питанням, яке не змінилося, є прохідний бар’єр, який не знизили з 5%. Натомість виборче законодавство частково охоплює гендерні призначення та право голосу іммігрантів на місцевих виборах.</w:t>
      </w:r>
    </w:p>
    <w:p w:rsidR="00FA3CCC" w:rsidRDefault="00FA3CCC" w:rsidP="00FA3CCC">
      <w:pPr>
        <w:spacing w:line="360" w:lineRule="auto"/>
        <w:rPr>
          <w:rFonts w:ascii="Times New Roman" w:eastAsia="Times New Roman" w:hAnsi="Times New Roman" w:cs="Times New Roman"/>
          <w:b/>
          <w:color w:val="0D0D0D"/>
          <w:sz w:val="28"/>
          <w:szCs w:val="28"/>
        </w:rPr>
      </w:pPr>
    </w:p>
    <w:p w:rsidR="00FA3CCC" w:rsidRDefault="00FA3CCC" w:rsidP="00FA3CCC">
      <w:pPr>
        <w:spacing w:line="360" w:lineRule="auto"/>
        <w:rPr>
          <w:rFonts w:ascii="Times New Roman" w:eastAsia="Times New Roman" w:hAnsi="Times New Roman" w:cs="Times New Roman"/>
          <w:b/>
          <w:color w:val="0D0D0D"/>
          <w:sz w:val="28"/>
          <w:szCs w:val="28"/>
        </w:rPr>
      </w:pPr>
    </w:p>
    <w:p w:rsidR="00FA3CCC" w:rsidRDefault="00FA3CCC" w:rsidP="00FA3CCC">
      <w:pPr>
        <w:spacing w:line="360" w:lineRule="auto"/>
        <w:rPr>
          <w:rFonts w:ascii="Times New Roman" w:eastAsia="Times New Roman" w:hAnsi="Times New Roman" w:cs="Times New Roman"/>
          <w:b/>
          <w:color w:val="0D0D0D"/>
          <w:sz w:val="28"/>
          <w:szCs w:val="28"/>
        </w:rPr>
      </w:pPr>
    </w:p>
    <w:p w:rsidR="00FA3CCC" w:rsidRDefault="00FA3CCC" w:rsidP="00FA3CCC">
      <w:pPr>
        <w:spacing w:line="360" w:lineRule="auto"/>
        <w:rPr>
          <w:rFonts w:ascii="Times New Roman" w:eastAsia="Times New Roman" w:hAnsi="Times New Roman" w:cs="Times New Roman"/>
          <w:b/>
          <w:color w:val="0D0D0D"/>
          <w:sz w:val="28"/>
          <w:szCs w:val="28"/>
        </w:rPr>
      </w:pPr>
    </w:p>
    <w:p w:rsidR="00FA3CCC" w:rsidRDefault="00FA3CCC" w:rsidP="00FA3CCC">
      <w:pPr>
        <w:spacing w:line="360" w:lineRule="auto"/>
        <w:jc w:val="center"/>
        <w:rPr>
          <w:rFonts w:ascii="Times New Roman" w:eastAsia="Times New Roman" w:hAnsi="Times New Roman" w:cs="Times New Roman"/>
          <w:b/>
          <w:color w:val="0D0D0D"/>
          <w:sz w:val="28"/>
          <w:szCs w:val="28"/>
        </w:rPr>
      </w:pPr>
    </w:p>
    <w:p w:rsidR="00D0467D" w:rsidRDefault="00D0467D" w:rsidP="00FA3CCC">
      <w:pPr>
        <w:spacing w:line="360" w:lineRule="auto"/>
        <w:jc w:val="center"/>
        <w:rPr>
          <w:rFonts w:ascii="Times New Roman" w:eastAsia="Times New Roman" w:hAnsi="Times New Roman" w:cs="Times New Roman"/>
          <w:b/>
          <w:color w:val="0D0D0D"/>
          <w:sz w:val="28"/>
          <w:szCs w:val="28"/>
        </w:rPr>
      </w:pPr>
    </w:p>
    <w:p w:rsidR="00D0467D" w:rsidRDefault="00D0467D" w:rsidP="00FA3CCC">
      <w:pPr>
        <w:spacing w:line="360" w:lineRule="auto"/>
        <w:jc w:val="center"/>
        <w:rPr>
          <w:rFonts w:ascii="Times New Roman" w:eastAsia="Times New Roman" w:hAnsi="Times New Roman" w:cs="Times New Roman"/>
          <w:b/>
          <w:color w:val="0D0D0D"/>
          <w:sz w:val="28"/>
          <w:szCs w:val="28"/>
        </w:rPr>
      </w:pPr>
    </w:p>
    <w:p w:rsidR="00D0467D" w:rsidRDefault="00D0467D" w:rsidP="00FA3CCC">
      <w:pPr>
        <w:spacing w:line="360" w:lineRule="auto"/>
        <w:jc w:val="center"/>
        <w:rPr>
          <w:rFonts w:ascii="Times New Roman" w:eastAsia="Times New Roman" w:hAnsi="Times New Roman" w:cs="Times New Roman"/>
          <w:b/>
          <w:color w:val="0D0D0D"/>
          <w:sz w:val="28"/>
          <w:szCs w:val="28"/>
        </w:rPr>
      </w:pPr>
    </w:p>
    <w:p w:rsidR="00D0467D" w:rsidRDefault="00D0467D" w:rsidP="00FA3CCC">
      <w:pPr>
        <w:spacing w:line="360" w:lineRule="auto"/>
        <w:jc w:val="center"/>
        <w:rPr>
          <w:rFonts w:ascii="Times New Roman" w:eastAsia="Times New Roman" w:hAnsi="Times New Roman" w:cs="Times New Roman"/>
          <w:b/>
          <w:color w:val="0D0D0D"/>
          <w:sz w:val="28"/>
          <w:szCs w:val="28"/>
        </w:rPr>
      </w:pPr>
    </w:p>
    <w:p w:rsidR="00D0467D" w:rsidRDefault="00D0467D" w:rsidP="00FA3CCC">
      <w:pPr>
        <w:spacing w:line="360" w:lineRule="auto"/>
        <w:jc w:val="center"/>
        <w:rPr>
          <w:rFonts w:ascii="Times New Roman" w:eastAsia="Times New Roman" w:hAnsi="Times New Roman" w:cs="Times New Roman"/>
          <w:b/>
          <w:color w:val="0D0D0D"/>
          <w:sz w:val="28"/>
          <w:szCs w:val="28"/>
        </w:rPr>
      </w:pPr>
    </w:p>
    <w:p w:rsidR="00D0467D" w:rsidRDefault="00D0467D" w:rsidP="00FA3CCC">
      <w:pPr>
        <w:spacing w:line="360" w:lineRule="auto"/>
        <w:jc w:val="center"/>
        <w:rPr>
          <w:rFonts w:ascii="Times New Roman" w:eastAsia="Times New Roman" w:hAnsi="Times New Roman" w:cs="Times New Roman"/>
          <w:b/>
          <w:color w:val="0D0D0D"/>
          <w:sz w:val="28"/>
          <w:szCs w:val="28"/>
        </w:rPr>
      </w:pPr>
    </w:p>
    <w:p w:rsidR="00FA3CCC" w:rsidRDefault="00FA3CCC" w:rsidP="00FA3CCC">
      <w:pPr>
        <w:spacing w:line="360" w:lineRule="auto"/>
        <w:jc w:val="center"/>
        <w:rPr>
          <w:rFonts w:ascii="Times New Roman" w:eastAsia="Times New Roman" w:hAnsi="Times New Roman" w:cs="Times New Roman"/>
          <w:b/>
          <w:color w:val="0D0D0D"/>
          <w:sz w:val="28"/>
          <w:szCs w:val="28"/>
        </w:rPr>
      </w:pPr>
      <w:bookmarkStart w:id="0" w:name="_GoBack"/>
      <w:bookmarkEnd w:id="0"/>
      <w:r>
        <w:rPr>
          <w:rFonts w:ascii="Times New Roman" w:eastAsia="Times New Roman" w:hAnsi="Times New Roman" w:cs="Times New Roman"/>
          <w:b/>
          <w:color w:val="0D0D0D"/>
          <w:sz w:val="28"/>
          <w:szCs w:val="28"/>
        </w:rPr>
        <w:lastRenderedPageBreak/>
        <w:t>СПИСОК ВИКОРИСТАНИХ ДЖЕРЕЛ</w:t>
      </w:r>
    </w:p>
    <w:p w:rsidR="00FA3CCC" w:rsidRDefault="00FA3CCC" w:rsidP="00FA3CCC">
      <w:pPr>
        <w:spacing w:line="360" w:lineRule="auto"/>
        <w:ind w:left="426" w:firstLine="1134"/>
        <w:rPr>
          <w:rFonts w:ascii="Times New Roman" w:eastAsia="Times New Roman" w:hAnsi="Times New Roman" w:cs="Times New Roman"/>
          <w:color w:val="0D0D0D"/>
          <w:sz w:val="28"/>
          <w:szCs w:val="28"/>
        </w:rPr>
      </w:pP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(https://24tv.ua/noviy_viborchiy_kodeks_yak_obiratimut_deputativ_n</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(https://ifesukraine.org/vyborchyj-byuleten-ifes-%E2%84%96100-16-grudnya-2019-roku-12-sichnya-2020-roku/);</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(https://nv.ua/ukr/ukraine/politics/viborchiy-kodeks-silni-ta-slabki-storoni-novini-ukrajini-50060889.html);</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(https://suspilne.media/5564-rada-pidtrimala-pravki-zelenskogo-do-viborcogo-kodeksu/);</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(https://vybory.pravda.com.ua/articles/2019/09/19/7150077/);</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(https://www.oporaua.org/statement/vybory/19583-zaiava-opori-shchodo-ukhvalennia-viborchogo-kodeksu-za-rezultatami-iogo-povtornogo-rozgliadu);</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(https://www.slovoidilo.ua/2019/12/21/kolonka/aleksandr-radchuk/polityka/kodeks-yalynku-yaki-zminy-hotuyut-novi-vyborchi-pravyla);</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Верифікована  сторінка [ Електронний ресурс ] – режим доступу:</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Знання мови, відсутність спостерігачів-росіян і вимоги до ЗМІ. Поправки Зеленського до виборчого кодексу.» інтернет-видання «Суспільне мовлення України» // Верифікована  сторінка [ Електронний ресурс ] – режим доступу:</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Новий Виборчій кодекс: Магера назвав сильні і слабкі сторони документа.» інтернет-видання  «Новое время» // Верифікована  сторінка [ Електронний ресурс ] – режим доступу:</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«ВУкраїнізновупереписалиВиборчийкодекс»  німецькоїміжнародноїтелерадіокомпанії «DeutscheWelle» // Верифікованасторінка [ Електроннийресурс ] – режимдоступу: (https://p.dw.com/p/3UDuX);</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«Виборчій бюлетень IFES №100 (16 грудня 2019 року – 12 січня 2020 року)» // офіційний сайт Міжнародної фундації виборчих систем (IFES) [ Електронний ресурс ] – режим доступу:</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«Закритіші списки, бюлетені на 500 прізвищ і небачені можливості для зловживань. Що наголосували у новій редакції Виборчого кодексу он-лайн» ресурсу TEXTY.org.ua // Верифікована  сторінка [ Електронний ресурс ] – режим доступу:  (http://texty.org.ua/pg/article/Oximets/read/98837/Visim_novacij_jaki_</w:t>
      </w:r>
      <w:r>
        <w:rPr>
          <w:rFonts w:ascii="Times New Roman" w:eastAsia="Times New Roman" w:hAnsi="Times New Roman" w:cs="Times New Roman"/>
          <w:color w:val="0D0D0D"/>
          <w:sz w:val="28"/>
          <w:szCs w:val="28"/>
        </w:rPr>
        <w:br/>
        <w:t>ubyvajut_chesni_vybory_Ze_vlada);</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«Застава на місцевих виборах зросла майже в 40 разів» Громадського руху «ЧЕСНО» // Верифікована  сторінка [ Електронний ресурс ] – режим доступу:  (https://www.chesno.org/post/3770/)).</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«Кодекс під ялинку: які зміни готують нові виборчі правила» аналітичного інтернет-порталу «Слово і Діло» // Верифікована  сторінка [ Електронний ресурс ] – режим доступу:</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«Переселені та трудові мігранти зможуть голосувати на місцевих виборах»  інтернет-сторінка громадської організації «Громадський холдинг «ГРУПА ВПЛИВУ» // Верифікована  сторінка [ Електронний ресурс ] – режим доступу: (https://www.vplyv.org.ua/archives/4443);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«Прощавай мажоритарко! Що передбачає новий Виборчій кодекс» інтернет-видання «Українська правда» // Верифікована  сторінка [ Електронний ресурс ] – режим доступу: (https://www.pravda.com.ua/articles/2019/12/24/7235740/);</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«Реформа виборчого законодавства: що пропонується?» Видавничого будинку «Фактор» // Верифікована  сторінка [ Електронний ресурс ] – режим доступу: (https://i.factor.ua/ukr/journals/ms/2017/january/issue-1/article-24429.html);</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«Як новий Виборчий кодекс вплине на політичну корупцію: коментар експерта», офіційний сайт «Телеканал новини «24»</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1251340, https://24tv.ua/yak_noviy_viborchiy_kodeks_vpline_na_riven_</w:t>
      </w:r>
    </w:p>
    <w:p w:rsidR="00FA3CCC" w:rsidRPr="006572B8"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lang w:val="en-US"/>
        </w:rPr>
      </w:pPr>
      <w:r w:rsidRPr="006572B8">
        <w:rPr>
          <w:rFonts w:ascii="Times New Roman" w:eastAsia="Times New Roman" w:hAnsi="Times New Roman" w:cs="Times New Roman"/>
          <w:color w:val="0D0D0D"/>
          <w:sz w:val="28"/>
          <w:szCs w:val="28"/>
          <w:lang w:val="en-US"/>
        </w:rPr>
        <w:t>Afanas'ev, Y. V. (1994) Russian fiasco to escape the totalitarian trap, ´International Herald Tribuneª, 1 March.</w:t>
      </w:r>
    </w:p>
    <w:p w:rsidR="00FA3CCC" w:rsidRPr="006572B8"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lang w:val="en-US"/>
        </w:rPr>
      </w:pPr>
      <w:r w:rsidRPr="006572B8">
        <w:rPr>
          <w:rFonts w:ascii="Times New Roman" w:eastAsia="Times New Roman" w:hAnsi="Times New Roman" w:cs="Times New Roman"/>
          <w:color w:val="0D0D0D"/>
          <w:sz w:val="28"/>
          <w:szCs w:val="28"/>
          <w:lang w:val="en-US"/>
        </w:rPr>
        <w:t>Aves, J. (1991) Path to national independence in Georgia 1987-1990, London, The School of Slavonic and East European Studies.</w:t>
      </w:r>
    </w:p>
    <w:p w:rsidR="00FA3CCC" w:rsidRPr="006572B8"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lang w:val="en-US"/>
        </w:rPr>
      </w:pPr>
      <w:r w:rsidRPr="006572B8">
        <w:rPr>
          <w:rFonts w:ascii="Times New Roman" w:eastAsia="Times New Roman" w:hAnsi="Times New Roman" w:cs="Times New Roman"/>
          <w:color w:val="0D0D0D"/>
          <w:sz w:val="28"/>
          <w:szCs w:val="28"/>
          <w:lang w:val="en-US"/>
        </w:rPr>
        <w:lastRenderedPageBreak/>
        <w:t>Aves, J. (1992) The rise and fall of the Georgian nationalist movement, 1987-91, in: Hosking, G.A., Aves, J. and Rucam, P.J.S. The road to post-communism: Independent political movements in the Soviet Union 1985-91, London, Pinter, pp. 157-179.</w:t>
      </w:r>
    </w:p>
    <w:p w:rsidR="00FA3CCC" w:rsidRPr="006572B8"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lang w:val="en-US"/>
        </w:rPr>
      </w:pPr>
      <w:r w:rsidRPr="006572B8">
        <w:rPr>
          <w:rFonts w:ascii="Times New Roman" w:eastAsia="Times New Roman" w:hAnsi="Times New Roman" w:cs="Times New Roman"/>
          <w:color w:val="0D0D0D"/>
          <w:sz w:val="28"/>
          <w:szCs w:val="28"/>
          <w:lang w:val="en-US"/>
        </w:rPr>
        <w:t>politichnoyi_koruptsiyi_komentar_eksperta_n1242828);</w:t>
      </w:r>
    </w:p>
    <w:p w:rsidR="00FA3CCC"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Бакрадзе, А (1990) Сакартвелос момавали (Будущее Грузии), ´Сакартвелоª, январь.</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Барабаш О., Воробйов О., Кальченко С., Ковтунець В. Вибори народних депутатів України 2002 року: правозастосовча практика судів та виборчих комісій. - К. : Нора-друк, 2003.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Барабаш Ю. Уроки выборов. // Потребитель + Власть.- 2007.</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Бебик В.М. Менеджмент виборчої кампанії: ресурси, технології, маркетинг : Навч.- метод.посіб. // Міжрегіональна Академія управління персоналом (МАУП). - К. : МАУП, 2001.</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Бориславський Л. Парламентські вибори-2006: недоліки і проблеми / Л.Бориславський // Вісник Центральної виборчої комісії. – 2006.  №2(4). –</w:t>
      </w:r>
    </w:p>
    <w:p w:rsidR="00FA3CCC"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Веллиш, С. (1996) Грузия: краткий обзор проблем макроэкономической политики, ´Исследования и анализª, № 87, Центр социально-экономических исследований CASE, Варшава.</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Вибори і референдуми в Україні: проблеми теорії і практики: Збірник / Центральна виборча комісія // М.М. Рябець (голов.ред.). - К.: ЦВК, 2001. - 352с.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Виборчий кодекс Республіки Білорусь .- Мн.: Національний центр правової інформації РБ, 2000.</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Виборчий процес в Україні: конституційно-правові аспекти: Автореф. дис... канд. юрид. наук: 12.00.02 / /О.Б. Ковальчук; Одес. нац. юрид. акад.. — О., 2003.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Войтенко В.П. Виборчі технології у дзеркалі математики / Інститут відкритої політики // А.С. Матвієнко (авт.передмови). - К., 1999. -</w:t>
      </w:r>
    </w:p>
    <w:p w:rsidR="00FA3CCC"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Гогсадзе, Г. (1995) Президентские и парламентские выборы в Грузии: шаг к стабильности?, Тбилиси, Издательство парламента.</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Головатий М.Ф. Професія - політик. - К. : Парламентське вид-во, 2000. -</w:t>
      </w:r>
    </w:p>
    <w:p w:rsidR="00FA3CCC"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Гортат, Р. (1996) Демократия с гор Тянь-Шаня, ´Исследования и анализª, № 99, Центр социально-экономических исследований CASE, Варшава.</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Гошовський В. Виборча система крізь призму політ реформи // Голос України. –2003.</w:t>
      </w:r>
    </w:p>
    <w:p w:rsidR="00FA3CCC"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Дані протоколу ЦВК РФ про результати виборів депутатів ГД РФ ФС шостого скликання // Російська газета. 2011. 10 грудня. № 5654.</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Деркачов О. Вибори в Україні: Зовнішньополітичні орієнтації як чинник електоральної стратегії // Політична думка. - 1999. - № 3. - C.28-33.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Дешко Т. Пропорційна виборча система в Україні: передумови запровадженння та основні характеристики // Віче. – 2005. – № 7/8 (160-161). – С. 119.</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Дорошенко Д. Нарис історії України: У 2 т. - К.: Глобус, 1992.</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Дюверже М. Политические партии // Пер. с франц. - М.: Академический Проект, 2000.</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Завалевська В. Політичні партії України: участь у виборчому процесі з виборів народних депутатів України 2006 року // Вісник ЦВК. – 2006. – № 2 (4)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Загуменник В., Гуріїв О. Порівняльний аналіз законодавства про вибори депутатів до органів місцевого самоврядування // Право України. – 2005. – № 10.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Заєць Н. Вибори як реалії сучасної державно-правової дійсності: теоретичний аспект // Право України.- 2007. - № 11 -</w:t>
      </w:r>
    </w:p>
    <w:p w:rsidR="00FA3CCC" w:rsidRDefault="00FA3CCC" w:rsidP="00FA3CCC">
      <w:pPr>
        <w:numPr>
          <w:ilvl w:val="0"/>
          <w:numId w:val="2"/>
        </w:numPr>
        <w:pBdr>
          <w:top w:val="none" w:sz="0" w:space="7" w:color="000000"/>
        </w:pBd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від 11 липня 2001 № 95-ФЗ.</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Республіки Білорусь «Про Президента Республіки Білорусь» / / Відомості Національних зборів Республіки Білорусь.-1997 .- № 24 .- Ст. 463.</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Закон України "Про вибори народних депутатів України" // Бюлетень законодавства і юридичної практики України. - 1998. - №2. - С. 205-255.</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України "Про вибори народних депутатів України" // Бюлетень законодавства і юридичної практики України. - 1998. - №2. -</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України "Про вибори народних депутатів України". - К.: Право, 1993. - 38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України "Про вибори народних депутатів України". - К.: Право, 1993..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України «Про вибори народних депутатів України» // від 17 листопада 2011 року   N 4061-VI.</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України Про вибори народних депутатів України // Уряд. кур’єр. - 2001. - № 201-202. - 2 листоп.</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України Про вибори народних депутатів України // Уряд. кур’єр. - 2001. - № 201-202.</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УРСР "Про зміни і доповнення Конституції (Основного Закону) Української РСР" // Відомості Верховної Ради. - 1990. - №45.</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УРСР "Про зміни і доповнення Конституції (Основного Закону) Української РСР" // Відомості Верховної Ради. - 1990. - №45. - Ст. 606.</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УРСР "Про Президента Української РСР" // Відомості Верховної Ради. - 1991. - №33.</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Закон УРСР "Про Президента Української РСР" // Відомості Верховної Ради. - 1991. - №33. - Ст. 446.</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Заява неурядової позапартійної всеукраїнської організації контролю та адвокації у сфері виборів «ОПОРА» щодо ухвалення Виборчого кодексу за результатами його повторного розгляду // Верифікована  сторінка [ Електронний ресурс ] – режим доступу:</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Избирательные системы: Сравнительное исследование мирового опыта: Материалы НДИ. – Вашингтон – Женева: Межпарламентский Союз, 1993. - 17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Избирательные системы: Сравнительное исследование мирового опыта: Материалы НДИ. – Вашингтон – Женева: Межпарламентский Союз, 1993.</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Кіс Іван Теофіл. Виборчі системи та їх політичні наслідки // Нова політика. - 1996. - № 2. - С. 35 – 39.</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Кіс Іван Теофіл. Виборчі системи та їх політичні наслідки // Нова політика. - 1996. - № 2. -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Ковтун В. До безперешкодного волевиявлення (Підсумки виборів 1994 року) // Права людини в Україні. – К., 1994.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Ковтунець В.В. Надії та ілюзії пропорційної виборчої системи в українському варіанті // Юридична газета. –2005. –№6(42).</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Котигоренко В. Виборчий марафон з бар’єрами // Політика і культура. – 2000. – № 46.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Кочубей Л. Виборчі технології як механізм досягнення політичного результату // Людина і політика. - 2003. - № 4.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Кочубей Л. О. Виборчі технології: політологічний аналіз (на прикладі виборів до парламенту сучасної України): монографія / Л.О.Кочубей. – К.: ТОВ "Видавництво "Юридична думка", 2006.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Кульчицький В. С., Тищик Б. Й. Історія держави і права України: Навч. посіб. - К.: Атіка, 2001.</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Кульчицький В. С., Тищик Б. Й. Історія держави і права України: Навч. посіб. - К.: Атіка, 2001. - 320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Любченко П. Переваги і недоліки пропорційної виборчої системи при формуванні місцевих рад // Право України. – 2005.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Мазуренко Г.М. Реформування виборчого законодавство та його вплив на партійну систему в Україні // Вісник Київського національного університету імені Тараса Шевченка. Філософія. Політологія. – 2003. – № 56.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Макєєв С. Сучасна Україна: громадянська свідомість і політична участь населення // Політична думка. – 2000. - № 2.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Михальченко М. Украинское общество: трансформация, модернизация или лимитроф Европы. – К., 2001</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Основи ідеології білоруської держави: Навчальний посібник / За заг. ред. Г.А. Василевича, Я.С. Яскевич. - Мн.: РІВШ, 2004.</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Основи ідеології сучасної держави: Навчальний посібник для вузів / За заг. ред. С.Н. Князєва, С.В. Решетнікова. - Мн.: Академія </w:t>
      </w:r>
      <w:hyperlink r:id="rId5">
        <w:r>
          <w:rPr>
            <w:rFonts w:ascii="Times New Roman" w:eastAsia="Times New Roman" w:hAnsi="Times New Roman" w:cs="Times New Roman"/>
            <w:color w:val="0D0D0D"/>
            <w:sz w:val="28"/>
            <w:szCs w:val="28"/>
          </w:rPr>
          <w:t>управління</w:t>
        </w:r>
      </w:hyperlink>
      <w:r>
        <w:rPr>
          <w:rFonts w:ascii="Times New Roman" w:eastAsia="Times New Roman" w:hAnsi="Times New Roman" w:cs="Times New Roman"/>
          <w:color w:val="0D0D0D"/>
          <w:sz w:val="28"/>
          <w:szCs w:val="28"/>
        </w:rPr>
        <w:t xml:space="preserve"> при Президентові Республіки Білорусь, 2004 - 491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Особливості трансформації виборчої системи сучасної України: Автореф. дис... канд. політ. наук: 23.00.02 / В.П. Гончарук; Київ. нац. ун-т ім. Т.Шевченка. — К., 2001. — 16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Панкевич Р. Проблеми типології виборчих систем // Вісник Львівського університету. Серія: філософські науки. –2002. –Вип. 4.</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Панкевич Р. Сучасна типологія виборчих систем Європи // Вісник Львівського університету, Вип. 2, 2000.</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Перелік законопроектів прийнятих Верховною Радою VIII скликання стосовно референдумів //Офіційний сайт  Верховної Ради України [ Електронний ресурс ] – режим доступу: (https://w1.c1.rada.gov.ua/pls/zweb2/webproc4_1?pf3511=56490, http://w1.c1.rada.gov.ua/pls/zweb2/webproc4_1?pf3511=66849 </w:t>
      </w:r>
      <w:r>
        <w:rPr>
          <w:rFonts w:ascii="Times New Roman" w:eastAsia="Times New Roman" w:hAnsi="Times New Roman" w:cs="Times New Roman"/>
          <w:color w:val="0D0D0D"/>
          <w:sz w:val="28"/>
          <w:szCs w:val="28"/>
          <w:u w:val="single"/>
        </w:rPr>
        <w:t>http://w1.c1.rada.gov.ua/pls/zweb2/webproc2_5_1_J?ses=10009&amp;num_s=2&amp;num=&amp;date1=&amp;date2=&amp;name_zp=%F0%E5%F4</w:t>
      </w:r>
      <w:r>
        <w:rPr>
          <w:rFonts w:ascii="Times New Roman" w:eastAsia="Times New Roman" w:hAnsi="Times New Roman" w:cs="Times New Roman"/>
          <w:color w:val="0D0D0D"/>
          <w:sz w:val="28"/>
          <w:szCs w:val="28"/>
          <w:u w:val="single"/>
        </w:rPr>
        <w:br/>
        <w:t>%E5%F0%E5%ED%E4%F3%EC&amp;out_type=&amp;id=&amp;page=1</w:t>
      </w:r>
      <w:r>
        <w:rPr>
          <w:rFonts w:ascii="Times New Roman" w:eastAsia="Times New Roman" w:hAnsi="Times New Roman" w:cs="Times New Roman"/>
          <w:color w:val="0D0D0D"/>
          <w:sz w:val="28"/>
          <w:szCs w:val="28"/>
        </w:rPr>
        <w:t>);</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Подвинцев О.Б. Псефология как наука про выборы. // Полис.- 2008.- №3.- с.142-146.</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Політична система сучасної України: особливості становлення, тенденції розвитку / Редкол. Ф. М. Рудич (голова) та ін. – К., 1998.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Поліщук І. Політичні знання та політичні інтереси громадян у контексті виборчого процесу (вітчизняний та іноземний досвід) // Людина і політика. - 2001. - № 4. - Полторак В., Петров О. Избирательные кампании: научный подход к организации / В. Полторак, О. петров. – К.: Знання України. 2004. – 120с.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Райковський Б.С. Деякі аспекти територіальної організації виборів та матеріально-технічного забезпечення виборчих комісій під час підготовки і проведення виборів Президента України 31 жовтня 2004 року// Вибори Президента України – 2004: Проблеми теорії та практики. Збірник матеріалів міжнародної науково-практичної конференції. Київ, 9 – 10 червня 2005 року. К.: Атіка, 2005.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Райковський Б.С. Еволюція виборчих прав у контексті становлення сучасних демократій // Сучасна українська політика. Політики і політологи про неї. Київ – Миколаїв, 2007. – Вип.. 9. –</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Райковський Б.С. Сучасні політичні партії та блоки у виборчих процесах // Вісник  державної академії керівних кадрів культури і мистецтв. – 2006. -  № 3. –</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Рішення Конституційного Суду України від 26 лютого 1998 року № 1-рп/98 щодо відповідності Конституції України (конституційності) Закону України "Про вибори народних депутатів України" // Офіц. вісн. України. - 1998. - №23. - Ст. 850.</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Рішення Конституційного Суду України від 26 лютого 1998 року № 1-рп/98 щодо відповідності Конституції України (конституційності) Закону України "Про вибори народних депутатів України" // Офіц. вісн. України. - 1998. - №23.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Савчин М. Політичні партії та виборчі системи: спроби конституційної інженерії у контектсі сучасного конституціоналізму // Вісник Центральної виборчої комісії №3(13) 2008 р. - с.63-75.</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Слюсаренко А. Г., Томенко М. В. Історія української конституції. - К.: Знання, 1993.</w:t>
      </w:r>
    </w:p>
    <w:p w:rsidR="00FA3CCC" w:rsidRDefault="00FA3CCC" w:rsidP="00FA3CCC">
      <w:pPr>
        <w:numPr>
          <w:ilvl w:val="0"/>
          <w:numId w:val="2"/>
        </w:numPr>
        <w:shd w:val="clear" w:color="auto" w:fill="FFFFFF"/>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Слюсаренко А. Г., Томенко М. В. Історія української конституції. - К.: Знання, 1993. - 192 с.</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Спільний  проект ГО «Центр UA» та «Українська правда» «Вибори Вибори» // Верифікована  сторінка [ Електронний ресурс ] – режим доступу:</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Ставнійчук М.І. Законодавство про вибори народних депутатів України: актуальні проблеми теорії і практики. - К., 2001. - С.11-13.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Степаненкго В.І. політичні партії України: уроки розвитку. - Зб. Політичні партії в незалежній Україні: роль та місце в політичній трансформації суспільства (За ред.. В. Нікітіна, В. Шумілкіна).- Х., 2001.</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Тищик Б. Західноукраїнська Народна Республіка (державний апарат і законодавство) // Право України. - 1994. - № 5-6.</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Томенко М. Итоги парламентских выборов в Украине. Политические ориентации и предпочтения населения // Полис. – 1998. – № 3. – С. 75.</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Федоренко В.Л. Система виборчого права України: проблеми теорії і практики / Держава і право. Збірн. наук. праць. – К.: Ін-т держави і права ім.. В.М. Корецького, 2003.</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Фесенко В. Вибори задля виборів.// День.- 2008.№ 65.</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Фісун О. Пострадянські політичні режими: неопатримоніальна інтерпретація // Агора. Україна – нові перспективи. – К.: Стилос, 2005.</w:t>
      </w:r>
    </w:p>
    <w:p w:rsidR="00FA3CCC" w:rsidRDefault="00FA3CCC" w:rsidP="00FA3CCC">
      <w:pPr>
        <w:numPr>
          <w:ilvl w:val="0"/>
          <w:numId w:val="2"/>
        </w:numPr>
        <w:tabs>
          <w:tab w:val="left" w:pos="426"/>
        </w:tabs>
        <w:spacing w:line="360" w:lineRule="auto"/>
        <w:ind w:left="426" w:right="-610" w:firstLine="283"/>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Хімченко О.Г. Політичні партії і виборчий процес в умовах багатопартійності. // Вибори і демократія.-2007.- №4.</w:t>
      </w:r>
    </w:p>
    <w:p w:rsidR="00FA3CCC" w:rsidRDefault="00FA3CCC" w:rsidP="00537C3F">
      <w:pPr>
        <w:spacing w:line="360" w:lineRule="auto"/>
        <w:ind w:left="284" w:right="-610" w:firstLine="709"/>
        <w:jc w:val="both"/>
        <w:rPr>
          <w:rFonts w:ascii="Times New Roman" w:eastAsia="Times New Roman" w:hAnsi="Times New Roman" w:cs="Times New Roman"/>
          <w:color w:val="0D0D0D"/>
          <w:sz w:val="28"/>
          <w:szCs w:val="28"/>
        </w:rPr>
      </w:pPr>
    </w:p>
    <w:p w:rsidR="00537C3F" w:rsidRDefault="00537C3F" w:rsidP="00537C3F">
      <w:pPr>
        <w:spacing w:line="360" w:lineRule="auto"/>
        <w:ind w:left="284" w:right="-610" w:firstLine="709"/>
        <w:jc w:val="both"/>
        <w:rPr>
          <w:rFonts w:ascii="Times New Roman" w:eastAsia="Times New Roman" w:hAnsi="Times New Roman" w:cs="Times New Roman"/>
          <w:color w:val="0D0D0D"/>
          <w:sz w:val="28"/>
          <w:szCs w:val="28"/>
        </w:rPr>
      </w:pPr>
    </w:p>
    <w:p w:rsidR="00DD1F0B" w:rsidRDefault="00DD1F0B"/>
    <w:sectPr w:rsidR="00DD1F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4256F1"/>
    <w:multiLevelType w:val="multilevel"/>
    <w:tmpl w:val="355C8B0C"/>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
    <w:nsid w:val="67CD682A"/>
    <w:multiLevelType w:val="multilevel"/>
    <w:tmpl w:val="CC8EF8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C3F"/>
    <w:rsid w:val="00537C3F"/>
    <w:rsid w:val="00970348"/>
    <w:rsid w:val="00C429C5"/>
    <w:rsid w:val="00D0467D"/>
    <w:rsid w:val="00DD1F0B"/>
    <w:rsid w:val="00FA3C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B798DE-BAF4-438E-A7DA-7F21B949F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537C3F"/>
    <w:pPr>
      <w:spacing w:after="0" w:line="276" w:lineRule="auto"/>
    </w:pPr>
    <w:rPr>
      <w:rFonts w:ascii="Arial" w:eastAsia="Arial"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ua-referat.com/%D0%A3%D0%BF%D1%80%D0%B0%D0%B2%D0%BB%D1%96%D0%BD%D0%BD%D1%8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3918</Words>
  <Characters>22334</Characters>
  <Application>Microsoft Office Word</Application>
  <DocSecurity>0</DocSecurity>
  <Lines>186</Lines>
  <Paragraphs>52</Paragraphs>
  <ScaleCrop>false</ScaleCrop>
  <Company/>
  <LinksUpToDate>false</LinksUpToDate>
  <CharactersWithSpaces>26200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2023-05-23T08:35:00Z</dcterms:created>
  <dcterms:modified xsi:type="dcterms:W3CDTF">2023-05-23T08:38:00Z</dcterms:modified>
</cp:coreProperties>
</file>