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40B7" w:rsidRDefault="004840B7" w:rsidP="004840B7">
      <w:pPr>
        <w:pBdr>
          <w:bottom w:val="single" w:sz="4" w:space="1" w:color="000000"/>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 І. Мечникова</w:t>
      </w:r>
    </w:p>
    <w:p w:rsidR="004840B7" w:rsidRDefault="004840B7" w:rsidP="004840B7">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(повне найменування закладу вищої освіти)</w:t>
      </w:r>
    </w:p>
    <w:p w:rsidR="004840B7" w:rsidRDefault="004840B7" w:rsidP="004840B7">
      <w:pPr>
        <w:pBdr>
          <w:bottom w:val="single" w:sz="4" w:space="1" w:color="000000"/>
        </w:pBdr>
        <w:tabs>
          <w:tab w:val="center" w:pos="4677"/>
        </w:tabs>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Факультет міжнародних відносин, політології та соціології</w:t>
      </w:r>
    </w:p>
    <w:p w:rsidR="004840B7" w:rsidRDefault="004840B7" w:rsidP="004840B7">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(повне найменування факультету)</w:t>
      </w:r>
    </w:p>
    <w:p w:rsidR="004840B7" w:rsidRDefault="004840B7" w:rsidP="004840B7">
      <w:pPr>
        <w:pBdr>
          <w:bottom w:val="single" w:sz="4" w:space="1" w:color="000000"/>
        </w:pBdr>
        <w:spacing w:before="240"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світового господарства та міжнародних економічних відносин</w:t>
      </w:r>
    </w:p>
    <w:p w:rsidR="004840B7" w:rsidRDefault="004840B7" w:rsidP="004840B7">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(повна назва кафедри)</w:t>
      </w:r>
    </w:p>
    <w:p w:rsidR="004840B7" w:rsidRDefault="004840B7" w:rsidP="004840B7">
      <w:pPr>
        <w:spacing w:after="0" w:line="240" w:lineRule="auto"/>
        <w:jc w:val="both"/>
        <w:rPr>
          <w:rFonts w:ascii="Times New Roman" w:eastAsia="Times New Roman" w:hAnsi="Times New Roman" w:cs="Times New Roman"/>
          <w:b/>
          <w:sz w:val="40"/>
          <w:szCs w:val="40"/>
        </w:rPr>
      </w:pPr>
    </w:p>
    <w:p w:rsidR="004840B7" w:rsidRDefault="004840B7" w:rsidP="004840B7">
      <w:pPr>
        <w:spacing w:after="0" w:line="24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Кваліфікаційна робота</w:t>
      </w:r>
    </w:p>
    <w:p w:rsidR="004840B7" w:rsidRDefault="004840B7" w:rsidP="004840B7">
      <w:pPr>
        <w:pBdr>
          <w:bottom w:val="single" w:sz="4" w:space="1" w:color="000000"/>
        </w:pBdr>
        <w:tabs>
          <w:tab w:val="center" w:pos="4819"/>
          <w:tab w:val="right" w:pos="8505"/>
        </w:tabs>
        <w:spacing w:before="240" w:after="0" w:line="240" w:lineRule="auto"/>
        <w:ind w:left="1134" w:right="85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 магістр »</w:t>
      </w:r>
    </w:p>
    <w:p w:rsidR="004840B7" w:rsidRDefault="004840B7" w:rsidP="004840B7">
      <w:pPr>
        <w:tabs>
          <w:tab w:val="right" w:pos="9355"/>
        </w:tabs>
        <w:spacing w:after="0" w:line="240" w:lineRule="auto"/>
        <w:jc w:val="center"/>
        <w:rPr>
          <w:rFonts w:ascii="Times New Roman" w:eastAsia="Times New Roman" w:hAnsi="Times New Roman" w:cs="Times New Roman"/>
          <w:b/>
          <w:sz w:val="28"/>
          <w:szCs w:val="28"/>
        </w:rPr>
      </w:pPr>
    </w:p>
    <w:p w:rsidR="004840B7" w:rsidRDefault="004840B7" w:rsidP="004840B7">
      <w:pPr>
        <w:tabs>
          <w:tab w:val="right" w:pos="9355"/>
        </w:tabs>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«Міжнародна конкурентоспроможність економіки Норвегії в умовах світової пандемії COVID-19»</w:t>
      </w:r>
    </w:p>
    <w:p w:rsidR="004840B7" w:rsidRDefault="004840B7" w:rsidP="004840B7">
      <w:pPr>
        <w:tabs>
          <w:tab w:val="right" w:pos="9355"/>
        </w:tabs>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w:t>
      </w:r>
      <w:r>
        <w:rPr>
          <w:rFonts w:ascii="Times New Roman" w:eastAsia="Times New Roman" w:hAnsi="Times New Roman" w:cs="Times New Roman"/>
          <w:b/>
          <w:sz w:val="20"/>
          <w:szCs w:val="20"/>
        </w:rPr>
        <w:t>тема кваліфікаційної роботи українською мовою)</w:t>
      </w:r>
    </w:p>
    <w:p w:rsidR="004840B7" w:rsidRDefault="004840B7" w:rsidP="004840B7">
      <w:pPr>
        <w:tabs>
          <w:tab w:val="right" w:pos="9355"/>
        </w:tabs>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The international competitiveness of the Norwegian economy in a global pandemic COVID-19</w:t>
      </w:r>
      <w:r>
        <w:rPr>
          <w:rFonts w:ascii="Times New Roman" w:eastAsia="Times New Roman" w:hAnsi="Times New Roman" w:cs="Times New Roman"/>
          <w:b/>
          <w:sz w:val="28"/>
          <w:szCs w:val="28"/>
        </w:rPr>
        <w:t>»</w:t>
      </w:r>
    </w:p>
    <w:p w:rsidR="004840B7" w:rsidRDefault="004840B7" w:rsidP="004840B7">
      <w:pPr>
        <w:tabs>
          <w:tab w:val="left" w:pos="2445"/>
        </w:tabs>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0"/>
          <w:szCs w:val="20"/>
        </w:rPr>
        <w:t>тема кваліфікаційної роботи англійською мовою)</w:t>
      </w:r>
    </w:p>
    <w:p w:rsidR="004840B7" w:rsidRDefault="004840B7" w:rsidP="004840B7">
      <w:pPr>
        <w:tabs>
          <w:tab w:val="right" w:pos="9355"/>
        </w:tabs>
        <w:spacing w:after="0" w:line="240" w:lineRule="auto"/>
        <w:jc w:val="both"/>
        <w:rPr>
          <w:rFonts w:ascii="Times New Roman" w:eastAsia="Times New Roman" w:hAnsi="Times New Roman" w:cs="Times New Roman"/>
          <w:sz w:val="28"/>
          <w:szCs w:val="28"/>
          <w:u w:val="single"/>
        </w:rPr>
      </w:pPr>
    </w:p>
    <w:p w:rsidR="004840B7" w:rsidRDefault="004840B7" w:rsidP="004840B7">
      <w:pPr>
        <w:tabs>
          <w:tab w:val="right" w:pos="9355"/>
        </w:tabs>
        <w:spacing w:after="0" w:line="240" w:lineRule="auto"/>
        <w:jc w:val="both"/>
        <w:rPr>
          <w:rFonts w:ascii="Times New Roman" w:eastAsia="Times New Roman" w:hAnsi="Times New Roman" w:cs="Times New Roman"/>
          <w:sz w:val="28"/>
          <w:szCs w:val="28"/>
          <w:u w:val="single"/>
        </w:rPr>
      </w:pPr>
    </w:p>
    <w:p w:rsidR="004840B7" w:rsidRDefault="004840B7" w:rsidP="004840B7">
      <w:pPr>
        <w:spacing w:after="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Виконала: студентка денної форми навчання</w:t>
      </w:r>
    </w:p>
    <w:p w:rsidR="004840B7" w:rsidRDefault="004840B7" w:rsidP="004840B7">
      <w:pPr>
        <w:spacing w:after="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Спеціальності 292 “Міжнародні економічні відносини”</w:t>
      </w:r>
    </w:p>
    <w:p w:rsidR="004840B7" w:rsidRDefault="004840B7" w:rsidP="004840B7">
      <w:pPr>
        <w:spacing w:after="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Корчагіна Вероніка Олександрівна</w:t>
      </w:r>
    </w:p>
    <w:p w:rsidR="004840B7" w:rsidRDefault="004840B7" w:rsidP="004840B7">
      <w:pPr>
        <w:spacing w:after="0" w:line="240" w:lineRule="auto"/>
        <w:jc w:val="right"/>
        <w:rPr>
          <w:rFonts w:ascii="Times New Roman" w:eastAsia="Times New Roman" w:hAnsi="Times New Roman" w:cs="Times New Roman"/>
          <w:sz w:val="20"/>
          <w:szCs w:val="20"/>
        </w:rPr>
      </w:pPr>
    </w:p>
    <w:p w:rsidR="004840B7" w:rsidRDefault="004840B7" w:rsidP="004840B7">
      <w:pPr>
        <w:tabs>
          <w:tab w:val="left" w:pos="5245"/>
          <w:tab w:val="right" w:pos="9355"/>
        </w:tabs>
        <w:spacing w:before="120" w:after="0"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0"/>
          <w:szCs w:val="20"/>
        </w:rPr>
        <w:t xml:space="preserve">                                   </w:t>
      </w:r>
      <w:r>
        <w:rPr>
          <w:rFonts w:ascii="Times New Roman" w:eastAsia="Times New Roman" w:hAnsi="Times New Roman" w:cs="Times New Roman"/>
          <w:sz w:val="28"/>
          <w:szCs w:val="28"/>
        </w:rPr>
        <w:t xml:space="preserve">Науковий керівник: к.е.н., доцент Ніколаєв Ю.О.__________ </w:t>
      </w:r>
    </w:p>
    <w:p w:rsidR="004840B7" w:rsidRDefault="004840B7" w:rsidP="004840B7">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 к.е.н., доцент Матюк Т..В.</w:t>
      </w:r>
    </w:p>
    <w:p w:rsidR="004840B7" w:rsidRDefault="004840B7" w:rsidP="004840B7">
      <w:pPr>
        <w:tabs>
          <w:tab w:val="left" w:pos="5245"/>
          <w:tab w:val="right" w:pos="9355"/>
        </w:tabs>
        <w:spacing w:before="120" w:after="0" w:line="240" w:lineRule="auto"/>
        <w:jc w:val="right"/>
        <w:rPr>
          <w:rFonts w:ascii="Times New Roman" w:eastAsia="Times New Roman" w:hAnsi="Times New Roman" w:cs="Times New Roman"/>
          <w:sz w:val="20"/>
          <w:szCs w:val="20"/>
        </w:rPr>
      </w:pPr>
    </w:p>
    <w:tbl>
      <w:tblPr>
        <w:tblW w:w="9868" w:type="dxa"/>
        <w:tblInd w:w="-115" w:type="dxa"/>
        <w:tblLayout w:type="fixed"/>
        <w:tblLook w:val="0000" w:firstRow="0" w:lastRow="0" w:firstColumn="0" w:lastColumn="0" w:noHBand="0" w:noVBand="0"/>
      </w:tblPr>
      <w:tblGrid>
        <w:gridCol w:w="5082"/>
        <w:gridCol w:w="4786"/>
      </w:tblGrid>
      <w:tr w:rsidR="004840B7" w:rsidTr="0046632B">
        <w:tc>
          <w:tcPr>
            <w:tcW w:w="5082" w:type="dxa"/>
          </w:tcPr>
          <w:p w:rsidR="004840B7" w:rsidRDefault="004840B7" w:rsidP="0046632B">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rsidR="004840B7" w:rsidRDefault="004840B7" w:rsidP="0046632B">
            <w:pPr>
              <w:spacing w:before="12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4840B7" w:rsidRDefault="004840B7" w:rsidP="0046632B">
            <w:pPr>
              <w:spacing w:before="12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   від ____.____. 20___ р. </w:t>
            </w:r>
          </w:p>
          <w:p w:rsidR="004840B7" w:rsidRDefault="004840B7" w:rsidP="0046632B">
            <w:pPr>
              <w:spacing w:before="60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Завідувач(ка) кафедри</w:t>
            </w:r>
          </w:p>
          <w:p w:rsidR="004840B7" w:rsidRDefault="004840B7" w:rsidP="0046632B">
            <w:pPr>
              <w:tabs>
                <w:tab w:val="left" w:pos="1168"/>
                <w:tab w:val="left" w:pos="3861"/>
              </w:tabs>
              <w:spacing w:before="360" w:after="0" w:line="24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_____________</w:t>
            </w:r>
          </w:p>
          <w:p w:rsidR="004840B7" w:rsidRDefault="004840B7" w:rsidP="0046632B">
            <w:pPr>
              <w:tabs>
                <w:tab w:val="left" w:pos="284"/>
                <w:tab w:val="left" w:pos="1767"/>
              </w:tabs>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(підпис)</w:t>
            </w:r>
            <w:r>
              <w:rPr>
                <w:rFonts w:ascii="Times New Roman" w:eastAsia="Times New Roman" w:hAnsi="Times New Roman" w:cs="Times New Roman"/>
                <w:sz w:val="20"/>
                <w:szCs w:val="20"/>
              </w:rPr>
              <w:tab/>
              <w:t xml:space="preserve">      (</w:t>
            </w:r>
            <w:r>
              <w:rPr>
                <w:rFonts w:ascii="Times New Roman" w:eastAsia="Times New Roman" w:hAnsi="Times New Roman" w:cs="Times New Roman"/>
                <w:sz w:val="24"/>
                <w:szCs w:val="24"/>
              </w:rPr>
              <w:t>прізвище,ім’я</w:t>
            </w:r>
            <w:r>
              <w:rPr>
                <w:rFonts w:ascii="Times New Roman" w:eastAsia="Times New Roman" w:hAnsi="Times New Roman" w:cs="Times New Roman"/>
                <w:sz w:val="20"/>
                <w:szCs w:val="20"/>
              </w:rPr>
              <w:t>)</w:t>
            </w:r>
          </w:p>
        </w:tc>
        <w:tc>
          <w:tcPr>
            <w:tcW w:w="4786" w:type="dxa"/>
          </w:tcPr>
          <w:p w:rsidR="004840B7" w:rsidRDefault="004840B7" w:rsidP="0046632B">
            <w:pPr>
              <w:tabs>
                <w:tab w:val="right" w:pos="4462"/>
              </w:tabs>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_____</w:t>
            </w:r>
          </w:p>
          <w:p w:rsidR="004840B7" w:rsidRDefault="004840B7" w:rsidP="0046632B">
            <w:pPr>
              <w:spacing w:before="12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протокол № __від ____.____.20___ р. </w:t>
            </w:r>
          </w:p>
          <w:p w:rsidR="004840B7" w:rsidRDefault="004840B7" w:rsidP="0046632B">
            <w:pPr>
              <w:tabs>
                <w:tab w:val="right" w:pos="4462"/>
              </w:tabs>
              <w:spacing w:before="120" w:after="0" w:line="240" w:lineRule="auto"/>
              <w:jc w:val="both"/>
              <w:rPr>
                <w:rFonts w:ascii="Times New Roman" w:eastAsia="Times New Roman" w:hAnsi="Times New Roman" w:cs="Times New Roman"/>
                <w:sz w:val="28"/>
                <w:szCs w:val="28"/>
              </w:rPr>
            </w:pPr>
          </w:p>
          <w:p w:rsidR="004840B7" w:rsidRDefault="004840B7" w:rsidP="0046632B">
            <w:pPr>
              <w:tabs>
                <w:tab w:val="right" w:pos="4462"/>
              </w:tabs>
              <w:spacing w:before="12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w:t>
            </w:r>
            <w:r>
              <w:rPr>
                <w:rFonts w:ascii="Times New Roman" w:eastAsia="Times New Roman" w:hAnsi="Times New Roman" w:cs="Times New Roman"/>
                <w:sz w:val="20"/>
                <w:szCs w:val="20"/>
              </w:rPr>
              <w:tab/>
            </w:r>
            <w:r>
              <w:rPr>
                <w:rFonts w:ascii="Times New Roman" w:eastAsia="Times New Roman" w:hAnsi="Times New Roman" w:cs="Times New Roman"/>
                <w:sz w:val="28"/>
                <w:szCs w:val="28"/>
              </w:rPr>
              <w:t>___/_____</w:t>
            </w:r>
          </w:p>
          <w:p w:rsidR="004840B7" w:rsidRDefault="004840B7" w:rsidP="0046632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національною шкалою/шкалою ЕСТS/ бали)</w:t>
            </w:r>
          </w:p>
          <w:p w:rsidR="004840B7" w:rsidRDefault="004840B7" w:rsidP="0046632B">
            <w:pPr>
              <w:spacing w:before="36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rsidR="004840B7" w:rsidRDefault="004840B7" w:rsidP="0046632B">
            <w:pPr>
              <w:tabs>
                <w:tab w:val="left" w:pos="1168"/>
                <w:tab w:val="left" w:pos="3861"/>
              </w:tabs>
              <w:spacing w:before="360" w:after="0" w:line="24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_____________</w:t>
            </w:r>
          </w:p>
          <w:p w:rsidR="004840B7" w:rsidRDefault="004840B7" w:rsidP="0046632B">
            <w:pPr>
              <w:tabs>
                <w:tab w:val="left" w:pos="454"/>
                <w:tab w:val="left" w:pos="2155"/>
              </w:tabs>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0"/>
                <w:szCs w:val="20"/>
              </w:rPr>
              <w:t xml:space="preserve">     (підпис)                       (</w:t>
            </w:r>
            <w:r>
              <w:rPr>
                <w:rFonts w:ascii="Times New Roman" w:eastAsia="Times New Roman" w:hAnsi="Times New Roman" w:cs="Times New Roman"/>
                <w:sz w:val="24"/>
                <w:szCs w:val="24"/>
              </w:rPr>
              <w:t>прізвище, ім’я</w:t>
            </w:r>
            <w:r>
              <w:rPr>
                <w:rFonts w:ascii="Times New Roman" w:eastAsia="Times New Roman" w:hAnsi="Times New Roman" w:cs="Times New Roman"/>
                <w:sz w:val="20"/>
                <w:szCs w:val="20"/>
              </w:rPr>
              <w:t>)</w:t>
            </w:r>
          </w:p>
        </w:tc>
      </w:tr>
      <w:tr w:rsidR="004840B7" w:rsidTr="0046632B">
        <w:tc>
          <w:tcPr>
            <w:tcW w:w="5082" w:type="dxa"/>
          </w:tcPr>
          <w:p w:rsidR="004840B7" w:rsidRDefault="004840B7" w:rsidP="0046632B">
            <w:pPr>
              <w:spacing w:after="0" w:line="240" w:lineRule="auto"/>
              <w:jc w:val="both"/>
              <w:rPr>
                <w:rFonts w:ascii="Times New Roman" w:eastAsia="Times New Roman" w:hAnsi="Times New Roman" w:cs="Times New Roman"/>
                <w:sz w:val="28"/>
                <w:szCs w:val="28"/>
              </w:rPr>
            </w:pPr>
          </w:p>
        </w:tc>
        <w:tc>
          <w:tcPr>
            <w:tcW w:w="4786" w:type="dxa"/>
          </w:tcPr>
          <w:p w:rsidR="004840B7" w:rsidRDefault="004840B7" w:rsidP="0046632B">
            <w:pPr>
              <w:spacing w:after="0" w:line="240" w:lineRule="auto"/>
              <w:jc w:val="both"/>
              <w:rPr>
                <w:rFonts w:ascii="Times New Roman" w:eastAsia="Times New Roman" w:hAnsi="Times New Roman" w:cs="Times New Roman"/>
                <w:sz w:val="28"/>
                <w:szCs w:val="28"/>
              </w:rPr>
            </w:pPr>
          </w:p>
        </w:tc>
      </w:tr>
    </w:tbl>
    <w:p w:rsidR="004840B7" w:rsidRDefault="004840B7" w:rsidP="004840B7">
      <w:pPr>
        <w:spacing w:after="0" w:line="240" w:lineRule="auto"/>
        <w:ind w:left="3969"/>
        <w:jc w:val="both"/>
        <w:rPr>
          <w:rFonts w:ascii="Times New Roman" w:eastAsia="Times New Roman" w:hAnsi="Times New Roman" w:cs="Times New Roman"/>
          <w:sz w:val="28"/>
          <w:szCs w:val="28"/>
        </w:rPr>
      </w:pPr>
    </w:p>
    <w:p w:rsidR="004840B7" w:rsidRDefault="004840B7" w:rsidP="004840B7">
      <w:pPr>
        <w:spacing w:after="0" w:line="240" w:lineRule="auto"/>
        <w:jc w:val="center"/>
        <w:rPr>
          <w:rFonts w:ascii="Times New Roman" w:eastAsia="Times New Roman" w:hAnsi="Times New Roman" w:cs="Times New Roman"/>
          <w:sz w:val="28"/>
          <w:szCs w:val="28"/>
        </w:rPr>
        <w:sectPr w:rsidR="004840B7" w:rsidSect="00FF696F">
          <w:headerReference w:type="default" r:id="rId4"/>
          <w:pgSz w:w="11909" w:h="16834"/>
          <w:pgMar w:top="1134" w:right="1134" w:bottom="1134" w:left="1701" w:header="720" w:footer="720" w:gutter="0"/>
          <w:pgNumType w:start="1"/>
          <w:cols w:space="720"/>
          <w:titlePg/>
          <w:docGrid w:linePitch="299"/>
        </w:sectPr>
      </w:pPr>
      <w:r>
        <w:rPr>
          <w:rFonts w:ascii="Times New Roman" w:eastAsia="Times New Roman" w:hAnsi="Times New Roman" w:cs="Times New Roman"/>
          <w:b/>
          <w:sz w:val="28"/>
          <w:szCs w:val="28"/>
        </w:rPr>
        <w:t>Одеса 2022</w:t>
      </w:r>
    </w:p>
    <w:p w:rsidR="004840B7" w:rsidRDefault="004840B7" w:rsidP="004840B7">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rsidR="004840B7" w:rsidRDefault="004840B7" w:rsidP="004840B7">
      <w:pPr>
        <w:spacing w:after="0" w:line="360" w:lineRule="auto"/>
        <w:jc w:val="center"/>
        <w:rPr>
          <w:rFonts w:ascii="Times New Roman" w:eastAsia="Times New Roman" w:hAnsi="Times New Roman" w:cs="Times New Roman"/>
          <w:b/>
          <w:sz w:val="28"/>
          <w:szCs w:val="28"/>
        </w:rPr>
      </w:pPr>
    </w:p>
    <w:p w:rsidR="004840B7" w:rsidRDefault="004840B7" w:rsidP="004840B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ВСТУП.......................................................................................................3</w:t>
      </w:r>
    </w:p>
    <w:p w:rsidR="004840B7" w:rsidRDefault="004840B7" w:rsidP="004840B7">
      <w:pPr>
        <w:spacing w:after="0" w:line="360" w:lineRule="auto"/>
        <w:jc w:val="both"/>
        <w:rPr>
          <w:rFonts w:ascii="Times New Roman" w:eastAsia="Times New Roman" w:hAnsi="Times New Roman" w:cs="Times New Roman"/>
          <w:sz w:val="28"/>
          <w:szCs w:val="28"/>
        </w:rPr>
      </w:pPr>
    </w:p>
    <w:p w:rsidR="004840B7" w:rsidRDefault="004840B7" w:rsidP="004840B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Вплив пандемії COVID-19 на сучасні економічні процеси.......5</w:t>
      </w:r>
    </w:p>
    <w:p w:rsidR="004840B7" w:rsidRDefault="004840B7" w:rsidP="004840B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Аналіз впливу пандемії COVID-19 на економіку Норвегії.................5</w:t>
      </w:r>
    </w:p>
    <w:p w:rsidR="004840B7" w:rsidRDefault="004840B7" w:rsidP="004840B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Аналіз впливу пандемії COVID-19 на економіку США....................11</w:t>
      </w:r>
    </w:p>
    <w:p w:rsidR="004840B7" w:rsidRDefault="004840B7" w:rsidP="004840B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Аналіз впливу пандемії COVID-19 на економіку Японії.....................16</w:t>
      </w:r>
    </w:p>
    <w:p w:rsidR="004840B7" w:rsidRDefault="004840B7" w:rsidP="004840B7">
      <w:pPr>
        <w:spacing w:after="0" w:line="360" w:lineRule="auto"/>
        <w:jc w:val="both"/>
        <w:rPr>
          <w:rFonts w:ascii="Times New Roman" w:eastAsia="Times New Roman" w:hAnsi="Times New Roman" w:cs="Times New Roman"/>
          <w:sz w:val="28"/>
          <w:szCs w:val="28"/>
        </w:rPr>
      </w:pPr>
    </w:p>
    <w:p w:rsidR="004840B7" w:rsidRDefault="004840B7" w:rsidP="004840B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Порівняльний аналіз розвитку економіки Норвегії в умовах пандемії COVID-19............................................................................................21</w:t>
      </w:r>
    </w:p>
    <w:p w:rsidR="004840B7" w:rsidRDefault="004840B7" w:rsidP="004840B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Динаміка та тенденції макроекономічного розвитку Норвегії...........21</w:t>
      </w:r>
    </w:p>
    <w:p w:rsidR="004840B7" w:rsidRDefault="004840B7" w:rsidP="004840B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2.2. Аналіз міжнародних валютно-фінансових показників та міжнародної конкурентоспроможності норвезької економіки...........................................24</w:t>
      </w:r>
    </w:p>
    <w:p w:rsidR="004840B7" w:rsidRDefault="004840B7" w:rsidP="004840B7">
      <w:pPr>
        <w:spacing w:after="0" w:line="360" w:lineRule="auto"/>
        <w:jc w:val="both"/>
        <w:rPr>
          <w:rFonts w:ascii="Times New Roman" w:eastAsia="Times New Roman" w:hAnsi="Times New Roman" w:cs="Times New Roman"/>
          <w:sz w:val="28"/>
          <w:szCs w:val="28"/>
        </w:rPr>
      </w:pPr>
    </w:p>
    <w:p w:rsidR="004840B7" w:rsidRDefault="004840B7" w:rsidP="004840B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Кластерний механізм підвищення міжнародної конкурентоспроможності економіки Норвегії...............................................34</w:t>
      </w:r>
    </w:p>
    <w:p w:rsidR="004840B7" w:rsidRDefault="004840B7" w:rsidP="004840B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3.1 Напрями підвищення конкурентоспроможності економіки Норвегії в умовах постковідного світового господарства...............................................34</w:t>
      </w:r>
    </w:p>
    <w:p w:rsidR="004840B7" w:rsidRDefault="004840B7" w:rsidP="004840B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3.2 Торгово-економічне партнерство Норвегії з Україною на сучасному етапі.....................................................................................................................51</w:t>
      </w:r>
    </w:p>
    <w:p w:rsidR="004840B7" w:rsidRDefault="004840B7" w:rsidP="004840B7">
      <w:pPr>
        <w:spacing w:after="0" w:line="360" w:lineRule="auto"/>
        <w:jc w:val="both"/>
        <w:rPr>
          <w:rFonts w:ascii="Times New Roman" w:eastAsia="Times New Roman" w:hAnsi="Times New Roman" w:cs="Times New Roman"/>
          <w:sz w:val="28"/>
          <w:szCs w:val="28"/>
        </w:rPr>
      </w:pPr>
    </w:p>
    <w:p w:rsidR="004840B7" w:rsidRDefault="004840B7" w:rsidP="004840B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ВИСНОВКИ...........................................................................................55</w:t>
      </w:r>
    </w:p>
    <w:p w:rsidR="004840B7" w:rsidRDefault="004840B7" w:rsidP="004840B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ДЖЕРЕЛ.........................................................60</w:t>
      </w:r>
    </w:p>
    <w:p w:rsidR="004840B7" w:rsidRDefault="004840B7" w:rsidP="004840B7">
      <w:pPr>
        <w:spacing w:after="0" w:line="360" w:lineRule="auto"/>
        <w:rPr>
          <w:rFonts w:ascii="Times New Roman" w:eastAsia="Times New Roman" w:hAnsi="Times New Roman" w:cs="Times New Roman"/>
          <w:sz w:val="28"/>
          <w:szCs w:val="28"/>
        </w:rPr>
        <w:sectPr w:rsidR="004840B7">
          <w:pgSz w:w="11909" w:h="16834"/>
          <w:pgMar w:top="1134" w:right="1134" w:bottom="1134" w:left="1701" w:header="720" w:footer="720" w:gutter="0"/>
          <w:cols w:space="720"/>
        </w:sectPr>
      </w:pPr>
      <w:r>
        <w:rPr>
          <w:rFonts w:ascii="Times New Roman" w:eastAsia="Times New Roman" w:hAnsi="Times New Roman" w:cs="Times New Roman"/>
          <w:sz w:val="28"/>
          <w:szCs w:val="28"/>
        </w:rPr>
        <w:t xml:space="preserve">ДОДАТКИ..........................................................................................................64 </w:t>
      </w:r>
    </w:p>
    <w:p w:rsidR="004840B7" w:rsidRDefault="004840B7" w:rsidP="004840B7">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rsidR="004840B7" w:rsidRDefault="004840B7" w:rsidP="004840B7">
      <w:pPr>
        <w:spacing w:after="0" w:line="360" w:lineRule="auto"/>
        <w:jc w:val="center"/>
        <w:rPr>
          <w:rFonts w:ascii="Times New Roman" w:eastAsia="Times New Roman" w:hAnsi="Times New Roman" w:cs="Times New Roman"/>
          <w:b/>
          <w:sz w:val="28"/>
          <w:szCs w:val="28"/>
        </w:rPr>
      </w:pPr>
    </w:p>
    <w:p w:rsidR="004840B7" w:rsidRDefault="004840B7" w:rsidP="004840B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умовах сучасного світового господарства від рівня конкурентоспроможності економіки країни залежать її перспективи розвитку. Здатність країни виробляти товари та послуги, що відповідають вимогам світових ринків, та створювати умови нарощування національних ресурсів зі швидкістю, що дозволяє забезпечувати стійкі темпи зростання ВВП та якість життя населення на рівні світових значень - це є основною метою кожної держави. </w:t>
      </w:r>
    </w:p>
    <w:p w:rsidR="004840B7" w:rsidRDefault="004840B7" w:rsidP="004840B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пандемії COVID-19 рівень конкуренції не лише не впав, а навпаки – карантинні заходи викликали загострення боротьби за місце під сонцем на світовій арені. Пандемія охопила весь світ - і навіть країни з північно-європейською моделлю економіки, що традиційно вважаються еталоном та мають здатність протистояти глобальним економічним кризам та іншим негативним зовнішнім факторам, зазнали втрат щодо своєї конкурентної позиції на світовому ринку. </w:t>
      </w:r>
    </w:p>
    <w:p w:rsidR="004840B7" w:rsidRDefault="004840B7" w:rsidP="004840B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даній роботі буде розглянуто: динаміку та тенденції макроекономічного розвитку Норвегії; міжнародні валютно-фінансові показники Норвегії; вплив пандемії COVID-19 на сучасні економічні процеси; напрямки підвищення конкурентоспроможності економіки Норвегії в умовах постковідного світового господарства. </w:t>
      </w:r>
    </w:p>
    <w:p w:rsidR="004840B7" w:rsidRDefault="004840B7" w:rsidP="004840B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Актуальність теми</w:t>
      </w:r>
      <w:r>
        <w:rPr>
          <w:rFonts w:ascii="Times New Roman" w:eastAsia="Times New Roman" w:hAnsi="Times New Roman" w:cs="Times New Roman"/>
          <w:sz w:val="28"/>
          <w:szCs w:val="28"/>
        </w:rPr>
        <w:t xml:space="preserve"> дослідження впливу пандемії на конкурентоспроможність норвезької економіки полягає в тому, щоб дослідити принципи функціонування північно-європейської моделі економіки, її здатність бути незалежною від стороннього впливу, ефективність виробництва та спроможність країни постійно збільшувати свою частку на світовому ринку, задля втримання конкурентних позицій.</w:t>
      </w:r>
    </w:p>
    <w:p w:rsidR="004840B7" w:rsidRDefault="004840B7" w:rsidP="004840B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Метою роботи</w:t>
      </w:r>
      <w:r>
        <w:rPr>
          <w:rFonts w:ascii="Times New Roman" w:eastAsia="Times New Roman" w:hAnsi="Times New Roman" w:cs="Times New Roman"/>
          <w:sz w:val="28"/>
          <w:szCs w:val="28"/>
        </w:rPr>
        <w:t xml:space="preserve"> є аналіз основних показників розвитку економіки Норвегії та розробка кластерного механізму підвищення її міжнародної конкурентоспроможності.</w:t>
      </w:r>
    </w:p>
    <w:p w:rsidR="004840B7" w:rsidRDefault="004840B7" w:rsidP="004840B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Відповідно до поставленої мети, в процесі написання роботи були вирішені наступні </w:t>
      </w:r>
      <w:r>
        <w:rPr>
          <w:rFonts w:ascii="Times New Roman" w:eastAsia="Times New Roman" w:hAnsi="Times New Roman" w:cs="Times New Roman"/>
          <w:i/>
          <w:sz w:val="28"/>
          <w:szCs w:val="28"/>
        </w:rPr>
        <w:t>задачі</w:t>
      </w:r>
      <w:r>
        <w:rPr>
          <w:rFonts w:ascii="Times New Roman" w:eastAsia="Times New Roman" w:hAnsi="Times New Roman" w:cs="Times New Roman"/>
          <w:sz w:val="28"/>
          <w:szCs w:val="28"/>
        </w:rPr>
        <w:t>:</w:t>
      </w:r>
    </w:p>
    <w:p w:rsidR="004840B7" w:rsidRDefault="004840B7" w:rsidP="004840B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аналіз впливу пандемії COVID-19 на економіку Норвегії (у порівнянні з іншими економічно розвиненими країнами світу);</w:t>
      </w:r>
    </w:p>
    <w:p w:rsidR="004840B7" w:rsidRDefault="004840B7" w:rsidP="004840B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розробка порівняльного дослідження розвитку економіки Норвегії та іншої північно-європейської країни - Фінляндії;</w:t>
      </w:r>
    </w:p>
    <w:p w:rsidR="004840B7" w:rsidRDefault="004840B7" w:rsidP="004840B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обгрунтування системи кластерних інструментів підвищення міжнародної конкурентоспроможності економіки Норвегії та механізму їх реалізації;</w:t>
      </w:r>
    </w:p>
    <w:p w:rsidR="004840B7" w:rsidRDefault="004840B7" w:rsidP="004840B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дослідження  торгівельно-економічного партнерства Норвегії з Україною на сучасному етапі.</w:t>
      </w:r>
    </w:p>
    <w:p w:rsidR="004840B7" w:rsidRDefault="004840B7" w:rsidP="004840B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Об’єктом дослідження</w:t>
      </w:r>
      <w:r>
        <w:rPr>
          <w:rFonts w:ascii="Times New Roman" w:eastAsia="Times New Roman" w:hAnsi="Times New Roman" w:cs="Times New Roman"/>
          <w:sz w:val="28"/>
          <w:szCs w:val="28"/>
        </w:rPr>
        <w:t xml:space="preserve"> виступає економіка Норвегії в умовах сучасних світових економічних процесів. </w:t>
      </w:r>
    </w:p>
    <w:p w:rsidR="004840B7" w:rsidRDefault="004840B7" w:rsidP="004840B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Предметом дослідження</w:t>
      </w:r>
      <w:r>
        <w:rPr>
          <w:rFonts w:ascii="Times New Roman" w:eastAsia="Times New Roman" w:hAnsi="Times New Roman" w:cs="Times New Roman"/>
          <w:sz w:val="28"/>
          <w:szCs w:val="28"/>
        </w:rPr>
        <w:t xml:space="preserve"> виступають особливості розвитку економіки Норвегії та кластерний механізм підвищення її міжнародної конкурентоспроможності в допандемічний, пандемічний і післяпандемічний періоди COVID-19.</w:t>
      </w:r>
    </w:p>
    <w:p w:rsidR="004840B7" w:rsidRDefault="004840B7" w:rsidP="004840B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написанні дипломної роботи були використані такі основні </w:t>
      </w:r>
      <w:r>
        <w:rPr>
          <w:rFonts w:ascii="Times New Roman" w:eastAsia="Times New Roman" w:hAnsi="Times New Roman" w:cs="Times New Roman"/>
          <w:i/>
          <w:sz w:val="28"/>
          <w:szCs w:val="28"/>
        </w:rPr>
        <w:t>методи дослідження</w:t>
      </w:r>
      <w:r>
        <w:rPr>
          <w:rFonts w:ascii="Times New Roman" w:eastAsia="Times New Roman" w:hAnsi="Times New Roman" w:cs="Times New Roman"/>
          <w:sz w:val="28"/>
          <w:szCs w:val="28"/>
        </w:rPr>
        <w:t xml:space="preserve">: абстрагування, аналіз і синтез, індукція та дедукція, порівняння, регресійний аналіз. </w:t>
      </w:r>
    </w:p>
    <w:p w:rsidR="004840B7" w:rsidRDefault="004840B7" w:rsidP="004840B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Джерелами</w:t>
      </w:r>
      <w:r>
        <w:rPr>
          <w:rFonts w:ascii="Times New Roman" w:eastAsia="Times New Roman" w:hAnsi="Times New Roman" w:cs="Times New Roman"/>
          <w:sz w:val="28"/>
          <w:szCs w:val="28"/>
        </w:rPr>
        <w:t xml:space="preserve"> для написання роботи слугували: наукові статті українських та іноземних вчених і практиків; статистичні бази даних України, іноземних держав та міжнародних організацій. </w:t>
      </w:r>
    </w:p>
    <w:p w:rsidR="004840B7" w:rsidRDefault="004840B7" w:rsidP="004840B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Дипломна робота структурно складається зі вступу, трьох розділів, висновків, списку використаних джерел, додатків.</w:t>
      </w:r>
    </w:p>
    <w:p w:rsidR="004840B7" w:rsidRDefault="004840B7" w:rsidP="004840B7">
      <w:pPr>
        <w:spacing w:after="0" w:line="360" w:lineRule="auto"/>
        <w:jc w:val="both"/>
        <w:rPr>
          <w:rFonts w:ascii="Times New Roman" w:eastAsia="Times New Roman" w:hAnsi="Times New Roman" w:cs="Times New Roman"/>
          <w:sz w:val="28"/>
          <w:szCs w:val="28"/>
        </w:rPr>
      </w:pPr>
    </w:p>
    <w:p w:rsidR="004840B7" w:rsidRDefault="004840B7" w:rsidP="004840B7">
      <w:pPr>
        <w:widowControl w:val="0"/>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D64189" w:rsidRDefault="00D64189"/>
    <w:p w:rsidR="00B3568C" w:rsidRDefault="00B3568C"/>
    <w:p w:rsidR="00B3568C" w:rsidRDefault="00B3568C"/>
    <w:p w:rsidR="00B3568C" w:rsidRDefault="00B3568C" w:rsidP="00B3568C">
      <w:pPr>
        <w:pStyle w:val="1"/>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 xml:space="preserve">ВИСНОВКИ </w:t>
      </w:r>
    </w:p>
    <w:p w:rsidR="00B3568C" w:rsidRDefault="00B3568C" w:rsidP="00B3568C">
      <w:pPr>
        <w:spacing w:after="0" w:line="360" w:lineRule="auto"/>
        <w:ind w:right="57" w:firstLine="708"/>
        <w:jc w:val="both"/>
        <w:rPr>
          <w:rFonts w:ascii="Times New Roman" w:eastAsia="Times New Roman" w:hAnsi="Times New Roman" w:cs="Times New Roman"/>
          <w:sz w:val="28"/>
          <w:szCs w:val="28"/>
        </w:rPr>
      </w:pPr>
    </w:p>
    <w:p w:rsidR="00B3568C" w:rsidRDefault="00B3568C" w:rsidP="00B3568C">
      <w:pPr>
        <w:spacing w:after="0" w:line="360" w:lineRule="auto"/>
        <w:ind w:right="57"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проведене в дипломній роботі, дозволяє зробити наступні основні висновки.</w:t>
      </w:r>
    </w:p>
    <w:p w:rsidR="00B3568C" w:rsidRDefault="00B3568C" w:rsidP="00B3568C">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1.З метою вивчення впливу COVID-19 на економіку Норвегії, був застосований метод множинної лінійної регресії за допомогою побудови регресійної моделі в SPSS. Норвегія має величезні фінансові та економічні наслідки від спалаху пандемії COVID-19. По-перше, була розглянута динаміка кількості недільних підтверджених та летальних випадків від пандемії COVID-19 в Норвегії за період 23 березня по 24 серпня 2020 рр. Ми прийшли до висновку, що кількість летальних та підтверджених випадків від пандемії в період з березня-травень 2020 року мала значний ріст, але далі спостерігаємо зниження цих показників. З періоду червень-серпень динаміка була стабільно низькою. Далі був проведений аналіз впливу пандемії на фондовий ринок Норвегії за період 23.03.20 - 24.08.20. Для дослідження був використаний метод множинної регресії, в якості залежної зміни був обраний індекс OBX, який є головним індексом на біржі Осло. Він включає в себе 25 найбільш ліквідних акцій. Це волатильний індекс, який часто демонструє великі рухи та двозначні річні зміни. OBX включає потужні багатонаціональні компанії, а також вітчизняні норвезькі компанії. Таким чином, індекс може бути використаний як оцінка загальної економіки Норвегії. В якості незалежних змін були обрані показники: недільна кількість летальних та підтверджених випадків від COVID-19.  Ми прийщли до висновку, що на залежну зміну (OBX) найбільший вплив має коефіцієнт d – кількість летальних випадків, також показник має знак (-), тобто це означає обернений зв'язок між кількістю летальних  випадків від пандемії COVID-19 та індексом OBX. При збільшенні показника d на одне стандартне відхилення індекс OBX зменшується на (-2,025) стандартних відхилень. Найменший вплив на індекс OBX має кількість підтверджених випадків COVID-19 - зі збільшенням  кількості підтверджених випадків COVID-19, головний біржовий індекс Норвегії також буде </w:t>
      </w:r>
      <w:r>
        <w:rPr>
          <w:rFonts w:ascii="Times New Roman" w:eastAsia="Times New Roman" w:hAnsi="Times New Roman" w:cs="Times New Roman"/>
          <w:sz w:val="28"/>
          <w:szCs w:val="28"/>
        </w:rPr>
        <w:lastRenderedPageBreak/>
        <w:t xml:space="preserve">збільшуватись. Аналізуючи вплив пандемії COVID-19 на головний фондовий індекс Норвегії (OBX), можемо прийти до висновку, що за аналізований період кількість підтверджених та летальних випадків мала значний вплив на індекс OBX. При збільшенні кількості летальних випадків індекс OBX знижувався, але при збільшені кількості підтверджених випадків індекс OBX збільшувався. </w:t>
      </w:r>
    </w:p>
    <w:p w:rsidR="00B3568C" w:rsidRDefault="00B3568C" w:rsidP="00B35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2.Макроекономічний розвиток Норвегії за 2017 – 2021 роки нами був проаналізований у порівнянні з іншою північно-європейською країною – Фінляндією. Задля визначення ступеня розвитку економіки країни визначають її ВВП – внутрішній валовий продукт, який є сумою вартості всієї продукції, виготовленої на території країни. ВВП обох держав знаходиться на високому рівні, що свідчить про приблизно однаковий  ступінь економічного розвитку даних країн у цілому. ВВП Норвегії майже щорічно вдвічі перевищував ВВП Фінляндії, при цьому даний показник обох країн протягом всіх розглянутих п’яти років зберігав тенденцію до зростання. Окрім ВВП, важливим показником розвитку економіки держави є показник ВВП за ПКС, який вносить певні корективи, зважаючи на купівельну спроможність населення даної держави, себто на доступність продукції до придбання людьми. Протягом всіх розглянутих п’яти років, ВВП за ПКС Норвегії та Фінляндії знаходиться на рівні, що майже повністю відповідає показнику валового внутрішнього продукту, що свідчить про високий рівень купівельної спроможності населення обох держав. При цьому тенденції до загального зростання в даному показнику також зберігаються, як і в попередньому.  ВВП на душу населення - це показник внутрішнього валового продукту, розділений на всіх жителів держави, задля визначення суми коштів, яку виробляє один представник країни. Даний макроекономічний показник більш чітко встановлює відповідність між країнами за ступенем розвитку, враховуючи їх населення. протягом всіх розглянутих п’яти років. Динаміка ВВП на душу населення Норвегії і Фінляндії є ідентичною, причому ВВП на душу населення Норвегії майже вдвічі більший. Це свідчить про приблизно однаковий рівень розвитку економік двох держав у відносному плані, з поправкою на кількість </w:t>
      </w:r>
      <w:r>
        <w:rPr>
          <w:rFonts w:ascii="Times New Roman" w:eastAsia="Times New Roman" w:hAnsi="Times New Roman" w:cs="Times New Roman"/>
          <w:sz w:val="28"/>
          <w:szCs w:val="28"/>
        </w:rPr>
        <w:lastRenderedPageBreak/>
        <w:t>їх населення. Далі було розглянуто показник, який бере до уваги і населення держави і його купівельну спроможність – ВВП за ПКС на душу населення. Саме цифри, що демонструє даний показник, найбільш точно описують становище та розвиток держави на період спостереження. Повторюючи динаміку вже розглянутих показників ВВП і ВВП за ПКС, - ВВП за ПКС на душу населення при цьому має куди нижче відносне відставання Фінляндії від Норвегії. В той же час, ВВП за ПКС на душу населення Норвегії завжди залишається вищим, ніж Фінляндії.</w:t>
      </w:r>
    </w:p>
    <w:p w:rsidR="00B3568C" w:rsidRDefault="00B3568C" w:rsidP="00B35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3.Торгівельно-економічне партнерство Норвегії з Україною на сучасному етапі розглянуто в дипломній роботі у порівнянні з аналогічним партнерством України з іншою північно-європейською країною – з Фінляндією. Сальдо торгівлі товарами України з обома державами залишається від’ємним, що свідчить про високу необхідність України в товарах, що виготовляються на території даних держав. При цьому торгівля товарами з Норвегією має від’ємну тенденцію, а з Фінляндією навпаки – кошти, що отримує ця держава від торгівлі з Україною поступово вилучаються з України в менших обсягах. Важливо, окрім сальдо торгівлі товарами, визначити сальдо торгівлі послугами, як однин з елементів, в якому Україна має високий потенціал та можливості для отримання прибутку. Сальдо торгівлі послугами, хоча і має менше значення за попередній показник, також протягом всього розглянутого періоду залишається від’ємним для нашої держави. Виключенням став 2021 рік, коли Україна отримала позитивне сальдо в розмірі 32 млн дол. США за торгівлю послугами з Норвегією. Інвестиційні потоки обох держав з Україною є доволі нестабільними, а у 2019 році та у 2021 році між Україною і Норвегією були взагалі від’ємними, що свідчить про вивід інвестиційних коштів. Загалом Фінляндія з 2020 на 2021 рік скоротила рівень своїх інвестицій удвічі. Приток інвестицій в Україну з Норвегії був більшим, ніж їх відток, лише у 2020 році.</w:t>
      </w:r>
    </w:p>
    <w:p w:rsidR="00B3568C" w:rsidRDefault="00B3568C" w:rsidP="00B3568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4.В дипломній роботі була обґрунтована система кластерних інструментів підвищення міжнародної конкурентоспроможності економіки </w:t>
      </w:r>
      <w:r>
        <w:rPr>
          <w:rFonts w:ascii="Times New Roman" w:eastAsia="Times New Roman" w:hAnsi="Times New Roman" w:cs="Times New Roman"/>
          <w:sz w:val="28"/>
          <w:szCs w:val="28"/>
        </w:rPr>
        <w:lastRenderedPageBreak/>
        <w:t xml:space="preserve">Норвегії. Її особливості полягають в наступному. Для виконання завдання з підвищення міжнародної конкурентоспроможності економіки Норвегії, є необхідною кластерна політика, за допомогою якої підприємства здатні підвищити якість вартісного ланцюжка та збільшити частку доданої вартості для стимулювання локального і національного економічного розвитку. Одним з напрямків такої політики є використання локальних форм державного регулювання, що має за мету підвищення ефективності використання місцевих, регіональних кластерних факторів розвитку. Проблемою регіональної політики у цьому випадку (на місцевому рівні) є кластерне об’єднання норвезьких комун (муніципалітетів), їхніх підприємств і  соціальних співтовариств у вартісні ланцюжки, що пов’язують різні території. Отже, кластерна політика забезпечення міжнародної конкурентоспроможності Норвегії має бути чутливою до районних (або локальних) особливостей економічного розвитку.  При цьому орієнтоване на створення і підтримку кластерів державне регулювання, що застосовується в межах регіональної політики підвищення конкурентоспроможності Норвегії, та є орієнтованим на будь-які конкретні норвезькі території, - може породити позитивні кластерні ефекти у сусідніх закордонних районах за рахунок розширення економічного потенціалу усієї зони за межі національного кордону Норвегії. У цей самий час можуть проявлятися і негативні ефекти: наприклад, сусідні країни можуть стати більш привабливими для компаній внаслідок підвищеної міжнародної конкуренції. Саме кооперація за допомогою міждержавних кластерів може породжувати значні вигідні зовнішні ефекти. Однак в галузі розробки політики міжнародної конкурентоспроможності Норвегії до останнього часу мало уваги приділялося підтримці місцевих кластерних міждержавних мереж. Розробники даної політики були часто зайняті проблемами стимулювання конкурентоспроможності усередині національних кластерів, а не вивченням величезного потенціалу, який полягає у налагодженні кластерної  взаємодії сусідніх міжнародних регіонів. Разом з цим, якщо будь-який конкурентоспроможний «кластерний ланцюжок цінностей» виходить за </w:t>
      </w:r>
      <w:r>
        <w:rPr>
          <w:rFonts w:ascii="Times New Roman" w:eastAsia="Times New Roman" w:hAnsi="Times New Roman" w:cs="Times New Roman"/>
          <w:sz w:val="28"/>
          <w:szCs w:val="28"/>
        </w:rPr>
        <w:lastRenderedPageBreak/>
        <w:t xml:space="preserve">національні кордони Норвегії, то завжди залишається небезпека «перетягування» якнайбільшої кількості ланок загального «ланцюжка» до залучених до загального кластеру регіонів сусідніх держав, що, в свою черегу, ставить Норвегію в менш вигідну конкурентну позицію. </w:t>
      </w:r>
    </w:p>
    <w:p w:rsidR="00B3568C" w:rsidRDefault="00B3568C" w:rsidP="00B3568C">
      <w:pPr>
        <w:spacing w:after="0" w:line="360" w:lineRule="auto"/>
        <w:jc w:val="both"/>
        <w:rPr>
          <w:rFonts w:ascii="Times New Roman" w:eastAsia="Times New Roman" w:hAnsi="Times New Roman" w:cs="Times New Roman"/>
          <w:sz w:val="28"/>
          <w:szCs w:val="28"/>
        </w:rPr>
      </w:pPr>
    </w:p>
    <w:p w:rsidR="00B3568C" w:rsidRDefault="00B3568C" w:rsidP="00B3568C">
      <w:pPr>
        <w:spacing w:after="0" w:line="360" w:lineRule="auto"/>
        <w:ind w:right="57"/>
        <w:jc w:val="both"/>
        <w:rPr>
          <w:rFonts w:ascii="Times New Roman" w:eastAsia="Times New Roman" w:hAnsi="Times New Roman" w:cs="Times New Roman"/>
          <w:sz w:val="28"/>
          <w:szCs w:val="28"/>
        </w:rPr>
      </w:pPr>
    </w:p>
    <w:p w:rsidR="00B3568C" w:rsidRDefault="00B3568C" w:rsidP="00B3568C">
      <w:pPr>
        <w:spacing w:after="160" w:line="259" w:lineRule="auto"/>
        <w:rPr>
          <w:rFonts w:ascii="Times New Roman" w:eastAsia="Times New Roman" w:hAnsi="Times New Roman" w:cs="Times New Roman"/>
          <w:b/>
          <w:sz w:val="28"/>
          <w:szCs w:val="28"/>
        </w:rPr>
      </w:pPr>
      <w:bookmarkStart w:id="0" w:name="_heading=h.1fob9te" w:colFirst="0" w:colLast="0"/>
      <w:bookmarkEnd w:id="0"/>
      <w:r>
        <w:br w:type="page"/>
      </w:r>
    </w:p>
    <w:p w:rsidR="00B3568C" w:rsidRDefault="00B3568C" w:rsidP="00B3568C">
      <w:pPr>
        <w:pStyle w:val="1"/>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СПИСОК ВИКОРИСТАНИХ ДЖЕРЕЛ</w:t>
      </w:r>
    </w:p>
    <w:p w:rsidR="00B3568C" w:rsidRDefault="00B3568C" w:rsidP="00B356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1.Albulescu, C.T., 2020. Coronavirus and financial volatility: 40 days of fasting and fear. Available at10.2139/ssrn.3550630. [Електронний ресурс]. – Режим доступу: https://hal.archives-ouvertes.fr/hal-02501814/document</w:t>
      </w:r>
    </w:p>
    <w:p w:rsidR="00B3568C" w:rsidRDefault="00B3568C" w:rsidP="00B356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2.A. Sharif, C. Aloui, L. Yarovaya COVID-19 Pandemic, oil prices, stock market, geopolitical risk, and policy uncertainty nexus in the US economy: fresh evidence from the wavelet-based approach Int. Rev. Financ. Analy. (2020), p. 101496  . [Електронний ресурс]. – Режим доступу: </w:t>
      </w:r>
    </w:p>
    <w:p w:rsidR="00B3568C" w:rsidRDefault="00B3568C" w:rsidP="00B3568C">
      <w:pPr>
        <w:spacing w:after="160" w:line="259"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https://ideas.repec.org/a/eee/finana/v70y2020ics105752192030140x.html</w:t>
      </w:r>
    </w:p>
    <w:p w:rsidR="00B3568C" w:rsidRDefault="00B3568C" w:rsidP="00B356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3.Omair Haroon, Syed Aun R. Rizvi, COVID-19: Media coverage and financial markets behavior— A sectoral inquiry, Journal of Behavioral and Experimental Finance, Volume 27, 2020  . [Електронний ресурс]. – Режим доступу: </w:t>
      </w:r>
    </w:p>
    <w:p w:rsidR="00B3568C" w:rsidRDefault="00B3568C" w:rsidP="00B356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https://ideas.repec.org/a/eee/beexfi/v27y2020ics2214635020301386.html</w:t>
      </w:r>
    </w:p>
    <w:p w:rsidR="00B3568C" w:rsidRDefault="00B3568C" w:rsidP="00B356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4.Ismahene, Y. (2021). Infectious diseases, trade, and economic growth: A panel analysis of developed and developing countries. Journal of the Knowledge Economy, 1-37.</w:t>
      </w:r>
    </w:p>
    <w:p w:rsidR="00B3568C" w:rsidRDefault="00B3568C" w:rsidP="00B356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5.Albulescu, § Claudiu, Coronavirus and Oil Price Crash (March 12, 2020). [Електронний ресурс]. Режим доступу: https://ssrn.com/abstract=3553452 </w:t>
      </w:r>
    </w:p>
    <w:p w:rsidR="00B3568C" w:rsidRDefault="00B3568C" w:rsidP="00B356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6.Ramelli, S., &amp; Wagner, A. F. (2020). Feverish stock price reactions to COVID-19. Swiss Finance Institute Research Paper (20-12). . [Електронний ресурс]. Режим доступу:</w:t>
      </w:r>
      <w:r>
        <w:rPr>
          <w:color w:val="000000"/>
        </w:rPr>
        <w:t xml:space="preserve">   </w:t>
      </w:r>
      <w:r>
        <w:rPr>
          <w:rFonts w:ascii="Times New Roman" w:eastAsia="Times New Roman" w:hAnsi="Times New Roman" w:cs="Times New Roman"/>
          <w:color w:val="000000"/>
          <w:sz w:val="28"/>
          <w:szCs w:val="28"/>
        </w:rPr>
        <w:t xml:space="preserve">https://ideas.repec.org/p/chf/rpseri/rp2012.html </w:t>
      </w:r>
    </w:p>
    <w:p w:rsidR="00B3568C" w:rsidRDefault="00B3568C" w:rsidP="00B356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7.COVID-19 Statistics. Norway. [Електронний ресурс]. Режим доступу: https://covid19.who.int/region/euro/country/norway</w:t>
      </w:r>
    </w:p>
    <w:p w:rsidR="00B3568C" w:rsidRDefault="00B3568C" w:rsidP="00B356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8.AvaTrade. 2022. OBX 25 Trading: Why Trade OBX? July 6. [Електронний ресурс]. Режим доступу: https://www.avatrade.co.uk/trading-info/financial-instruments-index/indices/obx </w:t>
      </w:r>
    </w:p>
    <w:p w:rsidR="00B3568C" w:rsidRDefault="00B3568C" w:rsidP="00B356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9.USD/NOK. Historical Data. Investing.  [Електронний ресурс]. Режим доступу: https://ru.investing.com/currencies/usd-nok </w:t>
      </w:r>
    </w:p>
    <w:p w:rsidR="00B3568C" w:rsidRDefault="00B3568C" w:rsidP="00B356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10.COVID-19 Statistics. United States. [Електронний ресурс]. Режим доступу:</w:t>
      </w:r>
      <w:r>
        <w:rPr>
          <w:color w:val="000000"/>
        </w:rPr>
        <w:t xml:space="preserve"> </w:t>
      </w:r>
      <w:r>
        <w:rPr>
          <w:rFonts w:ascii="Times New Roman" w:eastAsia="Times New Roman" w:hAnsi="Times New Roman" w:cs="Times New Roman"/>
          <w:color w:val="000000"/>
          <w:sz w:val="28"/>
          <w:szCs w:val="28"/>
        </w:rPr>
        <w:t xml:space="preserve">https://www.worldometers.info/coronavirus/country/us/ </w:t>
      </w:r>
    </w:p>
    <w:p w:rsidR="00B3568C" w:rsidRDefault="00B3568C" w:rsidP="00B356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11.Історичні дані індексу S&amp;P 500 (SPX). Investing (USA). Електронний ресурс]. Режим доступу: https://ru.investing.com/indices/us-spx-500-historical-data</w:t>
      </w:r>
    </w:p>
    <w:p w:rsidR="00B3568C" w:rsidRDefault="00B3568C" w:rsidP="00B356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12.EUR/USD (EURUSD=X) Historical Data. Yahoo finance. Електронний ресурс]. Режим доступу: https://finance.yahoo.com/quote/EURUSD%3DX/history?p=EURUSD%3DX</w:t>
      </w:r>
    </w:p>
    <w:p w:rsidR="00B3568C" w:rsidRDefault="00B3568C" w:rsidP="00B356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13.COVID-19 Statistics. Japan. [Електронний ресурс]. Режим доступу: https://covid19.who.int/region/wpro/country/jp</w:t>
      </w:r>
    </w:p>
    <w:p w:rsidR="00B3568C" w:rsidRDefault="00B3568C" w:rsidP="00B356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14.Ministry of Health. Labor and Welfare, Japan. [Електронний ресурс]. Режим доступу: https://www.mhlw.go.jp. </w:t>
      </w:r>
    </w:p>
    <w:p w:rsidR="00B3568C" w:rsidRDefault="00B3568C" w:rsidP="00B356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15.USD/JPY. Historical Data. Investing.  Електронний ресурс]. Режим доступу: https://ru.investing.com/currencies/usd-jpy</w:t>
      </w:r>
    </w:p>
    <w:p w:rsidR="00B3568C" w:rsidRDefault="00B3568C" w:rsidP="00B3568C">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16.Japanese stock index Nikkei 225 (N225). Historical Data.  [Електронний ресурс]. Режим доступу:</w:t>
      </w:r>
      <w:r>
        <w:rPr>
          <w:color w:val="000000"/>
        </w:rPr>
        <w:t xml:space="preserve"> </w:t>
      </w:r>
      <w:r>
        <w:rPr>
          <w:rFonts w:ascii="Times New Roman" w:eastAsia="Times New Roman" w:hAnsi="Times New Roman" w:cs="Times New Roman"/>
          <w:color w:val="000000"/>
          <w:sz w:val="28"/>
          <w:szCs w:val="28"/>
        </w:rPr>
        <w:t>https://ru.investing.com/indices/japan-ni225-historical-data</w:t>
      </w:r>
    </w:p>
    <w:p w:rsidR="00B3568C" w:rsidRDefault="00B3568C" w:rsidP="00B3568C">
      <w:pPr>
        <w:pBdr>
          <w:top w:val="nil"/>
          <w:left w:val="nil"/>
          <w:bottom w:val="nil"/>
          <w:right w:val="nil"/>
          <w:between w:val="nil"/>
        </w:pBdr>
        <w:spacing w:after="0" w:line="348"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17.The World Bank. Norway. [Електронний ресурс]. Режим доступу:</w:t>
      </w:r>
      <w:r>
        <w:rPr>
          <w:color w:val="000000"/>
        </w:rPr>
        <w:t xml:space="preserve"> </w:t>
      </w:r>
      <w:r>
        <w:rPr>
          <w:rFonts w:ascii="Times New Roman" w:eastAsia="Times New Roman" w:hAnsi="Times New Roman" w:cs="Times New Roman"/>
          <w:color w:val="000000"/>
          <w:sz w:val="28"/>
          <w:szCs w:val="28"/>
        </w:rPr>
        <w:t xml:space="preserve">https://data.worldbank.org/country/norway </w:t>
      </w:r>
    </w:p>
    <w:p w:rsidR="00B3568C" w:rsidRDefault="00B3568C" w:rsidP="00B3568C">
      <w:pPr>
        <w:pBdr>
          <w:top w:val="nil"/>
          <w:left w:val="nil"/>
          <w:bottom w:val="nil"/>
          <w:right w:val="nil"/>
          <w:between w:val="nil"/>
        </w:pBdr>
        <w:spacing w:after="0" w:line="348"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18.The World Bank. Finland. [Електронний ресурс]. Режим доступу:</w:t>
      </w:r>
      <w:r>
        <w:rPr>
          <w:color w:val="000000"/>
        </w:rPr>
        <w:t xml:space="preserve"> </w:t>
      </w:r>
      <w:r>
        <w:rPr>
          <w:rFonts w:ascii="Times New Roman" w:eastAsia="Times New Roman" w:hAnsi="Times New Roman" w:cs="Times New Roman"/>
          <w:color w:val="000000"/>
          <w:sz w:val="28"/>
          <w:szCs w:val="28"/>
        </w:rPr>
        <w:t xml:space="preserve">  https://data.worldbank.org/country/finland </w:t>
      </w:r>
    </w:p>
    <w:p w:rsidR="00B3568C" w:rsidRDefault="00B3568C" w:rsidP="00B3568C">
      <w:pPr>
        <w:pBdr>
          <w:top w:val="nil"/>
          <w:left w:val="nil"/>
          <w:bottom w:val="nil"/>
          <w:right w:val="nil"/>
          <w:between w:val="nil"/>
        </w:pBdr>
        <w:spacing w:after="0" w:line="348"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19.International Monetary Fund. Norway. [Електронний ресурс]. Режим доступу:</w:t>
      </w:r>
      <w:r>
        <w:rPr>
          <w:color w:val="000000"/>
        </w:rPr>
        <w:t xml:space="preserve"> </w:t>
      </w:r>
      <w:r>
        <w:rPr>
          <w:rFonts w:ascii="Times New Roman" w:eastAsia="Times New Roman" w:hAnsi="Times New Roman" w:cs="Times New Roman"/>
          <w:color w:val="000000"/>
          <w:sz w:val="28"/>
          <w:szCs w:val="28"/>
        </w:rPr>
        <w:t xml:space="preserve">  https://www.imf.org/en/Countries/NOR  </w:t>
      </w:r>
    </w:p>
    <w:p w:rsidR="00B3568C" w:rsidRDefault="00B3568C" w:rsidP="00B3568C">
      <w:pPr>
        <w:pBdr>
          <w:top w:val="nil"/>
          <w:left w:val="nil"/>
          <w:bottom w:val="nil"/>
          <w:right w:val="nil"/>
          <w:between w:val="nil"/>
        </w:pBdr>
        <w:spacing w:after="0" w:line="348"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20.International Monetary Fund. Finland. [Електронний ресурс]. Режим доступу:</w:t>
      </w:r>
      <w:r>
        <w:rPr>
          <w:color w:val="000000"/>
        </w:rPr>
        <w:t xml:space="preserve"> </w:t>
      </w:r>
      <w:r>
        <w:rPr>
          <w:rFonts w:ascii="Times New Roman" w:eastAsia="Times New Roman" w:hAnsi="Times New Roman" w:cs="Times New Roman"/>
          <w:color w:val="000000"/>
          <w:sz w:val="28"/>
          <w:szCs w:val="28"/>
        </w:rPr>
        <w:t xml:space="preserve">  https://www.imf.org/en/Countries/FIN </w:t>
      </w:r>
    </w:p>
    <w:p w:rsidR="00B3568C" w:rsidRDefault="00B3568C" w:rsidP="00B3568C">
      <w:pPr>
        <w:pBdr>
          <w:top w:val="nil"/>
          <w:left w:val="nil"/>
          <w:bottom w:val="nil"/>
          <w:right w:val="nil"/>
          <w:between w:val="nil"/>
        </w:pBdr>
        <w:spacing w:after="0" w:line="348"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21.Норвегія: економічні індикатори. [Електронний ресурс]. Режим доступу:</w:t>
      </w:r>
      <w:r>
        <w:rPr>
          <w:color w:val="000000"/>
        </w:rPr>
        <w:t xml:space="preserve"> </w:t>
      </w:r>
      <w:r>
        <w:rPr>
          <w:rFonts w:ascii="Times New Roman" w:eastAsia="Times New Roman" w:hAnsi="Times New Roman" w:cs="Times New Roman"/>
          <w:color w:val="000000"/>
          <w:sz w:val="28"/>
          <w:szCs w:val="28"/>
        </w:rPr>
        <w:t xml:space="preserve">  https://ru.theglobaleconomy.com/Norway/  </w:t>
      </w:r>
    </w:p>
    <w:p w:rsidR="00B3568C" w:rsidRDefault="00B3568C" w:rsidP="00B3568C">
      <w:pPr>
        <w:pBdr>
          <w:top w:val="nil"/>
          <w:left w:val="nil"/>
          <w:bottom w:val="nil"/>
          <w:right w:val="nil"/>
          <w:between w:val="nil"/>
        </w:pBdr>
        <w:spacing w:after="0" w:line="348"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22.Фінляндія: економічні індикатори. [Електронний ресурс]. Режим доступу:</w:t>
      </w:r>
      <w:r>
        <w:rPr>
          <w:color w:val="000000"/>
        </w:rPr>
        <w:t xml:space="preserve"> </w:t>
      </w:r>
      <w:r>
        <w:rPr>
          <w:rFonts w:ascii="Times New Roman" w:eastAsia="Times New Roman" w:hAnsi="Times New Roman" w:cs="Times New Roman"/>
          <w:color w:val="000000"/>
          <w:sz w:val="28"/>
          <w:szCs w:val="28"/>
        </w:rPr>
        <w:t xml:space="preserve">  https://ru.theglobaleconomy.com/Finland/ </w:t>
      </w:r>
    </w:p>
    <w:p w:rsidR="00B3568C" w:rsidRDefault="00B3568C" w:rsidP="00B356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23.World economic forum [Електронний ресурс]. – Режим доступу: http://www.weforum.org/issues/global-competitiveness/index.html</w:t>
      </w:r>
    </w:p>
    <w:p w:rsidR="00B3568C" w:rsidRDefault="00B3568C" w:rsidP="00B356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24.Global Competitiveness Report 2020-2022. Data Tables. Section XII. Innovation. [Електронний ресурс]. – Режим доступу: http://reports.weforum.org/global-competitiveness-2020-202022/</w:t>
      </w:r>
    </w:p>
    <w:p w:rsidR="00B3568C" w:rsidRDefault="00B3568C" w:rsidP="00B356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25.Скаленко О.К. Ресурсні основи побудови інформаційного суспільства // Збірник наук. праць – К., ІСЕМВ НАН України, 2014. – С. 88 - 138.</w:t>
      </w:r>
    </w:p>
    <w:p w:rsidR="00B3568C" w:rsidRDefault="00B3568C" w:rsidP="00B356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26.Porter M.E. Cluster of Innovation: Regional Foundation of US competitiveness. – Wash. D.C., 2021. – 488 p.</w:t>
      </w:r>
    </w:p>
    <w:p w:rsidR="00B3568C" w:rsidRDefault="00B3568C" w:rsidP="00B356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27.The official website of the Research Institute of the Finnish Economy (Etla). [Електронний ресурс]. – Режим доступу: http://www.etla.fi/eng/ </w:t>
      </w:r>
    </w:p>
    <w:p w:rsidR="00B3568C" w:rsidRDefault="00B3568C" w:rsidP="00B3568C">
      <w:pPr>
        <w:spacing w:after="0" w:line="360" w:lineRule="auto"/>
        <w:ind w:left="540" w:hanging="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28.Соціологія: Словник-довідник. – К: Знання, 2018. – 572 с.</w:t>
      </w:r>
    </w:p>
    <w:p w:rsidR="00B3568C" w:rsidRDefault="00B3568C" w:rsidP="00B356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29.Enright M.J. Why Clusters are the Way to Win the Game // World Link, No5, July/August, 2021. – p. 24-25.</w:t>
      </w:r>
    </w:p>
    <w:p w:rsidR="00B3568C" w:rsidRDefault="00B3568C" w:rsidP="00B356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30.Статистичний щорічник України. 2021. – Держстат України. – К.: Консультант. – 2022. – 688 с.</w:t>
      </w:r>
    </w:p>
    <w:p w:rsidR="00B3568C" w:rsidRDefault="00B3568C" w:rsidP="00B3568C">
      <w:pPr>
        <w:widowControl w:val="0"/>
        <w:shd w:val="clear" w:color="auto" w:fill="FFFFFF"/>
        <w:tabs>
          <w:tab w:val="left" w:pos="346"/>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31.A Practical Guide to Cluster Development. A Report to the Department of Trade and Industry and the English RDAs by Ecotec Research &amp; Consulting. – London, 2014.  [Електронний ресурс]. – Режим доступу:  http //www.dti.gov. uk/files/filel4008.pdf</w:t>
      </w:r>
    </w:p>
    <w:p w:rsidR="00B3568C" w:rsidRDefault="00B3568C" w:rsidP="00B3568C">
      <w:pPr>
        <w:widowControl w:val="0"/>
        <w:shd w:val="clear" w:color="auto" w:fill="FFFFFF"/>
        <w:tabs>
          <w:tab w:val="left" w:pos="346"/>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32.Україна: стратегічні пріоритети. Аналітичні оцінки – 2019/За ред. </w:t>
      </w:r>
      <w:r>
        <w:rPr>
          <w:rFonts w:ascii="Times New Roman" w:eastAsia="Times New Roman" w:hAnsi="Times New Roman" w:cs="Times New Roman"/>
          <w:sz w:val="28"/>
          <w:szCs w:val="28"/>
        </w:rPr>
        <w:br/>
        <w:t>О.С. Власюка. – К.: Знання, 2019. – 608 с.</w:t>
      </w:r>
    </w:p>
    <w:p w:rsidR="00B3568C" w:rsidRDefault="00B3568C" w:rsidP="00B3568C">
      <w:pPr>
        <w:widowControl w:val="0"/>
        <w:shd w:val="clear" w:color="auto" w:fill="FFFFFF"/>
        <w:tabs>
          <w:tab w:val="left" w:pos="346"/>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33.Портер М.Э. Конкуренция: Пер. с англ. / М.Э. Портер. – М.: Издательский дом «Вильямс», 2013. – 608 с.</w:t>
      </w:r>
    </w:p>
    <w:p w:rsidR="00B3568C" w:rsidRDefault="00B3568C" w:rsidP="00B3568C">
      <w:pPr>
        <w:widowControl w:val="0"/>
        <w:shd w:val="clear" w:color="auto" w:fill="FFFFFF"/>
        <w:tabs>
          <w:tab w:val="left" w:pos="346"/>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34.Storper M. The regional World: Territorial Development in a Global Economy. – New York: Guilford Press, 2018. – 726 p.</w:t>
      </w:r>
    </w:p>
    <w:p w:rsidR="00B3568C" w:rsidRDefault="00B3568C" w:rsidP="00B3568C">
      <w:pPr>
        <w:widowControl w:val="0"/>
        <w:shd w:val="clear" w:color="auto" w:fill="FFFFFF"/>
        <w:spacing w:after="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35.Collins Cobuild. Business Vocabulary in Practice: 19</w:t>
      </w:r>
      <w:r>
        <w:rPr>
          <w:rFonts w:ascii="Times New Roman" w:eastAsia="Times New Roman" w:hAnsi="Times New Roman" w:cs="Times New Roman"/>
          <w:sz w:val="28"/>
          <w:szCs w:val="28"/>
          <w:vertAlign w:val="superscript"/>
        </w:rPr>
        <w:t>th</w:t>
      </w:r>
      <w:r>
        <w:rPr>
          <w:rFonts w:ascii="Times New Roman" w:eastAsia="Times New Roman" w:hAnsi="Times New Roman" w:cs="Times New Roman"/>
          <w:sz w:val="28"/>
          <w:szCs w:val="28"/>
        </w:rPr>
        <w:t xml:space="preserve"> edition. –  </w:t>
      </w:r>
      <w:r>
        <w:rPr>
          <w:rFonts w:ascii="Times New Roman" w:eastAsia="Times New Roman" w:hAnsi="Times New Roman" w:cs="Times New Roman"/>
          <w:sz w:val="28"/>
          <w:szCs w:val="28"/>
          <w:highlight w:val="white"/>
        </w:rPr>
        <w:t xml:space="preserve"> New York: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HarperCollins, 2022. –  768 p.</w:t>
      </w:r>
    </w:p>
    <w:p w:rsidR="00B3568C" w:rsidRDefault="00B3568C" w:rsidP="00B3568C">
      <w:pPr>
        <w:widowControl w:val="0"/>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36.</w:t>
      </w:r>
      <w:r>
        <w:rPr>
          <w:rFonts w:ascii="Times New Roman" w:eastAsia="Times New Roman" w:hAnsi="Times New Roman" w:cs="Times New Roman"/>
          <w:sz w:val="28"/>
          <w:szCs w:val="28"/>
        </w:rPr>
        <w:t>Харічков С.К., Редькін Д.О., Волохова М.П. Функціонально-цільові ознаки стратегій розвитку малих форм підприємництва  // Економічні інновації: Збірник наукових праць. – Одеса, 2017. – Вип. 38. – С. 216-220.</w:t>
      </w:r>
    </w:p>
    <w:p w:rsidR="00B3568C" w:rsidRDefault="00B3568C" w:rsidP="00B356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37.Huang Jiaju, Li Huaje, Zhuang Chuanhui. Shenzhen Tequ Fangdichanye de Dlaocha yu Yantu. —  Guangzhou: Zhorrgguo Calzheng Chubanshe, 2021. – P. 178.</w:t>
      </w:r>
    </w:p>
    <w:p w:rsidR="00B3568C" w:rsidRDefault="00B3568C" w:rsidP="00B356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38.Welcome to the Clusters &amp; Networks Development Programme / UN Industrial Development Organization. [Електронний ресурс]. – Режим доступу: http://www.unido.org/index.php?id=o4297</w:t>
      </w:r>
    </w:p>
    <w:p w:rsidR="00B3568C" w:rsidRDefault="00B3568C" w:rsidP="00B356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39.Amin A. A model of small firm in Italy / A. Amin // N. Goodman, A. Amin, J. Bamford, P. Saynor. Small Firms and Industrial Districts in Italy. – London: Routledge, 2022. – 288 p.</w:t>
      </w:r>
    </w:p>
    <w:p w:rsidR="00B3568C" w:rsidRDefault="00B3568C" w:rsidP="00B356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40.Armstrong H., Taylor J. Regional Economics and Policy. – N.Y., 2022. – 918 p.</w:t>
      </w:r>
    </w:p>
    <w:p w:rsidR="00B3568C" w:rsidRDefault="00B3568C" w:rsidP="00B3568C">
      <w:pPr>
        <w:widowControl w:val="0"/>
        <w:shd w:val="clear" w:color="auto" w:fill="FFFFFF"/>
        <w:tabs>
          <w:tab w:val="left" w:pos="341"/>
        </w:tabs>
        <w:spacing w:after="0" w:line="360" w:lineRule="auto"/>
        <w:ind w:right="2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41.Claas Van Der Linde. The Demography of Clusters - Findings from the  Cluster Meta-Study </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Innovation Clusters and Interregional Competition. –  Ed. by: Brocker, J, D Dohse and R Soltwedel. – Berlin - New York, 2022. – P. 130-149.</w:t>
      </w:r>
    </w:p>
    <w:p w:rsidR="00B3568C" w:rsidRDefault="00B3568C" w:rsidP="00B3568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42.Global High-Tech Outlook. Risk &amp; Recovery. AlixPartners 2022. [Електронний  ресурс]. – Режим доступу: http://www.alixpartners.com/en/WhatWeThink/HighTech/2022GlobalHighTechOutlook.aspx</w:t>
      </w:r>
    </w:p>
    <w:p w:rsidR="00B3568C" w:rsidRDefault="00B3568C" w:rsidP="00B3568C">
      <w:pPr>
        <w:widowControl w:val="0"/>
        <w:shd w:val="clear" w:color="auto" w:fill="FFFFFF"/>
        <w:tabs>
          <w:tab w:val="left" w:pos="346"/>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43.Andersson T., Schwaag-Serger S. , Sorvik J., Hansson E. W. The Cluster  Policies Whitebook. - IKED, 2022. [Електронний  ресурс]. – Режим доступу: http://www.competitiveness.org/article/view/241/1/</w:t>
      </w:r>
    </w:p>
    <w:p w:rsidR="00B3568C" w:rsidRDefault="00B3568C" w:rsidP="00B3568C">
      <w:pPr>
        <w:pBdr>
          <w:top w:val="nil"/>
          <w:left w:val="nil"/>
          <w:bottom w:val="nil"/>
          <w:right w:val="nil"/>
          <w:between w:val="nil"/>
        </w:pBdr>
        <w:spacing w:after="0" w:line="348"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44.Посольство України в Королівстві Норвегія. [Електронний  ресурс]. – Режим доступу: https://norway.mfa.gov.ua </w:t>
      </w:r>
    </w:p>
    <w:p w:rsidR="00B3568C" w:rsidRDefault="00B3568C" w:rsidP="00B3568C">
      <w:pPr>
        <w:pBdr>
          <w:top w:val="nil"/>
          <w:left w:val="nil"/>
          <w:bottom w:val="nil"/>
          <w:right w:val="nil"/>
          <w:between w:val="nil"/>
        </w:pBdr>
        <w:spacing w:after="0" w:line="348"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45.Посольство України в Фінляндській Республіці та Республіці Ісландія (за сумісництвом). [Електронний  ресурс]. – Режим доступу:  https://finland.mfa.gov.ua </w:t>
      </w:r>
    </w:p>
    <w:p w:rsidR="00B3568C" w:rsidRDefault="00B3568C" w:rsidP="00B3568C">
      <w:pPr>
        <w:pBdr>
          <w:top w:val="nil"/>
          <w:left w:val="nil"/>
          <w:bottom w:val="nil"/>
          <w:right w:val="nil"/>
          <w:between w:val="nil"/>
        </w:pBdr>
        <w:spacing w:after="0" w:line="348"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46.Державний комітет статистики України. [Електронний  ресурс]. – Режим доступу: http://www.ukrstat.gov.ua</w:t>
      </w:r>
      <w:r>
        <w:rPr>
          <w:rFonts w:ascii="Times New Roman" w:eastAsia="Times New Roman" w:hAnsi="Times New Roman" w:cs="Times New Roman"/>
          <w:color w:val="0563C1"/>
          <w:sz w:val="28"/>
          <w:szCs w:val="28"/>
          <w:u w:val="single"/>
        </w:rPr>
        <w:t xml:space="preserve"> </w:t>
      </w:r>
    </w:p>
    <w:p w:rsidR="00B3568C" w:rsidRDefault="00B3568C">
      <w:bookmarkStart w:id="1" w:name="_GoBack"/>
      <w:bookmarkEnd w:id="1"/>
    </w:p>
    <w:sectPr w:rsidR="00B3568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84E" w:rsidRDefault="00B3568C">
    <w:pPr>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Pr>
        <w:noProof/>
        <w:color w:val="000000"/>
      </w:rPr>
      <w:t>13</w:t>
    </w:r>
    <w:r>
      <w:rPr>
        <w:color w:val="000000"/>
      </w:rPr>
      <w:fldChar w:fldCharType="end"/>
    </w:r>
  </w:p>
  <w:p w:rsidR="006C584E" w:rsidRDefault="00B3568C">
    <w:pPr>
      <w:pBdr>
        <w:top w:val="nil"/>
        <w:left w:val="nil"/>
        <w:bottom w:val="nil"/>
        <w:right w:val="nil"/>
        <w:between w:val="nil"/>
      </w:pBdr>
      <w:tabs>
        <w:tab w:val="center" w:pos="4677"/>
        <w:tab w:val="right" w:pos="9355"/>
      </w:tabs>
      <w:spacing w:after="0" w:line="240" w:lineRule="auto"/>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0B7"/>
    <w:rsid w:val="004840B7"/>
    <w:rsid w:val="004F0B20"/>
    <w:rsid w:val="00B3568C"/>
    <w:rsid w:val="00D641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2D83D2D-96B8-453E-BFE7-3E2BB38ECA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840B7"/>
    <w:pPr>
      <w:spacing w:after="200" w:line="276" w:lineRule="auto"/>
    </w:pPr>
    <w:rPr>
      <w:rFonts w:ascii="Calibri" w:eastAsia="Calibri" w:hAnsi="Calibri" w:cs="Calibri"/>
      <w:lang w:val="uk-UA" w:eastAsia="uk-UA"/>
    </w:rPr>
  </w:style>
  <w:style w:type="paragraph" w:styleId="1">
    <w:name w:val="heading 1"/>
    <w:aliases w:val="Numbered - 1"/>
    <w:basedOn w:val="a"/>
    <w:next w:val="a"/>
    <w:link w:val="10"/>
    <w:qFormat/>
    <w:rsid w:val="00B3568C"/>
    <w:pPr>
      <w:keepNext/>
      <w:keepLines/>
      <w:spacing w:before="240" w:after="0" w:line="259" w:lineRule="auto"/>
      <w:outlineLvl w:val="0"/>
    </w:pPr>
    <w:rPr>
      <w:rFonts w:asciiTheme="majorHAnsi" w:eastAsiaTheme="majorEastAsia" w:hAnsiTheme="majorHAnsi" w:cstheme="majorBidi"/>
      <w:color w:val="2E74B5" w:themeColor="accent1" w:themeShade="BF"/>
      <w:sz w:val="32"/>
      <w:szCs w:val="3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Numbered - 1 Знак"/>
    <w:basedOn w:val="a0"/>
    <w:link w:val="1"/>
    <w:rsid w:val="00B3568C"/>
    <w:rPr>
      <w:rFonts w:asciiTheme="majorHAnsi" w:eastAsiaTheme="majorEastAsia" w:hAnsiTheme="majorHAnsi" w:cstheme="majorBidi"/>
      <w:color w:val="2E74B5" w:themeColor="accent1" w:themeShade="BF"/>
      <w:sz w:val="32"/>
      <w:szCs w:val="32"/>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3218</Words>
  <Characters>18345</Characters>
  <Application>Microsoft Office Word</Application>
  <DocSecurity>0</DocSecurity>
  <Lines>152</Lines>
  <Paragraphs>43</Paragraphs>
  <ScaleCrop>false</ScaleCrop>
  <Company/>
  <LinksUpToDate>false</LinksUpToDate>
  <CharactersWithSpaces>21520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2023-05-24T08:21:00Z</dcterms:created>
  <dcterms:modified xsi:type="dcterms:W3CDTF">2023-05-24T08:23:00Z</dcterms:modified>
</cp:coreProperties>
</file>