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2E4E" w:rsidRPr="007E2E4E" w:rsidRDefault="007E2E4E" w:rsidP="007E2E4E">
      <w:pPr>
        <w:pBdr>
          <w:bottom w:val="single" w:sz="4" w:space="1" w:color="000000"/>
        </w:pBdr>
        <w:jc w:val="center"/>
        <w:rPr>
          <w:rFonts w:ascii="Times New Roman" w:hAnsi="Times New Roman" w:cs="Times New Roman"/>
          <w:sz w:val="28"/>
          <w:szCs w:val="28"/>
        </w:rPr>
      </w:pPr>
      <w:r w:rsidRPr="007E2E4E">
        <w:rPr>
          <w:rFonts w:ascii="Times New Roman" w:hAnsi="Times New Roman" w:cs="Times New Roman"/>
          <w:sz w:val="28"/>
          <w:szCs w:val="28"/>
        </w:rPr>
        <w:t>ОДЕСЬКИЙ НАЦІОНАЛЬНИЙ УНІВЕРСИТЕТ ІМЕНІ І. І. МЕЧНИКОВА</w:t>
      </w:r>
    </w:p>
    <w:p w:rsidR="007E2E4E" w:rsidRPr="007E2E4E" w:rsidRDefault="007E2E4E" w:rsidP="007E2E4E">
      <w:pPr>
        <w:jc w:val="center"/>
        <w:rPr>
          <w:rFonts w:ascii="Times New Roman" w:hAnsi="Times New Roman" w:cs="Times New Roman"/>
          <w:sz w:val="20"/>
          <w:szCs w:val="20"/>
        </w:rPr>
      </w:pPr>
      <w:r w:rsidRPr="007E2E4E">
        <w:rPr>
          <w:rFonts w:ascii="Times New Roman" w:hAnsi="Times New Roman" w:cs="Times New Roman"/>
          <w:sz w:val="20"/>
          <w:szCs w:val="20"/>
        </w:rPr>
        <w:t>(повне найменування закладу вищої освіти)</w:t>
      </w:r>
    </w:p>
    <w:p w:rsidR="007E2E4E" w:rsidRPr="007E2E4E" w:rsidRDefault="007E2E4E" w:rsidP="007E2E4E">
      <w:pPr>
        <w:pBdr>
          <w:bottom w:val="single" w:sz="4" w:space="1" w:color="000000"/>
        </w:pBdr>
        <w:tabs>
          <w:tab w:val="center" w:pos="4677"/>
        </w:tabs>
        <w:spacing w:before="240"/>
        <w:rPr>
          <w:rFonts w:ascii="Times New Roman" w:hAnsi="Times New Roman" w:cs="Times New Roman"/>
          <w:sz w:val="28"/>
          <w:szCs w:val="28"/>
          <w:lang w:val="uk-UA"/>
        </w:rPr>
      </w:pPr>
      <w:r w:rsidRPr="007E2E4E">
        <w:rPr>
          <w:rFonts w:ascii="Times New Roman" w:hAnsi="Times New Roman" w:cs="Times New Roman"/>
          <w:sz w:val="28"/>
          <w:szCs w:val="28"/>
        </w:rPr>
        <w:tab/>
        <w:t xml:space="preserve">Факультет </w:t>
      </w:r>
      <w:r>
        <w:rPr>
          <w:rFonts w:ascii="Times New Roman" w:hAnsi="Times New Roman" w:cs="Times New Roman"/>
          <w:sz w:val="28"/>
          <w:szCs w:val="28"/>
          <w:lang w:val="uk-UA"/>
        </w:rPr>
        <w:t xml:space="preserve"> історії та філософії</w:t>
      </w:r>
    </w:p>
    <w:p w:rsidR="007E2E4E" w:rsidRPr="007E2E4E" w:rsidRDefault="007E2E4E" w:rsidP="007E2E4E">
      <w:pPr>
        <w:jc w:val="center"/>
        <w:rPr>
          <w:rFonts w:ascii="Times New Roman" w:hAnsi="Times New Roman" w:cs="Times New Roman"/>
          <w:sz w:val="18"/>
          <w:szCs w:val="18"/>
        </w:rPr>
      </w:pPr>
      <w:r w:rsidRPr="007E2E4E">
        <w:rPr>
          <w:rFonts w:ascii="Times New Roman" w:hAnsi="Times New Roman" w:cs="Times New Roman"/>
          <w:sz w:val="18"/>
          <w:szCs w:val="18"/>
        </w:rPr>
        <w:t>(повне найменування факультету)</w:t>
      </w:r>
    </w:p>
    <w:p w:rsidR="007E2E4E" w:rsidRPr="007E2E4E" w:rsidRDefault="007E2E4E" w:rsidP="007E2E4E">
      <w:pPr>
        <w:pBdr>
          <w:bottom w:val="single" w:sz="4" w:space="1" w:color="000000"/>
        </w:pBdr>
        <w:spacing w:before="240"/>
        <w:jc w:val="center"/>
        <w:rPr>
          <w:rFonts w:ascii="Times New Roman" w:hAnsi="Times New Roman" w:cs="Times New Roman"/>
          <w:sz w:val="28"/>
          <w:szCs w:val="28"/>
          <w:lang w:val="uk-UA"/>
        </w:rPr>
      </w:pPr>
      <w:r w:rsidRPr="007E2E4E">
        <w:rPr>
          <w:rFonts w:ascii="Times New Roman" w:hAnsi="Times New Roman" w:cs="Times New Roman"/>
          <w:sz w:val="28"/>
          <w:szCs w:val="28"/>
        </w:rPr>
        <w:t xml:space="preserve">Кафедра </w:t>
      </w:r>
      <w:r>
        <w:rPr>
          <w:rFonts w:ascii="Times New Roman" w:hAnsi="Times New Roman" w:cs="Times New Roman"/>
          <w:sz w:val="28"/>
          <w:szCs w:val="28"/>
          <w:lang w:val="uk-UA"/>
        </w:rPr>
        <w:t>філософії</w:t>
      </w:r>
    </w:p>
    <w:p w:rsidR="007E2E4E" w:rsidRPr="007E2E4E" w:rsidRDefault="007E2E4E" w:rsidP="007E2E4E">
      <w:pPr>
        <w:jc w:val="center"/>
        <w:rPr>
          <w:rFonts w:ascii="Times New Roman" w:hAnsi="Times New Roman" w:cs="Times New Roman"/>
          <w:sz w:val="18"/>
          <w:szCs w:val="18"/>
        </w:rPr>
      </w:pPr>
      <w:r w:rsidRPr="007E2E4E">
        <w:rPr>
          <w:rFonts w:ascii="Times New Roman" w:hAnsi="Times New Roman" w:cs="Times New Roman"/>
          <w:sz w:val="18"/>
          <w:szCs w:val="18"/>
        </w:rPr>
        <w:t>(повна назва кафедри)</w:t>
      </w:r>
    </w:p>
    <w:p w:rsidR="007E2E4E" w:rsidRPr="007E2E4E" w:rsidRDefault="007E2E4E" w:rsidP="007E2E4E">
      <w:pPr>
        <w:rPr>
          <w:rFonts w:ascii="Times New Roman" w:hAnsi="Times New Roman" w:cs="Times New Roman"/>
          <w:b/>
          <w:sz w:val="40"/>
          <w:szCs w:val="40"/>
        </w:rPr>
      </w:pPr>
    </w:p>
    <w:p w:rsidR="007E2E4E" w:rsidRPr="007E2E4E" w:rsidRDefault="007E2E4E" w:rsidP="007E2E4E">
      <w:pPr>
        <w:jc w:val="center"/>
        <w:rPr>
          <w:rFonts w:ascii="Times New Roman" w:hAnsi="Times New Roman" w:cs="Times New Roman"/>
          <w:b/>
          <w:sz w:val="32"/>
          <w:szCs w:val="32"/>
        </w:rPr>
      </w:pPr>
      <w:r w:rsidRPr="007E2E4E">
        <w:rPr>
          <w:rFonts w:ascii="Times New Roman" w:hAnsi="Times New Roman" w:cs="Times New Roman"/>
          <w:b/>
          <w:sz w:val="32"/>
          <w:szCs w:val="32"/>
        </w:rPr>
        <w:t>Кваліфікаційна робота</w:t>
      </w:r>
    </w:p>
    <w:p w:rsidR="007E2E4E" w:rsidRPr="007E2E4E" w:rsidRDefault="007E2E4E" w:rsidP="007E2E4E">
      <w:pPr>
        <w:pBdr>
          <w:bottom w:val="single" w:sz="4" w:space="1" w:color="000000"/>
        </w:pBdr>
        <w:tabs>
          <w:tab w:val="center" w:pos="4819"/>
          <w:tab w:val="right" w:pos="8505"/>
        </w:tabs>
        <w:spacing w:before="240"/>
        <w:ind w:left="1134" w:right="850"/>
        <w:jc w:val="center"/>
        <w:rPr>
          <w:rFonts w:ascii="Times New Roman" w:hAnsi="Times New Roman" w:cs="Times New Roman"/>
          <w:sz w:val="28"/>
          <w:szCs w:val="28"/>
        </w:rPr>
      </w:pPr>
      <w:r w:rsidRPr="007E2E4E">
        <w:rPr>
          <w:rFonts w:ascii="Times New Roman" w:hAnsi="Times New Roman" w:cs="Times New Roman"/>
          <w:sz w:val="28"/>
          <w:szCs w:val="28"/>
        </w:rPr>
        <w:t>на здобуття ступеня вищої освіти «</w:t>
      </w:r>
      <w:r w:rsidR="005A2D16">
        <w:rPr>
          <w:rFonts w:ascii="Times New Roman" w:hAnsi="Times New Roman" w:cs="Times New Roman"/>
          <w:sz w:val="28"/>
          <w:szCs w:val="28"/>
          <w:lang w:val="uk-UA"/>
        </w:rPr>
        <w:t>бакалавр</w:t>
      </w:r>
      <w:r w:rsidRPr="007E2E4E">
        <w:rPr>
          <w:rFonts w:ascii="Times New Roman" w:hAnsi="Times New Roman" w:cs="Times New Roman"/>
          <w:sz w:val="28"/>
          <w:szCs w:val="28"/>
        </w:rPr>
        <w:t>»</w:t>
      </w:r>
    </w:p>
    <w:p w:rsidR="007E2E4E" w:rsidRPr="007E2E4E" w:rsidRDefault="007E2E4E" w:rsidP="007E2E4E">
      <w:pPr>
        <w:tabs>
          <w:tab w:val="right" w:pos="9355"/>
        </w:tabs>
        <w:jc w:val="center"/>
        <w:rPr>
          <w:rFonts w:ascii="Times New Roman" w:hAnsi="Times New Roman" w:cs="Times New Roman"/>
          <w:b/>
          <w:sz w:val="28"/>
          <w:szCs w:val="28"/>
        </w:rPr>
      </w:pPr>
    </w:p>
    <w:p w:rsidR="007E2E4E" w:rsidRPr="007E2E4E" w:rsidRDefault="007E2E4E" w:rsidP="007E2E4E">
      <w:pPr>
        <w:tabs>
          <w:tab w:val="right" w:pos="9355"/>
        </w:tabs>
        <w:jc w:val="center"/>
        <w:rPr>
          <w:rFonts w:ascii="Times New Roman" w:hAnsi="Times New Roman" w:cs="Times New Roman"/>
          <w:b/>
          <w:sz w:val="28"/>
          <w:szCs w:val="28"/>
        </w:rPr>
      </w:pPr>
      <w:r w:rsidRPr="007E2E4E">
        <w:rPr>
          <w:rFonts w:ascii="Times New Roman" w:hAnsi="Times New Roman" w:cs="Times New Roman"/>
          <w:b/>
          <w:sz w:val="28"/>
          <w:szCs w:val="28"/>
        </w:rPr>
        <w:t>«</w:t>
      </w:r>
      <w:r w:rsidRPr="007E2E4E">
        <w:rPr>
          <w:rFonts w:ascii="Times New Roman" w:hAnsi="Times New Roman"/>
          <w:bCs/>
          <w:sz w:val="28"/>
          <w:szCs w:val="28"/>
          <w:u w:val="single"/>
          <w:lang w:val="uk-UA"/>
        </w:rPr>
        <w:t>Концепт «картина світу» в сучасних філософських дослідженнях</w:t>
      </w:r>
      <w:r w:rsidRPr="007E2E4E">
        <w:rPr>
          <w:rFonts w:ascii="Times New Roman" w:hAnsi="Times New Roman" w:cs="Times New Roman"/>
          <w:b/>
          <w:sz w:val="28"/>
          <w:szCs w:val="28"/>
        </w:rPr>
        <w:t>»</w:t>
      </w:r>
    </w:p>
    <w:p w:rsidR="007E2E4E" w:rsidRPr="007E2E4E" w:rsidRDefault="007E2E4E" w:rsidP="007E2E4E">
      <w:pPr>
        <w:tabs>
          <w:tab w:val="right" w:pos="9355"/>
        </w:tabs>
        <w:jc w:val="center"/>
        <w:rPr>
          <w:rFonts w:ascii="Times New Roman" w:hAnsi="Times New Roman" w:cs="Times New Roman"/>
          <w:b/>
          <w:sz w:val="28"/>
          <w:szCs w:val="28"/>
        </w:rPr>
      </w:pPr>
      <w:r w:rsidRPr="007E2E4E">
        <w:rPr>
          <w:rFonts w:ascii="Times New Roman" w:hAnsi="Times New Roman" w:cs="Times New Roman"/>
          <w:b/>
          <w:sz w:val="28"/>
          <w:szCs w:val="28"/>
        </w:rPr>
        <w:t>(</w:t>
      </w:r>
      <w:r w:rsidRPr="007E2E4E">
        <w:rPr>
          <w:rFonts w:ascii="Times New Roman" w:hAnsi="Times New Roman" w:cs="Times New Roman"/>
          <w:b/>
          <w:sz w:val="20"/>
          <w:szCs w:val="20"/>
        </w:rPr>
        <w:t>тема кваліфікаційної роботи українською мовою)</w:t>
      </w:r>
    </w:p>
    <w:p w:rsidR="007E2E4E" w:rsidRPr="009B7A23" w:rsidRDefault="007E2E4E" w:rsidP="007E2E4E">
      <w:pPr>
        <w:tabs>
          <w:tab w:val="right" w:pos="9355"/>
        </w:tabs>
        <w:jc w:val="center"/>
        <w:rPr>
          <w:rFonts w:ascii="Times New Roman" w:hAnsi="Times New Roman" w:cs="Times New Roman"/>
          <w:b/>
          <w:sz w:val="28"/>
          <w:szCs w:val="28"/>
          <w:lang w:val="en-US"/>
        </w:rPr>
      </w:pPr>
      <w:r w:rsidRPr="009B7A23">
        <w:rPr>
          <w:rFonts w:ascii="Times New Roman" w:hAnsi="Times New Roman" w:cs="Times New Roman"/>
          <w:b/>
          <w:sz w:val="28"/>
          <w:szCs w:val="28"/>
          <w:lang w:val="en-US"/>
        </w:rPr>
        <w:t>«</w:t>
      </w:r>
      <w:r w:rsidR="009B7A23" w:rsidRPr="009B7A23">
        <w:rPr>
          <w:rFonts w:ascii="Times New Roman" w:hAnsi="Times New Roman"/>
          <w:sz w:val="28"/>
          <w:szCs w:val="28"/>
          <w:u w:val="single"/>
          <w:lang w:val="en-US"/>
        </w:rPr>
        <w:t>The concept of “world view” in the contemporary philosophical researches</w:t>
      </w:r>
      <w:r w:rsidRPr="009B7A23">
        <w:rPr>
          <w:rFonts w:ascii="Times New Roman" w:hAnsi="Times New Roman" w:cs="Times New Roman"/>
          <w:b/>
          <w:sz w:val="28"/>
          <w:szCs w:val="28"/>
          <w:lang w:val="en-US"/>
        </w:rPr>
        <w:t>»</w:t>
      </w:r>
    </w:p>
    <w:p w:rsidR="007E2E4E" w:rsidRPr="007E2E4E" w:rsidRDefault="007E2E4E" w:rsidP="007E2E4E">
      <w:pPr>
        <w:tabs>
          <w:tab w:val="left" w:pos="2445"/>
        </w:tabs>
        <w:jc w:val="center"/>
        <w:rPr>
          <w:rFonts w:ascii="Times New Roman" w:hAnsi="Times New Roman" w:cs="Times New Roman"/>
          <w:sz w:val="28"/>
          <w:szCs w:val="28"/>
        </w:rPr>
      </w:pPr>
      <w:r w:rsidRPr="009B7A23">
        <w:rPr>
          <w:rFonts w:ascii="Times New Roman" w:hAnsi="Times New Roman" w:cs="Times New Roman"/>
          <w:b/>
          <w:sz w:val="28"/>
          <w:szCs w:val="28"/>
          <w:lang w:val="en-US"/>
        </w:rPr>
        <w:t xml:space="preserve"> </w:t>
      </w:r>
      <w:r w:rsidRPr="007E2E4E">
        <w:rPr>
          <w:rFonts w:ascii="Times New Roman" w:hAnsi="Times New Roman" w:cs="Times New Roman"/>
          <w:b/>
          <w:sz w:val="28"/>
          <w:szCs w:val="28"/>
        </w:rPr>
        <w:t>(</w:t>
      </w:r>
      <w:r w:rsidRPr="007E2E4E">
        <w:rPr>
          <w:rFonts w:ascii="Times New Roman" w:hAnsi="Times New Roman" w:cs="Times New Roman"/>
          <w:b/>
          <w:sz w:val="20"/>
          <w:szCs w:val="20"/>
        </w:rPr>
        <w:t>тема кваліфікаційної роботи англійською мовою)</w:t>
      </w:r>
    </w:p>
    <w:p w:rsidR="007E2E4E" w:rsidRPr="007E2E4E" w:rsidRDefault="007E2E4E" w:rsidP="007E2E4E">
      <w:pPr>
        <w:tabs>
          <w:tab w:val="right" w:pos="9355"/>
        </w:tabs>
        <w:jc w:val="center"/>
        <w:rPr>
          <w:rFonts w:ascii="Times New Roman" w:hAnsi="Times New Roman" w:cs="Times New Roman"/>
        </w:rPr>
      </w:pPr>
    </w:p>
    <w:p w:rsidR="009B7A23" w:rsidRDefault="007E2E4E" w:rsidP="009B7A23">
      <w:pPr>
        <w:rPr>
          <w:rFonts w:ascii="Times New Roman" w:hAnsi="Times New Roman" w:cs="Times New Roman"/>
          <w:sz w:val="28"/>
          <w:szCs w:val="28"/>
          <w:lang w:val="uk-UA"/>
        </w:rPr>
      </w:pPr>
      <w:r w:rsidRPr="007E2E4E">
        <w:rPr>
          <w:rFonts w:ascii="Times New Roman" w:hAnsi="Times New Roman" w:cs="Times New Roman"/>
          <w:sz w:val="28"/>
          <w:szCs w:val="28"/>
        </w:rPr>
        <w:t xml:space="preserve">                                 Виконав: здобувач денної форми навчання</w:t>
      </w:r>
    </w:p>
    <w:p w:rsidR="007E2E4E" w:rsidRPr="009B7A23" w:rsidRDefault="009B7A23" w:rsidP="009B7A23">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E2E4E" w:rsidRPr="007E2E4E">
        <w:rPr>
          <w:rFonts w:ascii="Times New Roman" w:hAnsi="Times New Roman" w:cs="Times New Roman"/>
          <w:sz w:val="28"/>
          <w:szCs w:val="28"/>
        </w:rPr>
        <w:t xml:space="preserve"> спеціальності </w:t>
      </w:r>
      <w:r>
        <w:rPr>
          <w:rFonts w:ascii="Times New Roman" w:hAnsi="Times New Roman" w:cs="Times New Roman"/>
          <w:sz w:val="28"/>
          <w:szCs w:val="28"/>
          <w:lang w:val="uk-UA"/>
        </w:rPr>
        <w:t>033 філософія</w:t>
      </w:r>
    </w:p>
    <w:p w:rsidR="007E2E4E" w:rsidRPr="009B7A23" w:rsidRDefault="009B7A23" w:rsidP="009B7A23">
      <w:pPr>
        <w:jc w:val="both"/>
        <w:rPr>
          <w:rFonts w:ascii="Times New Roman" w:hAnsi="Times New Roman" w:cs="Times New Roman"/>
          <w:sz w:val="28"/>
          <w:szCs w:val="28"/>
          <w:lang w:val="uk-UA"/>
        </w:rPr>
      </w:pPr>
      <w:r w:rsidRPr="009B7A2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7E2E4E" w:rsidRPr="009B7A23">
        <w:rPr>
          <w:rFonts w:ascii="Times New Roman" w:hAnsi="Times New Roman" w:cs="Times New Roman"/>
          <w:sz w:val="28"/>
          <w:szCs w:val="28"/>
        </w:rPr>
        <w:t xml:space="preserve">Освітня програма </w:t>
      </w:r>
      <w:r w:rsidRPr="009B7A23">
        <w:rPr>
          <w:rFonts w:ascii="Times New Roman" w:hAnsi="Times New Roman" w:cs="Times New Roman"/>
          <w:sz w:val="28"/>
          <w:szCs w:val="28"/>
          <w:lang w:val="uk-UA"/>
        </w:rPr>
        <w:t>філософія</w:t>
      </w:r>
    </w:p>
    <w:p w:rsidR="007E2E4E" w:rsidRPr="007E2E4E" w:rsidRDefault="007E2E4E" w:rsidP="007E2E4E">
      <w:pPr>
        <w:rPr>
          <w:rFonts w:ascii="Times New Roman" w:hAnsi="Times New Roman" w:cs="Times New Roman"/>
          <w:sz w:val="28"/>
          <w:szCs w:val="28"/>
        </w:rPr>
      </w:pPr>
      <w:r w:rsidRPr="007E2E4E">
        <w:rPr>
          <w:rFonts w:ascii="Times New Roman" w:hAnsi="Times New Roman" w:cs="Times New Roman"/>
          <w:sz w:val="28"/>
          <w:szCs w:val="28"/>
        </w:rPr>
        <w:t xml:space="preserve">                                  </w:t>
      </w:r>
      <w:r w:rsidR="00607CDE">
        <w:rPr>
          <w:rFonts w:ascii="Times New Roman" w:eastAsia="Times New Roman" w:hAnsi="Times New Roman" w:cs="Times New Roman"/>
          <w:sz w:val="28"/>
          <w:szCs w:val="28"/>
        </w:rPr>
        <w:t>Бурлуцький Родіон Олександрович</w:t>
      </w:r>
      <w:r w:rsidR="00607CDE" w:rsidRPr="007E2E4E">
        <w:rPr>
          <w:rFonts w:ascii="Times New Roman" w:hAnsi="Times New Roman" w:cs="Times New Roman"/>
          <w:sz w:val="28"/>
          <w:szCs w:val="28"/>
        </w:rPr>
        <w:t xml:space="preserve"> </w:t>
      </w:r>
    </w:p>
    <w:p w:rsidR="007E2E4E" w:rsidRPr="007E2E4E" w:rsidRDefault="007E2E4E" w:rsidP="007E2E4E">
      <w:pPr>
        <w:tabs>
          <w:tab w:val="left" w:pos="5245"/>
          <w:tab w:val="right" w:pos="9355"/>
        </w:tabs>
        <w:spacing w:before="120"/>
        <w:rPr>
          <w:rFonts w:ascii="Times New Roman" w:hAnsi="Times New Roman" w:cs="Times New Roman"/>
          <w:sz w:val="28"/>
          <w:szCs w:val="28"/>
        </w:rPr>
      </w:pPr>
      <w:r w:rsidRPr="007E2E4E">
        <w:rPr>
          <w:rFonts w:ascii="Times New Roman" w:hAnsi="Times New Roman" w:cs="Times New Roman"/>
          <w:sz w:val="20"/>
          <w:szCs w:val="20"/>
        </w:rPr>
        <w:t xml:space="preserve">                                                </w:t>
      </w:r>
      <w:r w:rsidRPr="007E2E4E">
        <w:rPr>
          <w:rFonts w:ascii="Times New Roman" w:hAnsi="Times New Roman" w:cs="Times New Roman"/>
          <w:sz w:val="28"/>
          <w:szCs w:val="28"/>
        </w:rPr>
        <w:t xml:space="preserve">Керівник   </w:t>
      </w:r>
      <w:r w:rsidR="00607CDE">
        <w:rPr>
          <w:rFonts w:ascii="Times New Roman" w:eastAsia="Times New Roman" w:hAnsi="Times New Roman" w:cs="Times New Roman"/>
          <w:sz w:val="28"/>
          <w:szCs w:val="28"/>
        </w:rPr>
        <w:t>к. ф. н., доц. Доц. Старовойтова І.І.</w:t>
      </w:r>
      <w:r w:rsidRPr="007E2E4E">
        <w:rPr>
          <w:rFonts w:ascii="Times New Roman" w:hAnsi="Times New Roman" w:cs="Times New Roman"/>
          <w:sz w:val="28"/>
          <w:szCs w:val="28"/>
        </w:rPr>
        <w:t xml:space="preserve">      _________</w:t>
      </w:r>
    </w:p>
    <w:p w:rsidR="007E2E4E" w:rsidRPr="00607CDE" w:rsidRDefault="007E2E4E" w:rsidP="007E2E4E">
      <w:pPr>
        <w:tabs>
          <w:tab w:val="left" w:pos="5245"/>
          <w:tab w:val="right" w:pos="9355"/>
        </w:tabs>
        <w:spacing w:before="120"/>
        <w:rPr>
          <w:rFonts w:ascii="Times New Roman" w:hAnsi="Times New Roman" w:cs="Times New Roman"/>
          <w:sz w:val="28"/>
          <w:szCs w:val="28"/>
          <w:lang w:val="uk-UA"/>
        </w:rPr>
      </w:pPr>
      <w:r w:rsidRPr="007E2E4E">
        <w:rPr>
          <w:rFonts w:ascii="Times New Roman" w:hAnsi="Times New Roman" w:cs="Times New Roman"/>
          <w:sz w:val="28"/>
          <w:szCs w:val="28"/>
        </w:rPr>
        <w:t xml:space="preserve">                                  </w:t>
      </w:r>
      <w:r w:rsidR="00607CDE">
        <w:rPr>
          <w:rFonts w:ascii="Times New Roman" w:eastAsia="Times New Roman" w:hAnsi="Times New Roman" w:cs="Times New Roman"/>
          <w:sz w:val="28"/>
          <w:szCs w:val="28"/>
        </w:rPr>
        <w:t>Рецензент к. ф. н., доц. Райхерт К.В</w:t>
      </w:r>
      <w:r w:rsidR="00607CDE">
        <w:rPr>
          <w:rFonts w:ascii="Times New Roman" w:eastAsia="Times New Roman" w:hAnsi="Times New Roman" w:cs="Times New Roman"/>
          <w:sz w:val="28"/>
          <w:szCs w:val="28"/>
          <w:lang w:val="uk-UA"/>
        </w:rPr>
        <w:t>.</w:t>
      </w:r>
    </w:p>
    <w:tbl>
      <w:tblPr>
        <w:tblW w:w="9868" w:type="dxa"/>
        <w:tblLayout w:type="fixed"/>
        <w:tblLook w:val="0000"/>
      </w:tblPr>
      <w:tblGrid>
        <w:gridCol w:w="5082"/>
        <w:gridCol w:w="4786"/>
      </w:tblGrid>
      <w:tr w:rsidR="007E2E4E" w:rsidRPr="007E2E4E" w:rsidTr="00DA6FF1">
        <w:tc>
          <w:tcPr>
            <w:tcW w:w="5082" w:type="dxa"/>
          </w:tcPr>
          <w:p w:rsidR="007E2E4E" w:rsidRPr="007E2E4E" w:rsidRDefault="007E2E4E" w:rsidP="00DA6FF1">
            <w:pPr>
              <w:rPr>
                <w:rFonts w:ascii="Times New Roman" w:hAnsi="Times New Roman" w:cs="Times New Roman"/>
                <w:sz w:val="28"/>
                <w:szCs w:val="28"/>
              </w:rPr>
            </w:pPr>
            <w:bookmarkStart w:id="0" w:name="_heading=h.gjdgxs" w:colFirst="0" w:colLast="0"/>
            <w:bookmarkEnd w:id="0"/>
            <w:r w:rsidRPr="007E2E4E">
              <w:rPr>
                <w:rFonts w:ascii="Times New Roman" w:hAnsi="Times New Roman" w:cs="Times New Roman"/>
                <w:sz w:val="28"/>
                <w:szCs w:val="28"/>
              </w:rPr>
              <w:t>Рекомендовано до захисту:</w:t>
            </w:r>
          </w:p>
          <w:p w:rsidR="007E2E4E" w:rsidRPr="007E2E4E" w:rsidRDefault="007E2E4E" w:rsidP="00DA6FF1">
            <w:pPr>
              <w:rPr>
                <w:rFonts w:ascii="Times New Roman" w:hAnsi="Times New Roman" w:cs="Times New Roman"/>
                <w:sz w:val="28"/>
                <w:szCs w:val="28"/>
              </w:rPr>
            </w:pPr>
            <w:r w:rsidRPr="007E2E4E">
              <w:rPr>
                <w:rFonts w:ascii="Times New Roman" w:hAnsi="Times New Roman" w:cs="Times New Roman"/>
                <w:sz w:val="28"/>
                <w:szCs w:val="28"/>
              </w:rPr>
              <w:t>Протокол засідання кафедри</w:t>
            </w:r>
          </w:p>
          <w:p w:rsidR="007E2E4E" w:rsidRPr="007E2E4E" w:rsidRDefault="007E2E4E" w:rsidP="00DA6FF1">
            <w:pPr>
              <w:rPr>
                <w:rFonts w:ascii="Times New Roman" w:hAnsi="Times New Roman" w:cs="Times New Roman"/>
                <w:sz w:val="28"/>
                <w:szCs w:val="28"/>
              </w:rPr>
            </w:pPr>
            <w:r w:rsidRPr="007E2E4E">
              <w:rPr>
                <w:rFonts w:ascii="Times New Roman" w:hAnsi="Times New Roman" w:cs="Times New Roman"/>
                <w:sz w:val="28"/>
                <w:szCs w:val="28"/>
              </w:rPr>
              <w:t>__________________________</w:t>
            </w:r>
          </w:p>
          <w:p w:rsidR="007E2E4E" w:rsidRPr="007E2E4E" w:rsidRDefault="007E2E4E" w:rsidP="00DA6FF1">
            <w:pPr>
              <w:rPr>
                <w:rFonts w:ascii="Times New Roman" w:hAnsi="Times New Roman" w:cs="Times New Roman"/>
                <w:sz w:val="28"/>
                <w:szCs w:val="28"/>
              </w:rPr>
            </w:pPr>
            <w:r w:rsidRPr="007E2E4E">
              <w:rPr>
                <w:rFonts w:ascii="Times New Roman" w:hAnsi="Times New Roman" w:cs="Times New Roman"/>
                <w:sz w:val="28"/>
                <w:szCs w:val="28"/>
              </w:rPr>
              <w:t xml:space="preserve">№ ___   від ____.____. 20___ р. </w:t>
            </w:r>
          </w:p>
          <w:p w:rsidR="007E2E4E" w:rsidRPr="007E2E4E" w:rsidRDefault="007E2E4E" w:rsidP="00DA6FF1">
            <w:pPr>
              <w:rPr>
                <w:rFonts w:ascii="Times New Roman" w:hAnsi="Times New Roman" w:cs="Times New Roman"/>
                <w:sz w:val="28"/>
                <w:szCs w:val="28"/>
              </w:rPr>
            </w:pPr>
          </w:p>
          <w:p w:rsidR="007E2E4E" w:rsidRPr="007E2E4E" w:rsidRDefault="007E2E4E" w:rsidP="00DA6FF1">
            <w:pPr>
              <w:rPr>
                <w:rFonts w:ascii="Times New Roman" w:hAnsi="Times New Roman" w:cs="Times New Roman"/>
                <w:sz w:val="28"/>
                <w:szCs w:val="28"/>
              </w:rPr>
            </w:pPr>
            <w:r w:rsidRPr="007E2E4E">
              <w:rPr>
                <w:rFonts w:ascii="Times New Roman" w:hAnsi="Times New Roman" w:cs="Times New Roman"/>
                <w:sz w:val="28"/>
                <w:szCs w:val="28"/>
              </w:rPr>
              <w:t>Завідувач(ка) кафедри</w:t>
            </w:r>
          </w:p>
          <w:p w:rsidR="007E2E4E" w:rsidRPr="007E2E4E" w:rsidRDefault="007E2E4E" w:rsidP="00DA6FF1">
            <w:pPr>
              <w:tabs>
                <w:tab w:val="left" w:pos="1168"/>
                <w:tab w:val="left" w:pos="3861"/>
              </w:tabs>
              <w:rPr>
                <w:rFonts w:ascii="Times New Roman" w:hAnsi="Times New Roman" w:cs="Times New Roman"/>
                <w:sz w:val="28"/>
                <w:szCs w:val="28"/>
                <w:u w:val="single"/>
              </w:rPr>
            </w:pPr>
            <w:r w:rsidRPr="007E2E4E">
              <w:rPr>
                <w:rFonts w:ascii="Times New Roman" w:hAnsi="Times New Roman" w:cs="Times New Roman"/>
                <w:sz w:val="28"/>
                <w:szCs w:val="28"/>
                <w:u w:val="single"/>
              </w:rPr>
              <w:tab/>
            </w:r>
            <w:r w:rsidRPr="007E2E4E">
              <w:rPr>
                <w:rFonts w:ascii="Times New Roman" w:hAnsi="Times New Roman" w:cs="Times New Roman"/>
                <w:sz w:val="28"/>
                <w:szCs w:val="28"/>
              </w:rPr>
              <w:t xml:space="preserve">              _____________</w:t>
            </w:r>
          </w:p>
          <w:p w:rsidR="007E2E4E" w:rsidRPr="007E2E4E" w:rsidRDefault="007E2E4E" w:rsidP="00DA6FF1">
            <w:pPr>
              <w:tabs>
                <w:tab w:val="left" w:pos="284"/>
                <w:tab w:val="left" w:pos="1767"/>
              </w:tabs>
              <w:rPr>
                <w:rFonts w:ascii="Times New Roman" w:hAnsi="Times New Roman" w:cs="Times New Roman"/>
                <w:sz w:val="20"/>
                <w:szCs w:val="20"/>
              </w:rPr>
            </w:pPr>
            <w:r w:rsidRPr="007E2E4E">
              <w:rPr>
                <w:rFonts w:ascii="Times New Roman" w:hAnsi="Times New Roman" w:cs="Times New Roman"/>
                <w:sz w:val="20"/>
                <w:szCs w:val="20"/>
              </w:rPr>
              <w:t xml:space="preserve">     (підпис)</w:t>
            </w:r>
            <w:r w:rsidRPr="007E2E4E">
              <w:rPr>
                <w:rFonts w:ascii="Times New Roman" w:hAnsi="Times New Roman" w:cs="Times New Roman"/>
                <w:sz w:val="20"/>
                <w:szCs w:val="20"/>
              </w:rPr>
              <w:tab/>
              <w:t xml:space="preserve">      (</w:t>
            </w:r>
            <w:r w:rsidRPr="007E2E4E">
              <w:rPr>
                <w:rFonts w:ascii="Times New Roman" w:hAnsi="Times New Roman" w:cs="Times New Roman"/>
              </w:rPr>
              <w:t>прізвище,ім’я</w:t>
            </w:r>
            <w:r w:rsidRPr="007E2E4E">
              <w:rPr>
                <w:rFonts w:ascii="Times New Roman" w:hAnsi="Times New Roman" w:cs="Times New Roman"/>
                <w:sz w:val="20"/>
                <w:szCs w:val="20"/>
              </w:rPr>
              <w:t>)</w:t>
            </w:r>
          </w:p>
        </w:tc>
        <w:tc>
          <w:tcPr>
            <w:tcW w:w="4786" w:type="dxa"/>
          </w:tcPr>
          <w:p w:rsidR="007E2E4E" w:rsidRPr="007E2E4E" w:rsidRDefault="007E2E4E" w:rsidP="00DA6FF1">
            <w:pPr>
              <w:tabs>
                <w:tab w:val="right" w:pos="4462"/>
              </w:tabs>
              <w:rPr>
                <w:rFonts w:ascii="Times New Roman" w:hAnsi="Times New Roman" w:cs="Times New Roman"/>
                <w:sz w:val="28"/>
                <w:szCs w:val="28"/>
              </w:rPr>
            </w:pPr>
            <w:r w:rsidRPr="007E2E4E">
              <w:rPr>
                <w:rFonts w:ascii="Times New Roman" w:hAnsi="Times New Roman" w:cs="Times New Roman"/>
                <w:sz w:val="28"/>
                <w:szCs w:val="28"/>
              </w:rPr>
              <w:t>Захищено на засіданні ЕК № _____</w:t>
            </w:r>
          </w:p>
          <w:p w:rsidR="007E2E4E" w:rsidRPr="007E2E4E" w:rsidRDefault="007E2E4E" w:rsidP="00DA6FF1">
            <w:pPr>
              <w:rPr>
                <w:rFonts w:ascii="Times New Roman" w:hAnsi="Times New Roman" w:cs="Times New Roman"/>
                <w:sz w:val="28"/>
                <w:szCs w:val="28"/>
              </w:rPr>
            </w:pPr>
            <w:r w:rsidRPr="007E2E4E">
              <w:rPr>
                <w:rFonts w:ascii="Times New Roman" w:hAnsi="Times New Roman" w:cs="Times New Roman"/>
                <w:sz w:val="28"/>
                <w:szCs w:val="28"/>
              </w:rPr>
              <w:t>протокол № __від ____.____.20___ р.</w:t>
            </w:r>
          </w:p>
          <w:p w:rsidR="007E2E4E" w:rsidRPr="007E2E4E" w:rsidRDefault="007E2E4E" w:rsidP="00DA6FF1">
            <w:pPr>
              <w:rPr>
                <w:rFonts w:ascii="Times New Roman" w:hAnsi="Times New Roman" w:cs="Times New Roman"/>
                <w:sz w:val="28"/>
                <w:szCs w:val="28"/>
              </w:rPr>
            </w:pPr>
            <w:r w:rsidRPr="007E2E4E">
              <w:rPr>
                <w:rFonts w:ascii="Times New Roman" w:hAnsi="Times New Roman" w:cs="Times New Roman"/>
                <w:sz w:val="28"/>
                <w:szCs w:val="28"/>
              </w:rPr>
              <w:t xml:space="preserve"> </w:t>
            </w:r>
          </w:p>
          <w:p w:rsidR="007E2E4E" w:rsidRPr="007E2E4E" w:rsidRDefault="007E2E4E" w:rsidP="00DA6FF1">
            <w:pPr>
              <w:tabs>
                <w:tab w:val="right" w:pos="4462"/>
              </w:tabs>
              <w:rPr>
                <w:rFonts w:ascii="Times New Roman" w:hAnsi="Times New Roman" w:cs="Times New Roman"/>
                <w:sz w:val="28"/>
                <w:szCs w:val="28"/>
              </w:rPr>
            </w:pPr>
            <w:r w:rsidRPr="007E2E4E">
              <w:rPr>
                <w:rFonts w:ascii="Times New Roman" w:hAnsi="Times New Roman" w:cs="Times New Roman"/>
                <w:sz w:val="28"/>
                <w:szCs w:val="28"/>
              </w:rPr>
              <w:t>Оцінка______________/___</w:t>
            </w:r>
            <w:r w:rsidRPr="007E2E4E">
              <w:rPr>
                <w:rFonts w:ascii="Times New Roman" w:hAnsi="Times New Roman" w:cs="Times New Roman"/>
                <w:sz w:val="20"/>
                <w:szCs w:val="20"/>
              </w:rPr>
              <w:tab/>
            </w:r>
            <w:r w:rsidRPr="007E2E4E">
              <w:rPr>
                <w:rFonts w:ascii="Times New Roman" w:hAnsi="Times New Roman" w:cs="Times New Roman"/>
                <w:sz w:val="28"/>
                <w:szCs w:val="28"/>
              </w:rPr>
              <w:t>___/_____</w:t>
            </w:r>
          </w:p>
          <w:p w:rsidR="007E2E4E" w:rsidRPr="007E2E4E" w:rsidRDefault="007E2E4E" w:rsidP="00DA6FF1">
            <w:pPr>
              <w:jc w:val="center"/>
              <w:rPr>
                <w:rFonts w:ascii="Times New Roman" w:hAnsi="Times New Roman" w:cs="Times New Roman"/>
                <w:sz w:val="20"/>
                <w:szCs w:val="20"/>
              </w:rPr>
            </w:pPr>
            <w:r w:rsidRPr="007E2E4E">
              <w:rPr>
                <w:rFonts w:ascii="Times New Roman" w:hAnsi="Times New Roman" w:cs="Times New Roman"/>
                <w:sz w:val="20"/>
                <w:szCs w:val="20"/>
              </w:rPr>
              <w:t>(за національною шкалою/шкалою ЕСТS/ бали)</w:t>
            </w:r>
          </w:p>
          <w:p w:rsidR="007E2E4E" w:rsidRPr="007E2E4E" w:rsidRDefault="007E2E4E" w:rsidP="00DA6FF1">
            <w:pPr>
              <w:rPr>
                <w:rFonts w:ascii="Times New Roman" w:hAnsi="Times New Roman" w:cs="Times New Roman"/>
                <w:sz w:val="28"/>
                <w:szCs w:val="28"/>
              </w:rPr>
            </w:pPr>
            <w:r w:rsidRPr="007E2E4E">
              <w:rPr>
                <w:rFonts w:ascii="Times New Roman" w:hAnsi="Times New Roman" w:cs="Times New Roman"/>
                <w:sz w:val="28"/>
                <w:szCs w:val="28"/>
              </w:rPr>
              <w:t>Голова ЕК</w:t>
            </w:r>
          </w:p>
          <w:p w:rsidR="007E2E4E" w:rsidRPr="007E2E4E" w:rsidRDefault="007E2E4E" w:rsidP="00DA6FF1">
            <w:pPr>
              <w:rPr>
                <w:rFonts w:ascii="Times New Roman" w:hAnsi="Times New Roman" w:cs="Times New Roman"/>
                <w:sz w:val="28"/>
                <w:szCs w:val="28"/>
                <w:u w:val="single"/>
              </w:rPr>
            </w:pPr>
            <w:r w:rsidRPr="007E2E4E">
              <w:rPr>
                <w:rFonts w:ascii="Times New Roman" w:hAnsi="Times New Roman" w:cs="Times New Roman"/>
                <w:sz w:val="28"/>
                <w:szCs w:val="28"/>
                <w:u w:val="single"/>
              </w:rPr>
              <w:tab/>
            </w:r>
            <w:r w:rsidRPr="007E2E4E">
              <w:rPr>
                <w:rFonts w:ascii="Times New Roman" w:hAnsi="Times New Roman" w:cs="Times New Roman"/>
                <w:sz w:val="28"/>
                <w:szCs w:val="28"/>
              </w:rPr>
              <w:t xml:space="preserve">              _____________</w:t>
            </w:r>
          </w:p>
          <w:p w:rsidR="007E2E4E" w:rsidRPr="007E2E4E" w:rsidRDefault="007E2E4E" w:rsidP="00DA6FF1">
            <w:pPr>
              <w:tabs>
                <w:tab w:val="left" w:pos="454"/>
                <w:tab w:val="left" w:pos="2155"/>
              </w:tabs>
              <w:rPr>
                <w:rFonts w:ascii="Times New Roman" w:hAnsi="Times New Roman" w:cs="Times New Roman"/>
                <w:sz w:val="28"/>
                <w:szCs w:val="28"/>
              </w:rPr>
            </w:pPr>
            <w:r w:rsidRPr="007E2E4E">
              <w:rPr>
                <w:rFonts w:ascii="Times New Roman" w:hAnsi="Times New Roman" w:cs="Times New Roman"/>
                <w:sz w:val="20"/>
                <w:szCs w:val="20"/>
              </w:rPr>
              <w:t xml:space="preserve">     (підпис)                       (</w:t>
            </w:r>
            <w:r w:rsidRPr="007E2E4E">
              <w:rPr>
                <w:rFonts w:ascii="Times New Roman" w:hAnsi="Times New Roman" w:cs="Times New Roman"/>
              </w:rPr>
              <w:t>прізвище, ім’я</w:t>
            </w:r>
            <w:r w:rsidRPr="007E2E4E">
              <w:rPr>
                <w:rFonts w:ascii="Times New Roman" w:hAnsi="Times New Roman" w:cs="Times New Roman"/>
                <w:sz w:val="20"/>
                <w:szCs w:val="20"/>
              </w:rPr>
              <w:t>)</w:t>
            </w:r>
          </w:p>
        </w:tc>
      </w:tr>
      <w:tr w:rsidR="007E2E4E" w:rsidRPr="007E2E4E" w:rsidTr="00DA6FF1">
        <w:tc>
          <w:tcPr>
            <w:tcW w:w="5082" w:type="dxa"/>
          </w:tcPr>
          <w:p w:rsidR="007E2E4E" w:rsidRPr="007E2E4E" w:rsidRDefault="007E2E4E" w:rsidP="00DA6FF1">
            <w:pPr>
              <w:rPr>
                <w:rFonts w:ascii="Times New Roman" w:hAnsi="Times New Roman" w:cs="Times New Roman"/>
                <w:sz w:val="28"/>
                <w:szCs w:val="28"/>
              </w:rPr>
            </w:pPr>
          </w:p>
        </w:tc>
        <w:tc>
          <w:tcPr>
            <w:tcW w:w="4786" w:type="dxa"/>
          </w:tcPr>
          <w:p w:rsidR="007E2E4E" w:rsidRPr="007E2E4E" w:rsidRDefault="007E2E4E" w:rsidP="00DA6FF1">
            <w:pPr>
              <w:rPr>
                <w:rFonts w:ascii="Times New Roman" w:hAnsi="Times New Roman" w:cs="Times New Roman"/>
                <w:sz w:val="28"/>
                <w:szCs w:val="28"/>
              </w:rPr>
            </w:pPr>
          </w:p>
        </w:tc>
      </w:tr>
    </w:tbl>
    <w:p w:rsidR="007E2E4E" w:rsidRPr="008F0698" w:rsidRDefault="007E2E4E" w:rsidP="007E2E4E">
      <w:pPr>
        <w:jc w:val="center"/>
        <w:rPr>
          <w:rFonts w:ascii="Times New Roman" w:hAnsi="Times New Roman" w:cs="Times New Roman"/>
          <w:b/>
          <w:sz w:val="28"/>
          <w:szCs w:val="28"/>
          <w:lang w:val="uk-UA"/>
        </w:rPr>
      </w:pPr>
      <w:bookmarkStart w:id="1" w:name="_GoBack"/>
      <w:bookmarkEnd w:id="1"/>
      <w:r w:rsidRPr="007E2E4E">
        <w:rPr>
          <w:rFonts w:ascii="Times New Roman" w:hAnsi="Times New Roman" w:cs="Times New Roman"/>
          <w:b/>
          <w:sz w:val="28"/>
          <w:szCs w:val="28"/>
        </w:rPr>
        <w:t>Одеса 20</w:t>
      </w:r>
      <w:r w:rsidR="008F0698">
        <w:rPr>
          <w:rFonts w:ascii="Times New Roman" w:hAnsi="Times New Roman" w:cs="Times New Roman"/>
          <w:b/>
          <w:sz w:val="28"/>
          <w:szCs w:val="28"/>
          <w:lang w:val="uk-UA"/>
        </w:rPr>
        <w:t>25</w:t>
      </w:r>
    </w:p>
    <w:p w:rsidR="007E2E4E" w:rsidRDefault="007E2E4E">
      <w:pPr>
        <w:pStyle w:val="normal"/>
        <w:spacing w:line="360" w:lineRule="auto"/>
        <w:ind w:firstLine="720"/>
        <w:jc w:val="center"/>
        <w:rPr>
          <w:rFonts w:ascii="Times New Roman" w:eastAsia="Times New Roman" w:hAnsi="Times New Roman" w:cs="Times New Roman"/>
          <w:sz w:val="28"/>
          <w:szCs w:val="28"/>
          <w:lang w:val="uk-UA"/>
        </w:rPr>
      </w:pPr>
    </w:p>
    <w:p w:rsidR="007E2E4E" w:rsidRDefault="007E2E4E">
      <w:pPr>
        <w:pStyle w:val="normal"/>
        <w:spacing w:line="360" w:lineRule="auto"/>
        <w:ind w:firstLine="720"/>
        <w:jc w:val="center"/>
        <w:rPr>
          <w:rFonts w:ascii="Times New Roman" w:eastAsia="Times New Roman" w:hAnsi="Times New Roman" w:cs="Times New Roman"/>
          <w:sz w:val="28"/>
          <w:szCs w:val="28"/>
          <w:lang w:val="uk-UA"/>
        </w:rPr>
      </w:pPr>
    </w:p>
    <w:p w:rsidR="008F0698" w:rsidRDefault="008F0698">
      <w:pPr>
        <w:pStyle w:val="normal"/>
        <w:spacing w:line="360" w:lineRule="auto"/>
        <w:ind w:firstLine="720"/>
        <w:jc w:val="center"/>
        <w:rPr>
          <w:rFonts w:ascii="Times New Roman" w:eastAsia="Times New Roman" w:hAnsi="Times New Roman" w:cs="Times New Roman"/>
          <w:b/>
          <w:sz w:val="28"/>
          <w:szCs w:val="28"/>
          <w:lang w:val="uk-UA"/>
        </w:rPr>
      </w:pPr>
    </w:p>
    <w:p w:rsidR="00F71741" w:rsidRDefault="00303DB6">
      <w:pPr>
        <w:pStyle w:val="normal"/>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F71741" w:rsidRDefault="00F71741">
      <w:pPr>
        <w:pStyle w:val="normal"/>
        <w:spacing w:line="360" w:lineRule="auto"/>
        <w:ind w:firstLine="720"/>
        <w:rPr>
          <w:rFonts w:ascii="Times New Roman" w:eastAsia="Times New Roman" w:hAnsi="Times New Roman" w:cs="Times New Roman"/>
          <w:b/>
          <w:sz w:val="28"/>
          <w:szCs w:val="28"/>
        </w:rPr>
      </w:pPr>
    </w:p>
    <w:p w:rsidR="00F71741" w:rsidRDefault="00303DB6">
      <w:pPr>
        <w:pStyle w:val="normal"/>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Вступ…………………………………………………………………………………3</w:t>
      </w:r>
    </w:p>
    <w:p w:rsidR="00F71741" w:rsidRDefault="00303DB6">
      <w:pPr>
        <w:pStyle w:val="normal"/>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Філософське підґрунтя поняття «картина світу»………………………6</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Картина світу як категорія філософського мислення…………………6</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Етапи становлення поняття «картина світу» в історії філософії……..7</w:t>
      </w:r>
    </w:p>
    <w:p w:rsidR="00F71741" w:rsidRDefault="00303DB6">
      <w:pPr>
        <w:pStyle w:val="normal"/>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Картина світу в контексті сучасної філософії та міждисциплінарних дискусій……………………………………………………………………………16</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Мова, культура, наука: когнітивні аспекти формування картини світу…………………………………………………………………………………16</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Постмодерн і множинність картин світу: плюралізм чи розпад єдності?…………………………………………………………………………….23</w:t>
      </w:r>
    </w:p>
    <w:p w:rsidR="00F71741" w:rsidRDefault="00303DB6">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Релігія, язичництво і нігілізм у структурах світоглядної картини……………………………………………………………………………29</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Роль релігії у формуванні картини світу: теїстичні й неотеїстичні моделі………………………………………………………………………………29</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Язичницька картина світу як альтернатива модерністському раціоналізму………………………………………………………………………31</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Нігілізм як розвінчання універсалій та шлях до онтологічної чесності……………………………………………………………………………35</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 Сакральне у сучасності: від неоязичницьких практик до глибинної традиції…………………………………………………………………………….38</w:t>
      </w:r>
    </w:p>
    <w:p w:rsidR="00F71741" w:rsidRDefault="00303DB6">
      <w:pPr>
        <w:pStyle w:val="normal"/>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Висновки……………………………………………………………………………46</w:t>
      </w:r>
    </w:p>
    <w:p w:rsidR="00F71741" w:rsidRDefault="00303DB6">
      <w:pPr>
        <w:pStyle w:val="normal"/>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використаної літератури…………………………………………………48</w:t>
      </w:r>
    </w:p>
    <w:p w:rsidR="00F71741" w:rsidRDefault="00F71741">
      <w:pPr>
        <w:pStyle w:val="normal"/>
        <w:spacing w:line="360" w:lineRule="auto"/>
        <w:ind w:firstLine="720"/>
        <w:jc w:val="center"/>
        <w:rPr>
          <w:rFonts w:ascii="Times New Roman" w:eastAsia="Times New Roman" w:hAnsi="Times New Roman" w:cs="Times New Roman"/>
          <w:b/>
          <w:sz w:val="28"/>
          <w:szCs w:val="28"/>
        </w:rPr>
      </w:pPr>
    </w:p>
    <w:p w:rsidR="00F71741" w:rsidRDefault="00F71741">
      <w:pPr>
        <w:pStyle w:val="normal"/>
        <w:spacing w:line="360" w:lineRule="auto"/>
        <w:ind w:firstLine="720"/>
        <w:jc w:val="center"/>
        <w:rPr>
          <w:rFonts w:ascii="Times New Roman" w:eastAsia="Times New Roman" w:hAnsi="Times New Roman" w:cs="Times New Roman"/>
          <w:b/>
          <w:sz w:val="28"/>
          <w:szCs w:val="28"/>
        </w:rPr>
      </w:pPr>
    </w:p>
    <w:p w:rsidR="00F71741" w:rsidRDefault="00F71741">
      <w:pPr>
        <w:pStyle w:val="normal"/>
        <w:spacing w:line="360" w:lineRule="auto"/>
        <w:ind w:firstLine="720"/>
        <w:jc w:val="center"/>
        <w:rPr>
          <w:rFonts w:ascii="Times New Roman" w:eastAsia="Times New Roman" w:hAnsi="Times New Roman" w:cs="Times New Roman"/>
          <w:b/>
          <w:sz w:val="28"/>
          <w:szCs w:val="28"/>
        </w:rPr>
      </w:pPr>
    </w:p>
    <w:p w:rsidR="00F71741" w:rsidRDefault="00F71741">
      <w:pPr>
        <w:pStyle w:val="normal"/>
        <w:spacing w:line="360" w:lineRule="auto"/>
        <w:ind w:firstLine="720"/>
        <w:jc w:val="center"/>
        <w:rPr>
          <w:rFonts w:ascii="Times New Roman" w:eastAsia="Times New Roman" w:hAnsi="Times New Roman" w:cs="Times New Roman"/>
          <w:b/>
          <w:sz w:val="28"/>
          <w:szCs w:val="28"/>
        </w:rPr>
      </w:pPr>
    </w:p>
    <w:p w:rsidR="00F71741" w:rsidRDefault="00F71741">
      <w:pPr>
        <w:pStyle w:val="normal"/>
        <w:spacing w:line="360" w:lineRule="auto"/>
        <w:ind w:firstLine="720"/>
        <w:jc w:val="center"/>
        <w:rPr>
          <w:rFonts w:ascii="Times New Roman" w:eastAsia="Times New Roman" w:hAnsi="Times New Roman" w:cs="Times New Roman"/>
          <w:b/>
          <w:sz w:val="28"/>
          <w:szCs w:val="28"/>
        </w:rPr>
      </w:pPr>
    </w:p>
    <w:p w:rsidR="00F71741" w:rsidRDefault="00303DB6">
      <w:pPr>
        <w:pStyle w:val="normal"/>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rsidR="00F71741" w:rsidRDefault="00F71741">
      <w:pPr>
        <w:pStyle w:val="normal"/>
        <w:spacing w:line="360" w:lineRule="auto"/>
        <w:ind w:firstLine="720"/>
        <w:rPr>
          <w:rFonts w:ascii="Times New Roman" w:eastAsia="Times New Roman" w:hAnsi="Times New Roman" w:cs="Times New Roman"/>
          <w:b/>
          <w:sz w:val="28"/>
          <w:szCs w:val="28"/>
        </w:rPr>
      </w:pP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Актуальність теми дослідження. </w:t>
      </w:r>
      <w:r>
        <w:rPr>
          <w:rFonts w:ascii="Times New Roman" w:eastAsia="Times New Roman" w:hAnsi="Times New Roman" w:cs="Times New Roman"/>
          <w:sz w:val="28"/>
          <w:szCs w:val="28"/>
        </w:rPr>
        <w:t>У сучасній філософській думці особливого значення набуває критичний перегляд самих засад пізнання та формування картини світу. Умови постмодерну, інформаційного перенасичення та втрати традиційних орієнтирів зумовлюють потребу в осмисленні того, як людина будує своє розуміння реальності. Особливої гостроти набуває концепт «нігілізму», який часто тлумачиться як симптом розпаду. Однак сучасне переосмислення дозволяє розглядати нігілізм не як занепад, а як очищення від універсалістських фікцій, що уможливлює повернення до традиційного, «язичницького» сприйняття світу, вкоріненого в конкретному, змінному, досвідному. Дослідження цього феномену є актуальним для розуміння не лише кризи модерного світогляду, а й шляхів формування нової — очищеної — картини світу.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w:t>
      </w:r>
      <w:r>
        <w:rPr>
          <w:rFonts w:ascii="Times New Roman" w:eastAsia="Times New Roman" w:hAnsi="Times New Roman" w:cs="Times New Roman"/>
          <w:sz w:val="28"/>
          <w:szCs w:val="28"/>
        </w:rPr>
        <w:t>Проаналізувати трансформацію концепту «картини світу» в сучасній філософії, простежити її критику з боку нігілізму (Ніцше, Гайдеґґер, постметафізичні підходи), знайти можливі шляхи подолання нігілізму у сучасності та обґрунтувати можливість повернення до цілісного світобачення шляхом очищення від універсалістських конструкцій — як через нищення ілюзій, так і через повернення до досвідної, традиційної онтології буття.</w:t>
      </w:r>
    </w:p>
    <w:p w:rsidR="00F71741" w:rsidRDefault="00303DB6">
      <w:pPr>
        <w:pStyle w:val="normal"/>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F71741" w:rsidRDefault="00303DB6">
      <w:pPr>
        <w:pStyle w:val="normal"/>
        <w:numPr>
          <w:ilvl w:val="0"/>
          <w:numId w:val="3"/>
        </w:num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Розкрити історико-філософські витоки концепції «картини світу».</w:t>
      </w:r>
    </w:p>
    <w:p w:rsidR="00F71741" w:rsidRDefault="00303DB6">
      <w:pPr>
        <w:pStyle w:val="normal"/>
        <w:numPr>
          <w:ilvl w:val="0"/>
          <w:numId w:val="3"/>
        </w:num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Показати, як в модерній філософії утвердилася уніфікована, універсалістська модель реальності.</w:t>
      </w:r>
    </w:p>
    <w:p w:rsidR="00F71741" w:rsidRDefault="00303DB6">
      <w:pPr>
        <w:pStyle w:val="normal"/>
        <w:numPr>
          <w:ilvl w:val="0"/>
          <w:numId w:val="3"/>
        </w:num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нігілізм як критику цієї моделі (на прикладі Ніцше, Гайдеґґера).</w:t>
      </w:r>
    </w:p>
    <w:p w:rsidR="00F71741" w:rsidRDefault="00303DB6">
      <w:pPr>
        <w:pStyle w:val="normal"/>
        <w:numPr>
          <w:ilvl w:val="0"/>
          <w:numId w:val="3"/>
        </w:num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Оцінити можливість конструктивного трактування нігілізму як очищення, а не лише руйнування.</w:t>
      </w:r>
    </w:p>
    <w:p w:rsidR="00F71741" w:rsidRDefault="00303DB6">
      <w:pPr>
        <w:pStyle w:val="normal"/>
        <w:numPr>
          <w:ilvl w:val="0"/>
          <w:numId w:val="3"/>
        </w:num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Розглянути перспективу «повернення до реальності» — до </w:t>
      </w:r>
      <w:r>
        <w:rPr>
          <w:rFonts w:ascii="Times New Roman" w:eastAsia="Times New Roman" w:hAnsi="Times New Roman" w:cs="Times New Roman"/>
          <w:b/>
          <w:sz w:val="28"/>
          <w:szCs w:val="28"/>
        </w:rPr>
        <w:t>онтології без абстракцій</w:t>
      </w:r>
      <w:r>
        <w:rPr>
          <w:rFonts w:ascii="Times New Roman" w:eastAsia="Times New Roman" w:hAnsi="Times New Roman" w:cs="Times New Roman"/>
          <w:sz w:val="28"/>
          <w:szCs w:val="28"/>
        </w:rPr>
        <w:t>, близької до традиційного (у т.ч. язичницького) сприйняття світу.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Об’єкт дослідження </w:t>
      </w:r>
      <w:r>
        <w:rPr>
          <w:rFonts w:ascii="Times New Roman" w:eastAsia="Times New Roman" w:hAnsi="Times New Roman" w:cs="Times New Roman"/>
          <w:sz w:val="28"/>
          <w:szCs w:val="28"/>
        </w:rPr>
        <w:t>– Філософські концепції «картини світу» в межах сучасної європейської філософії.</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дослідження</w:t>
      </w:r>
      <w:r>
        <w:rPr>
          <w:rFonts w:ascii="Times New Roman" w:eastAsia="Times New Roman" w:hAnsi="Times New Roman" w:cs="Times New Roman"/>
          <w:sz w:val="28"/>
          <w:szCs w:val="28"/>
        </w:rPr>
        <w:t xml:space="preserve"> – Феномен руйнування та можливого очищення світоглядної єдності в контексті нігілізму як способу перегляду «картини світу».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Методи дослідження. </w:t>
      </w:r>
      <w:r>
        <w:rPr>
          <w:rFonts w:ascii="Times New Roman" w:eastAsia="Times New Roman" w:hAnsi="Times New Roman" w:cs="Times New Roman"/>
          <w:sz w:val="28"/>
          <w:szCs w:val="28"/>
        </w:rPr>
        <w:t>У дипломній роботі використані такі загальні методи дослідження як: критичний, системний, синтетичний, науково-пошуковий, реконструктивний, порівняльний аналіз, історико-філософський.</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Ступінь розробленності проблеми</w:t>
      </w:r>
      <w:r>
        <w:rPr>
          <w:rFonts w:ascii="Times New Roman" w:eastAsia="Times New Roman" w:hAnsi="Times New Roman" w:cs="Times New Roman"/>
          <w:sz w:val="28"/>
          <w:szCs w:val="28"/>
        </w:rPr>
        <w:t>: Концепт «картини світу» був предметом уваги багатьох філософів ХХ–ХХІ століть, зокрема Л. Вітґенштайна, М. Фуко, Т. Куна, Г.-Г. Гадамера, М. Гайдеггера, Ж. Дерріди, П. Рікьора та інших. Питання формування світоглядної структури розглядалося як у межах аналітичної, так і континентальної традиції.</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Особливу роль у переосмисленні традиційних уявлень відіграли дослідження нігілізму у Ф. Ніцше та М. Гайдеггера, які осмислювали руйнування смислових і сакральних основ культури як філософську та онтологічну подію.</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Феномен сакрального і релігії як складника світоглядної картини аналізували М. Еліаде, Е. Кассірер, К. Юнг та інші. Концепт «язичницького» як альтернативи модерному універсалізму постає у працях А. де Бенуа, Ю. Еволи а також у сучасних представників традиціоналістського напрямку.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українській філософській думці подібна тематика досліджується недостатньо системно. Проблема кризи раціональності, постмодерного світогляду, нігілізму та релігійного світобачення знаходить своє відображення в українській філософській думці, зокрема в працях таких дослідників, як М. Попович, А. Єрмоленко, Н. Хамітов, О. Кисельов, хоча в більшості цих підходів </w:t>
      </w:r>
      <w:r>
        <w:rPr>
          <w:rFonts w:ascii="Times New Roman" w:eastAsia="Times New Roman" w:hAnsi="Times New Roman" w:cs="Times New Roman"/>
          <w:sz w:val="28"/>
          <w:szCs w:val="28"/>
        </w:rPr>
        <w:lastRenderedPageBreak/>
        <w:t>нігілізм трактується як загроза, а не як потенційний етап очищення. Таким чином, онтологічна перспектива, що виходить за межі модерної та постмодерної традицій, залишається недостатньо дослідженою.</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цілісного філософського аналізу взаємозв’язку між релігією, язичництвом і нігілізмом як факторами формування сучасної світоглядної картини світу у вітчизняній традиції наразі бракує, що зумовлює актуальність даного дослідження.</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Структура та обсяг роботи.</w:t>
      </w:r>
      <w:r>
        <w:rPr>
          <w:rFonts w:ascii="Times New Roman" w:eastAsia="Times New Roman" w:hAnsi="Times New Roman" w:cs="Times New Roman"/>
          <w:sz w:val="28"/>
          <w:szCs w:val="28"/>
        </w:rPr>
        <w:t xml:space="preserve"> Робота складається з вступу, основної частини з 3 розділів, висновків, списку використаних джерел і літератури, який містить </w:t>
      </w:r>
      <w:r>
        <w:rPr>
          <w:rFonts w:ascii="Times New Roman" w:eastAsia="Times New Roman" w:hAnsi="Times New Roman" w:cs="Times New Roman"/>
          <w:b/>
          <w:sz w:val="28"/>
          <w:szCs w:val="28"/>
        </w:rPr>
        <w:t xml:space="preserve">101 </w:t>
      </w:r>
      <w:r>
        <w:rPr>
          <w:rFonts w:ascii="Times New Roman" w:eastAsia="Times New Roman" w:hAnsi="Times New Roman" w:cs="Times New Roman"/>
          <w:sz w:val="28"/>
          <w:szCs w:val="28"/>
        </w:rPr>
        <w:t>джерело.</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Повний обсяг роботи становить </w:t>
      </w:r>
      <w:r>
        <w:rPr>
          <w:rFonts w:ascii="Times New Roman" w:eastAsia="Times New Roman" w:hAnsi="Times New Roman" w:cs="Times New Roman"/>
          <w:b/>
          <w:sz w:val="28"/>
          <w:szCs w:val="28"/>
        </w:rPr>
        <w:t xml:space="preserve">48 </w:t>
      </w:r>
      <w:r>
        <w:rPr>
          <w:rFonts w:ascii="Times New Roman" w:eastAsia="Times New Roman" w:hAnsi="Times New Roman" w:cs="Times New Roman"/>
          <w:sz w:val="28"/>
          <w:szCs w:val="28"/>
        </w:rPr>
        <w:t xml:space="preserve">сторінок, з яких основним текстом є </w:t>
      </w:r>
      <w:r>
        <w:rPr>
          <w:rFonts w:ascii="Times New Roman" w:eastAsia="Times New Roman" w:hAnsi="Times New Roman" w:cs="Times New Roman"/>
          <w:b/>
          <w:sz w:val="28"/>
          <w:szCs w:val="28"/>
        </w:rPr>
        <w:t>45</w:t>
      </w:r>
      <w:r>
        <w:rPr>
          <w:rFonts w:ascii="Times New Roman" w:eastAsia="Times New Roman" w:hAnsi="Times New Roman" w:cs="Times New Roman"/>
          <w:sz w:val="28"/>
          <w:szCs w:val="28"/>
        </w:rPr>
        <w:t xml:space="preserve"> сторінок.</w:t>
      </w:r>
    </w:p>
    <w:p w:rsidR="00F71741" w:rsidRDefault="00F71741">
      <w:pPr>
        <w:pStyle w:val="normal"/>
        <w:spacing w:line="360" w:lineRule="auto"/>
        <w:ind w:firstLine="720"/>
        <w:jc w:val="both"/>
        <w:rPr>
          <w:rFonts w:ascii="Times New Roman" w:eastAsia="Times New Roman" w:hAnsi="Times New Roman" w:cs="Times New Roman"/>
          <w:sz w:val="28"/>
          <w:szCs w:val="28"/>
        </w:rPr>
      </w:pPr>
    </w:p>
    <w:p w:rsidR="00F71741" w:rsidRDefault="00F71741">
      <w:pPr>
        <w:pStyle w:val="normal"/>
        <w:spacing w:line="360" w:lineRule="auto"/>
        <w:ind w:firstLine="720"/>
        <w:jc w:val="both"/>
        <w:rPr>
          <w:rFonts w:ascii="Times New Roman" w:eastAsia="Times New Roman" w:hAnsi="Times New Roman" w:cs="Times New Roman"/>
          <w:b/>
          <w:sz w:val="28"/>
          <w:szCs w:val="28"/>
        </w:rPr>
      </w:pPr>
    </w:p>
    <w:p w:rsidR="00F71741" w:rsidRDefault="00F71741">
      <w:pPr>
        <w:pStyle w:val="normal"/>
        <w:spacing w:line="360" w:lineRule="auto"/>
        <w:ind w:firstLine="720"/>
        <w:jc w:val="both"/>
        <w:rPr>
          <w:rFonts w:ascii="Times New Roman" w:eastAsia="Times New Roman" w:hAnsi="Times New Roman" w:cs="Times New Roman"/>
          <w:b/>
          <w:sz w:val="28"/>
          <w:szCs w:val="28"/>
        </w:rPr>
      </w:pPr>
    </w:p>
    <w:p w:rsidR="00F71741" w:rsidRDefault="00F71741">
      <w:pPr>
        <w:pStyle w:val="normal"/>
        <w:spacing w:line="360" w:lineRule="auto"/>
        <w:ind w:firstLine="720"/>
        <w:jc w:val="both"/>
        <w:rPr>
          <w:rFonts w:ascii="Times New Roman" w:eastAsia="Times New Roman" w:hAnsi="Times New Roman" w:cs="Times New Roman"/>
          <w:b/>
          <w:sz w:val="28"/>
          <w:szCs w:val="28"/>
        </w:rPr>
      </w:pPr>
    </w:p>
    <w:p w:rsidR="00F71741" w:rsidRDefault="00F71741">
      <w:pPr>
        <w:pStyle w:val="normal"/>
        <w:spacing w:line="360" w:lineRule="auto"/>
        <w:ind w:firstLine="720"/>
        <w:jc w:val="both"/>
        <w:rPr>
          <w:rFonts w:ascii="Times New Roman" w:eastAsia="Times New Roman" w:hAnsi="Times New Roman" w:cs="Times New Roman"/>
          <w:b/>
          <w:sz w:val="28"/>
          <w:szCs w:val="28"/>
        </w:rPr>
      </w:pPr>
    </w:p>
    <w:p w:rsidR="00F71741" w:rsidRDefault="00F71741">
      <w:pPr>
        <w:pStyle w:val="normal"/>
        <w:spacing w:line="360" w:lineRule="auto"/>
        <w:ind w:firstLine="720"/>
        <w:jc w:val="both"/>
        <w:rPr>
          <w:rFonts w:ascii="Times New Roman" w:eastAsia="Times New Roman" w:hAnsi="Times New Roman" w:cs="Times New Roman"/>
          <w:b/>
          <w:sz w:val="28"/>
          <w:szCs w:val="28"/>
        </w:rPr>
      </w:pPr>
    </w:p>
    <w:p w:rsidR="00F71741" w:rsidRDefault="00F71741">
      <w:pPr>
        <w:pStyle w:val="normal"/>
        <w:spacing w:line="360" w:lineRule="auto"/>
        <w:ind w:firstLine="720"/>
        <w:jc w:val="both"/>
        <w:rPr>
          <w:rFonts w:ascii="Times New Roman" w:eastAsia="Times New Roman" w:hAnsi="Times New Roman" w:cs="Times New Roman"/>
          <w:b/>
          <w:sz w:val="28"/>
          <w:szCs w:val="28"/>
        </w:rPr>
      </w:pPr>
    </w:p>
    <w:p w:rsidR="00F71741" w:rsidRDefault="00F71741">
      <w:pPr>
        <w:pStyle w:val="normal"/>
        <w:spacing w:line="360" w:lineRule="auto"/>
        <w:ind w:firstLine="720"/>
        <w:jc w:val="both"/>
        <w:rPr>
          <w:rFonts w:ascii="Times New Roman" w:eastAsia="Times New Roman" w:hAnsi="Times New Roman" w:cs="Times New Roman"/>
          <w:b/>
          <w:sz w:val="28"/>
          <w:szCs w:val="28"/>
        </w:rPr>
      </w:pPr>
    </w:p>
    <w:p w:rsidR="00F71741" w:rsidRDefault="00F71741">
      <w:pPr>
        <w:pStyle w:val="normal"/>
        <w:spacing w:line="360" w:lineRule="auto"/>
        <w:ind w:firstLine="720"/>
        <w:jc w:val="both"/>
        <w:rPr>
          <w:rFonts w:ascii="Times New Roman" w:eastAsia="Times New Roman" w:hAnsi="Times New Roman" w:cs="Times New Roman"/>
          <w:b/>
          <w:sz w:val="28"/>
          <w:szCs w:val="28"/>
        </w:rPr>
      </w:pPr>
    </w:p>
    <w:p w:rsidR="00F71741" w:rsidRDefault="00F71741">
      <w:pPr>
        <w:pStyle w:val="normal"/>
        <w:spacing w:line="360" w:lineRule="auto"/>
        <w:ind w:firstLine="720"/>
        <w:jc w:val="both"/>
        <w:rPr>
          <w:rFonts w:ascii="Times New Roman" w:eastAsia="Times New Roman" w:hAnsi="Times New Roman" w:cs="Times New Roman"/>
          <w:b/>
          <w:sz w:val="28"/>
          <w:szCs w:val="28"/>
        </w:rPr>
      </w:pPr>
    </w:p>
    <w:p w:rsidR="00F71741" w:rsidRDefault="00F71741">
      <w:pPr>
        <w:pStyle w:val="normal"/>
        <w:spacing w:line="360" w:lineRule="auto"/>
        <w:ind w:firstLine="720"/>
        <w:jc w:val="both"/>
        <w:rPr>
          <w:rFonts w:ascii="Times New Roman" w:eastAsia="Times New Roman" w:hAnsi="Times New Roman" w:cs="Times New Roman"/>
          <w:b/>
          <w:sz w:val="28"/>
          <w:szCs w:val="28"/>
        </w:rPr>
      </w:pPr>
    </w:p>
    <w:p w:rsidR="00F71741" w:rsidRDefault="00F71741">
      <w:pPr>
        <w:pStyle w:val="normal"/>
        <w:spacing w:line="360" w:lineRule="auto"/>
        <w:ind w:firstLine="720"/>
        <w:jc w:val="both"/>
        <w:rPr>
          <w:rFonts w:ascii="Times New Roman" w:eastAsia="Times New Roman" w:hAnsi="Times New Roman" w:cs="Times New Roman"/>
          <w:b/>
          <w:sz w:val="28"/>
          <w:szCs w:val="28"/>
        </w:rPr>
      </w:pPr>
    </w:p>
    <w:p w:rsidR="00F71741" w:rsidRDefault="00F71741">
      <w:pPr>
        <w:pStyle w:val="normal"/>
        <w:spacing w:line="360" w:lineRule="auto"/>
        <w:ind w:firstLine="720"/>
        <w:jc w:val="both"/>
        <w:rPr>
          <w:rFonts w:ascii="Times New Roman" w:eastAsia="Times New Roman" w:hAnsi="Times New Roman" w:cs="Times New Roman"/>
          <w:b/>
          <w:sz w:val="28"/>
          <w:szCs w:val="28"/>
        </w:rPr>
      </w:pPr>
    </w:p>
    <w:p w:rsidR="00F71741" w:rsidRDefault="00F71741">
      <w:pPr>
        <w:pStyle w:val="normal"/>
        <w:spacing w:line="360" w:lineRule="auto"/>
        <w:ind w:firstLine="720"/>
        <w:jc w:val="both"/>
        <w:rPr>
          <w:rFonts w:ascii="Times New Roman" w:eastAsia="Times New Roman" w:hAnsi="Times New Roman" w:cs="Times New Roman"/>
          <w:b/>
          <w:sz w:val="28"/>
          <w:szCs w:val="28"/>
        </w:rPr>
      </w:pPr>
    </w:p>
    <w:p w:rsidR="00F71741" w:rsidRDefault="00F71741">
      <w:pPr>
        <w:pStyle w:val="normal"/>
        <w:spacing w:line="360" w:lineRule="auto"/>
        <w:ind w:firstLine="720"/>
        <w:jc w:val="both"/>
        <w:rPr>
          <w:rFonts w:ascii="Times New Roman" w:eastAsia="Times New Roman" w:hAnsi="Times New Roman" w:cs="Times New Roman"/>
          <w:b/>
          <w:sz w:val="28"/>
          <w:szCs w:val="28"/>
        </w:rPr>
      </w:pPr>
    </w:p>
    <w:p w:rsidR="00F71741" w:rsidRDefault="00F71741">
      <w:pPr>
        <w:pStyle w:val="normal"/>
        <w:spacing w:line="360" w:lineRule="auto"/>
        <w:jc w:val="both"/>
        <w:rPr>
          <w:rFonts w:ascii="Times New Roman" w:eastAsia="Times New Roman" w:hAnsi="Times New Roman" w:cs="Times New Roman"/>
          <w:b/>
          <w:sz w:val="28"/>
          <w:szCs w:val="28"/>
        </w:rPr>
      </w:pPr>
    </w:p>
    <w:p w:rsidR="00F71741" w:rsidRDefault="00F71741">
      <w:pPr>
        <w:pStyle w:val="normal"/>
        <w:spacing w:line="360" w:lineRule="auto"/>
        <w:jc w:val="both"/>
        <w:rPr>
          <w:rFonts w:ascii="Times New Roman" w:eastAsia="Times New Roman" w:hAnsi="Times New Roman" w:cs="Times New Roman"/>
          <w:b/>
          <w:sz w:val="28"/>
          <w:szCs w:val="28"/>
        </w:rPr>
      </w:pPr>
    </w:p>
    <w:p w:rsidR="00F71741" w:rsidRDefault="00303DB6">
      <w:pPr>
        <w:pStyle w:val="normal"/>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1</w:t>
      </w:r>
    </w:p>
    <w:p w:rsidR="00F71741" w:rsidRDefault="00303DB6">
      <w:pPr>
        <w:pStyle w:val="normal"/>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ФІЛОСОФСЬКЕ ПІДҐРУНТЯ ПОНЯТТЯ «КАРТИНА СВІТУ»</w:t>
      </w:r>
    </w:p>
    <w:p w:rsidR="00F71741" w:rsidRDefault="00F71741">
      <w:pPr>
        <w:pStyle w:val="normal"/>
        <w:spacing w:line="360" w:lineRule="auto"/>
        <w:ind w:firstLine="720"/>
        <w:jc w:val="center"/>
        <w:rPr>
          <w:rFonts w:ascii="Times New Roman" w:eastAsia="Times New Roman" w:hAnsi="Times New Roman" w:cs="Times New Roman"/>
          <w:b/>
          <w:sz w:val="28"/>
          <w:szCs w:val="28"/>
        </w:rPr>
      </w:pP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1.1. Картина світу як категорія філософського мислення. </w:t>
      </w:r>
      <w:r>
        <w:rPr>
          <w:rFonts w:ascii="Times New Roman" w:eastAsia="Times New Roman" w:hAnsi="Times New Roman" w:cs="Times New Roman"/>
          <w:sz w:val="28"/>
          <w:szCs w:val="28"/>
        </w:rPr>
        <w:t>Поняття «картина світу» у філософії позначає цілісну систему уявлень, знань, смислів і цінностей, через які індивід або спільнота сприймають, структурують і осмислюють світ і своє місце у ньому. Це не просто накопичення фактів чи відомостей про навколишню дійсність, а комплексна організація уявлень, що формує спосіб існування людини у світі.</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Картина світу виступає як система, в якій взаємодіють онтологічні, когнітивні та аксіологічні компоненти. Вона включає уявлення про те, що існує (буття), як воно пов’язане і організоване (структура світу), а також які значення і цінності притаманні цим зв’язкам. Через це картина світу задає межі можливого розуміння та діяльності, а також служить орієнтиром у прийнятті рішень і формуванні цілей.</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система має цілісну і організовану структуру: окремі елементи не існують ізольовано, а взаємопов’язані і взаємозумовлені. Зміни в будь-якій частині картини можуть викликати перебудову уявлень у цілому, впливати на спосіб осмислення життя і світу.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Важливий аспект картини світу — це її онтологічний рівень. Вона визначає уявлення про структуру буття, про те, які рівні і сутності існують, як вони співвідносяться, які закономірності діють у світі. Це не абстрактні, а життєво значущі уявлення, які забезпечують орієнтацію у реальності.</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менш важливою є когнітивна функція картини світу — вона систематизує знання, дозволяє узагальнювати досвід, формувати моделі, які пояснюють явища, події і процеси. Це інструмент для пізнання, що водночас є частиною самої структури світу, через яку він стає зрозумілим.</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Картина світу також містить аксіологічний компонент — систему цінностей і норм, які задають сенс буттю і діям людини. Цінності і смисли </w:t>
      </w:r>
      <w:r>
        <w:rPr>
          <w:rFonts w:ascii="Times New Roman" w:eastAsia="Times New Roman" w:hAnsi="Times New Roman" w:cs="Times New Roman"/>
          <w:sz w:val="28"/>
          <w:szCs w:val="28"/>
        </w:rPr>
        <w:lastRenderedPageBreak/>
        <w:t>інтегруються у загальну систему уявлень, визначаючи моральні і поведінкові орієнтири, соціальні ролі і культурні традиції. Через це картина світу спрямовує і структурує людську діяльність, надаючи їй зміст.</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три аспекти — онтологічний, когнітивний і аксіологічний — нерозривно пов’язані в єдину систему. Картина світу — це не простий набір знань, а складний конструкт, що поєднує реальність, її пізнання і ціннісне осмислення.</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одна важлива риса картини світу — її динамічність. Вона не є статичною чи завершеною системою. Навпаки, картина світу розвивається, трансформується під впливом нових знань, досвіду, культурних і соціальних змін. Саме через це поняття «картина світу» є ключовим для аналізу процесів змін у світогляді і поведінці людей.</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Картина світу має також культурно-історичний вимір. Вона формується і відтворюється у конкретних традиціях, мовних і культурних кодах, соціальних практиках. Через це існують різні типи картин світу, які відображають особливості різних культур, епох і соціальних груп.</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картина світу як категорія філософського мислення допомагає розкрити механізми формування світогляду — того цілісного способу, у який людина організовує своє розуміння буття, визначає цінності і спрямовує свою діяльність. Вона показує, як у системі уявлень і значень виникає смисл життя і світу.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Поняття картини світу тісно пов’язане з іншими філософськими категоріями — буттям, пізнанням, сенсом, цінністю. Водночас вона є самостійним об’єктом дослідження, що дозволяє аналізувати, як формується і змінюється людське розуміння світу в історичній і культурній перспективі.</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1.2. Етапи становлення поняття «картина світу» в історії філософії. </w:t>
      </w:r>
      <w:r>
        <w:rPr>
          <w:rFonts w:ascii="Times New Roman" w:eastAsia="Times New Roman" w:hAnsi="Times New Roman" w:cs="Times New Roman"/>
          <w:sz w:val="28"/>
          <w:szCs w:val="28"/>
        </w:rPr>
        <w:t xml:space="preserve">У найдавніших грецьких філософських традиціях ми бачимо першу спробу мислення, що прагне подолати міфологічну множинність образів та явищ через відкриття певного начала — архе, з якого все виникає і до якого все зводиться. </w:t>
      </w:r>
      <w:r>
        <w:rPr>
          <w:rFonts w:ascii="Times New Roman" w:eastAsia="Times New Roman" w:hAnsi="Times New Roman" w:cs="Times New Roman"/>
          <w:sz w:val="28"/>
          <w:szCs w:val="28"/>
        </w:rPr>
        <w:lastRenderedPageBreak/>
        <w:t>Це мислення ще не є «метафізикою» у пізнішому значенні слова, але воно вже не є і просто поетичним баченням чи міфологією. Досократики намагалися віднайти порядок світу не через волю богів, а через внутрішню необхідність речей. Світ, згідно з ними, мислився не як хаос, що потребує божественного втручання, а як цілісність, яку можна зрозуміти розумом.</w:t>
      </w:r>
    </w:p>
    <w:p w:rsidR="00F71741" w:rsidRDefault="00303DB6">
      <w:pPr>
        <w:pStyle w:val="normal"/>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Так, Фалес уважав, що основою всього є вода — не просто як фізична речовина, а як принцип буття, що пронизує все живе. Анаксімандр говорив про ἄπειρον — безмежне, невизначене начало, яке не має конкретного образу, але з нього походить усе. Анаксімен замінив воду повітрям, розглядаючи його як тоншу, всюдисущу субстанцію. Геракліт визнавав вогонь джерелом усього, але його вогонь уже був не фізичним, а радше логічним — вираженням становлення, боротьби, руху. Емпедокл і Анаксагор вводили множинність начал, а Демокріт доводив усе до атомів і порожнечі.</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Всі ці концепції були виявами великого пориву: знайти фундаментальну єдність у різноманітті буття. Архе — це не просто перша річ, а скоріше центр тяжіння світорозуміння, щось таке, що здатне об’єднати хаотичне багато у розумну єдність. У цьому ще жила надія на цілісність, на впорядкований космос, який не приховує істини, а відкривається перед тим, хто мислить. Віра в те, що світ у своїй основі простий, доступний і осяжний розуму, — ось що лежало в основі досократичного бачення.</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Арістотель пізніше критикував ці ранні вчення за те, що вони зосереджувалися переважно на матеріальній стороні речей. Визнаючи їх значення як піонерів філософського мислення, він усе ж вважав, що ті не змогли вийти за межі «першої причини» лише як речовини — води, повітря, вогню, землі. У своїй «Метафізиці» він вказував, що слід розрізняти чотири причини: матеріальну, формальну, рушійну і цільову. Досократики, мовляв, зупинились лише на першій — матеріальній, залишивши поза увагою внутрішню форму, принцип організації, мету [5, с. 14]. Вже тут ми бачимо </w:t>
      </w:r>
      <w:r>
        <w:rPr>
          <w:rFonts w:ascii="Times New Roman" w:eastAsia="Times New Roman" w:hAnsi="Times New Roman" w:cs="Times New Roman"/>
          <w:sz w:val="28"/>
          <w:szCs w:val="28"/>
        </w:rPr>
        <w:lastRenderedPageBreak/>
        <w:t>перші натяки на розчарування ідеєю простого зведення всього до однієї субстанції.</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розчарування посилюється в наступні століття. Політична історія Риму, яка прийшла на зміну грецькій філософській школі, лише посилила ці настрої. Вирішальним моментом став 49 рік до н.е., коли Гай Юлій Цезар перейшов Рубікон, порушивши традицію непорушності республіканських інститутів і започаткувавши громадянську війну, яка остаточно зруйнувала політичну рівновагу [83; 93]. І хоча сам Цезар ще не був імператором у формальному сенсі, саме він створив прецедент особистої влади, що підмінила старий порядок.</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Тиберій приходить до влади після Августа, і в його правління починається стрімке зростання страху, підозр, доносів, політичних репресій  [92, с. 141–153].</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Калигула втілює вже відкриту патологію влади. Його культ особистості, претензії на божественність, розпуста, насилля й убивства стали відкритим знаком того, що римський світ втрачає свій порядок  [92, с. 174–185].</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Нерон — останній з династії Юліїв-Клавдіїв — довів до апогею цю трагічну послідовність: пожежа Риму, переслідування християн, публічні вбивства в стилі театрального жахіття перекреслили віру в раціональність імперського правління [92, с. 145–160; 93, с. 200–215].</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історичному контексті ідеї грецьких мислителів, які шукали гармонійного архе, здавались уже неадекватними. Люди більше не шукали джерело єдності у воді чи вогні — вони шукали виправдання стражданню, надію на порятунок від світу, що сповнений безглуздої жорстокості. Саме в цьому ґрунті проросло християнство: не як філософська доктрина, а як світогляд втечі від хаосу світу у трансцендентний порядок [83].</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Образ Ісуса як страждального, але невинного праведника, що приймає муки заради вищої справедливості, різко контрастував із безглуздими страченнями римських імператорів. Обіцянка не земного блага, а царства </w:t>
      </w:r>
      <w:r>
        <w:rPr>
          <w:rFonts w:ascii="Times New Roman" w:eastAsia="Times New Roman" w:hAnsi="Times New Roman" w:cs="Times New Roman"/>
          <w:sz w:val="28"/>
          <w:szCs w:val="28"/>
        </w:rPr>
        <w:lastRenderedPageBreak/>
        <w:t>небесного, ставала не просто релігійним утішенням, а відповіддю на досвід політичного й екзистенційного краху. У світі, де навіть найкращі ідеї гинуть під ударами свавілля, саме перспектива потойбічного справедливого світу видавалась логічною.</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все дало початок новій парадигмі мислення, яка вже не намагалася знайти єдине начало в самій природі речей. Замість спроб філософського зведення світу до архе постає принципова відмова від цього світу як від остаточної реальності. Християнство принесло в європейське мислення розподіл між світом «тимчасовим» і «вічним», між «видимим» і «істинним», між тілом і духом, між Царством земним і Царством небесним [11].</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Центральна ідея — світ є випробуванням, а не оселею. Людина перебуває в ньому як мандрівник, а не господар. Земне життя — лише коротка іспитна подорож до істинного буття. Ідея «града Божого» як трансцендентної мети у мисленні Августина протиставляється «граду земному» — царству насильства, гордині, політичної влади.</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Тут ми бачимо вплив неоплатонізму, особливо Плотіна: ієрархічна структура буття, в якій усі речі походять від Єдиного, але чим далі — тим більше занепадають [81]. Такий порядок ідеально вписується у християнську модель, де Бог є абсолютним джерелом, а все інше — лише створене, обмежене, тимчасове [47].</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онтологічний дуалізм породжує і нову етичну логіку: добро — це те, що веде до Бога, зло — це те, що відволікає від нього. Гріх — не просто порушення закону, а спотворення орієнтації. Тіло — не зло саме по собі, але слабке, схильне до гріха. Знання — добре лише тоді, коли служить вірі. Мудрість — це не філософське споглядання світу, як у греків, а покора перед істиною, яка вже відкрита у Святому Письмі [3; 47, с. 36–45].</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Цей новий тип світогляду не знищив античну традицію, але перетворив її. Починаючи з IV–V століття, формується великий ідеологічний синтез, у якому об’єднано: християнське богослов’я, що дало трансцендентну вертикаль та ідею </w:t>
      </w:r>
      <w:r>
        <w:rPr>
          <w:rFonts w:ascii="Times New Roman" w:eastAsia="Times New Roman" w:hAnsi="Times New Roman" w:cs="Times New Roman"/>
          <w:sz w:val="28"/>
          <w:szCs w:val="28"/>
        </w:rPr>
        <w:lastRenderedPageBreak/>
        <w:t>вищого сенсу [10; 47]; римську політичну модель, яка стала основою ієрархії, обов’язку, церковної влади і навіть титулатури; грецьку філософію, яка забезпечила понятійний апарат, логічну структуру мислення і цілісне бачення космосу.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синтез досягає апогею у вченні Томи Аквінського. Він спробував узгодити філософію Арістотеля з християнською вірою. Бог у нього — це не лише об’єкт віри, а й необхідне Перворухоме, Перша Причина, Акт Чистого Буття [2]. Але — на відміну від грецьких філософів — це не буття, що просто існує, а Особа, що об’являється, керує, карає і милує.</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цьому ґрунті формується і політична модель середньовіччя. Якщо антична республіка трималася на громадянській доблесті, участі й законах, то середньовічне християнство утверджує владу як сакральний порядок. Влада — це не договір між громадянами, а делеговане право від Бога. Монарх — не просто правитель, а намісник Бога на землі, а вся структура суспільства — лише функції у космічному ієрархічному порядку [47, с. 43-47].</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виникає середньовічна картина світу: замкнута, вертикальна, сакралізована. Зверху — Бог, потім ангели, далі Церква, король, лицарство, міщани, селяни, а внизу — грішники, єретики, бісівські сили. Світ — це не щось відкрите для дослідження, а щось впорядковане, де головне — не пізнати, а зайняти своє місце й виконувати Божу волю.</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світогляд проіснував довго — не завдяки сліпій вірі, а завдяки здатності створити цілісний спосіб життя, у якому все мало сенс: хвороби були випробуванням, багатство — даром або спокусою, король — помазаником, смерть — переходом. Людина була не індивідом, а душею в системі. І ця система давала відповідь на головне питання: «навіщо?».</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Водночас, у цій жорсткій моделі вже зароджувались внутрішні протиріччя. Поступово накопичувалась напруга між вірою і розумом, між теологією і наукою, між універсальним порядком і емпіричними відхиленнями [3; 47, с. 75-80].</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 зламі пізнього середньовіччя і початку Нового часу починається глибока переорієнтація європейської картини світу. І якщо середньовіччя мислило реальність як вертикальну ієрархію, де все має відведене Богом місце, то Відродження і Новий час починають мислити світ як горизонтальний простір, у якому людина здобуває власну суб’єктність, а знання — автономію [40].</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Гуманізм Відродження — це не просто повернення до античної культури, а спроба побудувати нову світоглядну платформу, у центрі якої — не Церква, не об’явлення, а людина. Людина перестає бути «паломником до неба» — тепер вона знову, як у часи до Сократа, шукає себе в цьому світі, а не за його межами. Вибух інтересу до тілесності, мистецтва, архітектури, анатомії — це не лише естетичне явище, а онтологічна ревізія християнської картини світу [24].</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Коперник, Бруно, Кеплер, Галілей, Ньютон руйнують середньовічну космологію: Земля — більше не центр світу, не унікальне поле для драми спасіння. Вона — лише одна з планет. Всесвіт виявляється безмежним, механічним, і у ньому немає «привілейованих» місць. Людина втрачає статус осередку буття — але водночас здобуває статус дослідника, здатного пізнавати закони природи незалежно від об’явленої догми [58].</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починається секуляризація картини світу — витіснення Бога з філософських, політичних і наукових структур. Не обов’язково як заперечення Бога, але як відділення божественного від публічного, політичного, наукового. Те, що раніше було священним, стає природним: зникає сакральне підґрунтя влади, моралі, знання. Усе має бути виправдане не посиланням на традицію чи догму, а досвідом та доказами [95].</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Із цим процесом виникає нова ідеологічна топіка: якщо у середньовіччі сенс життя полягав у служінні Богу, то тепер — у служінні свободі, прогресу, розуму, нації, людству. Виникають нові ідеології, які формують вже не сакральну, а раціональну картину світу:</w:t>
      </w:r>
    </w:p>
    <w:p w:rsidR="00F71741" w:rsidRDefault="00303DB6">
      <w:pPr>
        <w:pStyle w:val="normal"/>
        <w:numPr>
          <w:ilvl w:val="0"/>
          <w:numId w:val="2"/>
        </w:num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Лібералізм — формує уявлення про людину як автономного індивіда, наділеного правами за природою. Держава існує не як сакральний порядок, а як соціальний договір, що має забезпечити свободу і безпеку [69];</w:t>
      </w:r>
    </w:p>
    <w:p w:rsidR="00F71741" w:rsidRDefault="00303DB6">
      <w:pPr>
        <w:pStyle w:val="normal"/>
        <w:numPr>
          <w:ilvl w:val="0"/>
          <w:numId w:val="2"/>
        </w:num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Раціоналізм і Просвітництво — висувають гасло: «Думай сам!» (sapere aude). Усі авторитети підлягають сумніву, істина — результат критичного мислення, а не передання [63];</w:t>
      </w:r>
    </w:p>
    <w:p w:rsidR="00F71741" w:rsidRDefault="00303DB6">
      <w:pPr>
        <w:pStyle w:val="normal"/>
        <w:numPr>
          <w:ilvl w:val="0"/>
          <w:numId w:val="2"/>
        </w:num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Капіталізм — витісняє феодальну ієрархію, замінюючи її мобільною системою ринку, обміну, інтересу. Людина тепер — не просто член стану, а підприємець, власник, працівник [97];</w:t>
      </w:r>
    </w:p>
    <w:p w:rsidR="00F71741" w:rsidRDefault="00303DB6">
      <w:pPr>
        <w:pStyle w:val="normal"/>
        <w:numPr>
          <w:ilvl w:val="0"/>
          <w:numId w:val="2"/>
        </w:num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Націоналізм — замінює універсалістську ідею єдиного християнського людства уявленням про спільноту крові, мови, території. Історія — не божественний план, а послідовність народних зусиль і героїзму [45];</w:t>
      </w:r>
    </w:p>
    <w:p w:rsidR="00F71741" w:rsidRDefault="00303DB6">
      <w:pPr>
        <w:pStyle w:val="normal"/>
        <w:numPr>
          <w:ilvl w:val="0"/>
          <w:numId w:val="2"/>
        </w:num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позитивізм — стверджує, що світ цілком описується законами природи, які можна вивчати, і що немає потреби у метафізичних поясненнях. Знання — це факт, гіпотеза, експеримент, теорія [27].</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формується нова світоглядна картина, у якій світ більше не має «центру» чи сакрального сенсу — він стає простором закономірностей, які людина вивчає, щоби підпорядкувати собі [51]. Людина ж стає власною метою — не слугою Бога чи Церкви, а творцем історії, володарем природи, суб’єктом прав і свобод. Історія, у свою чергу, перестає бути циклічною або провіденційною — вона стає лінійною, відкритою до прогресу, удосконалення, утопії [17].</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Утім, ця раціоналістична ідея світу не залишилась непорушною. Поряд з нею виникають і нові розломи — вже у XVIII–XIX ст. з’являються критики розуму, скептики щодо прогресу, романтики, що ностальгують за втраченою </w:t>
      </w:r>
      <w:r>
        <w:rPr>
          <w:rFonts w:ascii="Times New Roman" w:eastAsia="Times New Roman" w:hAnsi="Times New Roman" w:cs="Times New Roman"/>
          <w:sz w:val="28"/>
          <w:szCs w:val="28"/>
        </w:rPr>
        <w:lastRenderedPageBreak/>
        <w:t>цілісністю, революціонери, які бажають перебудувати світ з нуля, соціалісти, що прагнуть справедливості там, де ринок дав тільки нерівність [74].</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Починається світоглядна боротьба між різними модерністськими ідеологіями, кожна з яких пропонує свою версію «нового порядку»: буржуазного, національного, республіканського, соціалістичного або технократичного. Єдиного більше немає — замість християнської єдності ієрархії постає плюралізм світоглядів, що перебувають у конфлікті [70].</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XX століття справді стало епохою страшних катастроф і масштабних зламів, які докорінно змінили розуміння світу та самого людського існування. Світові війни призвели до колосальних людських втрат, руйнувань і масових трагедій, що поставили під сумнів ідеали гуманізму, прогресу і цивілізаційного розвитку, якими керувалися попередні покоління [24, с. 45–50]. Війни показали, що технологічний і науковий поступ можуть бути використані не тільки для покращення життя, а й для його знищення в масштабах, які раніше були неможливими.</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 глибокою кризою стала поява тоталітарних режимів – нацизму в Німеччині, сталінізму в СРСР та фашизму в Італії. Ці ідеології, які часто апелювали до ідей модерності, прогресу і національного відродження, водночас стали інструментами масового терору, підкорення індивіда державі, жорстокого придушення будь-якої опозиції і навіть винищення цілих народів [4]. Геноцид єврейського народу в рамках Голокосту – один із найжахливіших проявів такої кризи, коли технології і бюрократія поєдналися з ідеологією ненависті та смертельною логікою винищення [15].</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Водночас у XX столітті відбувся процес інтенсивної технократизації та бюрократизації суспільств. Розвинені держави і великі корпорації дедалі більше функціонували за принципом раціональної організації, систематизації, жорстких правил і норм. Людина дедалі частіше сприймалася як частина механізму, ланка у великій, безособовій системі, де її індивідуальність і свобода ставали другорядними, а інколи й зовсім ігнорувалися [97]. Такий стан справ </w:t>
      </w:r>
      <w:r>
        <w:rPr>
          <w:rFonts w:ascii="Times New Roman" w:eastAsia="Times New Roman" w:hAnsi="Times New Roman" w:cs="Times New Roman"/>
          <w:sz w:val="28"/>
          <w:szCs w:val="28"/>
        </w:rPr>
        <w:lastRenderedPageBreak/>
        <w:t>підсилював почуття відчуження і безсилля, ставив під сумнів традиційні цінності і сенси життя.</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у відповідь на ці виклики і кризу великих світоглядних систем у другій половині XX століття виникає постмодерн як культурний і філософський напрям. Постмодерністи, такі як Жан-Франсуа Ліотар, Мішель Фуко і Жак Дерріда, відмовляються від віри в абсолютні істини, універсальні метанаративи і лінійний прогрес, що раніше домінували у західній думці [32; 39; 71]. Вони підкреслюють, що знання і влада невіддільні, а світ складається з множини різних дискурсів, які конкурують і взаємодіють між собою [38].</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контексті істина перестає бути чимось об'єктивним і незмінним, натомість вона розглядається як ситуативна, залежна від культурних, соціальних і історичних обставин. Постмодерн підкреслює фрагментарність, неоднозначність і багатозначність світу, виявляє скепсис до великих наративів – таких, як просвітництво, марксизм або релігійний універсалізм [70]. Цей світ стає іронічним і відкритим до нескінченних трансформацій, де неможливо знайти єдину правильну картину [32].</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постмодерн пропонує нову форму усвідомлення світу, у якій влада і знання взаємопов’язані, а людина повинна вчитися орієнтуватися у множині голосів, текстів і інтерпретацій, відмовляючись від спрощених схем і монополії на істину [39]. Це відкриває як нові можливості для творчості і свободи, так і виклики в пошуку стабільності і сенсу в умовах постійних змін і невизначеності [70].</w:t>
      </w:r>
    </w:p>
    <w:p w:rsidR="00F71741" w:rsidRDefault="00F71741">
      <w:pPr>
        <w:pStyle w:val="normal"/>
        <w:spacing w:line="360" w:lineRule="auto"/>
        <w:ind w:firstLine="720"/>
        <w:jc w:val="center"/>
        <w:rPr>
          <w:rFonts w:ascii="Times New Roman" w:eastAsia="Times New Roman" w:hAnsi="Times New Roman" w:cs="Times New Roman"/>
          <w:b/>
          <w:sz w:val="28"/>
          <w:szCs w:val="28"/>
        </w:rPr>
      </w:pPr>
    </w:p>
    <w:p w:rsidR="00F71741" w:rsidRDefault="00F71741">
      <w:pPr>
        <w:pStyle w:val="normal"/>
        <w:spacing w:line="360" w:lineRule="auto"/>
        <w:ind w:firstLine="720"/>
        <w:jc w:val="center"/>
        <w:rPr>
          <w:rFonts w:ascii="Times New Roman" w:eastAsia="Times New Roman" w:hAnsi="Times New Roman" w:cs="Times New Roman"/>
          <w:b/>
          <w:sz w:val="28"/>
          <w:szCs w:val="28"/>
        </w:rPr>
      </w:pPr>
    </w:p>
    <w:p w:rsidR="00F71741" w:rsidRDefault="00F71741">
      <w:pPr>
        <w:pStyle w:val="normal"/>
        <w:spacing w:line="360" w:lineRule="auto"/>
        <w:ind w:firstLine="720"/>
        <w:jc w:val="center"/>
        <w:rPr>
          <w:rFonts w:ascii="Times New Roman" w:eastAsia="Times New Roman" w:hAnsi="Times New Roman" w:cs="Times New Roman"/>
          <w:b/>
          <w:sz w:val="28"/>
          <w:szCs w:val="28"/>
        </w:rPr>
      </w:pPr>
    </w:p>
    <w:p w:rsidR="00F71741" w:rsidRDefault="00F71741">
      <w:pPr>
        <w:pStyle w:val="normal"/>
        <w:spacing w:line="360" w:lineRule="auto"/>
        <w:ind w:firstLine="720"/>
        <w:jc w:val="center"/>
        <w:rPr>
          <w:rFonts w:ascii="Times New Roman" w:eastAsia="Times New Roman" w:hAnsi="Times New Roman" w:cs="Times New Roman"/>
          <w:b/>
          <w:sz w:val="28"/>
          <w:szCs w:val="28"/>
        </w:rPr>
      </w:pPr>
    </w:p>
    <w:p w:rsidR="00F71741" w:rsidRDefault="00F71741">
      <w:pPr>
        <w:pStyle w:val="normal"/>
        <w:spacing w:line="360" w:lineRule="auto"/>
        <w:ind w:firstLine="720"/>
        <w:jc w:val="center"/>
        <w:rPr>
          <w:rFonts w:ascii="Times New Roman" w:eastAsia="Times New Roman" w:hAnsi="Times New Roman" w:cs="Times New Roman"/>
          <w:b/>
          <w:sz w:val="28"/>
          <w:szCs w:val="28"/>
        </w:rPr>
      </w:pPr>
    </w:p>
    <w:p w:rsidR="00F71741" w:rsidRDefault="00F71741">
      <w:pPr>
        <w:pStyle w:val="normal"/>
        <w:spacing w:line="360" w:lineRule="auto"/>
        <w:ind w:firstLine="720"/>
        <w:jc w:val="center"/>
        <w:rPr>
          <w:rFonts w:ascii="Times New Roman" w:eastAsia="Times New Roman" w:hAnsi="Times New Roman" w:cs="Times New Roman"/>
          <w:b/>
          <w:sz w:val="28"/>
          <w:szCs w:val="28"/>
        </w:rPr>
      </w:pPr>
    </w:p>
    <w:p w:rsidR="00F71741" w:rsidRDefault="00F71741">
      <w:pPr>
        <w:pStyle w:val="normal"/>
        <w:spacing w:line="360" w:lineRule="auto"/>
        <w:ind w:firstLine="720"/>
        <w:jc w:val="center"/>
        <w:rPr>
          <w:rFonts w:ascii="Times New Roman" w:eastAsia="Times New Roman" w:hAnsi="Times New Roman" w:cs="Times New Roman"/>
          <w:b/>
          <w:sz w:val="28"/>
          <w:szCs w:val="28"/>
        </w:rPr>
      </w:pPr>
    </w:p>
    <w:p w:rsidR="00F71741" w:rsidRDefault="00303DB6">
      <w:pPr>
        <w:pStyle w:val="normal"/>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w:t>
      </w:r>
    </w:p>
    <w:p w:rsidR="00F71741" w:rsidRDefault="00303DB6">
      <w:pPr>
        <w:pStyle w:val="normal"/>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КАРТИНА СВІТУ В КОНТЕКСТІ СУЧАСНОЇ ФІЛОСОФІЇ ТА МІЖДИСЦИПЛІНАРНИХ ДИСКУСІЙ</w:t>
      </w:r>
    </w:p>
    <w:p w:rsidR="00F71741" w:rsidRDefault="00F71741">
      <w:pPr>
        <w:pStyle w:val="normal"/>
        <w:spacing w:line="360" w:lineRule="auto"/>
        <w:ind w:firstLine="720"/>
        <w:jc w:val="center"/>
        <w:rPr>
          <w:rFonts w:ascii="Times New Roman" w:eastAsia="Times New Roman" w:hAnsi="Times New Roman" w:cs="Times New Roman"/>
          <w:b/>
          <w:sz w:val="28"/>
          <w:szCs w:val="28"/>
        </w:rPr>
      </w:pP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2.1. Мова, культура, наука: когнітивні аспекти формування картини світу. </w:t>
      </w:r>
      <w:r>
        <w:rPr>
          <w:rFonts w:ascii="Times New Roman" w:eastAsia="Times New Roman" w:hAnsi="Times New Roman" w:cs="Times New Roman"/>
          <w:sz w:val="28"/>
          <w:szCs w:val="28"/>
        </w:rPr>
        <w:t>Формування світоглядної картини світу не є процесом суто інтелектуального чи абстрактного осмислення реальності. Воно здійснюється в постійному переплетенні мови, культури і знання — трьох взаємопов’язаних, але автономних сфер, що визначають, як саме людина пізнає світ, осмислює себе в ньому, структурує уявлення про причинність, час, простір, буття і можливе. Когнітивна структура будь-якої картини світу постає не як дзеркальне відображення реальності, а як результат інтерпретації, яка формується завдяки мові, закріплюється в культурі та уточнюється за допомогою концептуалізацій знання — від міфу й вірувань до науки [42].</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 з найвпливовіших ідей XX століття щодо ролі мови у формуванні світоглядної картини — це гіпотеза Сепіра — Ворфа, яку часто ще називають гіпотезою лінгвістичної відносності. Вона стверджує, що структура мови, якою користується людина, певним чином впливає на її спосіб сприйняття, осмислення і концептуалізації світу. Інакше кажучи, мова не просто виражає думки, а формує саму можливість мислення в певних рамках [98]. Як слушно зазначав Людвіґ Вітґенштайн: «The limits of my language mean the limits of my world» — це означає, що світ, доступний людині, визначається межами мовної артикуляції. Те, що неможливо висловити, — неможливо й уявити, а отже, і включити у свою картину реальності [100,  п. 5.6].</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важливо розрізняти два підходи до цієї гіпотези:</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Лінгвістичний детермінізм — сильна версія, яка стверджує, що мова визначає мислення і світогляд. У радикальному вигляді ця позиція припускає, що людина просто не здатна мислити за межами мовних категорій своєї мови. Саме цей підхід був підданий різкій критиці та емпіричному запереченню, </w:t>
      </w:r>
      <w:r>
        <w:rPr>
          <w:rFonts w:ascii="Times New Roman" w:eastAsia="Times New Roman" w:hAnsi="Times New Roman" w:cs="Times New Roman"/>
          <w:sz w:val="28"/>
          <w:szCs w:val="28"/>
        </w:rPr>
        <w:lastRenderedPageBreak/>
        <w:t>зокрема когнітивною психологією та дослідженнями Елеонор Рош (із кольоровою пам’яттю у племенах Дані) [85].</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Лінгвістичний релятивізм, натомість, є м’якшою й поміркованішою версією. Саме її відстоював Бенджамін Лі Ворф. Він не вважав, що мова детермінує мислення, а лише що мовні структури схиляють людину до певних способів сприйняття реальності, роблять одні явища більш «видимими» чи мислимими, а інші — менш помітними або маргінальними. Його відома теза: «We dissect nature along lines laid down by our native language» — означає не неможливість мислити інакше, а радше структурну схильність мислення слідувати мовним паттернам [98, с. 213].</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Критика цієї гіпотези часто базується на тому, що одна її форма тривіальна, а інша — хибна.</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Тривіальна форма — це визнання, що мова якимось чином впливає на мислення. Але це загальне твердження: будь-яка форма досвіду (включно з економікою, географією чи їжею) також впливає на мислення. У цьому сенсі, твердження стає банальним.</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Хибна форма — це радикальний детермінізм, згідно з яким мова повністю визначає можливості пізнання. Проти неї свідчать численні експерименти, які доводять, що люди цілком здатні мислити про речі, не маючи для них окремих слів у рідній мові. Наприклад, деякі племена не мають слів для позначення лівого та правого, проте швидко засвоюють ці поняття при контакті з іншими культурами або в новому середовищі [79].</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роль мови у формуванні картини світу безсумнівно важлива — вона створює когнітивні шаблони, надає значення, визначає кордони уявлень, але не є єдиним чи абсолютним чинником. Сучасна філософія мови визнає важливість лінгвістичного релятивізму в аналізі світоглядних структур, проте не ототожнює його з жорстким детермінізмом. У результаті, мова виступає не як абсолютна межа можливого, а радше як перша рамка, яку можна — зусиллям мислення, перекладу, метафори чи нових наративів — подолати [94].</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Культура — це не лише сукупність артефактів чи звичаїв, але й когнітивна структура, в межах якої відбувається сприйняття, оцінка і пояснення світу. Починаючи з антропологів XX століття, таких як Франц Боас, Клод Леві-Стросс та Едвард Сепір, культура стала розглядатися як система значень, у якій вкорінене людське мислення. Сама ідея картини світу — як інтерпретативної схеми — є неможливою поза культурним контекстом.</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Боас одним із перших виступив проти унітарного еволюціонізму, стверджуючи, що кожна культура має власну логіку і формує особливий спосіб бачення реальності [18]. Його учень Сепір продовжив цю лінію, поєднавши мовні та культурні підходи. Згідно з ним, культура формує когнітивні шаблони, які впливають на те, що людина вважає значущим, можливим, моральним чи істинним [86]. Наприклад, у культурах з анімістичними уявленнями про природу не існує різкого розриву між «людиною» і «довкіллям», що радикально змінює ставлення до природного світу.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межах структуралізму Леві-Стросс аналізував міфи як прояви глибинних когнітивних структур культури. Для нього культура є моделлю мислення, яка організовує хаотичну реальність у смислову матрицю [72]. У різних культурах однакові базові елементи — як-от смерть, їжа, стать, народження — осмислюються через різні опозиції та символічні коди, створюючи різні світи в уявленні.</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філософському сенсі культура задає онтологічні рамки: вона формує не просто уявлення про світ, а уявлення про те, що вважати «буттям». У Мартіна Гайдеггера цей момент описується як «відкритість буттю» (Sein und Zeit), яка завжди історично й культурно зумовлена, адже, як він стверджує, «The constitution of Dasein’s being is historical» — «Конституція буття Dasein є історичною» [51, розд. V]. Іншими словами, не існує нейтрального «бачення світу» — ми завжди дивимось крізь призму культури, навіть коли прагнемо від неї звільнитися.</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Звісно, постмодерна критика універсалізму [31; 39] показала, що культура не є чимось сталим чи обов’язковим. Вона підлягає інтерпретації, боротьбі, зміні. Водночас саме культура — через символи, міфи, ритуали — створює координатну систему, у якій розгортається особистісний і колективний досвід.</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географічним детермінізмом, фізичне середовище (клімат, ресурси, ландшафт) істотно впливає на формування культури, а отже — і на спосіб сприйняття світу. Цей підхід має довгу історію: ще в античності Геродот пов’язував характер народів із їхнім середовищем [53], а Гіпократ описував вплив клімату на тілесну і психічну конституцію людини [55]. У XVIII столітті географічний детермінізм дістав класичне оформлення в працях Шарля Луї де Монтеск’є, зокрема у «Дусі законів», де стверджується про вплив клімату на політичні інститути, звичаї і навіть типи правління [75].</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XIX–XX століттях ідеї географічної обумовленості дістали нове звучання в працях таких авторів, як Еллсворт Гантінґтон [56], Арнольд Тойнбі [96], Гелфорд Маккіндер [73]. Наприклад, осіле землеробське суспільство в родючих долинах має зовсім інший світогляд, ніж номадичне пастухове, що постійно мігрує, — від способу організації влади до розуміння простору, часу, закону й моралі.</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XX столітті географічний детермінізм зазнав критики за надмірну редуктивність і ігнорування соціокультурних чинників. Проте модифіковані форми цієї доктрини зберігають вплив. Зокрема, в працях Семюела Гантінґтона [57] аналізується, як культурні, релігійні та частково географічні чинники впливають на формування цивілізаційної ідентичності. Він розглядає «лінії розлому» між Західною та Східною цивілізаціями. Цей підхід відкриває можливість для інтерпретацій цивілізаційного поділу, зокрема між осілими християнськими культурами та кочовими або пост-степовими традиціями Сходу.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Таким чином, навіть великі культурні чи релігійні традиції як християнство, іслам та конфуціанство формуються в межах конкретного географічного контексту.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Наука є складним соціокогнітивним феноменом, який неможливо звести до простого набору фактів чи методів. Визначення науки — предмет тривалих дискусій у філософії та історії знання. Класичною є позиція Карла Поппера, який наголошував на фальсифікованості як критерії демаркації науки, тобто на здатності наукових теорій бути спростованими досвідом [84]. Водночас інші мислителі, як Томас Кун, показали, що наука — це не лише метод, а й соціальна практика з власними парадигмами, що змінюються у результаті наукових революцій [66]. Ці концепції свідчать про те, що наука — це динамічна система, яка формується під впливом культурних, історичних і соціальних чинників.</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 початку Нового часу наука стала ключовим фактором у формуванні світоустрою, пропонуючи емпіричні та раціональні моделі пізнання. Вона перетворилася на домінуючий спосіб осмислення світу, витісняючи міфологічні та релігійні наративи. Разом з тим, межі науки часто розмиваються: суспільні, політичні та економічні чинники впливають на те, які питання досліджуються і якими методами. Наука не існує в ізоляції від культури — навпаки, вона формує і формується нею.</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Сучасні дослідники підкреслюють плюралізм наукових методів і підходів. Наприклад, у природничих науках переважає експериментальна перевірка гіпотез, тоді як у соціальних науках більш поширені якісні методи, інтерпретативний аналіз та теоретичне моделювання. Важливим є також феномен наукового авторитету, коли окремі вчені чи школи стають культурними осередками, що впливають на ширше розуміння світу.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із значних викликів у вивченні науки є її відношення до інших форм знання, зокрема до релігії та філософії. Часто наука ототожнюється з «об'єктивною» реальністю, але філософи науки нагадують, що навіть наукові </w:t>
      </w:r>
      <w:r>
        <w:rPr>
          <w:rFonts w:ascii="Times New Roman" w:eastAsia="Times New Roman" w:hAnsi="Times New Roman" w:cs="Times New Roman"/>
          <w:sz w:val="28"/>
          <w:szCs w:val="28"/>
        </w:rPr>
        <w:lastRenderedPageBreak/>
        <w:t>концепти містять в собі історично-культурні конструкти. Наприклад, поняття «природа», «закон» або «всесвіт» змінювалися у залежності від епохи і культурного контексту [39].</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мова, культура і наука — це взаємопов’язані й водночас автономні сфери, які спільно формують унікальний спосіб сприйняття і осмислення світу кожною спільнотою. Мова не лише інструмент комунікації, а й спосіб структурувати досвід, задавати межі можливого мислення, хоча й не визначає його жорстко. Культура створює контекст і смислові орієнтири, які впливають на те, як люди бачать світ і себе в ньому, закріплюючи в традиціях, ритуалах і цінностях певні моделі реальності. Наука виступає динамічним інструментом пізнання, що продукує нові знання і змінює картини світу, проте ці знання завжди вплетені у конкретні історичні й соціокультурні умови [39].</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різні історичні епохи уявлення про те, що вважати наукою, суттєво змінювалося. Наприклад, у XVIII столітті серйозно розглядалися теорії флогістону або теплороду як пояснення фізичних явищ, які пізніше були відкинуті внаслідок розвитку хімії та термодинаміки [66]. Геоцентрична модель Всесвіту, домінуюча в античності та середньовіччі, поступилася геліоцентричній не лише через емпіричні спостереження, а й завдяки зміні парадигм мислення [40]. У сучасній філософії науки подібну ситуацію прогнозують щодо самого поняття «свідомості»: так, елімінаційні матеріалісти (наприклад, Пол Черчленд) вважають, що наше повсякденне уявлення про психіку як про внутрішню сутність («народна психологія») може бути повністю витіснене нейронауковими описами, як це сталося з флогістоном або ефіром [26].</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 підводить до ще однієї важливої риси науки — її історичної контингентності та залежності від культурного середовища. Те, які форми знання визнаються науковими, часто визначається не лише внутрішньою логікою дослідження, а й запитом суспільства, економіки, політики [40]. Відтак утверджується уявлення про науку як систему знань, що має приносити </w:t>
      </w:r>
      <w:r>
        <w:rPr>
          <w:rFonts w:ascii="Times New Roman" w:eastAsia="Times New Roman" w:hAnsi="Times New Roman" w:cs="Times New Roman"/>
          <w:sz w:val="28"/>
          <w:szCs w:val="28"/>
        </w:rPr>
        <w:lastRenderedPageBreak/>
        <w:t>практичну користь. У сучасному світі це особливо проявляється у зв’язку науки з технологією: знання визнаються «науковими», якщо вони ведуть до створення корисних технологій, економічного зиску чи стратегічної переваги [84].</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Таке утилітарне розуміння науки перегукується з класифікацією знань, запропонованою ще Арістотелем. Він поділяв знання на умоглядні (знання заради самого знання) та прикладні й поетичні, які спрямовані на благо, вигоду — прямим чи побічним чином [5, кн. I]. Сучасна наука часто тяжіє саме до прикладної моделі — домінування технологічного імперативу, де істинність знань виправдовується їхньою здатністю щось змінювати, створювати або оптимізувати.</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ставить під питання універсальність поняття «об’єктивної науки», адже те, що визнається наукою, залежить від історичного і культурного контексту. Мішель Фуко називає такі структурні одиниці «епістемами», які задають межі допустимого знання і визначають, які твердження можуть бути озвучені в тій чи іншій епосі [40]. Те, що ми називаємо «науковим», є результатом взаємодії інтелектуального, соціального й інституційного середовища.</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Уявлення про науку як нейтральний, об'єктивний і неупереджений шлях до істини — продукт епохи Просвітництва, яка поставила розум, універсальний метод і поступ у центр світоглядної парадигми. Це уявлення стало наслідком секуляризації християнської ідеї провидіння та лінійного часу: ідея поступу, накопичення знання й руху до «абсолютної істини» замінила релігійне очікування спасіння чи останнього суду [77; 95]. У XX столітті це уявлення розвинулося в логічний позитивізм, який намагався звести всі наукові висловлювання до верифікованих емпіричних тверджень [21].</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Такий прогресивістський наратив підкріплювався соціально-політичними структурами модерного світу: інституціоналізація науки, її зв’язок із індустріалізацією, війною, економікою та технологією створили ілюзію автономної «раціональної» сфери знання. Але як вказує Томас Кун, наука не </w:t>
      </w:r>
      <w:r>
        <w:rPr>
          <w:rFonts w:ascii="Times New Roman" w:eastAsia="Times New Roman" w:hAnsi="Times New Roman" w:cs="Times New Roman"/>
          <w:sz w:val="28"/>
          <w:szCs w:val="28"/>
        </w:rPr>
        <w:lastRenderedPageBreak/>
        <w:t>розвивається шляхом поступового наближення до істини, а радше через зміни парадигм — стрибкоподібні зсуви в базових уявленнях [66, с. 10–11]. А Фуко демонструє, що саме уявлення про «істину» і «розум» змінюється залежно від епістем — владних режимів знання, що керують тим, що взагалі можливо висловити в певну епоху [40].</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ні мова, ні наука, ні культура не є автономними, універсальними чи незалежними від історичного контексту. Вони не відображають реальність «як вона є», а формуються як інструменти упорядкування світу відповідно до потреб і структури конкретного середовища. Те, що вважається раціональним, істинним або цінним, змінюється разом із суспільними умовами, технологічними запитами, політичними режимами та домінуючими світоглядними установками [39; 66]. У цьому сенсі і мова, і наука, і культура — це не відображення, а наслідки: породження середовища, його втілені стратегії виживання, впорядкування й легітимації.</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2.2. Постмодерн і множинність картин світу: плюралізм чи розпад єдності? </w:t>
      </w:r>
      <w:r>
        <w:rPr>
          <w:rFonts w:ascii="Times New Roman" w:eastAsia="Times New Roman" w:hAnsi="Times New Roman" w:cs="Times New Roman"/>
          <w:sz w:val="28"/>
          <w:szCs w:val="28"/>
        </w:rPr>
        <w:t>Жан-Франсуа Ліотар у своїй ключовій роботі «Постмодерний стан» пропонує радикальне переосмислення ролі знання в сучасному світі. Він не просто фіксує кризу великих наративів, а показує, що ця криза є структурною характеристикою нашої епохи. Ліотар розглядає знання як «ігри мов» — множину локальних правил і практик, які не підкоряються універсальним нормам. У цьому сенсі «кінцева істина» втрачає сенс, а панує плюралізм малих наративів, кожен із яких має власний контекст і логіку. Такий підхід радикально змінює уявлення про пізнання, воно перестає бути лінійним і одноманітним, натомість стає фрагментованим і контекстуальним [70, с. 9–14].</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 деконструкції Дерріди не лише розкриває множинність значень, а й ставить під сумнів самі основи західної метафізики — пошук фіксованих істин, протиставлення бінарних опозицій, ідею стабільності тексту. Дерріда підкреслює, що значення ніколи не є остаточним, воно завжди відкрито до нескінченних інтерпретацій та «différance». Ця ідея безпосередньо впливає на </w:t>
      </w:r>
      <w:r>
        <w:rPr>
          <w:rFonts w:ascii="Times New Roman" w:eastAsia="Times New Roman" w:hAnsi="Times New Roman" w:cs="Times New Roman"/>
          <w:sz w:val="28"/>
          <w:szCs w:val="28"/>
        </w:rPr>
        <w:lastRenderedPageBreak/>
        <w:t>розуміння культурних текстів і знання як динамічного процесу, де не існує монополії на істину [32, с. 278–300].</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своїй праці «Смерть автора» Барт відстоює ідею, що авторський намір не є остаточним джерелом значення твору. Значення тексту виникає в процесі його сприйняття читачем, який сам творить сенси, орієнтуючись на власний культурний і соціальний контекст. Ця позиція підриває традиційне уявлення про текст як фіксований носій істини, відкриваючи безмежний простір для множинних інтерпретацій і деконструкції сенсів. У ширшому культурному контексті Барт досліджував міфи масової культури як системи знаків, що створюють ілюзії «природності» соціальних явищ. Він показав, що культурні коди формують наше сприйняття реальності, накладаючи символічні шари, які маскують соціальні ідеології. Таким чином, «картина світу» розглядається як продукт культурних міфів і знакових систем, а не як об’єктивна істина [12; 13].</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Бодрійар аналізує сучасне суспільство як світ, де реальність замінена її моделями і копіями — симулякрами, які втратили будь-який зв’язок із «реальним». У такому світі традиційні опори для формування картини світу руйнуються, бо замість оригіналу існують лише нескінченні копії, що породжують гіперреальність. Він показує, що у постмодерному культурному ландшафті межі між реальністю і її репрезентаціями розмиваються, що викликає глибоку кризу уявлень про істину, час і простір. Це означає, що «картина світу» втрачає стабільність, перетворюючись на плеяду образів і символів, які постійно трансформуються і не піддаються однозначній інтерпретації. Він критикує сучасне медіа та споживацьке суспільство, розкриваючи, як інформаційні потоки і культурні продукти створюють нові «реальності», що впливають на свідомість і світогляд людини [14].</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Жиль Дельоз та Фелікс Гваттарі, які часто виступають спільно, пропонують надзвичайно впливову концептуальну модель, що радикально відходить від традиційних форм мислення. Їхня ключова ідея — поняття «ризоми» як альтернативи ієрархічним, лінійним структурам знання і буття. </w:t>
      </w:r>
      <w:r>
        <w:rPr>
          <w:rFonts w:ascii="Times New Roman" w:eastAsia="Times New Roman" w:hAnsi="Times New Roman" w:cs="Times New Roman"/>
          <w:sz w:val="28"/>
          <w:szCs w:val="28"/>
        </w:rPr>
        <w:lastRenderedPageBreak/>
        <w:t>Ризома — це метафора нелінійної, децентралізованої, мережевої організації, яка відкидає єдині центри влади або авторитету. Вони вказують, що світ і знання не можна описати за допомогою жорстких систем, оскільки вони є складними, багатошаровими і взаємопов’язаними утвореннями, які постійно змінюються та розвиваються [29].</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Дельоз і Гваттарі відкидають класичні концепції «суб’єкта» як цілісної, автономної одиниці, натомість пропонуючи уявлення про множинний, розпорошений суб’єкт, який перебуває у стані постійної трансформації. У їхній роботі «Анти-Едіп» та «Тисяча плато» розкривається складний процес «детериторіалізації» і «ретериторіалізації», що описує рух зміщення та відновлення смислів і ідентичностей у культурі та суспільстві [29; 30]. Важливою складовою цього є поняття «шизофренії» — не як психічного розладу, а як метафори суспільного стану, що характеризується розпадом жорстких структур і розпорошенням сенсів. Вони описують «шизофренічне суспільство» як децентралізоване, динамічне, де ідеї, ідентичності та влада не закріплені жорстко, а перебувають у постійному русі, що відкриває простір для творчості, але також створює виклики у підтримці стабільності та цілісності [29, с. 57-65].</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 є також їхнє розуміння знання як потоку, що не підпорядковується традиційним ієрархіям і канонам. Дельоз і Гваттарі звертають увагу на те, що знання, культура і соціальні практики завжди перебувають у процесі динамічного переплетення, що виключає монополію на істину або владу. Цей плюралізм формує світ, у якому різні дискурси і смисли конкурують і співіснують, не підпорядковуючись єдиному центру чи метанаративу [30].</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Філософія Жан-Люка Нансі зосереджена на концепції «being-with», яке руйнує ідею автономного, ізольованого суб’єкта. Нансі заперечує класичне уявлення про індивіда як самодостатньої сутності, та стверджує, що буття </w:t>
      </w:r>
      <w:r>
        <w:rPr>
          <w:rFonts w:ascii="Times New Roman" w:eastAsia="Times New Roman" w:hAnsi="Times New Roman" w:cs="Times New Roman"/>
          <w:sz w:val="28"/>
          <w:szCs w:val="28"/>
        </w:rPr>
        <w:lastRenderedPageBreak/>
        <w:t>завжди є буттям із іншими. Світ існує як мережа відносин, де кожен суб’єкт — це завжди «другий», «інші» і «спільність» [76, с. 3–5].</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Нансі «картина світу» не є чимось закінченим, цілісним чи об’єктивним, вона — результат нескінченної взаємодії між суб’єктами, текстами, культурами і сенсами. Відтак «світ» постає як відкритий простір множинних голосів і перспектив, що співіснують і одночасно перебувають у напрузі. Таке бачення підсилює постмодерністський скепсис до єдиної, універсальної істини і пропонує радше плюралізм і відкритість, де зміст ідентичності і знання постійно перебувають у русі [76].</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філософія відкриває нові горизонти для розуміння суспільства як множини множин, де кожен суб’єкт вплітається у тканину взаємозалежностей і де картини світу є не стійкими конструкціями, а процесами, що розгортаються.</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Жак Лакан стверджує, що суб’єкт за своєю природою розділений — він не є цілісним і самодостатнім, а визначається через відсутність, нестачу та взаємодію із символічним порядком. У центрі його концепції — роль мови і символів як структури, що формує свідомість і несвідоме. Суб’єкт «народжується» у мові, і його ідентичність — це завжди результат процесів символізації, де неможливо знайти повної ідентичності чи істини. Суб’єкт є ефемерним і фрагментарним, адже він опиняється між означаючим і означуваним, де постійно виникає розрив [67].</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контексті формування картини світу це означає, що наші уявлення про світ і себе в ньому — це продукція символічних систем, які водночас конструюють і обмежують нашу можливість пізнання. Тобто «світ» і «я» — не абсолютні істини, а результат мовних та культурних конструктів, які постійно перебувають у зміні і множинності.</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Джудит Батлер, одна з найвпливовіших сучасних феміністських теоретикинь, пропонує радикальну інтерпретацію ідентичності через призму перформативності. Для Батлер ідентичність — не внутрішня, стабільна суть, а </w:t>
      </w:r>
      <w:r>
        <w:rPr>
          <w:rFonts w:ascii="Times New Roman" w:eastAsia="Times New Roman" w:hAnsi="Times New Roman" w:cs="Times New Roman"/>
          <w:sz w:val="28"/>
          <w:szCs w:val="28"/>
        </w:rPr>
        <w:lastRenderedPageBreak/>
        <w:t>результат повторюваних соціальних і мовних практик, які «виробляють» тіло і суб’єкта [19, розд. 1].</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Ідея перформативності руйнує уявлення про ідентичність як природжену або зафіксовану категорію. Замість цього Батлер показує, що наші гендерні ролі, соціальні статуси та навіть сприйняття світу є ефектом мовних актів, дискурсів, які повторюються і відтворюють соціальні норми. Зміна цих актів може призводити до трансформації самої ідентичності, відкриваючи можливість множинності, альтернатив і субверсії усталених норм.</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площині формування картини світу Батлер підкреслює, що різні групи, спільноти і суб’єкти створюють власні системи значень, які не можна звести до єдиного домінуючого наративу. Її підхід ставить під сумнів монополію на істину і демонструє, що реальність формується у процесі суспільної взаємодії та мовної продукції, де кожен голос може стати джерелом нових сенсів [19].</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Постмодерністська філософія радикально переглядає традиційні уявлення про знання, суб’єктність і час, ставлячи під сумнів усталені великі наративи та абсолютні істини. Знання розглядається не як універсальна, стабільна категорія, а як продукт конкретних історичних, культурних і соціальних контекстів, пов’язаний із владою та дискурсами, що постійно змінюються. У цьому ключі постмодерністи підривають лінійне, прогресивне бачення часу як одного з метанаративів, що передбачає один правильний, послідовний розвиток історії та знання, цим самим відкриваючи простір для множинності смислів, фрагментарності та неоднозначності.</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радикальне заперечення універсальності й лінійності одночасно дає можливість звернути увагу на інші способи розуміння світу, зокрема ті, що базуються на циклічних уявленнях про час і тісному зв’язку людини з природою. Саме такі підходи, що знаходять відображення в географічному детермінізмі та традиційних світоглядних моделях, таких як язичництво, акцентують увагу на конкретних просторово-часових умовах існування людини.</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цьому сенсі язичництво можна розглядати як крайню, радикальну форму географічного детермінізму — світогляд, що приймає циклічність часу та залежність життя від природних циклів і локальних контекстів. Постмодерн, будучи нігілістичною і елімінаційною лінзою, руйнує старі монолітні структури знання і суб’єктності, одночасно відкриваючи шлях до переосмислення цих радикальних, альтернативних форм мислення. Тож, постмодерн не лише деконструює традиційні великі наративи, а й створює умови для повернення і переосмислення язичницьких світоглядів як відповіді на виклики сучасності — як способу синтезувати множинність знань із конкретними просторово-часовими реаліями, усвідомленням циклічності та немонолітності світу.</w:t>
      </w:r>
    </w:p>
    <w:p w:rsidR="00F71741" w:rsidRDefault="00F71741">
      <w:pPr>
        <w:pStyle w:val="normal"/>
        <w:spacing w:line="360" w:lineRule="auto"/>
        <w:ind w:firstLine="720"/>
        <w:jc w:val="both"/>
        <w:rPr>
          <w:rFonts w:ascii="Times New Roman" w:eastAsia="Times New Roman" w:hAnsi="Times New Roman" w:cs="Times New Roman"/>
          <w:sz w:val="28"/>
          <w:szCs w:val="28"/>
        </w:rPr>
      </w:pPr>
    </w:p>
    <w:p w:rsidR="00F71741" w:rsidRDefault="00F71741">
      <w:pPr>
        <w:pStyle w:val="normal"/>
        <w:spacing w:line="360" w:lineRule="auto"/>
        <w:ind w:firstLine="720"/>
        <w:jc w:val="both"/>
        <w:rPr>
          <w:rFonts w:ascii="Times New Roman" w:eastAsia="Times New Roman" w:hAnsi="Times New Roman" w:cs="Times New Roman"/>
          <w:sz w:val="28"/>
          <w:szCs w:val="28"/>
        </w:rPr>
      </w:pPr>
    </w:p>
    <w:p w:rsidR="00F71741" w:rsidRDefault="00F71741">
      <w:pPr>
        <w:pStyle w:val="normal"/>
        <w:spacing w:line="360" w:lineRule="auto"/>
        <w:ind w:firstLine="720"/>
        <w:jc w:val="both"/>
        <w:rPr>
          <w:rFonts w:ascii="Times New Roman" w:eastAsia="Times New Roman" w:hAnsi="Times New Roman" w:cs="Times New Roman"/>
          <w:sz w:val="28"/>
          <w:szCs w:val="28"/>
        </w:rPr>
      </w:pPr>
    </w:p>
    <w:p w:rsidR="00F71741" w:rsidRDefault="00F71741">
      <w:pPr>
        <w:pStyle w:val="normal"/>
        <w:spacing w:line="360" w:lineRule="auto"/>
        <w:ind w:firstLine="720"/>
        <w:jc w:val="both"/>
        <w:rPr>
          <w:rFonts w:ascii="Times New Roman" w:eastAsia="Times New Roman" w:hAnsi="Times New Roman" w:cs="Times New Roman"/>
          <w:sz w:val="28"/>
          <w:szCs w:val="28"/>
        </w:rPr>
      </w:pPr>
    </w:p>
    <w:p w:rsidR="00F71741" w:rsidRDefault="00F71741">
      <w:pPr>
        <w:pStyle w:val="normal"/>
        <w:spacing w:line="360" w:lineRule="auto"/>
        <w:ind w:firstLine="720"/>
        <w:jc w:val="both"/>
        <w:rPr>
          <w:rFonts w:ascii="Times New Roman" w:eastAsia="Times New Roman" w:hAnsi="Times New Roman" w:cs="Times New Roman"/>
          <w:sz w:val="28"/>
          <w:szCs w:val="28"/>
        </w:rPr>
      </w:pPr>
    </w:p>
    <w:p w:rsidR="00F71741" w:rsidRDefault="00F71741">
      <w:pPr>
        <w:pStyle w:val="normal"/>
        <w:spacing w:line="360" w:lineRule="auto"/>
        <w:ind w:firstLine="720"/>
        <w:jc w:val="both"/>
        <w:rPr>
          <w:rFonts w:ascii="Times New Roman" w:eastAsia="Times New Roman" w:hAnsi="Times New Roman" w:cs="Times New Roman"/>
          <w:sz w:val="28"/>
          <w:szCs w:val="28"/>
        </w:rPr>
      </w:pPr>
    </w:p>
    <w:p w:rsidR="00F71741" w:rsidRDefault="00F71741">
      <w:pPr>
        <w:pStyle w:val="normal"/>
        <w:spacing w:line="360" w:lineRule="auto"/>
        <w:ind w:firstLine="720"/>
        <w:jc w:val="both"/>
        <w:rPr>
          <w:rFonts w:ascii="Times New Roman" w:eastAsia="Times New Roman" w:hAnsi="Times New Roman" w:cs="Times New Roman"/>
          <w:sz w:val="28"/>
          <w:szCs w:val="28"/>
        </w:rPr>
      </w:pPr>
    </w:p>
    <w:p w:rsidR="00F71741" w:rsidRDefault="00F71741">
      <w:pPr>
        <w:pStyle w:val="normal"/>
        <w:spacing w:line="360" w:lineRule="auto"/>
        <w:ind w:firstLine="720"/>
        <w:jc w:val="both"/>
        <w:rPr>
          <w:rFonts w:ascii="Times New Roman" w:eastAsia="Times New Roman" w:hAnsi="Times New Roman" w:cs="Times New Roman"/>
          <w:sz w:val="28"/>
          <w:szCs w:val="28"/>
        </w:rPr>
      </w:pPr>
    </w:p>
    <w:p w:rsidR="00F71741" w:rsidRDefault="00F71741">
      <w:pPr>
        <w:pStyle w:val="normal"/>
        <w:spacing w:line="360" w:lineRule="auto"/>
        <w:ind w:firstLine="720"/>
        <w:jc w:val="both"/>
        <w:rPr>
          <w:rFonts w:ascii="Times New Roman" w:eastAsia="Times New Roman" w:hAnsi="Times New Roman" w:cs="Times New Roman"/>
          <w:sz w:val="28"/>
          <w:szCs w:val="28"/>
        </w:rPr>
      </w:pPr>
    </w:p>
    <w:p w:rsidR="00F71741" w:rsidRDefault="00F71741">
      <w:pPr>
        <w:pStyle w:val="normal"/>
        <w:spacing w:line="360" w:lineRule="auto"/>
        <w:ind w:firstLine="720"/>
        <w:jc w:val="both"/>
        <w:rPr>
          <w:rFonts w:ascii="Times New Roman" w:eastAsia="Times New Roman" w:hAnsi="Times New Roman" w:cs="Times New Roman"/>
          <w:sz w:val="28"/>
          <w:szCs w:val="28"/>
        </w:rPr>
      </w:pPr>
    </w:p>
    <w:p w:rsidR="00F71741" w:rsidRDefault="00F71741">
      <w:pPr>
        <w:pStyle w:val="normal"/>
        <w:spacing w:line="360" w:lineRule="auto"/>
        <w:ind w:firstLine="720"/>
        <w:jc w:val="both"/>
        <w:rPr>
          <w:rFonts w:ascii="Times New Roman" w:eastAsia="Times New Roman" w:hAnsi="Times New Roman" w:cs="Times New Roman"/>
          <w:sz w:val="28"/>
          <w:szCs w:val="28"/>
        </w:rPr>
      </w:pPr>
    </w:p>
    <w:p w:rsidR="00F71741" w:rsidRDefault="00F71741">
      <w:pPr>
        <w:pStyle w:val="normal"/>
        <w:spacing w:line="360" w:lineRule="auto"/>
        <w:ind w:firstLine="720"/>
        <w:jc w:val="both"/>
        <w:rPr>
          <w:rFonts w:ascii="Times New Roman" w:eastAsia="Times New Roman" w:hAnsi="Times New Roman" w:cs="Times New Roman"/>
          <w:sz w:val="28"/>
          <w:szCs w:val="28"/>
        </w:rPr>
      </w:pPr>
    </w:p>
    <w:p w:rsidR="00F71741" w:rsidRDefault="00F71741">
      <w:pPr>
        <w:pStyle w:val="normal"/>
        <w:spacing w:line="360" w:lineRule="auto"/>
        <w:ind w:firstLine="720"/>
        <w:jc w:val="both"/>
        <w:rPr>
          <w:rFonts w:ascii="Times New Roman" w:eastAsia="Times New Roman" w:hAnsi="Times New Roman" w:cs="Times New Roman"/>
          <w:sz w:val="28"/>
          <w:szCs w:val="28"/>
        </w:rPr>
      </w:pPr>
    </w:p>
    <w:p w:rsidR="00F71741" w:rsidRDefault="00F71741">
      <w:pPr>
        <w:pStyle w:val="normal"/>
        <w:spacing w:line="360" w:lineRule="auto"/>
        <w:ind w:firstLine="720"/>
        <w:jc w:val="both"/>
        <w:rPr>
          <w:rFonts w:ascii="Times New Roman" w:eastAsia="Times New Roman" w:hAnsi="Times New Roman" w:cs="Times New Roman"/>
          <w:sz w:val="28"/>
          <w:szCs w:val="28"/>
        </w:rPr>
      </w:pPr>
    </w:p>
    <w:p w:rsidR="00F71741" w:rsidRDefault="00F71741">
      <w:pPr>
        <w:pStyle w:val="normal"/>
        <w:spacing w:line="360" w:lineRule="auto"/>
        <w:ind w:firstLine="720"/>
        <w:jc w:val="both"/>
        <w:rPr>
          <w:rFonts w:ascii="Times New Roman" w:eastAsia="Times New Roman" w:hAnsi="Times New Roman" w:cs="Times New Roman"/>
          <w:sz w:val="28"/>
          <w:szCs w:val="28"/>
        </w:rPr>
      </w:pPr>
    </w:p>
    <w:p w:rsidR="00F71741" w:rsidRDefault="00F71741">
      <w:pPr>
        <w:pStyle w:val="normal"/>
        <w:spacing w:line="360" w:lineRule="auto"/>
        <w:jc w:val="both"/>
        <w:rPr>
          <w:rFonts w:ascii="Times New Roman" w:eastAsia="Times New Roman" w:hAnsi="Times New Roman" w:cs="Times New Roman"/>
          <w:sz w:val="28"/>
          <w:szCs w:val="28"/>
        </w:rPr>
      </w:pPr>
    </w:p>
    <w:p w:rsidR="00F71741" w:rsidRDefault="00F71741">
      <w:pPr>
        <w:pStyle w:val="normal"/>
        <w:spacing w:line="360" w:lineRule="auto"/>
        <w:jc w:val="both"/>
        <w:rPr>
          <w:rFonts w:ascii="Times New Roman" w:eastAsia="Times New Roman" w:hAnsi="Times New Roman" w:cs="Times New Roman"/>
          <w:sz w:val="28"/>
          <w:szCs w:val="28"/>
        </w:rPr>
      </w:pPr>
    </w:p>
    <w:p w:rsidR="00F71741" w:rsidRDefault="00F71741">
      <w:pPr>
        <w:pStyle w:val="normal"/>
        <w:spacing w:line="360" w:lineRule="auto"/>
        <w:jc w:val="both"/>
        <w:rPr>
          <w:rFonts w:ascii="Times New Roman" w:eastAsia="Times New Roman" w:hAnsi="Times New Roman" w:cs="Times New Roman"/>
          <w:sz w:val="28"/>
          <w:szCs w:val="28"/>
        </w:rPr>
      </w:pPr>
    </w:p>
    <w:p w:rsidR="008A124F" w:rsidRDefault="008A124F">
      <w:pPr>
        <w:pStyle w:val="normal"/>
        <w:spacing w:line="360" w:lineRule="auto"/>
        <w:ind w:firstLine="720"/>
        <w:jc w:val="center"/>
        <w:rPr>
          <w:rFonts w:ascii="Times New Roman" w:eastAsia="Times New Roman" w:hAnsi="Times New Roman" w:cs="Times New Roman"/>
          <w:b/>
          <w:sz w:val="28"/>
          <w:szCs w:val="28"/>
          <w:lang w:val="uk-UA"/>
        </w:rPr>
      </w:pPr>
    </w:p>
    <w:p w:rsidR="00F71741" w:rsidRDefault="00303DB6">
      <w:pPr>
        <w:pStyle w:val="normal"/>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3</w:t>
      </w:r>
    </w:p>
    <w:p w:rsidR="00F71741" w:rsidRDefault="00303DB6">
      <w:pPr>
        <w:pStyle w:val="normal"/>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РЕЛІГІЯ, ЯЗИЧНИЦТВО І НІГІЛІЗМ У СТРУКТУРАХ СВІТОГЛЯДНОЇ КАРТИНИ</w:t>
      </w:r>
    </w:p>
    <w:p w:rsidR="00F71741" w:rsidRDefault="00F71741">
      <w:pPr>
        <w:pStyle w:val="normal"/>
        <w:spacing w:line="360" w:lineRule="auto"/>
        <w:ind w:firstLine="720"/>
        <w:jc w:val="center"/>
        <w:rPr>
          <w:rFonts w:ascii="Times New Roman" w:eastAsia="Times New Roman" w:hAnsi="Times New Roman" w:cs="Times New Roman"/>
          <w:b/>
          <w:sz w:val="28"/>
          <w:szCs w:val="28"/>
        </w:rPr>
      </w:pP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3.1. Роль релігії у формуванні картини світу: теїстичні й неотеїстичні моделі. </w:t>
      </w:r>
      <w:r>
        <w:rPr>
          <w:rFonts w:ascii="Times New Roman" w:eastAsia="Times New Roman" w:hAnsi="Times New Roman" w:cs="Times New Roman"/>
          <w:sz w:val="28"/>
          <w:szCs w:val="28"/>
        </w:rPr>
        <w:t>Людина не обирає — бути їй релігійною чи ні. Це хибна дихотомія, сформована свідомістю модерну. Релігійність — це не про декларацію віри, не про самоідентифікацію, а про практику, тобто про спосіб життя, набір дій, звичок і життєвих рішень [6]. Саме тому всі люди — релігійні, бо всі мають цінності, а будь-яка система цінностей є по суті своєрідною релігією.</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Покладаючись на слова у питанні визначення релігійної належності людини, ми змушені спиратися на чужу заявлену інтенцію. Сама по собі інтенція ненадійна: людина може помилятися у власних намірах або хибно формулювати свої переконання. Крім того, ця інтенція — заявлена, а отже, може бути спотворена в процесі артикуляції. І найголовніше — для дослідника вона залишається чужою. Отже, єдине, на що можна чесно спиратись — це ортопрактика: вчинки, поведінка, вибір. Лише через них можна зробити висновок, чи є особа ближчою до того чи іншого типу релігійності.</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якщо поведінку людини можна описати формулами «підстав другу щоку», «прощай ворогів» чи «легше верблюдові пролізти крізь вушко голки, ніж багатому ввійти в царство Боже», то перед нами — християнин, навіть якщо він так себе не називає. Якщо ж у основі її дій не лежать певні універсалії, жертовність, почуття провини за тілесні насолоди, зосередженість на потойбічному замість життя тут і зараз, а натомість простежується орієнтація на силу, радість і присутність у світі — це вже тяжіє до язичницького способу світовідчуття [16]. В обох випадках маємо справу з релігією як формою буттєвого вибору, а не лише з вірою в Бога або богів.</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Позиція атеїзму як «невіри в Бога» не витримує критичного аналізу вже хоча б тому, що під словом «Бог» зазвичай мається на увазі лише конкретна </w:t>
      </w:r>
      <w:r>
        <w:rPr>
          <w:rFonts w:ascii="Times New Roman" w:eastAsia="Times New Roman" w:hAnsi="Times New Roman" w:cs="Times New Roman"/>
          <w:sz w:val="28"/>
          <w:szCs w:val="28"/>
        </w:rPr>
        <w:lastRenderedPageBreak/>
        <w:t>версія — як правило, християнська. Якщо ж уточнити, що мається на увазі «невіра в усіх богів усіх релігій», виникає інше питання: звідки така впевненість, якщо більшість так званих атеїстів не знає навіть кількох релігійних традицій, аби з відповідальністю їх заперечити? Тож атеїзм у цьому сенсі — не обґрунтована позиція, а радше реакція на конкретну культурну парадигму.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того ж, існують атеїстичні релігії — наприклад, певні течії буддизму, конфуціанства чи даосизму — і водночас мало хто з європейських атеїстів визнає носіїв цих традицій за «своїх». Це свідчить, що поняття «атеїзму» радше позначає опозицію до західного теїзму, ніж справжню відмову від релігійного мислення як такого.</w:t>
      </w:r>
    </w:p>
    <w:p w:rsidR="00F71741" w:rsidRDefault="00303DB6">
      <w:pPr>
        <w:pStyle w:val="normal"/>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Насправді, цілковита відмова від релігії неможлива: те, що ми називаємо «релігією», — це не лише віра в надприродне, а структура смислів, цінностей, практик і орієнтацій, які визначають буттєву позицію людини [52; 68]. </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Релігія — це насамперед спосіб структурування дійсності, вкорінений у міфі [37]. Передусім, міф виконує функцію передачі традиції — він є способом, яким спільнота закріплює свої уявлення про порядок речей, мораль, цінності, ритуали, звичаї, тобто форму буття в світі [101]. Але ця передача не є суто інформативною чи історичною — вона завжди онтологічна, бо формує уявлення про те, що є реальним, що має сенс, що належить до істинного порядку речей. Для міфу важливе не «як саме» щось відбулося, а </w:t>
      </w:r>
      <w:r>
        <w:rPr>
          <w:rFonts w:ascii="Times New Roman" w:eastAsia="Times New Roman" w:hAnsi="Times New Roman" w:cs="Times New Roman"/>
          <w:i/>
          <w:sz w:val="28"/>
          <w:szCs w:val="28"/>
        </w:rPr>
        <w:t>чому і навіщо</w:t>
      </w:r>
      <w:r>
        <w:rPr>
          <w:rFonts w:ascii="Times New Roman" w:eastAsia="Times New Roman" w:hAnsi="Times New Roman" w:cs="Times New Roman"/>
          <w:sz w:val="28"/>
          <w:szCs w:val="28"/>
        </w:rPr>
        <w:t xml:space="preserve"> — причина подій завжди лежить у сфері сакрального порядку (воля богів, прокляття, гріх, ритуальна помилка).</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Міф вводить ідею вищого і нижчого буття — світ богів, духів, предків, героїв онтологічно вищий за світ буденності. Цим самим міф формує ієрархічну модель реальності, де речі набувають смислу не через утилітарність, а через зв’язок із сакральним. Він не просто описує, а засновує порядок буття, встановлює межі дозволеного, типи дій, що зберігають або руйнують космічну рівновагу [80]. Саме це дозволяє наступним поколінням жити не як випадкові </w:t>
      </w:r>
      <w:r>
        <w:rPr>
          <w:rFonts w:ascii="Times New Roman" w:eastAsia="Times New Roman" w:hAnsi="Times New Roman" w:cs="Times New Roman"/>
          <w:sz w:val="28"/>
          <w:szCs w:val="28"/>
        </w:rPr>
        <w:lastRenderedPageBreak/>
        <w:t>індивіди, а як носії певного способу буття, вписаного у глибшу, ієрархічну структуру реальності. У цьому сенсі міф не є лише наративом, а практикою — його істинність не перевіряється доказами, а розкривається в життєвому досвіді, у ритуалі, у поведінці [77]. Наприклад, міф про героїчну жертву чи оновлення світу через хаос не потребує «доказів» — він стає дійсністю через повторення, втілення, перетворення індивідуального досвіду в архетипічний.</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3.2. Язичницька картина світу як альтернатива модерністському раціоналізму. </w:t>
      </w:r>
      <w:r>
        <w:rPr>
          <w:rFonts w:ascii="Times New Roman" w:eastAsia="Times New Roman" w:hAnsi="Times New Roman" w:cs="Times New Roman"/>
          <w:sz w:val="28"/>
          <w:szCs w:val="28"/>
        </w:rPr>
        <w:t>Світоглядні системи язичництва та християнства по-різному організовують уявлення про час і життя, що формує фундаментальне протиставлення між віталізмом і морталізмом.</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традиційному язичництві панує уявлення циклічного часу — світ безкінечно повторюється, повертаються сезони, дні і ночі, життя і смерть перебувають у безперервному колі [34]. Такий світогляд віталізму орієнтує людину на повноту життя тут і зараз. Якщо все відбувається знову і знову, а я знову опинюся у цій самій ситуації нескінченну кількість разів, то немає сенсу відкладати радість і задоволення на потім. Навпаки, необхідно насолоджуватися життям, приймати його цикли і відчувати гармонію з природою та всесвітом.</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Циклічний час у язичництві — це час активної участі в життєвому процесі, відчуття сили і оновлення, де кожен момент має свою цінність і неповторність. Віталізм підкреслює потребу в реалізації потенціалу життя, свідоме прийняття радості і болю, визнання смертності як частини життєвого циклу, а не як кінця.</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Натомість християнство пропонує лінійне розуміння часу, в якому існує початок і остаточний кінець — життя людини унікальне і одноразове, після якого настає вічне життя або вічна смерть. Цей світогляд базується на морталізмі — ідеї умертвлення, відмови від земних задоволень і зосередженості на вічній нагороді після смерті. Краще зараз утримуватися від можливого, </w:t>
      </w:r>
      <w:r>
        <w:rPr>
          <w:rFonts w:ascii="Times New Roman" w:eastAsia="Times New Roman" w:hAnsi="Times New Roman" w:cs="Times New Roman"/>
          <w:sz w:val="28"/>
          <w:szCs w:val="28"/>
        </w:rPr>
        <w:lastRenderedPageBreak/>
        <w:t>відкладати свої бажання і страждання, щоб отримати вищу винагороду в майбутньому, у потойбічному світі.</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наголосити, що циклічність часу в язичництві — це передусім свято життя, що безперервно відтворюється з покоління в покоління. Цей час сповнений оновленням, радощами і болем, які разом утворюють гармонійне коло, де життя продовжується через спадкоємність і відтворення світу. Такий віталістичний підхід орієнтований на збереження і примноження життєвої сили у безперервній послідовності.</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Натомість у буддизмі теж присутня ідея безкінечного повторення життя і смерті, але цикл сансари не є святом життя, а навпаки — джерелом страждання, якого прагнуть позбутися. Буддизм ставить за мету розірвати це коло, досягти нірвани — стану звільнення від сансари і земних зв’язків. Таким чином, циклічність у буддизмі — це не віталізм, а форма більш радикального морталізму, що прагне завершення життя як нескінченного повторення і страждання.</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Світоглядна відмінність між традиційним язичництвом та монотеїстичними релігіями найбільш яскраво проявляється у космогонії — способі мислення про походження світу. Якщо християнська чи ісламічна модель передбачає творення світу з нічого (creatio ex nihilo) всемогутнім Богом, то у язичницьких традиціях космос виникає не як результат акту творіння, а як форма упорядкування вже існуючої стихійної дійсності. Саме тому язичницькі космогонії можна назвати імманентними: буття не створюється ззовні, воно існує завжди і розгортається вічно, зсередини самого себе.</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скандинавській </w:t>
      </w:r>
      <w:r>
        <w:rPr>
          <w:rFonts w:ascii="Times New Roman" w:eastAsia="Times New Roman" w:hAnsi="Times New Roman" w:cs="Times New Roman"/>
          <w:i/>
          <w:sz w:val="28"/>
          <w:szCs w:val="28"/>
        </w:rPr>
        <w:t>Старшій Едді</w:t>
      </w:r>
      <w:r>
        <w:rPr>
          <w:rFonts w:ascii="Times New Roman" w:eastAsia="Times New Roman" w:hAnsi="Times New Roman" w:cs="Times New Roman"/>
          <w:sz w:val="28"/>
          <w:szCs w:val="28"/>
        </w:rPr>
        <w:t xml:space="preserve"> початок світу описується через зіткнення двох первинних стихій — вогню Муспельгейму та криги Ніфльгейму. У безодні Ґіннунґаґап з цього зіткнення постає перша істота — велетень Імір, а з нього вже походять і боги, і сам світ. Це не творіння у моральному чи теологічному сенсі — це органічне породження, спонтанне саморозгортання буття, де божественне є частиною природи, а не її володарем. Імманентність такого </w:t>
      </w:r>
      <w:r>
        <w:rPr>
          <w:rFonts w:ascii="Times New Roman" w:eastAsia="Times New Roman" w:hAnsi="Times New Roman" w:cs="Times New Roman"/>
          <w:sz w:val="28"/>
          <w:szCs w:val="28"/>
        </w:rPr>
        <w:lastRenderedPageBreak/>
        <w:t>світогляду полягає у відсутності трансцендентного принципу: немає зовнішньої волі, яка керує подіями — є лише внутрішній порядок стихій.</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Аналогічні риси бачимо в античній грецькій традиції. У Гесіода світ постає з Хаосу — не з небуття, а з початкової невпорядкованості. Хаос породжує Гею (Землю), Тартар, Ероса — тобто основи буття, структуру і потяг. Космос у грецькій традиції — це не результат розпорядження надприродного законодавця, а радше впорядкування того, що завжди було. Навіть Олімпійські боги — Зевс, Гера, Посейдон — виникають у межах вже існуючого всесвіту, а не над ним. Вони не творять світ, вони — його частина, його втілення, його форма.</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Імманентна космогонія засновує специфічне ставлення до світу: природа не є ворожою чи підпорядкованою, а єдине ціле з людиною. У язичницькому світогляді людина не була «вінець творіння», а скоріше — одна з ланок у великому ланцюгу сил, що оживляють космос. Із цього випливає не лише онтологічна єдність з природою, а й етична настанова: шанування, співжиття, гармонія.</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Така картина світу разюче контрастує з християнським баченням: там світ лише тимчасова сцена, створена Богом для реалізації спасіння душі, а природа — часто лише фон для моральної драми. У язичництві ж — природа є сама драмою і самою сценою, а людина — її гравець, а не глядач.</w:t>
      </w:r>
    </w:p>
    <w:p w:rsidR="00F71741" w:rsidRDefault="00303DB6">
      <w:pPr>
        <w:pStyle w:val="normal"/>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Отже, язичницькі космогонії — і в скандинавській, і в античній формі — це світогляди імманентного буття, в яких божественне постає зсередини природи, а не панує над нею. І ця глибинна онтологічна установка формує і віталізм язичницького часу, і циклічність буття, і сакральність життя в усіх його формах.</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Однією з ключових відмінностей язичницької картини світу є її несприйняття універсалій як чогось онтологічно обов’язкового. Якщо авраамічні та модерністські світогляди передбачають існування сталих моральних імперативів, логічних законів або абсолютних метафізичних істин, </w:t>
      </w:r>
      <w:r>
        <w:rPr>
          <w:rFonts w:ascii="Times New Roman" w:eastAsia="Times New Roman" w:hAnsi="Times New Roman" w:cs="Times New Roman"/>
          <w:sz w:val="28"/>
          <w:szCs w:val="28"/>
        </w:rPr>
        <w:lastRenderedPageBreak/>
        <w:t>то язичницьке мислення виходить з іншого онтологічного підґрунтя — мінливості буття як такої. У цьому сенсі язичництво — це не лише релігія чи міфологія, а певна структура буття, яка не передбачає жодного морального чи пізнавального універсуму.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Кант, хоч і залишався прихильником універсального морального імперативу, справедливо вказував на хибність метафізичних спекуляцій, що виходять за межі можливого досвіду [62]. Цю кантівську критику можна радикалізувати: адже будь-яке універсальне твердження — це завжди претензія охопити світ цілком, включно з тим, що ще не сталося. Якщо ми визнаємо, що наш досвід обмежений і змінний, то чому наполягаємо на існуванні незмінних моральних чи онтологічних законів? Адже чи не є так, що кожне категоричне судження неявно припускає незмінність світу — ніби він уже весь осягнутий і відомий? </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Дефляціоністське розуміння істини, етичний нігілізм і заперечення природних прав саме тут повертають нас до погляду, ближчого до язичницької змінності — до буття без абсолютизації, до життя, в якому реальність не підпорядковується фіксованим словам і схемам, а вимагає гнучкої співзвучності з нею. </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язичницькому мисленні немає нічого вічного, окрім самої зміни. Боги можуть померти. Закони можуть змінитись. Космос може загинути і знову народитись. У цьому горизонті абсолют втрачає сенс. Це не песимізм, а звільнення: буття більше не потрібно підганяти під абстракцію.</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цих позицій нігілізм постає не як заперечення життя, а як очищення від універсалістських ілюзій. Це відмова від віри в те, що слова мають владу над світом. Це повернення до природного, плинного, емпіричного буття, в якому не існує абсолютних імперативів, а є тільки здатність жити у відповідності до світу, який є. У цьому сенсі нігілізм стає формою «онтологічного смирення» перед дійсністю.</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Язичницький світогляд ніколи не потребував метафізичних універсалій, щоб жити у злагоді з космосом. Людина в ньому — не носій обов’язкової природи чи морального призначення, а гравець у змінному світі, який треба не контролювати, а розуміти, відчувати і приймати. Врешті-решт, повернення до язичництва — це не реставрація релігійних форм, а реконструкція самої антропологічної установки: здатності жити без апеляції до універсального, бути собою в живому світі, який не зобов’язаний нічим — навіть самому собі.</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3.3. Нігілізм як розвінчання універсалій та шлях до онтологічної чесності. </w:t>
      </w:r>
      <w:r>
        <w:rPr>
          <w:rFonts w:ascii="Times New Roman" w:eastAsia="Times New Roman" w:hAnsi="Times New Roman" w:cs="Times New Roman"/>
          <w:sz w:val="28"/>
          <w:szCs w:val="28"/>
        </w:rPr>
        <w:t>Нігілізм у Ніцше та Гайдегґера є не катастрофою, а симптомом і передумовою глибокого зрушення у способі мислення і буття. Обидва мислителі, хоч і розходяться у термінах і цілях, сходяться у критиці основ західної метафізики, в якій вони вбачають джерело відчуження людини від реальності. Вони піддають ревізії саму ідею істини, моралі та універсального, оголюючи в них історично зумовлені конструкції, які втратили свою життєздатність.</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Ніцше нігілізм — це результат розкладу всіх «вищих цінностей», тих абстрактних фікцій, які століттями забезпечували орієнтацію людини в світі: християнський Бог, моральний закон, об’єктивна істина, ідеї Платона, телеологічний сенс історії. Ці фікції більше не працюють: вони втратили силу переконання, але ще не зникли з культурного горизонту. Людство, за Ніцше, переживає перехідну фазу «пасивного нігілізму», в якій старі істини вже мертві, а нові ще не народилися. У цьому сенсі нігілізм — не просто заперечення, а діагноз: свідчення того, що стара структура сенсу вичерпала себе [77].</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Ніцше наполягає, що істина ніколи не була чимось абсолютним — це лише мобілізована метафора, ілюзія, яку ми забули як ілюзію. Саме моральна структура, побудована на фікції об'єктивного добра, є, на його думку, механізмом придушення життя. Християнська мораль — це «мораль рабів», яка вивищує слабкість, заздрість, покору, і відкидає все сильне, тілесне, афірмативне. Тому нігілізм, з одного боку, виявляє гнилизну цих конструкцій, а </w:t>
      </w:r>
      <w:r>
        <w:rPr>
          <w:rFonts w:ascii="Times New Roman" w:eastAsia="Times New Roman" w:hAnsi="Times New Roman" w:cs="Times New Roman"/>
          <w:sz w:val="28"/>
          <w:szCs w:val="28"/>
        </w:rPr>
        <w:lastRenderedPageBreak/>
        <w:t>з іншого — відкриває шлях до «переоцінки цінностей» — відмови від ідеалів розпаду на користь повернення до життєстверджувального буття. У цьому він надзвичайно близький до язичницького розуміння життя як множинного, тілесного, радісного, змінного.</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Гайдегґер, своєю чергою, бачить у нігілізмі завершення західної метафізики, яка, починаючи з Платона, зосереджувалась на тому, що є сталим, присутнім, підлеглим раціональному поняттю. Він називає це «забуттям буття» — тобто ігноруванням самого способу, в який буття відкривається людині, замість цього підставляючи під нього фіксовану схему сущого [52]. Поняття буття редукується до об'єкта, категорії, функції — до того, що можна розрахувати, виміряти, підпорядкувати. Це ж саме стосується і моралі: мораль виступає як система заздалегідь визначених істин про добро і зло, що унеможливлює відкритість буттю в його історичній і подієвій непередбачуваності.</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Гайдегґера подолання нігілізму не означає створення нової системи цінностей чи нової метафізики, а повернення до первинного досвіду буття — до Dasein, до «буття-у-світі», яке є відкритим, тимчасовим, вкинутим, здатним запитувати. Це мислення без опори на моральні або логічні універсалії. Це спосіб бути, що відмовляється від ілюзії тотального знання, і натомість приймає обмеженість, конкретність, кінцівку. Саме тут виявляється подібність з поглядом традиційного язичника, який не потребує метафізичних обґрунтувань, а живе в ритмі часу, в гармонії зі світом, не намагаючись підпорядкувати його абстракціям.</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такому світлі нігілізм постає не як руйнація, а як очищення. Це завершення епохи моральних фікцій, де життя оцінюється через зовнішню нормативність, і перехід до буття, яке не намагається відповідати ідеалам. Це не відмова від сенсу, а його повернення в ґрунт існування. Життя в умовах нігілізму — це життя без ілюзій, у постійній відкритості до змінного світу, в </w:t>
      </w:r>
      <w:r>
        <w:rPr>
          <w:rFonts w:ascii="Times New Roman" w:eastAsia="Times New Roman" w:hAnsi="Times New Roman" w:cs="Times New Roman"/>
          <w:sz w:val="28"/>
          <w:szCs w:val="28"/>
        </w:rPr>
        <w:lastRenderedPageBreak/>
        <w:t>здатності чути не правила, а поклик буття. Це онтологічна скромність і водночас внутрішня мужність — бути без гарантій, але з присутністю.</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Нігілізм у своєму глибинному вимірі — це не кінець сенсу, а очищення шляху до буття, звільнення від фікцій, які відділяють людину від світу. Попри традиційне сприйняття нігілізму як руйнівної сили, що заперечує мораль, істину та цінності, його можна зрозуміти як радикальне повернення до ґрунту, до реальності в її перед-смисловій, до-теоретичній даності. У цьому значенні нігілізм не руйнує, а радше віднаходить — заново відкриває світ, позбавлений привнесених метафізичних шарів, які спотворювали погляд людини.</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контексті язичницького мислення, яке не знає жорстких універсалій, нігілізм постає як акт повернення до першопочаткової відкритості світу, до такої форми буття, де життя не вимагає виправдання через «вищу мету» або «істину», а само по собі є цінністю. Це буття не потребує моралі у формі безумовних імперативів; воно корениться у змінності, тілесності, належності до землі й роду, у гнучкому співбутті з подієвим, несхематизованим світом.</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Відмова від універсальних цінностей і «вічних істин» — це не заперечення реальності, а навпаки, прийняття її в її цілісності, суперечливості та історичній неповторності. У цьому сенсі нігілізм ближчий до мислення первісної людини, яка не протиставляє себе природі, не відриває розум від тіла, не шукає гарантій, а живе в потоці часу, у безпосередності контакту з реальністю. Те, що модерна свідомість назве «хаосом» або «аморальністю», для первісної свідомості є просто життям у повноті — без потреби нав’язати світові абстрактну схему [90].</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Саме це розуміння нігілізму — як очищення від ідеологічного «надбудовного шуму» — відкриває можливість мислити не нову систему цінностей, а інший спосіб існування: не нормативний, а онтологічний. Це буття, яке не базується на законі, а на належності; не на імперативах, а на взаємності й циклічності; не на цілі, а на тривалості. Нігілізм тут не означає порожнечу, а </w:t>
      </w:r>
      <w:r>
        <w:rPr>
          <w:rFonts w:ascii="Times New Roman" w:eastAsia="Times New Roman" w:hAnsi="Times New Roman" w:cs="Times New Roman"/>
          <w:sz w:val="28"/>
          <w:szCs w:val="28"/>
        </w:rPr>
        <w:lastRenderedPageBreak/>
        <w:t>відсутність примусу — в першу чергу примусу до смислу, до істини, до «правильного життя».</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поверненні до первісної дійсності сучасний нігіліст постає радше як пізній язичник — той, хто втомився від світу з ідеями, законами, метафізиками, моралями й шукає світ як він є: світ, що не потребує інтерпретації. Це відмова від «моральних світів», вигаданих як захист від жаху буття — і водночас мужнє прийняття самого буття у всій його неоднозначності.</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Зрештою, нігілізм як повернення до первісної дійсності — це не форма розпаду, а форма тверезіння. Це відмова від замінників дійсності в ім’я самої дійсності. Це шлях до життя без догм, але з відкритими очима [20].</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3.4. Сакральне у сучасності: від неоязичницьких практик до глибинної традиції. </w:t>
      </w:r>
      <w:r>
        <w:rPr>
          <w:rFonts w:ascii="Times New Roman" w:eastAsia="Times New Roman" w:hAnsi="Times New Roman" w:cs="Times New Roman"/>
          <w:sz w:val="28"/>
          <w:szCs w:val="28"/>
        </w:rPr>
        <w:t>Неоязичництво, як сучасний рух, що звертається до дохристиянських вірувань, стоїть перед складною проблемою автентичності: наскільки можливо відродити світогляд, який сформувався в радикально іншому культурному й онтологічному горизонті? Чи можемо ми говорити про повернення до язичництва без перетворення його на символічну гру або штучну конструкцію? Ці питання постають у самому серці неоязичницького проєкту — на перетині між реконструкцією і новотвором.</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одного боку, неоязичництво прагне реконструювати стародавні релігійні системи, ритуали, міфи й етичні коди, спираючись на історичні джерела: фольклор, археологічні знахідки, середньовічні тексти, етнографію. Таке прагнення автентичності — цілком зрозуміле й навіть необхідне як захист від поверхневої еклектики та комерціалізованих псевдодуховних практик. Однак проблема полягає в тому, що будь-яка реконструкція є неминуче інтерпретативною: вона виконується сучасною свідомістю, яка вже належить до іншого світосприйняття, іншої логіки, іншого досвіду буття [66].</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іншого боку, неоязичництво часто постає як новотвор — не просто відродження минулого, а творення нового способу існування, який використовує архаїчні символи, але заново осмислює їх у контексті сучасності. </w:t>
      </w:r>
      <w:r>
        <w:rPr>
          <w:rFonts w:ascii="Times New Roman" w:eastAsia="Times New Roman" w:hAnsi="Times New Roman" w:cs="Times New Roman"/>
          <w:sz w:val="28"/>
          <w:szCs w:val="28"/>
        </w:rPr>
        <w:lastRenderedPageBreak/>
        <w:t>В цьому сенсі неоязичництво подібне до міфопоетичного жесту — воно не відновлює, а витворює світ, натхнений язичницькими архетипами, але не ідентичний історичному язичництву. І цей новотвор не обов’язково є слабкішим чи менш цінним: навпаки, саме він може стати способом знову пережити світ як живу реальність, а не як музейну експозицію.</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Тут виникає парадокс: чим більше неоязичник прагне до археологічної достовірності, тим більше він ризикує звести свою віру до мертвої реконструкції; чим більше він надає собі свободу у творенні нових форм, тим більше виникає питання: чи не перетворюється язичництво на фантазію, вирвану з історичного ґрунту? Але ця напруга між пам’яттю й уявою, між корінням і творчістю — не слабкість, а сила неоязичництва. Саме в цьому русі між полюсами й народжується жива традиція.</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сучасних неоязичницьких течій найбільш популярною є так звана «вікка» — модернова релігійна система, сформована в середині XX століття Джеральдом Ґарднером [44]. Попри претензії на спадкоємність давньої магічної традиції Європи, вікканство насправді є продуктом новітнього західного окультизму, сформованого під впливом кабалістичних, гностичних та теософських концептів [50].</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розуміння витоків вікки необхідно окреслити контекст виникнення новітнього західного езотеризму. В другій половині ХІХ століття в Європі формується окультна традиція, кульмінацією якої став «Герметичний Орден Золотого Світанку» [46]. Саме з цього середовища походять основні концепти, що згодом були використані і в Телемі Алістера Кроулі [28], і у вікканстві Джеральда Ґарднера [54].</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Відтак вікка — не реконструкція архаїчного європейського язичництва, а синтез кабалістичного герметизму, телемічного індивідуалізму й театралізованої обрядовості, підфарбований кельтською термінологією [50]. Якщо вікка виглядає як суміш Телеми, кабали та поп-кельтизму — це не випадковість, а наслідок її реального походження.</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Парадоксально, але навіть у відверто вигаданій Телемі Алістера Кроулі є певна системна структура: сформульовані аксіоми, міфологема (Нюїт, Хадіт, Ра-Хоор-Куїт), космогонія, ритуали, онтологія Волі тощо [28]. Вікканство ж уникає системності, підміняючи онтологію суб’єктивістським «архетипуванням» божеств [41]. У ньому бракує чіткої теології — натомість маємо інтерпретаційну свободу, де кожен практик може уявляти собі богів за власним бажанням. Проте така «свобода» є проявом антисакрального індивідуалізму, типової риси ліберального світогляду, що руйнує будь-яку традицію [89].</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цього погляду вплив Телеми і кабали на вікканство парадоксально позитивний: там, де більше кабали або Телеми принаймні є спроба систематизації. Але це ж і є їхня головна вада. Бо кабала, попри свою глибину, є семітською містикою, укоріненою в юдейській традиції. Її методологія — не європейська [88]. Телема ж, хоч і менш прив’язана до юдаїзму, — винахід однієї людини, суто модерна релігія, вигадана в межах культури саморозкриття і містичного нарцисизму [65]. У цьому сенсі це форма секуляризованої духовності, де замість вищої істини чи сакрального порядку центром релігії стає сама особистість.</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Особливої уваги заслуговує конфлікт між вікканськими претензіями на давню європейську магічну традицію і реальністю їхніх джерел. Більшість віккан намагаються відмежуватись від Телеми та кабали, адже це розмиває їхній образ «спадкоємців друїдів і відьом», проте саме ці джерела і сформували основи їхньої практики [54]. Так, вікка — це симулякр традиції, зібраний із фрагментів семітського містицизму, масонського ритуалізму та особистих фантазій «просвітлених окультистів».</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Усвідомлюючи чужорідність семітського спадку, частина послідовників вікки відколюється і формує сучасний друїдизм, намагаючись зберегти зовнішню архаїку без «кабалістичного сліду» [22]. Але, відкинувши </w:t>
      </w:r>
      <w:r>
        <w:rPr>
          <w:rFonts w:ascii="Times New Roman" w:eastAsia="Times New Roman" w:hAnsi="Times New Roman" w:cs="Times New Roman"/>
          <w:sz w:val="28"/>
          <w:szCs w:val="28"/>
        </w:rPr>
        <w:lastRenderedPageBreak/>
        <w:t>кабалістичну системність, ці групи залишаються без будь-якої теології, створюючи порожній театр ритуалів, позбавлений онтологічного змісту.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дивно, що значна частина сучасних віккан — феміністки, пацифісти, неоліберали. Адже вікканська ідеологія — не архаїчна, а сучасна гуманістична утопія, де «Богиня» уособлює інклюзивність, толерантність і самовираження, а основним моральним принципом є «нікому не шкоди» [1].</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Окремі віккани намагаються дистанціюватися від догматики Ґарднера, воліючи називати свою практику «witchery». Це зазвичай менш ритуалізовані, індивідуалістичні практики, що тяжіють до популярної психології, травмацентризму і магії «особистого зцілення» [1]. Але за змістом вони не виходять за межі того ж коду — суб’єктивістського культа, де божественне редукується до особистої метафори.</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численних варіантів сучасного неоязичництва виокремлюються також дві течії, що претендують на найбільшу «автентичність» у сенсі етнокультурної спадковості: скандинавське асатру та слов’янське рідновірство. Обидва рухи апелюють до уявлень про «споконвічну» традицію, нібито безперервно спадкоємну від дохристиянських часів, однак в реальності становлять новітні реконструкції, сформовані під впливом модерністських уявлень про націю, мову, расу і сакральне [87].</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Рух асатру виник у XX столітті в Ісландії як спроба повернення до культів скандинавського язичництва, передусім — поклоніння асам (Одину, Тору, Фрігґ тощо) та шанування предків. Хоча асатру часто позиціонується як «реконструкція», вона є радше модерною інтерпретацією, побудованою на поетичних та історичних джерелах на кшталт «Старшої Едди» (Snorri Sturluson, Poetic Edda), через призму есенціалістського мислення: мовляв, скандинавська ідентичність нібито зумовлена певною вродженою зв’язністю з цими богами, з їхніми міфами та «арійською» духовністю [43].</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Цей есенціалізм, втім, має сумнівну основу: більшість джерел про скандинавське язичництво були записані в християнську добу, а відтак значною </w:t>
      </w:r>
      <w:r>
        <w:rPr>
          <w:rFonts w:ascii="Times New Roman" w:eastAsia="Times New Roman" w:hAnsi="Times New Roman" w:cs="Times New Roman"/>
          <w:sz w:val="28"/>
          <w:szCs w:val="28"/>
        </w:rPr>
        <w:lastRenderedPageBreak/>
        <w:t>мірою пройшли фільтрацію крізь біблійну картину світу [33]. Крім того, сам принцип етноцентричної винятковості суперечить язичницькому політеїзму як такому: політеїстичні системи історично були гнучкими, відкритими до запозичень, синкретичними [35, с. 139–161].</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Асатру в сучасному вигляді часто поєднується з ідеями традиціоналізму (на кшталт юнґіанського архетипізму чи гіперборейських теорій) та правими політичними симпатіями, що перетворює рух на ідеологічний конструкт, радше ніж на релігійну традицію [64]. Боги в політеїстичному світорозумінні — це не проєкції людської душі, а структури буття, що співіснують із людиною в динамічному взаємозв’язку [36, c. 116]. У Асатру ж ці фігури редукуються до символів «нордичної раси» тощо — тобто перетворюються на інструменти психологічної ідентифікації, а не об'єкти культу.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Рідновірство постало в 1990-х роках на тлі відновлення національної самосвідомості після розпаду СРСР. Воно базується на спробах реконструкції дохристиянських культів слов’ян: Перуна, Велеса, Мокоші, Дажбога тощо. Однак значну частину догматичного й ритуального наповнення рідновіри запозичують не з історичних джерел (яких майже не існує), а з фольклору, фантазійних реконструкцій та псевдолінгвістики [61].</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Численні рідновірські автори будують власні космогонії на основі вільних етимологічних асоціацій. Подібні конструкції не витримують критики з позицій ані історії релігій, ані порівняльного мовознавства, і становлять собою прояв міфологічного мислення нового типу — не традиційного, а ідеологізованого.</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багато елементів рідновірської етики насправді є християнськими за суттю: уявлення про гріх, ієрархічну мораль, ритуальну чистоту, навіть образ ворога — все це формувалося в християнському середовищі і лише згодом було механічно перенесено в «слов’янське» обрамлення [82]. Таким чином, рідновірство не є відновленням дохристиянського світогляду, а є </w:t>
      </w:r>
      <w:r>
        <w:rPr>
          <w:rFonts w:ascii="Times New Roman" w:eastAsia="Times New Roman" w:hAnsi="Times New Roman" w:cs="Times New Roman"/>
          <w:sz w:val="28"/>
          <w:szCs w:val="28"/>
        </w:rPr>
        <w:lastRenderedPageBreak/>
        <w:t>постхристиянською ідеологічною реакцією, яка зберігає месіанську риторику й фетиш етнічної винятковості [60].</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ми серйозно ставимося до ідеї реконструкції європейського язичництва, то реконструкція має спиратися не на вигадані окультні наративи ХХ століття, а на реальні залишки дохристиянського світогляду — міфологічні, ритуальні, філософські. Найглибшим джерелом філософського осмислення язичницького космосу є, без сумніву, Аристотель. У його працях — «Метафізика», «Про небо», «Політика» — постає цілісна світоглядна модель, заснована на порядку, ієрархії, телеології, вкоріненості в бутті [5; 7; 9]. Це не просто вірування чи культурна пам’ять, а спосіб мислення, притаманний дохристиянській Європі. Проте постає питання про те, наскільки ця реконструкція взагалі необхідна.</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Сьогодні ж те, що часто називають неоязичництвом, нерідко набуває вигляду естетизованих рухів — етнофутуристичних, націонал-романтичних чи контркультурних. Але це скоріше гра з язичницькими образами, ніж відтворення самого язичницького відношення до світу. Справжнє завдання полягає не в буквальному поверненні до минулого, а в оживленні самого принципу язичницької чутливості — тобто сприйняття світу як живої, мінливої, неоднорідної цілісності, у якій людина не домінує, а перебуває в гармонії з ритмами буття.</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сенсі постійна переінтерпретація, яка часто закидається неоязичництву, — це не його слабкість, а вираз його глибокої відповідності самому духу язичницького світогляду: світ змінюється, і наше ставлення до нього має змінюватися разом із ним. У добу постмодерну та нігілізму, коли зруйновано універсальні істини й людина втратила відчуття причетності до космосу, язичництво — не як віра, а як спосіб буття — здатне дати нові точки опори.</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Саме це має на увазі Ален де Бенуа, коли говорить не про відродження етнографічних уламків, а про формування нового, загальноєвропейського </w:t>
      </w:r>
      <w:r>
        <w:rPr>
          <w:rFonts w:ascii="Times New Roman" w:eastAsia="Times New Roman" w:hAnsi="Times New Roman" w:cs="Times New Roman"/>
          <w:sz w:val="28"/>
          <w:szCs w:val="28"/>
        </w:rPr>
        <w:lastRenderedPageBreak/>
        <w:t>язичництва як світоглядної альтернативи. Релігія в цьому випадку — це не набір обрядів, а перш за все — цінності, стиль мислення, укоріненість у світі. Тож завдання не в тому, щоб повернутися до «золотого віку», а в тому, щоб заново навчитися жити язичницьки — тобто в гармонії зі світом, у прийнятті його неоднозначності, ритмів і живої присутності.</w:t>
      </w:r>
    </w:p>
    <w:p w:rsidR="00F71741" w:rsidRDefault="00303DB6">
      <w:pPr>
        <w:pStyle w:val="normal"/>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Таким чином, неоязичництво постає не як повернення у минуле, а як радше повернення до певного способу буття у світі — до способу, в якому людина не намагається підпорядкувати світ фікціям, а живе в ритмі з ним. Це не естетизація архаїки, а спроба звільнитися від тягаря універсалістських абстракцій. У цьому сенсі найглибший критерій автентичності — не відповідність джерелам, а відновлення первісної повноти існування, що була втрачена в ході модерного розриву між людиною і світом.</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язичницькому світогляді сакральне не постає як щось відокремлене від тілесного, чуттєвого й природного. Воно не є сферою «надприродного», як у монотеїстичних релігіях, а розгортається у світі самого буття, в якому живе людина [36]. Це сакральне — не предмет віри, а стан присутності, способу бути в гармонії з навколишнім. Його не потрібно обґрунтовувати догмами чи теологічними схемами — воно переживається безпосередньо у взаємодії з природою, спільнотою, ритмами часу, міфом і ритуалом.</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Язичницький досвід сакрального — це перш за все жива практика, а не система понять. Священне не формулюється, воно чиниться. Коли людина звертається до дуба, як до предка; коли кладе хліб на могилу; коли співає обрядову пісню — вона не просто повторює традицію, вона здійснює акт присутності в структурі сакрального, де її індивідуальний досвід стає невіддільним від родової пам’яті й космічного порядку.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 добре видно в тому, як язичницькі обряди вписані у сезонні ритми природи. Наприклад, слов’янські Коляда, Купала, Дожинки — це не просто «свята» у сучасному сенсі, а онтологічні точки, де світ вступає у нову фазу, а людина разом з ним. Ритуал — це спосіб не дати світові «вийти з ладу», спосіб </w:t>
      </w:r>
      <w:r>
        <w:rPr>
          <w:rFonts w:ascii="Times New Roman" w:eastAsia="Times New Roman" w:hAnsi="Times New Roman" w:cs="Times New Roman"/>
          <w:sz w:val="28"/>
          <w:szCs w:val="28"/>
        </w:rPr>
        <w:lastRenderedPageBreak/>
        <w:t>бути його частиною, не вдаючись до універсальних моральних законів чи віри в надсвітову істину.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також пояснює, чому сакральне у язичницьких традиціях не потребує одкровення — воно не приходить «звідти», бо воно вже тут. Людина не чекає на знак «з неба», вона вже включена у процес — її завдання не в тім, щоб повірити, а в тім, щоб відчути, вписати себе у космічний ритм.</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досвід водночас інтимний і колективний. Сучасна філософія часто протиставляє індивідуальне переживання і соціально-історичну спадщину, але в язичницькому світогляді таке розділення не має сенсу. Індивід завжди діє у межах традиції, а традиція завжди жива, поки діє в індивіді. Людина, яка знову вшановує Камінь чи Ріку, не просто відтворює минуле — вона творить сакральне тут і зараз. Це сакральне — онтологічно живе, і тому здатне відгукуватися на нові обставини, не втрачаючи суті.</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тут важливо врахувати сучасні трансформації. Неоязичницькі рухи часто перебувають у ситуації відриву від безперервної традиції — але це не руйнує сакрального, а радше змушує його активніше переосмислювати себе. У цьому розумінні сакральне не є чимось «автентичним» лише тоді, коли воно є «давнім» чи «незмінним». Навпаки — його автентичність у тому, що воно переживається, чиниться, оновлюється. Як приклад — стоунхендж: сьогодні він став місцем нових язичницьких ритуалів, хоч ми не маємо жодного поняття, які ритуали відбувалися там тисячі років тому. Але це не знецінює нові практики — бо сакральне твориться заново.</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такому підході сакральне — це не зовнішня істина, яка нав’язується, а внутрішня відповідь, що пробуджується у досвіді співзвучності. Це не «предмет» культу, а форма існування, що повертає людину до світу, в якому вона не панує, а належить.</w:t>
      </w:r>
    </w:p>
    <w:p w:rsidR="00F71741" w:rsidRDefault="00F71741">
      <w:pPr>
        <w:pStyle w:val="normal"/>
        <w:spacing w:line="360" w:lineRule="auto"/>
        <w:rPr>
          <w:rFonts w:ascii="Times New Roman" w:eastAsia="Times New Roman" w:hAnsi="Times New Roman" w:cs="Times New Roman"/>
          <w:sz w:val="28"/>
          <w:szCs w:val="28"/>
        </w:rPr>
      </w:pPr>
    </w:p>
    <w:p w:rsidR="00F71741" w:rsidRDefault="00F71741">
      <w:pPr>
        <w:pStyle w:val="normal"/>
        <w:spacing w:line="360" w:lineRule="auto"/>
        <w:rPr>
          <w:rFonts w:ascii="Times New Roman" w:eastAsia="Times New Roman" w:hAnsi="Times New Roman" w:cs="Times New Roman"/>
          <w:sz w:val="28"/>
          <w:szCs w:val="28"/>
        </w:rPr>
      </w:pPr>
    </w:p>
    <w:p w:rsidR="00F71741" w:rsidRDefault="00F71741">
      <w:pPr>
        <w:pStyle w:val="normal"/>
        <w:spacing w:line="360" w:lineRule="auto"/>
        <w:rPr>
          <w:rFonts w:ascii="Times New Roman" w:eastAsia="Times New Roman" w:hAnsi="Times New Roman" w:cs="Times New Roman"/>
          <w:b/>
          <w:sz w:val="28"/>
          <w:szCs w:val="28"/>
        </w:rPr>
      </w:pPr>
    </w:p>
    <w:p w:rsidR="00F71741" w:rsidRDefault="00303DB6">
      <w:pPr>
        <w:pStyle w:val="normal"/>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rsidR="00F71741" w:rsidRDefault="00F71741">
      <w:pPr>
        <w:pStyle w:val="normal"/>
        <w:spacing w:line="360" w:lineRule="auto"/>
        <w:ind w:firstLine="720"/>
        <w:jc w:val="center"/>
        <w:rPr>
          <w:rFonts w:ascii="Times New Roman" w:eastAsia="Times New Roman" w:hAnsi="Times New Roman" w:cs="Times New Roman"/>
          <w:b/>
          <w:sz w:val="28"/>
          <w:szCs w:val="28"/>
        </w:rPr>
      </w:pP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цій роботі було здійснено філософський аналіз концепту «картина світу» у контексті сучасної філософської думки. Дослідження охопило історико-філософські джерела становлення цього поняття, виявило взаємозв’язок між релігією, язичництвом і нігілізмом у формуванні світоглядних структур, а також окреслило трансформації картини світу в умовах постмодерної філософії. Було зроблено такі основні висновки:</w:t>
      </w:r>
    </w:p>
    <w:p w:rsidR="00F71741" w:rsidRDefault="00F71741">
      <w:pPr>
        <w:pStyle w:val="normal"/>
        <w:spacing w:line="360" w:lineRule="auto"/>
        <w:ind w:firstLine="720"/>
        <w:jc w:val="both"/>
        <w:rPr>
          <w:rFonts w:ascii="Times New Roman" w:eastAsia="Times New Roman" w:hAnsi="Times New Roman" w:cs="Times New Roman"/>
          <w:sz w:val="28"/>
          <w:szCs w:val="28"/>
        </w:rPr>
      </w:pP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Концепт «картина світу» є багатовимірним філософським утворенням, що виконує інтегруючу функцію в межах гносеології, онтології та культурології. Його сучасне розуміння пов’язане з переходом від класичних репрезентацій до плюралізму світоглядних позицій, зумовленого постметафізичною ситуацією.</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Світоглядна картина світу формується як результат взаємодії теоретичних конструктів і життєвого досвіду, що вказує на її динамічний і контекстуальний характер. Релігійні уявлення, зокрема теїстичні та неотеїстичні моделі, становили історично важливу основу для побудови цілісної картини світу, однак у добу секуляризації вони втрачають гносеологічну очевидність.</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Нігілізм, у працях Ніцше, Гайдеґґера та Камю, розглядається як симптом розпаду єдності світоглядної картини. Водночас він може бути інтерпретований не лише як деструкція, а як очищення від ілюзій та основа для переосмислення життя з позиції героїчного реалізму або реконструкції нового сакрального. Щоб людство могло побудувати справжню, глибоку картину світу, воно має «умитися» нігілізмом — не як самоціллю, а як ініціацією, очищенням через кризу.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В умовах фрагментарності й світоглядного релятивізму, характерного для постмодерну, пошуки цілісної картини світу не лише не втрачають </w:t>
      </w:r>
      <w:r>
        <w:rPr>
          <w:rFonts w:ascii="Times New Roman" w:eastAsia="Times New Roman" w:hAnsi="Times New Roman" w:cs="Times New Roman"/>
          <w:sz w:val="28"/>
          <w:szCs w:val="28"/>
        </w:rPr>
        <w:lastRenderedPageBreak/>
        <w:t>актуальності, а набувають ще більшої філософської ваги. Постмодерн, із його недовірою до метанаративів і радикальним плюралізмом, оголює кризу сенсу, але водночас створює умови для усвідомленого переосмислення світогляду — не як відновлення єдиної істини, а як герменевтичного, відкритого до змін відношення до світу. Відтак актуальним постає не повернення до архаїчних моделей, а відновлення онтологічного зв’язку з буттям, вкорінення у множинності досвіду й сакральності як реальної перспективи. Язичницька картина світу у цьому сенсі не обмежується архаїчними віруваннями чи етнографічними рудиментами, а являє собою цілісний космологічний і онтологічний підхід. В її основі — прийняття світу як органічного, ієрархічного та відкритого до становлення. Вона протистоїть механістичному раціоналізму модерну й редуктивним моделям постхристиянської епохи.</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Філософський аналіз концепту «картина світу» є не лише теоретично вагомим, а й практично значущим у добу ідеологічного розпорошення, технологічної уніфікації та екзистенційної дезорієнтації. Осмислення цього концепту дозволяє окреслити горизонти подолання культурного нігілізму й сприяє формуванню цілісної і відповідальної позиції у ставленні до світу.</w:t>
      </w:r>
    </w:p>
    <w:p w:rsidR="00F71741" w:rsidRDefault="00303DB6">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Новизна дослідження полягає у спробі переосмислити язичництво не як релігію традиції, а як спосіб світовідчуття, що здатен відповісти на виклики сьогодення. Практична цінність полягає у можливості застосувати висновки роботи в сферах сучасного культурного аналізу, філософської антропології, екофілософії та духовного відродження. Отримані результати відкривають перспективу подальшого дослідження теми — зокрема, аналізу співвідношення язичницького та техноцивілізаційного світогляду, критики секуляризму, а також розробки постсекулярної онтології, заснованої на гармонії з природою і космічному порядку.</w:t>
      </w:r>
    </w:p>
    <w:p w:rsidR="00F71741" w:rsidRDefault="00F71741">
      <w:pPr>
        <w:pStyle w:val="normal"/>
        <w:spacing w:line="360" w:lineRule="auto"/>
        <w:ind w:firstLine="720"/>
        <w:rPr>
          <w:rFonts w:ascii="Times New Roman" w:eastAsia="Times New Roman" w:hAnsi="Times New Roman" w:cs="Times New Roman"/>
          <w:sz w:val="28"/>
          <w:szCs w:val="28"/>
        </w:rPr>
      </w:pPr>
    </w:p>
    <w:p w:rsidR="00F71741" w:rsidRDefault="00F71741">
      <w:pPr>
        <w:pStyle w:val="normal"/>
        <w:spacing w:line="360" w:lineRule="auto"/>
        <w:ind w:firstLine="720"/>
        <w:jc w:val="center"/>
        <w:rPr>
          <w:rFonts w:ascii="Times New Roman" w:eastAsia="Times New Roman" w:hAnsi="Times New Roman" w:cs="Times New Roman"/>
          <w:b/>
          <w:sz w:val="28"/>
          <w:szCs w:val="28"/>
        </w:rPr>
      </w:pPr>
    </w:p>
    <w:p w:rsidR="00F71741" w:rsidRDefault="00F71741">
      <w:pPr>
        <w:pStyle w:val="normal"/>
        <w:spacing w:line="360" w:lineRule="auto"/>
        <w:rPr>
          <w:rFonts w:ascii="Times New Roman" w:eastAsia="Times New Roman" w:hAnsi="Times New Roman" w:cs="Times New Roman"/>
          <w:b/>
          <w:sz w:val="28"/>
          <w:szCs w:val="28"/>
        </w:rPr>
      </w:pPr>
    </w:p>
    <w:p w:rsidR="00F71741" w:rsidRDefault="00303DB6">
      <w:pPr>
        <w:pStyle w:val="normal"/>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СПИСОК ВИКОРИСТАНОЇ ЛІТЕРАТУРИ </w:t>
      </w:r>
    </w:p>
    <w:p w:rsidR="00F71741" w:rsidRDefault="00303DB6">
      <w:pPr>
        <w:pStyle w:val="normal"/>
        <w:numPr>
          <w:ilvl w:val="0"/>
          <w:numId w:val="1"/>
        </w:numPr>
        <w:spacing w:before="240" w:line="360" w:lineRule="auto"/>
        <w:jc w:val="both"/>
      </w:pPr>
      <w:r w:rsidRPr="007E2E4E">
        <w:rPr>
          <w:rFonts w:ascii="Times New Roman" w:eastAsia="Times New Roman" w:hAnsi="Times New Roman" w:cs="Times New Roman"/>
          <w:sz w:val="28"/>
          <w:szCs w:val="28"/>
          <w:lang w:val="en-US"/>
        </w:rPr>
        <w:t xml:space="preserve">Adler Margot. Drawing Down the Moon: Witches, Druids, Goddess-Worshippers, and Other Pagans in America Today. </w:t>
      </w:r>
      <w:r>
        <w:rPr>
          <w:rFonts w:ascii="Times New Roman" w:eastAsia="Times New Roman" w:hAnsi="Times New Roman" w:cs="Times New Roman"/>
          <w:sz w:val="28"/>
          <w:szCs w:val="28"/>
        </w:rPr>
        <w:t>Revised ed. Boston: Beacon Press, 2006. 624 p.</w:t>
      </w:r>
    </w:p>
    <w:p w:rsidR="00F71741" w:rsidRDefault="00303DB6">
      <w:pPr>
        <w:pStyle w:val="normal"/>
        <w:numPr>
          <w:ilvl w:val="0"/>
          <w:numId w:val="1"/>
        </w:numPr>
        <w:spacing w:line="360" w:lineRule="auto"/>
        <w:jc w:val="both"/>
      </w:pPr>
      <w:r w:rsidRPr="007E2E4E">
        <w:rPr>
          <w:rFonts w:ascii="Times New Roman" w:eastAsia="Times New Roman" w:hAnsi="Times New Roman" w:cs="Times New Roman"/>
          <w:sz w:val="28"/>
          <w:szCs w:val="28"/>
          <w:lang w:val="en-US"/>
        </w:rPr>
        <w:t xml:space="preserve">Aquinas T. Summa Contra Gentiles / Translated by Anton C. Pegis. </w:t>
      </w:r>
      <w:r>
        <w:rPr>
          <w:rFonts w:ascii="Times New Roman" w:eastAsia="Times New Roman" w:hAnsi="Times New Roman" w:cs="Times New Roman"/>
          <w:sz w:val="28"/>
          <w:szCs w:val="28"/>
        </w:rPr>
        <w:t>Notre Dame: University of Notre Dame Press, 1975. 460 p.</w:t>
      </w:r>
    </w:p>
    <w:p w:rsidR="00F71741" w:rsidRDefault="00303DB6">
      <w:pPr>
        <w:pStyle w:val="normal"/>
        <w:numPr>
          <w:ilvl w:val="0"/>
          <w:numId w:val="1"/>
        </w:numPr>
        <w:spacing w:line="360" w:lineRule="auto"/>
        <w:jc w:val="both"/>
      </w:pPr>
      <w:r w:rsidRPr="007E2E4E">
        <w:rPr>
          <w:rFonts w:ascii="Times New Roman" w:eastAsia="Times New Roman" w:hAnsi="Times New Roman" w:cs="Times New Roman"/>
          <w:sz w:val="28"/>
          <w:szCs w:val="28"/>
          <w:lang w:val="en-US"/>
        </w:rPr>
        <w:t xml:space="preserve">Aquinas T. Summa Theologiae / Translated by Fathers of the English Dominican Province. </w:t>
      </w:r>
      <w:r>
        <w:rPr>
          <w:rFonts w:ascii="Times New Roman" w:eastAsia="Times New Roman" w:hAnsi="Times New Roman" w:cs="Times New Roman"/>
          <w:sz w:val="28"/>
          <w:szCs w:val="28"/>
        </w:rPr>
        <w:t>Christian Classics, 1981.</w:t>
      </w:r>
    </w:p>
    <w:p w:rsidR="00F71741" w:rsidRDefault="00303DB6">
      <w:pPr>
        <w:pStyle w:val="normal"/>
        <w:numPr>
          <w:ilvl w:val="0"/>
          <w:numId w:val="1"/>
        </w:numPr>
        <w:spacing w:line="360" w:lineRule="auto"/>
        <w:jc w:val="both"/>
      </w:pPr>
      <w:r w:rsidRPr="007E2E4E">
        <w:rPr>
          <w:rFonts w:ascii="Times New Roman" w:eastAsia="Times New Roman" w:hAnsi="Times New Roman" w:cs="Times New Roman"/>
          <w:sz w:val="28"/>
          <w:szCs w:val="28"/>
          <w:lang w:val="en-US"/>
        </w:rPr>
        <w:t xml:space="preserve">Arendt H. The Origins of Totalitarianism. </w:t>
      </w:r>
      <w:r>
        <w:rPr>
          <w:rFonts w:ascii="Times New Roman" w:eastAsia="Times New Roman" w:hAnsi="Times New Roman" w:cs="Times New Roman"/>
          <w:sz w:val="28"/>
          <w:szCs w:val="28"/>
        </w:rPr>
        <w:t>Harcourt, 1973.</w:t>
      </w:r>
    </w:p>
    <w:p w:rsidR="00F71741" w:rsidRPr="007E2E4E" w:rsidRDefault="00303DB6">
      <w:pPr>
        <w:pStyle w:val="normal"/>
        <w:numPr>
          <w:ilvl w:val="0"/>
          <w:numId w:val="1"/>
        </w:numPr>
        <w:spacing w:line="360" w:lineRule="auto"/>
        <w:jc w:val="both"/>
        <w:rPr>
          <w:lang w:val="en-US"/>
        </w:rPr>
      </w:pPr>
      <w:r w:rsidRPr="007E2E4E">
        <w:rPr>
          <w:rFonts w:ascii="Times New Roman" w:eastAsia="Times New Roman" w:hAnsi="Times New Roman" w:cs="Times New Roman"/>
          <w:sz w:val="28"/>
          <w:szCs w:val="28"/>
          <w:lang w:val="en-US"/>
        </w:rPr>
        <w:t>Aristotle. Metaphysics / Translated by C. D. C. Reeve. Indianapolis: Hackett Publishing Company, 2016. 544 p.</w:t>
      </w:r>
    </w:p>
    <w:p w:rsidR="00F71741" w:rsidRDefault="00303DB6">
      <w:pPr>
        <w:pStyle w:val="normal"/>
        <w:numPr>
          <w:ilvl w:val="0"/>
          <w:numId w:val="1"/>
        </w:numPr>
        <w:spacing w:line="360" w:lineRule="auto"/>
        <w:jc w:val="both"/>
      </w:pPr>
      <w:r w:rsidRPr="007E2E4E">
        <w:rPr>
          <w:rFonts w:ascii="Times New Roman" w:eastAsia="Times New Roman" w:hAnsi="Times New Roman" w:cs="Times New Roman"/>
          <w:sz w:val="28"/>
          <w:szCs w:val="28"/>
          <w:lang w:val="en-US"/>
        </w:rPr>
        <w:t xml:space="preserve">Aristotle. Nicomachean Ethics / Translated by Adam Beresford. </w:t>
      </w:r>
      <w:r>
        <w:rPr>
          <w:rFonts w:ascii="Times New Roman" w:eastAsia="Times New Roman" w:hAnsi="Times New Roman" w:cs="Times New Roman"/>
          <w:sz w:val="28"/>
          <w:szCs w:val="28"/>
        </w:rPr>
        <w:t>London: Penguin Classics, 2020. 528 p.</w:t>
      </w:r>
    </w:p>
    <w:p w:rsidR="00F71741" w:rsidRDefault="00303DB6">
      <w:pPr>
        <w:pStyle w:val="normal"/>
        <w:numPr>
          <w:ilvl w:val="0"/>
          <w:numId w:val="1"/>
        </w:numPr>
        <w:spacing w:line="360" w:lineRule="auto"/>
        <w:jc w:val="both"/>
      </w:pPr>
      <w:r w:rsidRPr="007E2E4E">
        <w:rPr>
          <w:rFonts w:ascii="Times New Roman" w:eastAsia="Times New Roman" w:hAnsi="Times New Roman" w:cs="Times New Roman"/>
          <w:sz w:val="28"/>
          <w:szCs w:val="28"/>
          <w:lang w:val="en-US"/>
        </w:rPr>
        <w:t xml:space="preserve">Aristotle. On the Heavens / Translated by William K. C. Guthrie. </w:t>
      </w:r>
      <w:r>
        <w:rPr>
          <w:rFonts w:ascii="Times New Roman" w:eastAsia="Times New Roman" w:hAnsi="Times New Roman" w:cs="Times New Roman"/>
          <w:sz w:val="28"/>
          <w:szCs w:val="28"/>
        </w:rPr>
        <w:t>Cambridge, MA: Harvard University Press, 1939. 496 p.</w:t>
      </w:r>
    </w:p>
    <w:p w:rsidR="00F71741" w:rsidRDefault="00303DB6">
      <w:pPr>
        <w:pStyle w:val="normal"/>
        <w:numPr>
          <w:ilvl w:val="0"/>
          <w:numId w:val="1"/>
        </w:numPr>
        <w:spacing w:line="360" w:lineRule="auto"/>
        <w:jc w:val="both"/>
      </w:pPr>
      <w:r w:rsidRPr="007E2E4E">
        <w:rPr>
          <w:rFonts w:ascii="Times New Roman" w:eastAsia="Times New Roman" w:hAnsi="Times New Roman" w:cs="Times New Roman"/>
          <w:sz w:val="28"/>
          <w:szCs w:val="28"/>
          <w:lang w:val="en-US"/>
        </w:rPr>
        <w:t xml:space="preserve">Aristotle. On the Soul / Translated by Joe Sachs. Santa Fe, NM: Green Lion Press, 2001. </w:t>
      </w:r>
      <w:r>
        <w:rPr>
          <w:rFonts w:ascii="Times New Roman" w:eastAsia="Times New Roman" w:hAnsi="Times New Roman" w:cs="Times New Roman"/>
          <w:sz w:val="28"/>
          <w:szCs w:val="28"/>
        </w:rPr>
        <w:t>144 p.</w:t>
      </w:r>
    </w:p>
    <w:p w:rsidR="00F71741" w:rsidRPr="007E2E4E" w:rsidRDefault="00303DB6">
      <w:pPr>
        <w:pStyle w:val="normal"/>
        <w:numPr>
          <w:ilvl w:val="0"/>
          <w:numId w:val="1"/>
        </w:numPr>
        <w:spacing w:line="360" w:lineRule="auto"/>
        <w:jc w:val="both"/>
        <w:rPr>
          <w:lang w:val="en-US"/>
        </w:rPr>
      </w:pPr>
      <w:r w:rsidRPr="007E2E4E">
        <w:rPr>
          <w:rFonts w:ascii="Times New Roman" w:eastAsia="Times New Roman" w:hAnsi="Times New Roman" w:cs="Times New Roman"/>
          <w:sz w:val="28"/>
          <w:szCs w:val="28"/>
          <w:lang w:val="en-US"/>
        </w:rPr>
        <w:t>Aristotle. Politics / Translated by C. D. C. Reeve. Indianapolis: Hackett Publishing Company, 2017. 536 p.</w:t>
      </w:r>
    </w:p>
    <w:p w:rsidR="00F71741" w:rsidRDefault="00303DB6">
      <w:pPr>
        <w:pStyle w:val="normal"/>
        <w:numPr>
          <w:ilvl w:val="0"/>
          <w:numId w:val="1"/>
        </w:numPr>
        <w:spacing w:line="360" w:lineRule="auto"/>
        <w:jc w:val="both"/>
      </w:pPr>
      <w:r w:rsidRPr="007E2E4E">
        <w:rPr>
          <w:rFonts w:ascii="Times New Roman" w:eastAsia="Times New Roman" w:hAnsi="Times New Roman" w:cs="Times New Roman"/>
          <w:sz w:val="28"/>
          <w:szCs w:val="28"/>
          <w:lang w:val="en-US"/>
        </w:rPr>
        <w:t xml:space="preserve">Augustine. Confessions / Translated by Henry Chadwick. </w:t>
      </w:r>
      <w:r>
        <w:rPr>
          <w:rFonts w:ascii="Times New Roman" w:eastAsia="Times New Roman" w:hAnsi="Times New Roman" w:cs="Times New Roman"/>
          <w:sz w:val="28"/>
          <w:szCs w:val="28"/>
        </w:rPr>
        <w:t>Oxford World's Classics, 1991. 256 p.</w:t>
      </w:r>
    </w:p>
    <w:p w:rsidR="00F71741" w:rsidRDefault="00303DB6">
      <w:pPr>
        <w:pStyle w:val="normal"/>
        <w:numPr>
          <w:ilvl w:val="0"/>
          <w:numId w:val="1"/>
        </w:numPr>
        <w:spacing w:line="360" w:lineRule="auto"/>
        <w:jc w:val="both"/>
      </w:pPr>
      <w:r w:rsidRPr="007E2E4E">
        <w:rPr>
          <w:rFonts w:ascii="Times New Roman" w:eastAsia="Times New Roman" w:hAnsi="Times New Roman" w:cs="Times New Roman"/>
          <w:sz w:val="28"/>
          <w:szCs w:val="28"/>
          <w:lang w:val="en-US"/>
        </w:rPr>
        <w:t xml:space="preserve">Augustine. The City of God / Translated by Henry Bettenson. </w:t>
      </w:r>
      <w:r>
        <w:rPr>
          <w:rFonts w:ascii="Times New Roman" w:eastAsia="Times New Roman" w:hAnsi="Times New Roman" w:cs="Times New Roman"/>
          <w:sz w:val="28"/>
          <w:szCs w:val="28"/>
        </w:rPr>
        <w:t>Penguin Classics, 2003. 1088 p.</w:t>
      </w:r>
    </w:p>
    <w:p w:rsidR="00F71741" w:rsidRPr="007E2E4E" w:rsidRDefault="00303DB6">
      <w:pPr>
        <w:pStyle w:val="normal"/>
        <w:numPr>
          <w:ilvl w:val="0"/>
          <w:numId w:val="1"/>
        </w:numPr>
        <w:spacing w:line="360" w:lineRule="auto"/>
        <w:jc w:val="both"/>
        <w:rPr>
          <w:lang w:val="en-US"/>
        </w:rPr>
      </w:pPr>
      <w:r w:rsidRPr="007E2E4E">
        <w:rPr>
          <w:rFonts w:ascii="Times New Roman" w:eastAsia="Times New Roman" w:hAnsi="Times New Roman" w:cs="Times New Roman"/>
          <w:sz w:val="28"/>
          <w:szCs w:val="28"/>
          <w:lang w:val="en-US"/>
        </w:rPr>
        <w:t>Barthes R. Mythologies / Translated by Annette Lavers. New York: Hill and Wang, 1972.</w:t>
      </w:r>
    </w:p>
    <w:p w:rsidR="00F71741" w:rsidRPr="007E2E4E" w:rsidRDefault="00303DB6">
      <w:pPr>
        <w:pStyle w:val="normal"/>
        <w:numPr>
          <w:ilvl w:val="0"/>
          <w:numId w:val="1"/>
        </w:numPr>
        <w:spacing w:line="360" w:lineRule="auto"/>
        <w:jc w:val="both"/>
        <w:rPr>
          <w:lang w:val="en-US"/>
        </w:rPr>
      </w:pPr>
      <w:r w:rsidRPr="007E2E4E">
        <w:rPr>
          <w:rFonts w:ascii="Times New Roman" w:eastAsia="Times New Roman" w:hAnsi="Times New Roman" w:cs="Times New Roman"/>
          <w:sz w:val="28"/>
          <w:szCs w:val="28"/>
          <w:lang w:val="en-US"/>
        </w:rPr>
        <w:t>Barthes R. The Death of the Author // Aspen, no. 5-6, 1967 (repr. in Image-Music-Text, 1977).</w:t>
      </w:r>
    </w:p>
    <w:p w:rsidR="00F71741" w:rsidRDefault="00303DB6">
      <w:pPr>
        <w:pStyle w:val="normal"/>
        <w:numPr>
          <w:ilvl w:val="0"/>
          <w:numId w:val="1"/>
        </w:numPr>
        <w:spacing w:line="360" w:lineRule="auto"/>
        <w:jc w:val="both"/>
      </w:pPr>
      <w:r w:rsidRPr="007E2E4E">
        <w:rPr>
          <w:rFonts w:ascii="Times New Roman" w:eastAsia="Times New Roman" w:hAnsi="Times New Roman" w:cs="Times New Roman"/>
          <w:sz w:val="28"/>
          <w:szCs w:val="28"/>
          <w:lang w:val="en-US"/>
        </w:rPr>
        <w:lastRenderedPageBreak/>
        <w:t xml:space="preserve">Baudrillard J. Simulacra and Simulation / Translated by Sheila Faria Glaser. </w:t>
      </w:r>
      <w:r>
        <w:rPr>
          <w:rFonts w:ascii="Times New Roman" w:eastAsia="Times New Roman" w:hAnsi="Times New Roman" w:cs="Times New Roman"/>
          <w:sz w:val="28"/>
          <w:szCs w:val="28"/>
        </w:rPr>
        <w:t>Ann Arbor: University of Michigan Press, 1994.</w:t>
      </w:r>
    </w:p>
    <w:p w:rsidR="00F71741" w:rsidRDefault="00303DB6">
      <w:pPr>
        <w:pStyle w:val="normal"/>
        <w:numPr>
          <w:ilvl w:val="0"/>
          <w:numId w:val="1"/>
        </w:numPr>
        <w:spacing w:line="360" w:lineRule="auto"/>
        <w:jc w:val="both"/>
      </w:pPr>
      <w:r w:rsidRPr="007E2E4E">
        <w:rPr>
          <w:rFonts w:ascii="Times New Roman" w:eastAsia="Times New Roman" w:hAnsi="Times New Roman" w:cs="Times New Roman"/>
          <w:sz w:val="28"/>
          <w:szCs w:val="28"/>
          <w:lang w:val="en-US"/>
        </w:rPr>
        <w:t xml:space="preserve">Bauer Y. The Holocaust in Historical Context / Edited by Michael Berenbaum and Abraham J. Peck. </w:t>
      </w:r>
      <w:r>
        <w:rPr>
          <w:rFonts w:ascii="Times New Roman" w:eastAsia="Times New Roman" w:hAnsi="Times New Roman" w:cs="Times New Roman"/>
          <w:sz w:val="28"/>
          <w:szCs w:val="28"/>
        </w:rPr>
        <w:t>University Press of America, 1994.</w:t>
      </w:r>
    </w:p>
    <w:p w:rsidR="00F71741" w:rsidRDefault="00303DB6">
      <w:pPr>
        <w:pStyle w:val="normal"/>
        <w:numPr>
          <w:ilvl w:val="0"/>
          <w:numId w:val="1"/>
        </w:numPr>
        <w:spacing w:line="360" w:lineRule="auto"/>
        <w:jc w:val="both"/>
      </w:pPr>
      <w:r w:rsidRPr="007E2E4E">
        <w:rPr>
          <w:rFonts w:ascii="Times New Roman" w:eastAsia="Times New Roman" w:hAnsi="Times New Roman" w:cs="Times New Roman"/>
          <w:sz w:val="28"/>
          <w:szCs w:val="28"/>
          <w:lang w:val="en-US"/>
        </w:rPr>
        <w:t xml:space="preserve">de Benoist A. On Being a Pagan / Translated by Jon Graham. </w:t>
      </w:r>
      <w:r>
        <w:rPr>
          <w:rFonts w:ascii="Times New Roman" w:eastAsia="Times New Roman" w:hAnsi="Times New Roman" w:cs="Times New Roman"/>
          <w:sz w:val="28"/>
          <w:szCs w:val="28"/>
        </w:rPr>
        <w:t>San Francisco: Ultra, 2004. 240 p.</w:t>
      </w:r>
    </w:p>
    <w:p w:rsidR="00F71741" w:rsidRDefault="00303DB6">
      <w:pPr>
        <w:pStyle w:val="normal"/>
        <w:numPr>
          <w:ilvl w:val="0"/>
          <w:numId w:val="1"/>
        </w:numPr>
        <w:spacing w:line="360" w:lineRule="auto"/>
        <w:jc w:val="both"/>
      </w:pPr>
      <w:r w:rsidRPr="007E2E4E">
        <w:rPr>
          <w:rFonts w:ascii="Times New Roman" w:eastAsia="Times New Roman" w:hAnsi="Times New Roman" w:cs="Times New Roman"/>
          <w:sz w:val="28"/>
          <w:szCs w:val="28"/>
          <w:lang w:val="en-US"/>
        </w:rPr>
        <w:t xml:space="preserve">Bloch E. The Principle of Hope / Translated by Neville Plaice, Stephen Plaice, and Paul Knight. </w:t>
      </w:r>
      <w:r>
        <w:rPr>
          <w:rFonts w:ascii="Times New Roman" w:eastAsia="Times New Roman" w:hAnsi="Times New Roman" w:cs="Times New Roman"/>
          <w:sz w:val="28"/>
          <w:szCs w:val="28"/>
        </w:rPr>
        <w:t>MIT Press, 1986.</w:t>
      </w:r>
    </w:p>
    <w:p w:rsidR="00F71741" w:rsidRPr="007E2E4E" w:rsidRDefault="00303DB6">
      <w:pPr>
        <w:pStyle w:val="normal"/>
        <w:numPr>
          <w:ilvl w:val="0"/>
          <w:numId w:val="1"/>
        </w:numPr>
        <w:spacing w:line="360" w:lineRule="auto"/>
        <w:jc w:val="both"/>
        <w:rPr>
          <w:lang w:val="en-US"/>
        </w:rPr>
      </w:pPr>
      <w:r w:rsidRPr="007E2E4E">
        <w:rPr>
          <w:rFonts w:ascii="Times New Roman" w:eastAsia="Times New Roman" w:hAnsi="Times New Roman" w:cs="Times New Roman"/>
          <w:sz w:val="28"/>
          <w:szCs w:val="28"/>
          <w:lang w:val="en-US"/>
        </w:rPr>
        <w:t>Boas F. Race, Language, and Culture. Chicago: University of Chicago Press, 1940.</w:t>
      </w:r>
    </w:p>
    <w:p w:rsidR="00F71741" w:rsidRDefault="00303DB6">
      <w:pPr>
        <w:pStyle w:val="normal"/>
        <w:numPr>
          <w:ilvl w:val="0"/>
          <w:numId w:val="1"/>
        </w:numPr>
        <w:spacing w:line="360" w:lineRule="auto"/>
        <w:jc w:val="both"/>
      </w:pPr>
      <w:r w:rsidRPr="007E2E4E">
        <w:rPr>
          <w:rFonts w:ascii="Times New Roman" w:eastAsia="Times New Roman" w:hAnsi="Times New Roman" w:cs="Times New Roman"/>
          <w:sz w:val="28"/>
          <w:szCs w:val="28"/>
          <w:lang w:val="en-US"/>
        </w:rPr>
        <w:t xml:space="preserve">Butler J. Gender Trouble: Feminism and the Subversion of Identity. </w:t>
      </w:r>
      <w:r>
        <w:rPr>
          <w:rFonts w:ascii="Times New Roman" w:eastAsia="Times New Roman" w:hAnsi="Times New Roman" w:cs="Times New Roman"/>
          <w:sz w:val="28"/>
          <w:szCs w:val="28"/>
        </w:rPr>
        <w:t>New York: Routledge, 1990.</w:t>
      </w:r>
    </w:p>
    <w:p w:rsidR="00F71741" w:rsidRDefault="00303DB6">
      <w:pPr>
        <w:pStyle w:val="normal"/>
        <w:numPr>
          <w:ilvl w:val="0"/>
          <w:numId w:val="1"/>
        </w:numPr>
        <w:spacing w:line="360" w:lineRule="auto"/>
        <w:jc w:val="both"/>
      </w:pPr>
      <w:r w:rsidRPr="007E2E4E">
        <w:rPr>
          <w:rFonts w:ascii="Times New Roman" w:eastAsia="Times New Roman" w:hAnsi="Times New Roman" w:cs="Times New Roman"/>
          <w:sz w:val="28"/>
          <w:szCs w:val="28"/>
          <w:lang w:val="en-US"/>
        </w:rPr>
        <w:t xml:space="preserve">Camus A. The Myth of Sisyphus / Translated by Justin O'Brien. </w:t>
      </w:r>
      <w:r>
        <w:rPr>
          <w:rFonts w:ascii="Times New Roman" w:eastAsia="Times New Roman" w:hAnsi="Times New Roman" w:cs="Times New Roman"/>
          <w:sz w:val="28"/>
          <w:szCs w:val="28"/>
        </w:rPr>
        <w:t>London: Penguin Classics, 2005. 160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Carnap R. The Logical Structure of the World / Translated by Rolf A. George.  Berkeley : University of California Press, 1967.</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Carr-Gomm P. The Druid Way.  London : Thorsons, 2006.  224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Cassirer E. God and Philosophy / Translated by Laurence K. Shook and Philippe Capelle.  New Haven : Yale University Press, 1994.  192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Cassirer E. The Philosophy of Symbolic Forms / Translated by Ralph Manheim. New Haven : Yale University Press, 1996.</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Cassirer E. The Philosophy of the Renaissance / Translated by James P. Pettegrove and John Herman Randall Jr.  Princeton : Princeton University Press, 1948.</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Churchland P. M. Eliminative Materialism and the Propositional Attitudes // The Journal of Philosophy.  1981.  Vol. 78, No. 2. P. 67–90.</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Comte A. Course of Positive Philosophy / Translated by Harriet Martineau.  Kitchener, ON : Batoche Books, 2001.</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lastRenderedPageBreak/>
        <w:t>Crowley Aleister. The Book of the Law.  York Beach, ME : Samuel Weiser, 1976.  53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Deleuze G., Guattari F. Anti-Oedipus: Capitalism and Schizophrenia / Translated by Robert Hurley, Mark Seem and Helen R. Lane.  Minneapolis : University of Minnesota Press, 1983.</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Deleuze G., Guattari F. A Thousand Plateaus: Capitalism and Schizophrenia / Translated by Brian Massumi.  Minneapolis : University of Minnesota Press, 1987.</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Derrida J. Of Grammatology / Translated by Gayatri Chakravorty Spivak.  Baltimore : Johns Hopkins University Press, 1976.</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Derrida J. Writing and Difference / Translated by Alan Bass.  Chicago : University of Chicago Press, 1978.</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Dumézil Georges. Gods of the Ancient Northmen / Translated by E. James.  Berkeley : University of California Press, 1973.  178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The Elder Edda: Songs of the Gods and Heroes / Translated by Andy Orchard.  London : Penguin Classics, 2011.  368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Eliade Mircea. A History of Religious Ideas.  Chicago : University of Chicago Press, 1982–1985. 3 vols.</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Eliade Mircea. The Sacred and the Profane: The Nature of Religion. San Diego : Harcourt, 1987. 176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Evola J. Ride the Tiger: A Survival Manual for the Aristocrats of the Soul / Translated by Joscelyn Godwin.  Rochester, VT : Inner Traditions, 2003.  256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Foucault M. Discipline and Punish / Translated by Alan Sheridan.  New York : Vintage, 1995.</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Foucault M. The Archaeology of Knowledge / Translated by A. M. Sheridan Smith. London : Tavistock Publications, 1972.</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Foucault M. The Order of Things / Translated by Alan Sheridan.  London : Routledge, 2002.</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lastRenderedPageBreak/>
        <w:t xml:space="preserve">Frazer J. G. The Golden Bough: A Study in Magic and Religion. </w:t>
      </w:r>
      <w:r>
        <w:rPr>
          <w:rFonts w:ascii="Times New Roman" w:eastAsia="Times New Roman" w:hAnsi="Times New Roman" w:cs="Times New Roman"/>
          <w:sz w:val="28"/>
          <w:szCs w:val="28"/>
        </w:rPr>
        <w:t>3rd ed. London, Macmillan, 1922.</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t xml:space="preserve">Gadamer H.-G. Truth and Method / Translated by Joel Weinsheimer and Donald G. Marshall. </w:t>
      </w:r>
      <w:r>
        <w:rPr>
          <w:rFonts w:ascii="Times New Roman" w:eastAsia="Times New Roman" w:hAnsi="Times New Roman" w:cs="Times New Roman"/>
          <w:sz w:val="28"/>
          <w:szCs w:val="28"/>
        </w:rPr>
        <w:t>Continuum, 2004.</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t xml:space="preserve">Gardell M. Gods of the Blood: The Pagan Revival and White Separatism. </w:t>
      </w:r>
      <w:r>
        <w:rPr>
          <w:rFonts w:ascii="Times New Roman" w:eastAsia="Times New Roman" w:hAnsi="Times New Roman" w:cs="Times New Roman"/>
          <w:sz w:val="28"/>
          <w:szCs w:val="28"/>
        </w:rPr>
        <w:t>Durham, NC, Duke University Press, 2003. 304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Gardner G. Witchcraft Today. London, Rider &amp; Company, 1954.</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t xml:space="preserve">Gellner E. Nations and Nationalism / Revised Edition. </w:t>
      </w:r>
      <w:r>
        <w:rPr>
          <w:rFonts w:ascii="Times New Roman" w:eastAsia="Times New Roman" w:hAnsi="Times New Roman" w:cs="Times New Roman"/>
          <w:sz w:val="28"/>
          <w:szCs w:val="28"/>
        </w:rPr>
        <w:t>Cornell University Press, 2008. 255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Gilbert R. A. The Golden Dawn: Twilight of the Magicians. London, The Aquarian Press, 1983. 312 p.</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t xml:space="preserve">Gilson E. God and Philosophy / Translated by Laurence K. Shook and Philippe Capelle. </w:t>
      </w:r>
      <w:r>
        <w:rPr>
          <w:rFonts w:ascii="Times New Roman" w:eastAsia="Times New Roman" w:hAnsi="Times New Roman" w:cs="Times New Roman"/>
          <w:sz w:val="28"/>
          <w:szCs w:val="28"/>
        </w:rPr>
        <w:t>Yale University Press, 1994. 192 p.</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t xml:space="preserve">Hanegraaff W. J. New Age Religion and Western Culture: Esotericism in the Mirror of Secular Thought. </w:t>
      </w:r>
      <w:r>
        <w:rPr>
          <w:rFonts w:ascii="Times New Roman" w:eastAsia="Times New Roman" w:hAnsi="Times New Roman" w:cs="Times New Roman"/>
          <w:sz w:val="28"/>
          <w:szCs w:val="28"/>
        </w:rPr>
        <w:t>Leiden, Brill, 1998. 390 p.</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t xml:space="preserve">Hammer O. Claiming Knowledge: Strategies of Epistemology from Theosophy to the New Age. </w:t>
      </w:r>
      <w:r>
        <w:rPr>
          <w:rFonts w:ascii="Times New Roman" w:eastAsia="Times New Roman" w:hAnsi="Times New Roman" w:cs="Times New Roman"/>
          <w:sz w:val="28"/>
          <w:szCs w:val="28"/>
        </w:rPr>
        <w:t>Leiden, Brill, 2001. 290 p.</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t xml:space="preserve">Hanmer D. The New Believers: A Survey of Sects, 'Cults', and Alternative Religions. </w:t>
      </w:r>
      <w:r>
        <w:rPr>
          <w:rFonts w:ascii="Times New Roman" w:eastAsia="Times New Roman" w:hAnsi="Times New Roman" w:cs="Times New Roman"/>
          <w:sz w:val="28"/>
          <w:szCs w:val="28"/>
        </w:rPr>
        <w:t>London, Cassell, 2001. 303 p.</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t xml:space="preserve">Heidegger M. Being and Time / Translated by Joan Stambaugh; Revised by Dennis J. Schmidt. </w:t>
      </w:r>
      <w:r>
        <w:rPr>
          <w:rFonts w:ascii="Times New Roman" w:eastAsia="Times New Roman" w:hAnsi="Times New Roman" w:cs="Times New Roman"/>
          <w:sz w:val="28"/>
          <w:szCs w:val="28"/>
        </w:rPr>
        <w:t>Albany, NY, State University of New York Press, 2010. 512 p.</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t xml:space="preserve">Heidegger M. The End of Philosophy / Translated by Joan Stambaugh. </w:t>
      </w:r>
      <w:r>
        <w:rPr>
          <w:rFonts w:ascii="Times New Roman" w:eastAsia="Times New Roman" w:hAnsi="Times New Roman" w:cs="Times New Roman"/>
          <w:sz w:val="28"/>
          <w:szCs w:val="28"/>
        </w:rPr>
        <w:t>New York, Harper &amp; Row, 1973. 96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Herodotus. The Histories / Translated by A. D. Godley. Cambridge, MA, Harvard University Press, Loeb Classical Library, 1920.</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t xml:space="preserve">Hesketh V. Gerald Gardner and the Cauldron of Inspiration. </w:t>
      </w:r>
      <w:r>
        <w:rPr>
          <w:rFonts w:ascii="Times New Roman" w:eastAsia="Times New Roman" w:hAnsi="Times New Roman" w:cs="Times New Roman"/>
          <w:sz w:val="28"/>
          <w:szCs w:val="28"/>
        </w:rPr>
        <w:t>Capall Bann Publishing, 2003. 350 p.</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lastRenderedPageBreak/>
        <w:t xml:space="preserve">Hippocrates. On Airs, Waters, and Places / Translated by Francis Adams. </w:t>
      </w:r>
      <w:r>
        <w:rPr>
          <w:rFonts w:ascii="Times New Roman" w:eastAsia="Times New Roman" w:hAnsi="Times New Roman" w:cs="Times New Roman"/>
          <w:sz w:val="28"/>
          <w:szCs w:val="28"/>
        </w:rPr>
        <w:t>London, W. Heinemann, 1923.</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t xml:space="preserve">Huntington E. The Pulse of Asia. New York, A. C. McClurg &amp; Co., 1907. </w:t>
      </w:r>
      <w:r>
        <w:rPr>
          <w:rFonts w:ascii="Times New Roman" w:eastAsia="Times New Roman" w:hAnsi="Times New Roman" w:cs="Times New Roman"/>
          <w:sz w:val="28"/>
          <w:szCs w:val="28"/>
        </w:rPr>
        <w:t>564 p.</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t xml:space="preserve">Huntington S. P. The Clash of Civilizations and the Remaking of World Order. </w:t>
      </w:r>
      <w:r>
        <w:rPr>
          <w:rFonts w:ascii="Times New Roman" w:eastAsia="Times New Roman" w:hAnsi="Times New Roman" w:cs="Times New Roman"/>
          <w:sz w:val="28"/>
          <w:szCs w:val="28"/>
        </w:rPr>
        <w:t>New York, Simon &amp; Schuster, 1996. 368 p.</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t xml:space="preserve">Husserl E. The Crisis of European Sciences and Transcendental Phenomenology / Translated by David Carr. </w:t>
      </w:r>
      <w:r>
        <w:rPr>
          <w:rFonts w:ascii="Times New Roman" w:eastAsia="Times New Roman" w:hAnsi="Times New Roman" w:cs="Times New Roman"/>
          <w:sz w:val="28"/>
          <w:szCs w:val="28"/>
        </w:rPr>
        <w:t>Northwestern University Press, 1970.</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Hutton R. The Triumph of the Moon: A History of Modern Pagan Witchcraft / Ronald Hutton.  2nd ed.  Oxford : Oxford University Press, 2019. 608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Ivakhiv A. Claiming Sacred Ground: Pilgrims and Politics at Glastonbury and Sedona / Adrian Ivakhiv.  Bloomington : Indiana University Press, 2001.  304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Ivakhiv A. In Search of Deeper Identities: Neopaganism and the Sacred Landscapes of Nationalism in Eastern Europe // Nationalities Papers.  2003.  Vol. 31, № 2.  P. 209–231.</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Kant I. Critique of Pure Reason / Translated by Paul Guyer and Allen W. Wood.  Cambridge : Cambridge University Press, 1998.  785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Kant I. What is Enlightenment? / In: Practical Philosophy / Translated by Mary J. Gregor.  Cambridge : Cambridge University Press, 1996.  P. 311–320.</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Kaplan J. Radical Religion in America: Millenarian Movements from the Far Right to the Children of Noah / Jeffrey Kaplan. Syracuse : Syracuse University Press, 1997. 296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King F. The Magical World of Aleister Crowley / Francis King.  New York : Coward, McCann &amp; Geoghegan, 1977.  384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Kuhn T. S. The Structure of Scientific Revolutions / Thomas S. Kuhn.  4th ed.  Chicago : University of Chicago Press, 2012. 264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Lacan J. The Ecology of the Unconscious: Selected Writings / Jacques Lacan.</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lastRenderedPageBreak/>
        <w:t>Lewis C. S. The Abolition of Man / Edited and with an Introduction by Mark A. Noll.  HarperOne, 2001. 112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Locke J. Two Treatises of Government / Edited by Peter Laslett.  Cambridge : Cambridge University Press, 1988.</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Lyotard J.-F. The Postmodern Condition: A Report on Knowledge / Translated by Geoff Bennington and Brian Massumi. University of Minnesota Press, 1984.</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Lyotard J.-F. The Postmodern Explained / Translated by Andreas Michel and Mark Roberts. — Minnesota University Press, 1993.</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Lévi-Strauss C. Mythologiques (Mythologiques: Volume 1–4) / Translated by John and Doreen Weightman. Chicago : University of Chicago Press, 1968–1978.</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Mackinder H. J. The Geographical Pivot of History / Halford J. Mackinder // The Geographical Journal.  1904.  Vol. 23, № 4.  P. 421–437.</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Marcuse H. One-Dimensional Man / Herbert Marcuse. — Beacon Press, 1991.</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Montesquieu C. de Secondat. The Spirit of the Laws / Translated by Thomas Nugent. London : G. Bell &amp; Sons, 1914.</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Nancy J.-L. Being Singular Plural / Translated by Robert D. Richardson and Anne E. O'Byrne.  Stanford : Stanford University Press, 2000.</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Nietzsche F. The Gay Science / Translated by Josefine Nauckhoff and Adrian Del Caro.  Cambridge : Cambridge University Press, 2001.</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Nietzsche F. Thus Spoke Zarathustra / Translated by Graham Parkes.  Oxford University Press, 2005. 320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Pinker, S. The Language Instinct: How the Mind Creates Language.  New York: William Morrow, 1994.</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Plato. Timaeus / Translated by Donald J. Zeyl. Indianapolis : Hackett Publishing Company, 2000. 144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Plotinus. The Enneads / Translated by Stephen MacKenna.  Cambridge, MA : Harvard University Press, Loeb Classical Library, 1969.  600 p.</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lastRenderedPageBreak/>
        <w:t xml:space="preserve">Plokhy, Serhii. The Cossack Myth: History and Nationhood in the Age of Empires. </w:t>
      </w:r>
      <w:r>
        <w:rPr>
          <w:rFonts w:ascii="Times New Roman" w:eastAsia="Times New Roman" w:hAnsi="Times New Roman" w:cs="Times New Roman"/>
          <w:sz w:val="28"/>
          <w:szCs w:val="28"/>
        </w:rPr>
        <w:t>Cambridge: Cambridge University Press, 2012.  432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Plutarch. Parallel Lives / Translated by Bernadotte Perrin.  Harvard University Press, Loeb Classical Library, 1914.</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Popper, K. The Logic of Scientific Discovery / Translated by J. W. N. Watkins.  London: Routledge, 2002.</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Rosch, E. The Nature of Categorical Perception in Color Naming // Cognitive Psychology. 1975. Vol. 7, No. 1, pp. 82–97.</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Sapir, E. Selected Writings in Language, Culture and Personality / Edited by D. G. Mandelbaum. — Berkeley: University of California Press, 1949.</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t xml:space="preserve">Schnurbein, Stefanie von. Norse Revival: Transformations of Germanic Neopaganism. </w:t>
      </w:r>
      <w:r>
        <w:rPr>
          <w:rFonts w:ascii="Times New Roman" w:eastAsia="Times New Roman" w:hAnsi="Times New Roman" w:cs="Times New Roman"/>
          <w:sz w:val="28"/>
          <w:szCs w:val="28"/>
        </w:rPr>
        <w:t>Leiden: Brill, 2016. — 314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Scholem, Gershom. Major Trends in Jewish Mysticism. New York: Schocken Books, 1995</w:t>
      </w:r>
      <w:r w:rsidR="00807DEB">
        <w:rPr>
          <w:rFonts w:ascii="Times New Roman" w:eastAsia="Times New Roman" w:hAnsi="Times New Roman" w:cs="Times New Roman"/>
          <w:sz w:val="28"/>
          <w:szCs w:val="28"/>
          <w:lang w:val="uk-UA"/>
        </w:rPr>
        <w:t>.</w:t>
      </w:r>
      <w:r w:rsidRPr="007E2E4E">
        <w:rPr>
          <w:rFonts w:ascii="Times New Roman" w:eastAsia="Times New Roman" w:hAnsi="Times New Roman" w:cs="Times New Roman"/>
          <w:sz w:val="28"/>
          <w:szCs w:val="28"/>
          <w:lang w:val="en-US"/>
        </w:rPr>
        <w:t xml:space="preserve">  378 p.</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t xml:space="preserve">Sedgwick, Mark. Against the Modern World: Traditionalism and the Secret Intellectual History of the Twentieth Century. </w:t>
      </w:r>
      <w:r w:rsidRPr="00807DEB">
        <w:rPr>
          <w:rFonts w:ascii="Times New Roman" w:eastAsia="Times New Roman" w:hAnsi="Times New Roman" w:cs="Times New Roman"/>
          <w:sz w:val="28"/>
          <w:szCs w:val="28"/>
          <w:lang w:val="en-US"/>
        </w:rPr>
        <w:t xml:space="preserve">Oxford: </w:t>
      </w:r>
      <w:r>
        <w:rPr>
          <w:rFonts w:ascii="Times New Roman" w:eastAsia="Times New Roman" w:hAnsi="Times New Roman" w:cs="Times New Roman"/>
          <w:sz w:val="28"/>
          <w:szCs w:val="28"/>
        </w:rPr>
        <w:t>Oxford University Press, 2004. 408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Sloterdijk, P. Critique of Cynical Reason / Translated by Michael Eldred.  Minneapolis : University of Minnesota Press, 1987. 374 p.</w:t>
      </w:r>
    </w:p>
    <w:p w:rsidR="00F71741" w:rsidRDefault="00303DB6">
      <w:pPr>
        <w:pStyle w:val="normal"/>
        <w:numPr>
          <w:ilvl w:val="0"/>
          <w:numId w:val="1"/>
        </w:numPr>
        <w:spacing w:line="360" w:lineRule="auto"/>
        <w:jc w:val="both"/>
        <w:rPr>
          <w:rFonts w:ascii="Times New Roman" w:eastAsia="Times New Roman" w:hAnsi="Times New Roman" w:cs="Times New Roman"/>
          <w:sz w:val="28"/>
          <w:szCs w:val="28"/>
        </w:rPr>
      </w:pPr>
      <w:r w:rsidRPr="007E2E4E">
        <w:rPr>
          <w:rFonts w:ascii="Times New Roman" w:eastAsia="Times New Roman" w:hAnsi="Times New Roman" w:cs="Times New Roman"/>
          <w:sz w:val="28"/>
          <w:szCs w:val="28"/>
          <w:lang w:val="en-US"/>
        </w:rPr>
        <w:t xml:space="preserve">Snorri Sturluson. Poetic Edda. Translated by Carolyne Larrington. </w:t>
      </w:r>
      <w:r>
        <w:rPr>
          <w:rFonts w:ascii="Times New Roman" w:eastAsia="Times New Roman" w:hAnsi="Times New Roman" w:cs="Times New Roman"/>
          <w:sz w:val="28"/>
          <w:szCs w:val="28"/>
        </w:rPr>
        <w:t>Oxford: Oxford University Press, 2014. 368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Suetonius. The Twelve Caesars / Translated by Robert Graves. Penguin Classics, 2007. 512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Tacitus. Annals / Translated by Alfred John Church and William Jackson Brodribb.  Modern Library, 2003. 480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Taylor, C. Sources of the Self: The Making of the Modern Identity.  Cambridge, MA: Harvard University Press, 1989.</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Teilhard de Chardin, P. The Phenomenon of Man / Translated by Bernard Wall. Harper Perennial, 2008.</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lastRenderedPageBreak/>
        <w:t>Toynbee, Arnold J. A Study of History. London: Oxford University Press, 1957–1961. 12 vols.</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Weber, M. The Protestant Ethic and the Spirit of Capitalism / Translated by Talcott Parsons. Routledge, 2001.  240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Whorf, B. L. Language, Thought, and Reality: Selected Writings of Benjamin Lee Whorf / Ed. by J. B. Carroll.  Cambridge, MA: MIT Press, 1956.</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Wittgenstein, L. Philosophical Investigations / Translated by G. E. M. Anscombe, P. M. S. Hacker, and Joachim Schulte.  4th ed.  Oxford : Wiley-Blackwell, 2009.  592 p.</w:t>
      </w:r>
    </w:p>
    <w:p w:rsidR="00F71741" w:rsidRPr="007E2E4E" w:rsidRDefault="00303DB6">
      <w:pPr>
        <w:pStyle w:val="normal"/>
        <w:numPr>
          <w:ilvl w:val="0"/>
          <w:numId w:val="1"/>
        </w:numPr>
        <w:spacing w:line="360" w:lineRule="auto"/>
        <w:jc w:val="both"/>
        <w:rPr>
          <w:rFonts w:ascii="Times New Roman" w:eastAsia="Times New Roman" w:hAnsi="Times New Roman" w:cs="Times New Roman"/>
          <w:sz w:val="28"/>
          <w:szCs w:val="28"/>
          <w:lang w:val="en-US"/>
        </w:rPr>
      </w:pPr>
      <w:r w:rsidRPr="007E2E4E">
        <w:rPr>
          <w:rFonts w:ascii="Times New Roman" w:eastAsia="Times New Roman" w:hAnsi="Times New Roman" w:cs="Times New Roman"/>
          <w:sz w:val="28"/>
          <w:szCs w:val="28"/>
          <w:lang w:val="en-US"/>
        </w:rPr>
        <w:t>Wittgenstein, L. Tractatus Logico-Philosophicus / Translated by C. K. Ogden. Routledge, 2009.</w:t>
      </w:r>
      <w:r w:rsidRPr="007E2E4E">
        <w:rPr>
          <w:rFonts w:ascii="Times New Roman" w:eastAsia="Times New Roman" w:hAnsi="Times New Roman" w:cs="Times New Roman"/>
          <w:sz w:val="28"/>
          <w:szCs w:val="28"/>
          <w:lang w:val="en-US"/>
        </w:rPr>
        <w:tab/>
      </w:r>
    </w:p>
    <w:p w:rsidR="00F71741" w:rsidRDefault="00303DB6">
      <w:pPr>
        <w:pStyle w:val="normal"/>
        <w:numPr>
          <w:ilvl w:val="0"/>
          <w:numId w:val="1"/>
        </w:numPr>
        <w:spacing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Платон. Держава / Пер. з давньогр. Д. Коваль. К</w:t>
      </w:r>
      <w:r w:rsidR="00D1211A">
        <w:rPr>
          <w:rFonts w:ascii="Times New Roman" w:eastAsia="Times New Roman" w:hAnsi="Times New Roman" w:cs="Times New Roman"/>
          <w:sz w:val="28"/>
          <w:szCs w:val="28"/>
          <w:lang w:val="uk-UA"/>
        </w:rPr>
        <w:t xml:space="preserve">иїв </w:t>
      </w:r>
      <w:r>
        <w:rPr>
          <w:rFonts w:ascii="Times New Roman" w:eastAsia="Times New Roman" w:hAnsi="Times New Roman" w:cs="Times New Roman"/>
          <w:sz w:val="28"/>
          <w:szCs w:val="28"/>
        </w:rPr>
        <w:t>: Основи, 2000. 355 с.</w:t>
      </w:r>
    </w:p>
    <w:sectPr w:rsidR="00F71741" w:rsidSect="00F71741">
      <w:headerReference w:type="default" r:id="rId7"/>
      <w:footerReference w:type="default" r:id="rId8"/>
      <w:headerReference w:type="first" r:id="rId9"/>
      <w:footerReference w:type="first" r:id="rId10"/>
      <w:pgSz w:w="11909" w:h="16834"/>
      <w:pgMar w:top="1417" w:right="566" w:bottom="1417" w:left="1700" w:header="720" w:footer="720"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446A" w:rsidRDefault="0048446A" w:rsidP="00F71741">
      <w:pPr>
        <w:spacing w:line="240" w:lineRule="auto"/>
      </w:pPr>
      <w:r>
        <w:separator/>
      </w:r>
    </w:p>
  </w:endnote>
  <w:endnote w:type="continuationSeparator" w:id="0">
    <w:p w:rsidR="0048446A" w:rsidRDefault="0048446A" w:rsidP="00F71741">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1741" w:rsidRDefault="00F71741">
    <w:pPr>
      <w:pStyle w:val="normal"/>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1741" w:rsidRDefault="00F71741">
    <w:pPr>
      <w:pStyle w:val="normal"/>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446A" w:rsidRDefault="0048446A" w:rsidP="00F71741">
      <w:pPr>
        <w:spacing w:line="240" w:lineRule="auto"/>
      </w:pPr>
      <w:r>
        <w:separator/>
      </w:r>
    </w:p>
  </w:footnote>
  <w:footnote w:type="continuationSeparator" w:id="0">
    <w:p w:rsidR="0048446A" w:rsidRDefault="0048446A" w:rsidP="00F71741">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1741" w:rsidRDefault="00F71741">
    <w:pPr>
      <w:pStyle w:val="normal"/>
    </w:pPr>
  </w:p>
  <w:p w:rsidR="00F71741" w:rsidRDefault="00E02C2E">
    <w:pPr>
      <w:pStyle w:val="normal"/>
      <w:jc w:val="right"/>
    </w:pPr>
    <w:r>
      <w:fldChar w:fldCharType="begin"/>
    </w:r>
    <w:r w:rsidR="00303DB6">
      <w:instrText>PAGE</w:instrText>
    </w:r>
    <w:r>
      <w:fldChar w:fldCharType="separate"/>
    </w:r>
    <w:r w:rsidR="00C250B1">
      <w:rPr>
        <w:noProof/>
      </w:rPr>
      <w:t>3</w:t>
    </w:r>
    <w: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1741" w:rsidRDefault="00F71741">
    <w:pPr>
      <w:pStyle w:val="normal"/>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8637F7"/>
    <w:multiLevelType w:val="multilevel"/>
    <w:tmpl w:val="9D72C5E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nsid w:val="37341034"/>
    <w:multiLevelType w:val="multilevel"/>
    <w:tmpl w:val="82661C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540932D2"/>
    <w:multiLevelType w:val="multilevel"/>
    <w:tmpl w:val="C0BC71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characterSpacingControl w:val="doNotCompress"/>
  <w:footnotePr>
    <w:footnote w:id="-1"/>
    <w:footnote w:id="0"/>
  </w:footnotePr>
  <w:endnotePr>
    <w:endnote w:id="-1"/>
    <w:endnote w:id="0"/>
  </w:endnotePr>
  <w:compat/>
  <w:rsids>
    <w:rsidRoot w:val="00F71741"/>
    <w:rsid w:val="00123866"/>
    <w:rsid w:val="00134556"/>
    <w:rsid w:val="00303DB6"/>
    <w:rsid w:val="003F6DDF"/>
    <w:rsid w:val="0048446A"/>
    <w:rsid w:val="004B6F4E"/>
    <w:rsid w:val="005A2D16"/>
    <w:rsid w:val="00607CDE"/>
    <w:rsid w:val="006E2884"/>
    <w:rsid w:val="007877F3"/>
    <w:rsid w:val="007E2E4E"/>
    <w:rsid w:val="00807DEB"/>
    <w:rsid w:val="008A124F"/>
    <w:rsid w:val="008A5564"/>
    <w:rsid w:val="008F0698"/>
    <w:rsid w:val="009B7A23"/>
    <w:rsid w:val="00C250B1"/>
    <w:rsid w:val="00D068CE"/>
    <w:rsid w:val="00D1211A"/>
    <w:rsid w:val="00E02C2E"/>
    <w:rsid w:val="00F7174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6F4E"/>
  </w:style>
  <w:style w:type="paragraph" w:styleId="1">
    <w:name w:val="heading 1"/>
    <w:basedOn w:val="normal"/>
    <w:next w:val="normal"/>
    <w:rsid w:val="00F71741"/>
    <w:pPr>
      <w:keepNext/>
      <w:keepLines/>
      <w:spacing w:before="400" w:after="120"/>
      <w:outlineLvl w:val="0"/>
    </w:pPr>
    <w:rPr>
      <w:sz w:val="40"/>
      <w:szCs w:val="40"/>
    </w:rPr>
  </w:style>
  <w:style w:type="paragraph" w:styleId="2">
    <w:name w:val="heading 2"/>
    <w:basedOn w:val="normal"/>
    <w:next w:val="normal"/>
    <w:rsid w:val="00F71741"/>
    <w:pPr>
      <w:keepNext/>
      <w:keepLines/>
      <w:spacing w:before="360" w:after="120"/>
      <w:outlineLvl w:val="1"/>
    </w:pPr>
    <w:rPr>
      <w:sz w:val="32"/>
      <w:szCs w:val="32"/>
    </w:rPr>
  </w:style>
  <w:style w:type="paragraph" w:styleId="3">
    <w:name w:val="heading 3"/>
    <w:basedOn w:val="normal"/>
    <w:next w:val="normal"/>
    <w:rsid w:val="00F71741"/>
    <w:pPr>
      <w:keepNext/>
      <w:keepLines/>
      <w:spacing w:before="320" w:after="80"/>
      <w:outlineLvl w:val="2"/>
    </w:pPr>
    <w:rPr>
      <w:color w:val="434343"/>
      <w:sz w:val="28"/>
      <w:szCs w:val="28"/>
    </w:rPr>
  </w:style>
  <w:style w:type="paragraph" w:styleId="4">
    <w:name w:val="heading 4"/>
    <w:basedOn w:val="normal"/>
    <w:next w:val="normal"/>
    <w:rsid w:val="00F71741"/>
    <w:pPr>
      <w:keepNext/>
      <w:keepLines/>
      <w:spacing w:before="280" w:after="80"/>
      <w:outlineLvl w:val="3"/>
    </w:pPr>
    <w:rPr>
      <w:color w:val="666666"/>
      <w:sz w:val="24"/>
      <w:szCs w:val="24"/>
    </w:rPr>
  </w:style>
  <w:style w:type="paragraph" w:styleId="5">
    <w:name w:val="heading 5"/>
    <w:basedOn w:val="normal"/>
    <w:next w:val="normal"/>
    <w:rsid w:val="00F71741"/>
    <w:pPr>
      <w:keepNext/>
      <w:keepLines/>
      <w:spacing w:before="240" w:after="80"/>
      <w:outlineLvl w:val="4"/>
    </w:pPr>
    <w:rPr>
      <w:color w:val="666666"/>
    </w:rPr>
  </w:style>
  <w:style w:type="paragraph" w:styleId="6">
    <w:name w:val="heading 6"/>
    <w:basedOn w:val="normal"/>
    <w:next w:val="normal"/>
    <w:rsid w:val="00F71741"/>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F71741"/>
  </w:style>
  <w:style w:type="table" w:customStyle="1" w:styleId="TableNormal">
    <w:name w:val="Table Normal"/>
    <w:rsid w:val="00F71741"/>
    <w:tblPr>
      <w:tblCellMar>
        <w:top w:w="0" w:type="dxa"/>
        <w:left w:w="0" w:type="dxa"/>
        <w:bottom w:w="0" w:type="dxa"/>
        <w:right w:w="0" w:type="dxa"/>
      </w:tblCellMar>
    </w:tblPr>
  </w:style>
  <w:style w:type="paragraph" w:styleId="a3">
    <w:name w:val="Title"/>
    <w:basedOn w:val="normal"/>
    <w:next w:val="normal"/>
    <w:rsid w:val="00F71741"/>
    <w:pPr>
      <w:keepNext/>
      <w:keepLines/>
      <w:spacing w:after="60"/>
    </w:pPr>
    <w:rPr>
      <w:sz w:val="52"/>
      <w:szCs w:val="52"/>
    </w:rPr>
  </w:style>
  <w:style w:type="paragraph" w:styleId="a4">
    <w:name w:val="Subtitle"/>
    <w:basedOn w:val="normal"/>
    <w:next w:val="normal"/>
    <w:rsid w:val="00F71741"/>
    <w:pPr>
      <w:keepNext/>
      <w:keepLines/>
      <w:spacing w:after="320"/>
    </w:pPr>
    <w:rPr>
      <w:color w:val="666666"/>
      <w:sz w:val="30"/>
      <w:szCs w:val="30"/>
    </w:rPr>
  </w:style>
  <w:style w:type="table" w:customStyle="1" w:styleId="a5">
    <w:basedOn w:val="TableNormal"/>
    <w:rsid w:val="00F71741"/>
    <w:tblPr>
      <w:tblStyleRowBandSize w:val="1"/>
      <w:tblStyleColBandSize w:val="1"/>
      <w:tblCellMar>
        <w:top w:w="100" w:type="dxa"/>
        <w:left w:w="100" w:type="dxa"/>
        <w:bottom w:w="100" w:type="dxa"/>
        <w:right w:w="100"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Pages>
  <Words>14410</Words>
  <Characters>82140</Characters>
  <Application>Microsoft Office Word</Application>
  <DocSecurity>0</DocSecurity>
  <Lines>684</Lines>
  <Paragraphs>192</Paragraphs>
  <ScaleCrop>false</ScaleCrop>
  <HeadingPairs>
    <vt:vector size="2" baseType="variant">
      <vt:variant>
        <vt:lpstr>Название</vt:lpstr>
      </vt:variant>
      <vt:variant>
        <vt:i4>1</vt:i4>
      </vt:variant>
    </vt:vector>
  </HeadingPairs>
  <TitlesOfParts>
    <vt:vector size="1" baseType="lpstr">
      <vt:lpstr/>
    </vt:vector>
  </TitlesOfParts>
  <Company>ОНУ им.И.И.Мечникова</Company>
  <LinksUpToDate>false</LinksUpToDate>
  <CharactersWithSpaces>96358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Кафедра философии</cp:lastModifiedBy>
  <cp:revision>16</cp:revision>
  <dcterms:created xsi:type="dcterms:W3CDTF">2025-06-06T07:38:00Z</dcterms:created>
  <dcterms:modified xsi:type="dcterms:W3CDTF">2025-06-11T09:18:00Z</dcterms:modified>
</cp:coreProperties>
</file>