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555D5D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</w:rPr>
        <w:t>конституційного права та правосуддя</w:t>
      </w: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55D5D">
        <w:rPr>
          <w:rFonts w:ascii="Times New Roman" w:hAnsi="Times New Roman"/>
          <w:b/>
          <w:sz w:val="28"/>
          <w:szCs w:val="28"/>
        </w:rPr>
        <w:t>Д и п л о м н а  р о б о т а</w:t>
      </w: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магістра </w:t>
      </w:r>
    </w:p>
    <w:p w:rsidR="00936A6D" w:rsidRPr="00936A6D" w:rsidRDefault="00936A6D" w:rsidP="009076E7">
      <w:pPr>
        <w:tabs>
          <w:tab w:val="left" w:pos="426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36A6D">
        <w:rPr>
          <w:rFonts w:ascii="Times New Roman" w:hAnsi="Times New Roman"/>
          <w:sz w:val="28"/>
          <w:szCs w:val="28"/>
        </w:rPr>
        <w:t>на тему:</w:t>
      </w:r>
      <w:r w:rsidRPr="00936A6D">
        <w:rPr>
          <w:rFonts w:ascii="Times New Roman" w:hAnsi="Times New Roman"/>
          <w:b/>
          <w:sz w:val="28"/>
          <w:szCs w:val="28"/>
        </w:rPr>
        <w:t xml:space="preserve"> “Рішення Європейського суду з прав людини як джерело конституційного права України”</w:t>
      </w:r>
    </w:p>
    <w:p w:rsidR="00936A6D" w:rsidRPr="00555D5D" w:rsidRDefault="00936A6D" w:rsidP="009076E7">
      <w:pPr>
        <w:spacing w:before="120" w:after="0" w:line="240" w:lineRule="auto"/>
        <w:jc w:val="center"/>
        <w:rPr>
          <w:rFonts w:ascii="Times New Roman" w:hAnsi="Times New Roman"/>
        </w:rPr>
      </w:pPr>
      <w:r w:rsidRPr="00555D5D">
        <w:rPr>
          <w:rFonts w:ascii="Times New Roman" w:hAnsi="Times New Roman"/>
        </w:rPr>
        <w:t>“</w:t>
      </w:r>
      <w:r w:rsidRPr="00936A6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71D76">
        <w:rPr>
          <w:rFonts w:ascii="Times New Roman" w:hAnsi="Times New Roman"/>
          <w:sz w:val="24"/>
          <w:szCs w:val="24"/>
          <w:lang w:val="en-US"/>
        </w:rPr>
        <w:t>Judgment of the European Court of Human Rights as a source of constitutional law of Ukraine</w:t>
      </w:r>
      <w:r w:rsidRPr="00555D5D">
        <w:rPr>
          <w:rFonts w:ascii="Times New Roman" w:hAnsi="Times New Roman"/>
        </w:rPr>
        <w:t>”</w:t>
      </w:r>
    </w:p>
    <w:p w:rsidR="00936A6D" w:rsidRPr="00555D5D" w:rsidRDefault="00936A6D" w:rsidP="00936A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6A6D" w:rsidRPr="00555D5D" w:rsidRDefault="00936A6D" w:rsidP="00936A6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ла</w:t>
      </w:r>
      <w:r w:rsidRPr="00555D5D">
        <w:rPr>
          <w:rFonts w:ascii="Times New Roman" w:hAnsi="Times New Roman"/>
          <w:sz w:val="28"/>
          <w:szCs w:val="28"/>
        </w:rPr>
        <w:t xml:space="preserve"> студент</w:t>
      </w:r>
      <w:r>
        <w:rPr>
          <w:rFonts w:ascii="Times New Roman" w:hAnsi="Times New Roman"/>
          <w:sz w:val="28"/>
          <w:szCs w:val="28"/>
        </w:rPr>
        <w:t>ка</w:t>
      </w:r>
      <w:r w:rsidRPr="00555D5D">
        <w:rPr>
          <w:rFonts w:ascii="Times New Roman" w:hAnsi="Times New Roman"/>
          <w:sz w:val="28"/>
          <w:szCs w:val="28"/>
        </w:rPr>
        <w:t xml:space="preserve"> денної форми навчання,</w:t>
      </w: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>спеціальність 081 Право</w:t>
      </w:r>
    </w:p>
    <w:p w:rsidR="00936A6D" w:rsidRPr="00936A6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936A6D">
        <w:rPr>
          <w:rFonts w:ascii="Times New Roman" w:hAnsi="Times New Roman"/>
          <w:sz w:val="28"/>
          <w:szCs w:val="28"/>
        </w:rPr>
        <w:t>Устенко Надія Сергіївна</w:t>
      </w: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Науковий керівник: </w:t>
      </w:r>
      <w:r>
        <w:rPr>
          <w:rFonts w:ascii="Times New Roman" w:hAnsi="Times New Roman"/>
          <w:sz w:val="28"/>
          <w:szCs w:val="28"/>
        </w:rPr>
        <w:t>кандидат</w:t>
      </w:r>
      <w:r w:rsidRPr="00555D5D">
        <w:rPr>
          <w:rFonts w:ascii="Times New Roman" w:hAnsi="Times New Roman"/>
          <w:sz w:val="28"/>
          <w:szCs w:val="28"/>
        </w:rPr>
        <w:t xml:space="preserve"> юридичних </w:t>
      </w: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наук, </w:t>
      </w:r>
      <w:r>
        <w:rPr>
          <w:rFonts w:ascii="Times New Roman" w:hAnsi="Times New Roman"/>
          <w:sz w:val="28"/>
          <w:szCs w:val="28"/>
        </w:rPr>
        <w:t>ст. викл</w:t>
      </w:r>
      <w:r w:rsidRPr="00555D5D">
        <w:rPr>
          <w:rFonts w:ascii="Times New Roman" w:hAnsi="Times New Roman"/>
          <w:sz w:val="28"/>
          <w:szCs w:val="28"/>
        </w:rPr>
        <w:t xml:space="preserve"> __________ </w:t>
      </w:r>
      <w:r>
        <w:rPr>
          <w:rFonts w:ascii="Times New Roman" w:hAnsi="Times New Roman"/>
          <w:sz w:val="28"/>
          <w:szCs w:val="28"/>
        </w:rPr>
        <w:t>Левенець А.В.</w:t>
      </w:r>
      <w:r w:rsidRPr="00555D5D">
        <w:rPr>
          <w:rFonts w:ascii="Times New Roman" w:hAnsi="Times New Roman"/>
          <w:sz w:val="28"/>
          <w:szCs w:val="28"/>
        </w:rPr>
        <w:t xml:space="preserve">                                                              </w:t>
      </w:r>
    </w:p>
    <w:p w:rsidR="00936A6D" w:rsidRDefault="00936A6D" w:rsidP="00936A6D">
      <w:pPr>
        <w:ind w:firstLine="3969"/>
        <w:rPr>
          <w:rFonts w:ascii="Times New Roman" w:hAnsi="Times New Roman"/>
          <w:sz w:val="28"/>
          <w:szCs w:val="28"/>
        </w:rPr>
      </w:pP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Рецензент: доктор юридичних наук, </w:t>
      </w:r>
    </w:p>
    <w:p w:rsidR="00936A6D" w:rsidRPr="00555D5D" w:rsidRDefault="00936A6D" w:rsidP="00936A6D">
      <w:pPr>
        <w:spacing w:after="0" w:line="240" w:lineRule="auto"/>
        <w:ind w:firstLine="3969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професор </w:t>
      </w:r>
      <w:r>
        <w:rPr>
          <w:rFonts w:ascii="Times New Roman" w:hAnsi="Times New Roman"/>
          <w:sz w:val="28"/>
          <w:szCs w:val="28"/>
        </w:rPr>
        <w:t>Корчевна Л.О</w:t>
      </w:r>
      <w:r w:rsidRPr="00555D5D">
        <w:rPr>
          <w:rFonts w:ascii="Times New Roman" w:hAnsi="Times New Roman"/>
          <w:sz w:val="28"/>
          <w:szCs w:val="28"/>
        </w:rPr>
        <w:t xml:space="preserve">. </w:t>
      </w:r>
    </w:p>
    <w:p w:rsidR="00936A6D" w:rsidRPr="00555D5D" w:rsidRDefault="00936A6D" w:rsidP="00936A6D">
      <w:pPr>
        <w:spacing w:line="360" w:lineRule="auto"/>
        <w:ind w:firstLine="3969"/>
        <w:jc w:val="center"/>
        <w:rPr>
          <w:rFonts w:ascii="Times New Roman" w:hAnsi="Times New Roman"/>
          <w:b/>
          <w:sz w:val="28"/>
          <w:szCs w:val="28"/>
        </w:rPr>
      </w:pPr>
    </w:p>
    <w:p w:rsidR="00936A6D" w:rsidRPr="00555D5D" w:rsidRDefault="00936A6D" w:rsidP="00936A6D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36A6D" w:rsidRPr="00555D5D" w:rsidRDefault="00936A6D" w:rsidP="00936A6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>Рекомендовано до захисту на                 Захищено на засіданні ЕК № 2</w:t>
      </w:r>
    </w:p>
    <w:p w:rsidR="00936A6D" w:rsidRPr="00555D5D" w:rsidRDefault="00936A6D" w:rsidP="00936A6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засіданні кафедри “___” _____ 2017 р.,    “___” _____ 2017 р., протокол № ___ </w:t>
      </w:r>
    </w:p>
    <w:p w:rsidR="00936A6D" w:rsidRPr="00555D5D" w:rsidRDefault="00936A6D" w:rsidP="00936A6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>протокол № ___                                      Оцінка _______/_______/_______</w:t>
      </w:r>
    </w:p>
    <w:p w:rsidR="00936A6D" w:rsidRPr="00555D5D" w:rsidRDefault="00936A6D" w:rsidP="00936A6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Завідувач кафедри                                  Голова ЕК     </w:t>
      </w:r>
    </w:p>
    <w:p w:rsidR="00936A6D" w:rsidRPr="00555D5D" w:rsidRDefault="00936A6D" w:rsidP="00936A6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>д.ю.н., проф._________Корчевна Л.О.     д.ю.н., проф._______Миколенко О.І.</w:t>
      </w:r>
    </w:p>
    <w:p w:rsidR="00936A6D" w:rsidRPr="00555D5D" w:rsidRDefault="00936A6D" w:rsidP="00936A6D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555D5D">
        <w:rPr>
          <w:rFonts w:ascii="Times New Roman" w:hAnsi="Times New Roman"/>
          <w:sz w:val="28"/>
          <w:szCs w:val="28"/>
        </w:rPr>
        <w:t xml:space="preserve">                                                   </w:t>
      </w:r>
    </w:p>
    <w:p w:rsidR="00936A6D" w:rsidRPr="007C0370" w:rsidRDefault="00936A6D" w:rsidP="00936A6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555D5D">
        <w:rPr>
          <w:rFonts w:ascii="Times New Roman" w:hAnsi="Times New Roman"/>
          <w:b/>
          <w:sz w:val="28"/>
          <w:szCs w:val="28"/>
        </w:rPr>
        <w:t>Одеса – 201</w:t>
      </w:r>
      <w:r w:rsidR="007C0370">
        <w:rPr>
          <w:rFonts w:ascii="Times New Roman" w:hAnsi="Times New Roman"/>
          <w:b/>
          <w:sz w:val="28"/>
          <w:szCs w:val="28"/>
          <w:lang w:val="ru-RU"/>
        </w:rPr>
        <w:t>8</w:t>
      </w:r>
    </w:p>
    <w:p w:rsidR="008F61FA" w:rsidRPr="004178EA" w:rsidRDefault="008F61FA" w:rsidP="008F61FA">
      <w:pPr>
        <w:jc w:val="center"/>
        <w:rPr>
          <w:rFonts w:ascii="Times New Roman" w:hAnsi="Times New Roman"/>
          <w:b/>
          <w:sz w:val="28"/>
          <w:szCs w:val="28"/>
        </w:rPr>
      </w:pPr>
      <w:r w:rsidRPr="004178EA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8F61FA" w:rsidRPr="004178EA" w:rsidRDefault="00E053E8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ВСТУП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     3</w:t>
      </w:r>
    </w:p>
    <w:p w:rsidR="008F61FA" w:rsidRPr="004178EA" w:rsidRDefault="008F61FA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178EA">
        <w:rPr>
          <w:rFonts w:ascii="Times New Roman" w:hAnsi="Times New Roman"/>
          <w:b/>
          <w:sz w:val="28"/>
          <w:szCs w:val="28"/>
        </w:rPr>
        <w:t xml:space="preserve">РОЗДІЛ І. </w:t>
      </w:r>
      <w:r w:rsidR="00981338">
        <w:rPr>
          <w:rFonts w:ascii="Times New Roman" w:hAnsi="Times New Roman"/>
          <w:b/>
          <w:sz w:val="28"/>
          <w:szCs w:val="28"/>
        </w:rPr>
        <w:t>ПОНЯТТЯ</w:t>
      </w:r>
      <w:r w:rsidRPr="004178EA">
        <w:rPr>
          <w:rFonts w:ascii="Times New Roman" w:hAnsi="Times New Roman"/>
          <w:b/>
          <w:sz w:val="28"/>
          <w:szCs w:val="28"/>
        </w:rPr>
        <w:t xml:space="preserve"> ТА ВИДИ ДЖЕРЕЛ КОНСТИТУЦІЙНОГО ПРАВА УКРАЇНИ.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>6</w:t>
      </w:r>
    </w:p>
    <w:p w:rsidR="008F61FA" w:rsidRDefault="008F61FA" w:rsidP="00D9473F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Поняття та загальна характеристика джерел конституційного права України.</w:t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  <w:t>6</w:t>
      </w:r>
    </w:p>
    <w:p w:rsidR="008F61FA" w:rsidRDefault="008F61FA" w:rsidP="00D9473F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Система джерел конституційного права України.</w:t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  <w:t xml:space="preserve">        12</w:t>
      </w:r>
    </w:p>
    <w:p w:rsidR="00D9473F" w:rsidRPr="00D3014F" w:rsidRDefault="008F61FA" w:rsidP="00D3014F">
      <w:pPr>
        <w:pStyle w:val="a3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sz w:val="28"/>
          <w:szCs w:val="28"/>
        </w:rPr>
      </w:pPr>
      <w:r w:rsidRPr="00D9473F">
        <w:rPr>
          <w:rFonts w:ascii="Times New Roman" w:hAnsi="Times New Roman"/>
          <w:sz w:val="28"/>
          <w:szCs w:val="28"/>
        </w:rPr>
        <w:t>Судові рішення як джерела конституційного права України</w:t>
      </w:r>
      <w:r w:rsidR="00E053E8">
        <w:rPr>
          <w:rFonts w:ascii="Times New Roman" w:hAnsi="Times New Roman"/>
          <w:sz w:val="28"/>
          <w:szCs w:val="28"/>
        </w:rPr>
        <w:t xml:space="preserve">             19</w:t>
      </w:r>
    </w:p>
    <w:p w:rsidR="00D3014F" w:rsidRPr="00D3014F" w:rsidRDefault="00D3014F" w:rsidP="00D3014F">
      <w:pPr>
        <w:pStyle w:val="a3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Висновки до розділу І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 xml:space="preserve">        33</w:t>
      </w:r>
    </w:p>
    <w:p w:rsidR="008F61FA" w:rsidRPr="004178EA" w:rsidRDefault="008F61FA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178EA">
        <w:rPr>
          <w:rFonts w:ascii="Times New Roman" w:hAnsi="Times New Roman"/>
          <w:b/>
          <w:sz w:val="28"/>
          <w:szCs w:val="28"/>
        </w:rPr>
        <w:t xml:space="preserve">РОЗДІЛ ІІ. </w:t>
      </w:r>
      <w:r w:rsidR="00981338">
        <w:rPr>
          <w:rFonts w:ascii="Times New Roman" w:hAnsi="Times New Roman"/>
          <w:b/>
          <w:sz w:val="28"/>
          <w:szCs w:val="28"/>
        </w:rPr>
        <w:t xml:space="preserve">РІШЕННЯ </w:t>
      </w:r>
      <w:r w:rsidRPr="004178EA">
        <w:rPr>
          <w:rFonts w:ascii="Times New Roman" w:hAnsi="Times New Roman"/>
          <w:b/>
          <w:sz w:val="28"/>
          <w:szCs w:val="28"/>
        </w:rPr>
        <w:t xml:space="preserve">ЄВРОПЕЙСЬКОГО СУДУ З ПРАВ ЛЮДИНИ </w:t>
      </w:r>
      <w:r w:rsidR="00981338">
        <w:rPr>
          <w:rFonts w:ascii="Times New Roman" w:hAnsi="Times New Roman"/>
          <w:b/>
          <w:sz w:val="28"/>
          <w:szCs w:val="28"/>
        </w:rPr>
        <w:t>ЯК ОСОБЛИВ</w:t>
      </w:r>
      <w:r w:rsidR="00A60FDB">
        <w:rPr>
          <w:rFonts w:ascii="Times New Roman" w:hAnsi="Times New Roman"/>
          <w:b/>
          <w:sz w:val="28"/>
          <w:szCs w:val="28"/>
        </w:rPr>
        <w:t xml:space="preserve">Е </w:t>
      </w:r>
      <w:r w:rsidR="00981338">
        <w:rPr>
          <w:rFonts w:ascii="Times New Roman" w:hAnsi="Times New Roman"/>
          <w:b/>
          <w:sz w:val="28"/>
          <w:szCs w:val="28"/>
        </w:rPr>
        <w:t>ДЖЕРЕЛ</w:t>
      </w:r>
      <w:r w:rsidR="00A60FDB">
        <w:rPr>
          <w:rFonts w:ascii="Times New Roman" w:hAnsi="Times New Roman"/>
          <w:b/>
          <w:sz w:val="28"/>
          <w:szCs w:val="28"/>
        </w:rPr>
        <w:t xml:space="preserve">О В СИСТЕМІ </w:t>
      </w:r>
      <w:r w:rsidR="00981338">
        <w:rPr>
          <w:rFonts w:ascii="Times New Roman" w:hAnsi="Times New Roman"/>
          <w:b/>
          <w:sz w:val="28"/>
          <w:szCs w:val="28"/>
        </w:rPr>
        <w:t xml:space="preserve"> </w:t>
      </w:r>
      <w:r w:rsidR="00114AB4">
        <w:rPr>
          <w:rFonts w:ascii="Times New Roman" w:hAnsi="Times New Roman"/>
          <w:b/>
          <w:sz w:val="28"/>
          <w:szCs w:val="28"/>
        </w:rPr>
        <w:t xml:space="preserve">КОНСТИТУЦІЙНОГО </w:t>
      </w:r>
      <w:r w:rsidR="00981338">
        <w:rPr>
          <w:rFonts w:ascii="Times New Roman" w:hAnsi="Times New Roman"/>
          <w:b/>
          <w:sz w:val="28"/>
          <w:szCs w:val="28"/>
        </w:rPr>
        <w:t>ПРАВА</w:t>
      </w:r>
      <w:r w:rsidR="00E053E8">
        <w:rPr>
          <w:rFonts w:ascii="Times New Roman" w:hAnsi="Times New Roman"/>
          <w:b/>
          <w:sz w:val="28"/>
          <w:szCs w:val="28"/>
        </w:rPr>
        <w:t>.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 xml:space="preserve">       35</w:t>
      </w:r>
    </w:p>
    <w:p w:rsidR="00AE4E63" w:rsidRDefault="008F61FA" w:rsidP="00D9473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2.1. </w:t>
      </w:r>
      <w:r w:rsidR="00AE4E63">
        <w:rPr>
          <w:rFonts w:ascii="Times New Roman" w:hAnsi="Times New Roman"/>
          <w:sz w:val="28"/>
          <w:szCs w:val="28"/>
        </w:rPr>
        <w:t>Статус та юрисдикція Єв</w:t>
      </w:r>
      <w:r w:rsidR="00641349">
        <w:rPr>
          <w:rFonts w:ascii="Times New Roman" w:hAnsi="Times New Roman"/>
          <w:sz w:val="28"/>
          <w:szCs w:val="28"/>
        </w:rPr>
        <w:t>ропейського Суду з прав людини.</w:t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  <w:t xml:space="preserve">       35</w:t>
      </w:r>
    </w:p>
    <w:p w:rsidR="00641349" w:rsidRDefault="00AE4E63" w:rsidP="00641349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641349">
        <w:rPr>
          <w:rFonts w:ascii="Times New Roman" w:hAnsi="Times New Roman"/>
          <w:sz w:val="28"/>
          <w:szCs w:val="28"/>
        </w:rPr>
        <w:t>2.2.</w:t>
      </w:r>
      <w:r w:rsidR="00641349" w:rsidRPr="00641349">
        <w:rPr>
          <w:rFonts w:ascii="Times New Roman" w:hAnsi="Times New Roman"/>
          <w:sz w:val="28"/>
          <w:szCs w:val="28"/>
        </w:rPr>
        <w:t xml:space="preserve"> Прецедентний  характер рішень Європейського суду з прав людини.</w:t>
      </w:r>
      <w:r w:rsidR="00E053E8">
        <w:rPr>
          <w:rFonts w:ascii="Times New Roman" w:hAnsi="Times New Roman"/>
          <w:sz w:val="28"/>
          <w:szCs w:val="28"/>
        </w:rPr>
        <w:t xml:space="preserve">     43</w:t>
      </w:r>
    </w:p>
    <w:p w:rsidR="00D9473F" w:rsidRDefault="00D3014F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Висновки до розділу ІІ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 xml:space="preserve">        51</w:t>
      </w:r>
    </w:p>
    <w:p w:rsidR="008F61FA" w:rsidRPr="004178EA" w:rsidRDefault="008F61FA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178EA">
        <w:rPr>
          <w:rFonts w:ascii="Times New Roman" w:hAnsi="Times New Roman"/>
          <w:b/>
          <w:sz w:val="28"/>
          <w:szCs w:val="28"/>
        </w:rPr>
        <w:t>РОЗДІЛ ІІІ. РІШЕН</w:t>
      </w:r>
      <w:r w:rsidR="00845EB5">
        <w:rPr>
          <w:rFonts w:ascii="Times New Roman" w:hAnsi="Times New Roman"/>
          <w:b/>
          <w:sz w:val="28"/>
          <w:szCs w:val="28"/>
        </w:rPr>
        <w:t>НЯ</w:t>
      </w:r>
      <w:r w:rsidRPr="004178EA">
        <w:rPr>
          <w:rFonts w:ascii="Times New Roman" w:hAnsi="Times New Roman"/>
          <w:b/>
          <w:sz w:val="28"/>
          <w:szCs w:val="28"/>
        </w:rPr>
        <w:t xml:space="preserve"> ЄВРОПЕЙСЬКОГО СУДУ З ПРАВ ЛЮДИНИ </w:t>
      </w:r>
      <w:r w:rsidR="00845EB5">
        <w:rPr>
          <w:rFonts w:ascii="Times New Roman" w:hAnsi="Times New Roman"/>
          <w:b/>
          <w:sz w:val="28"/>
          <w:szCs w:val="28"/>
        </w:rPr>
        <w:t>ЯК ФАКТОР ПОЄДНАННЯ НАЦІОНАЛЬНОГО ТА НАДНАЦІОНАЛЬНОГО АСПЕКТІВ В КОНСТИТУЦІЙНОМУ ПРАВІ УКРАЇНИ</w:t>
      </w:r>
      <w:r w:rsidRPr="004178EA">
        <w:rPr>
          <w:rFonts w:ascii="Times New Roman" w:hAnsi="Times New Roman"/>
          <w:b/>
          <w:sz w:val="28"/>
          <w:szCs w:val="28"/>
        </w:rPr>
        <w:t>.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 xml:space="preserve">       53</w:t>
      </w:r>
    </w:p>
    <w:p w:rsidR="003C45C3" w:rsidRPr="003C45C3" w:rsidRDefault="008F61FA" w:rsidP="003C45C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C45C3">
        <w:rPr>
          <w:rFonts w:ascii="Times New Roman" w:hAnsi="Times New Roman"/>
          <w:sz w:val="28"/>
          <w:szCs w:val="28"/>
        </w:rPr>
        <w:t>3.1</w:t>
      </w:r>
      <w:r w:rsidR="00845EB5" w:rsidRPr="003C45C3">
        <w:rPr>
          <w:rFonts w:ascii="Times New Roman" w:hAnsi="Times New Roman"/>
          <w:sz w:val="28"/>
          <w:szCs w:val="28"/>
        </w:rPr>
        <w:t xml:space="preserve">. </w:t>
      </w:r>
      <w:r w:rsidR="003C45C3" w:rsidRPr="003C45C3">
        <w:rPr>
          <w:rFonts w:ascii="Times New Roman" w:hAnsi="Times New Roman"/>
          <w:sz w:val="28"/>
          <w:szCs w:val="28"/>
        </w:rPr>
        <w:t>Вплив практики  ЄСПЛ  на здійснення правосуддя національними судами Україні.</w:t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  <w:t xml:space="preserve">       53</w:t>
      </w:r>
    </w:p>
    <w:p w:rsidR="008F61FA" w:rsidRDefault="008F61FA" w:rsidP="00D9473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3.2. </w:t>
      </w:r>
      <w:r w:rsidR="004178EA">
        <w:rPr>
          <w:rFonts w:ascii="Times New Roman" w:hAnsi="Times New Roman"/>
          <w:sz w:val="28"/>
          <w:szCs w:val="28"/>
        </w:rPr>
        <w:t>Узгодженість практики Європейського суду з прав людини та Конституційного Суду України.</w:t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  <w:t xml:space="preserve">       62</w:t>
      </w:r>
    </w:p>
    <w:p w:rsidR="003D0B17" w:rsidRDefault="004178EA" w:rsidP="00D9473F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3.3. </w:t>
      </w:r>
      <w:r w:rsidR="003D0B17" w:rsidRPr="003D0B17">
        <w:rPr>
          <w:rFonts w:ascii="Times New Roman" w:hAnsi="Times New Roman"/>
          <w:sz w:val="28"/>
          <w:szCs w:val="28"/>
        </w:rPr>
        <w:t>Дотримання та виконання рішень Європейського суду з прав людини як частина конституційно-правового механізму забезпечення прав людини в Україні.</w:t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</w:r>
      <w:r w:rsidR="00E053E8">
        <w:rPr>
          <w:rFonts w:ascii="Times New Roman" w:hAnsi="Times New Roman"/>
          <w:sz w:val="28"/>
          <w:szCs w:val="28"/>
        </w:rPr>
        <w:tab/>
        <w:t xml:space="preserve">       74</w:t>
      </w:r>
    </w:p>
    <w:p w:rsidR="00D3014F" w:rsidRDefault="00D3014F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Висновки до розділу ІІІ 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 xml:space="preserve">       84</w:t>
      </w:r>
    </w:p>
    <w:p w:rsidR="004178EA" w:rsidRPr="00630863" w:rsidRDefault="00630863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t>ВИСНОВКИ</w:t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</w:r>
      <w:r w:rsidR="00E053E8">
        <w:rPr>
          <w:rFonts w:ascii="Times New Roman" w:hAnsi="Times New Roman"/>
          <w:b/>
          <w:sz w:val="28"/>
          <w:szCs w:val="28"/>
        </w:rPr>
        <w:tab/>
        <w:t xml:space="preserve">        87</w:t>
      </w:r>
    </w:p>
    <w:p w:rsidR="00630863" w:rsidRDefault="004178EA" w:rsidP="00D9473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4178EA">
        <w:rPr>
          <w:rFonts w:ascii="Times New Roman" w:hAnsi="Times New Roman"/>
          <w:b/>
          <w:sz w:val="28"/>
          <w:szCs w:val="28"/>
        </w:rPr>
        <w:t>СПИСОК ВИКОРИСТАНИХ ДЖЕРЕЛ</w:t>
      </w:r>
      <w:r w:rsidR="00630863" w:rsidRPr="00630863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E053E8">
        <w:rPr>
          <w:rFonts w:ascii="Times New Roman" w:hAnsi="Times New Roman"/>
          <w:b/>
          <w:sz w:val="28"/>
          <w:szCs w:val="28"/>
          <w:lang w:val="ru-RU"/>
        </w:rPr>
        <w:tab/>
      </w:r>
      <w:r w:rsidR="00E053E8">
        <w:rPr>
          <w:rFonts w:ascii="Times New Roman" w:hAnsi="Times New Roman"/>
          <w:b/>
          <w:sz w:val="28"/>
          <w:szCs w:val="28"/>
          <w:lang w:val="ru-RU"/>
        </w:rPr>
        <w:tab/>
      </w:r>
      <w:r w:rsidR="00E053E8">
        <w:rPr>
          <w:rFonts w:ascii="Times New Roman" w:hAnsi="Times New Roman"/>
          <w:b/>
          <w:sz w:val="28"/>
          <w:szCs w:val="28"/>
          <w:lang w:val="ru-RU"/>
        </w:rPr>
        <w:tab/>
      </w:r>
      <w:r w:rsidR="00E053E8">
        <w:rPr>
          <w:rFonts w:ascii="Times New Roman" w:hAnsi="Times New Roman"/>
          <w:b/>
          <w:sz w:val="28"/>
          <w:szCs w:val="28"/>
          <w:lang w:val="ru-RU"/>
        </w:rPr>
        <w:tab/>
      </w:r>
      <w:r w:rsidR="00E053E8">
        <w:rPr>
          <w:rFonts w:ascii="Times New Roman" w:hAnsi="Times New Roman"/>
          <w:b/>
          <w:sz w:val="28"/>
          <w:szCs w:val="28"/>
          <w:lang w:val="ru-RU"/>
        </w:rPr>
        <w:tab/>
        <w:t xml:space="preserve">        92</w:t>
      </w:r>
    </w:p>
    <w:p w:rsidR="00936A6D" w:rsidRDefault="00936A6D" w:rsidP="00936A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B2939" w:rsidRPr="008B2939" w:rsidRDefault="008B2939" w:rsidP="00936A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B2939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A91373" w:rsidRDefault="00A91373" w:rsidP="00C100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Актуальність теми дослідження. </w:t>
      </w:r>
      <w:r w:rsidR="00D869AF">
        <w:rPr>
          <w:rFonts w:ascii="Times New Roman" w:hAnsi="Times New Roman"/>
          <w:sz w:val="28"/>
          <w:szCs w:val="28"/>
        </w:rPr>
        <w:t xml:space="preserve">Сучасний стан розвитку конституційного права в Україні відбувається в умовах істотної трансформації правосвідомості як всього суспільства, так і представників державних органів влади та їх посадових осіб. Нові виклики внутрішньодержавного та зовнішньополітичного життя потребують корінних змін в </w:t>
      </w:r>
      <w:r>
        <w:rPr>
          <w:rFonts w:ascii="Times New Roman" w:hAnsi="Times New Roman"/>
          <w:sz w:val="28"/>
          <w:szCs w:val="28"/>
        </w:rPr>
        <w:t xml:space="preserve">розумінні основних теоретико-правових категорій, пов’язаних із функціонуванням держави, людини та громадянського суспільства. </w:t>
      </w:r>
    </w:p>
    <w:p w:rsidR="00C10092" w:rsidRDefault="00A91373" w:rsidP="00C100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Одним з найбільш дискусійних інститутів конституційного права України є система та види його джерел як провідної фундаментальної галузі  національного права, їх ієрархія та місце в системі нормативно-правового регулювання конституційних відносин. </w:t>
      </w:r>
    </w:p>
    <w:p w:rsidR="00A91373" w:rsidRPr="00930857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0857">
        <w:rPr>
          <w:rFonts w:ascii="Times New Roman" w:hAnsi="Times New Roman"/>
          <w:sz w:val="28"/>
          <w:szCs w:val="28"/>
        </w:rPr>
        <w:t xml:space="preserve">Обравши шлях незалежного розвитку й закріпивши це у своїй Конституції, Україна підтвердила своє прагнення будувати демократичну, соціальну і правову державу, змістом і спрямованістю діяльності якої визначено права і свободи людини та їх гарантії. </w:t>
      </w:r>
      <w:r>
        <w:rPr>
          <w:rFonts w:ascii="Times New Roman" w:hAnsi="Times New Roman"/>
          <w:sz w:val="28"/>
          <w:szCs w:val="28"/>
        </w:rPr>
        <w:t xml:space="preserve">Важливим </w:t>
      </w:r>
      <w:r w:rsidRPr="00930857">
        <w:rPr>
          <w:rFonts w:ascii="Times New Roman" w:hAnsi="Times New Roman"/>
          <w:sz w:val="28"/>
          <w:szCs w:val="28"/>
        </w:rPr>
        <w:t>кроком на цьому шляху стало приєднання України до Європейської конвенції про захист прав людини і основоположних свобод 1950 р.</w:t>
      </w:r>
      <w:r>
        <w:rPr>
          <w:rFonts w:ascii="Times New Roman" w:hAnsi="Times New Roman"/>
          <w:sz w:val="28"/>
          <w:szCs w:val="28"/>
        </w:rPr>
        <w:t xml:space="preserve">, після чого вона стала </w:t>
      </w:r>
      <w:r w:rsidRPr="00930857">
        <w:rPr>
          <w:rFonts w:ascii="Times New Roman" w:hAnsi="Times New Roman"/>
          <w:sz w:val="28"/>
          <w:szCs w:val="28"/>
        </w:rPr>
        <w:t xml:space="preserve"> частиною національного законодавства</w:t>
      </w:r>
      <w:r>
        <w:rPr>
          <w:rFonts w:ascii="Times New Roman" w:hAnsi="Times New Roman"/>
          <w:sz w:val="28"/>
          <w:szCs w:val="28"/>
        </w:rPr>
        <w:t xml:space="preserve"> України.</w:t>
      </w:r>
      <w:r w:rsidRPr="00930857">
        <w:rPr>
          <w:rFonts w:ascii="Times New Roman" w:hAnsi="Times New Roman"/>
          <w:sz w:val="28"/>
          <w:szCs w:val="28"/>
        </w:rPr>
        <w:t xml:space="preserve"> </w:t>
      </w:r>
    </w:p>
    <w:p w:rsidR="00C10092" w:rsidRPr="00DB457C" w:rsidRDefault="00A91373" w:rsidP="00C100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Особливістю та відмінною рисою вказаної Європейської конвенції від багатьох інших важливих міжнародно-правових документів в галузі прав людини є </w:t>
      </w:r>
      <w:r w:rsidR="00323C8F">
        <w:rPr>
          <w:rFonts w:ascii="Times New Roman" w:hAnsi="Times New Roman"/>
          <w:sz w:val="28"/>
          <w:szCs w:val="28"/>
        </w:rPr>
        <w:t>те</w:t>
      </w:r>
      <w:r>
        <w:rPr>
          <w:rFonts w:ascii="Times New Roman" w:hAnsi="Times New Roman"/>
          <w:sz w:val="28"/>
          <w:szCs w:val="28"/>
        </w:rPr>
        <w:t xml:space="preserve">, що вона передбачає безпосередній </w:t>
      </w:r>
      <w:r w:rsidR="00323C8F">
        <w:rPr>
          <w:rFonts w:ascii="Times New Roman" w:hAnsi="Times New Roman"/>
          <w:sz w:val="28"/>
          <w:szCs w:val="28"/>
        </w:rPr>
        <w:t>механізм</w:t>
      </w:r>
      <w:r>
        <w:rPr>
          <w:rFonts w:ascii="Times New Roman" w:hAnsi="Times New Roman"/>
          <w:sz w:val="28"/>
          <w:szCs w:val="28"/>
        </w:rPr>
        <w:t xml:space="preserve"> забезпечення реалізації та захисту </w:t>
      </w:r>
      <w:r w:rsidR="00323C8F">
        <w:rPr>
          <w:rFonts w:ascii="Times New Roman" w:hAnsi="Times New Roman"/>
          <w:sz w:val="28"/>
          <w:szCs w:val="28"/>
        </w:rPr>
        <w:t xml:space="preserve">людських прав і свобод, які містяться в її статтях. Таким механізмом є спеціально створений Європейський Суд з прав людини як особливий наднаціональний орган, що розглядає в установленому порядку заяви проти держав-учасниць, які порушують або не забезпечують відповідним чином дотримання прав та свобод людини національними засобами. </w:t>
      </w:r>
    </w:p>
    <w:p w:rsidR="00C10092" w:rsidRDefault="00C10092" w:rsidP="00317E4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17E44" w:rsidRPr="00930857" w:rsidRDefault="00323C8F" w:rsidP="00317E4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Отже ратифікація Україною Європейської конвенції про захист прав людини та основоположних свобод в 1997 році означало визнання юрисдикції ЄСПЛ на території нашої держави, а отже і обов’язковості його рішень як джерел права. З того часу </w:t>
      </w:r>
      <w:r w:rsidR="00317E44" w:rsidRPr="00930857">
        <w:rPr>
          <w:rFonts w:ascii="Times New Roman" w:hAnsi="Times New Roman"/>
          <w:sz w:val="28"/>
          <w:szCs w:val="28"/>
        </w:rPr>
        <w:t xml:space="preserve">в українській правовій науці </w:t>
      </w:r>
      <w:r>
        <w:rPr>
          <w:rFonts w:ascii="Times New Roman" w:hAnsi="Times New Roman"/>
          <w:sz w:val="28"/>
          <w:szCs w:val="28"/>
        </w:rPr>
        <w:t>не припиняються</w:t>
      </w:r>
      <w:r w:rsidR="00317E44" w:rsidRPr="00930857">
        <w:rPr>
          <w:rFonts w:ascii="Times New Roman" w:hAnsi="Times New Roman"/>
          <w:sz w:val="28"/>
          <w:szCs w:val="28"/>
        </w:rPr>
        <w:t xml:space="preserve"> дискусі</w:t>
      </w:r>
      <w:r>
        <w:rPr>
          <w:rFonts w:ascii="Times New Roman" w:hAnsi="Times New Roman"/>
          <w:sz w:val="28"/>
          <w:szCs w:val="28"/>
        </w:rPr>
        <w:t>ї щодо сутності, правової природи цього джерела права, його ролі в системі національного права та</w:t>
      </w:r>
      <w:r w:rsidR="00317E44" w:rsidRPr="00930857">
        <w:rPr>
          <w:rFonts w:ascii="Times New Roman" w:hAnsi="Times New Roman"/>
          <w:sz w:val="28"/>
          <w:szCs w:val="28"/>
        </w:rPr>
        <w:t xml:space="preserve"> взаємодії </w:t>
      </w:r>
      <w:r>
        <w:rPr>
          <w:rFonts w:ascii="Times New Roman" w:hAnsi="Times New Roman"/>
          <w:sz w:val="28"/>
          <w:szCs w:val="28"/>
        </w:rPr>
        <w:t>з вітчизняним законодавством, способи застосування та практичної реалізації</w:t>
      </w:r>
      <w:r w:rsidR="00317E44" w:rsidRPr="00930857">
        <w:rPr>
          <w:rFonts w:ascii="Times New Roman" w:hAnsi="Times New Roman"/>
          <w:sz w:val="28"/>
          <w:szCs w:val="28"/>
        </w:rPr>
        <w:t>.</w:t>
      </w:r>
    </w:p>
    <w:p w:rsidR="00256295" w:rsidRPr="00CF7179" w:rsidRDefault="00256295" w:rsidP="00CF7179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Особливо актуальними в останні роки стають питання визнання рішень ЄСПЛ як джерел конституційного права, оскільки основна суть та призначення цього органу є саме захист та відновлення порушених прав </w:t>
      </w:r>
      <w:r w:rsidRPr="00CF7179">
        <w:rPr>
          <w:rFonts w:ascii="Times New Roman" w:hAnsi="Times New Roman"/>
          <w:color w:val="000000" w:themeColor="text1"/>
          <w:sz w:val="28"/>
          <w:szCs w:val="28"/>
        </w:rPr>
        <w:t xml:space="preserve">людини та громадянина, які в свою чергу становлять основу предмету конституційного права. </w:t>
      </w:r>
    </w:p>
    <w:p w:rsidR="00CF7179" w:rsidRPr="00920477" w:rsidRDefault="00CF7179" w:rsidP="00920477">
      <w:pPr>
        <w:pStyle w:val="21"/>
        <w:shd w:val="clear" w:color="auto" w:fill="auto"/>
        <w:spacing w:before="0" w:line="360" w:lineRule="auto"/>
        <w:ind w:firstLine="567"/>
        <w:rPr>
          <w:color w:val="000000" w:themeColor="text1"/>
          <w:sz w:val="28"/>
          <w:szCs w:val="28"/>
          <w:lang w:val="uk-UA"/>
        </w:rPr>
      </w:pPr>
      <w:r>
        <w:rPr>
          <w:rStyle w:val="2"/>
          <w:rFonts w:eastAsia="Book Antiqua"/>
          <w:color w:val="000000" w:themeColor="text1"/>
          <w:sz w:val="28"/>
          <w:szCs w:val="28"/>
        </w:rPr>
        <w:t>Науково-теоретичною базою роботи є з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t>начна кількість нау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softHyphen/>
        <w:t>кових праць, присвячених дослідженню права на звернен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softHyphen/>
        <w:t>ня особи до Європейського суду з прав людини, питанню природи рішень ЄСПЛ, впливу діяльності Суду на пра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softHyphen/>
        <w:t>вову систему України, статусу рішень ЄСПЛ як джерела права та їх виконанню</w:t>
      </w:r>
      <w:r w:rsidR="00920477">
        <w:rPr>
          <w:rStyle w:val="2"/>
          <w:rFonts w:eastAsia="Book Antiqua"/>
          <w:color w:val="000000" w:themeColor="text1"/>
          <w:sz w:val="28"/>
          <w:szCs w:val="28"/>
        </w:rPr>
        <w:t xml:space="preserve">,а саме С. </w:t>
      </w:r>
      <w:r w:rsidRPr="00920477">
        <w:rPr>
          <w:rStyle w:val="2"/>
          <w:rFonts w:eastAsia="Book Antiqua"/>
          <w:color w:val="000000" w:themeColor="text1"/>
          <w:sz w:val="28"/>
          <w:szCs w:val="28"/>
          <w:lang w:eastAsia="ru-RU" w:bidi="ru-RU"/>
        </w:rPr>
        <w:t xml:space="preserve">Буткевича, 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t xml:space="preserve">П. Рабіновича, </w:t>
      </w:r>
      <w:r w:rsidRPr="00920477">
        <w:rPr>
          <w:rStyle w:val="2"/>
          <w:rFonts w:eastAsia="Book Antiqua"/>
          <w:color w:val="000000" w:themeColor="text1"/>
          <w:sz w:val="28"/>
          <w:szCs w:val="28"/>
          <w:lang w:eastAsia="ru-RU" w:bidi="ru-RU"/>
        </w:rPr>
        <w:t xml:space="preserve">С. 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t xml:space="preserve">Шевчука, </w:t>
      </w:r>
      <w:r w:rsidRPr="00920477">
        <w:rPr>
          <w:rStyle w:val="2"/>
          <w:rFonts w:eastAsia="Book Antiqua"/>
          <w:color w:val="000000" w:themeColor="text1"/>
          <w:sz w:val="28"/>
          <w:szCs w:val="28"/>
          <w:lang w:eastAsia="ru-RU" w:bidi="ru-RU"/>
        </w:rPr>
        <w:t>О. Климович,</w:t>
      </w:r>
      <w:r w:rsidR="00920477">
        <w:rPr>
          <w:rStyle w:val="2"/>
          <w:rFonts w:eastAsia="Book Antiqua"/>
          <w:color w:val="000000" w:themeColor="text1"/>
          <w:sz w:val="28"/>
          <w:szCs w:val="28"/>
          <w:lang w:eastAsia="ru-RU" w:bidi="ru-RU"/>
        </w:rPr>
        <w:t xml:space="preserve"> В. 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t xml:space="preserve">Тагієва, С. Перчаткіної, В. Стефанюка, В. Паліюка, Е. Шишкіної, В. </w:t>
      </w:r>
      <w:r w:rsidRPr="00CF7179">
        <w:rPr>
          <w:rStyle w:val="2"/>
          <w:rFonts w:eastAsia="Book Antiqua"/>
          <w:color w:val="000000" w:themeColor="text1"/>
          <w:sz w:val="28"/>
          <w:szCs w:val="28"/>
          <w:lang w:eastAsia="ru-RU" w:bidi="ru-RU"/>
        </w:rPr>
        <w:t xml:space="preserve">Кампа, </w:t>
      </w:r>
      <w:r w:rsidRPr="00CF7179">
        <w:rPr>
          <w:rStyle w:val="2"/>
          <w:rFonts w:eastAsia="Book Antiqua"/>
          <w:color w:val="000000" w:themeColor="text1"/>
          <w:sz w:val="28"/>
          <w:szCs w:val="28"/>
        </w:rPr>
        <w:t>М. Мазур, В. Манукяна, Т. Дудаш, Ю. Шемшученка та інших.</w:t>
      </w:r>
      <w:r w:rsidR="00920477">
        <w:rPr>
          <w:rStyle w:val="2"/>
          <w:rFonts w:eastAsia="Book Antiqua"/>
          <w:color w:val="000000" w:themeColor="text1"/>
          <w:sz w:val="28"/>
          <w:szCs w:val="28"/>
        </w:rPr>
        <w:t xml:space="preserve"> </w:t>
      </w:r>
    </w:p>
    <w:p w:rsidR="00A26D9E" w:rsidRPr="00DB457C" w:rsidRDefault="00920477" w:rsidP="00CF717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Безпосередньо п</w:t>
      </w:r>
      <w:r w:rsidR="00A26D9E" w:rsidRPr="00CF7179">
        <w:rPr>
          <w:rFonts w:ascii="Times New Roman" w:hAnsi="Times New Roman"/>
          <w:color w:val="000000" w:themeColor="text1"/>
          <w:sz w:val="28"/>
          <w:szCs w:val="28"/>
        </w:rPr>
        <w:t xml:space="preserve">итання місця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Європейської конвенції про захист прав людини та основоположних свобод а також рішень та практики Європейського Суду з прав людини в системі джерел конституційного права </w:t>
      </w:r>
      <w:r w:rsidR="00A26D9E" w:rsidRPr="00DB457C">
        <w:rPr>
          <w:rFonts w:ascii="Times New Roman" w:hAnsi="Times New Roman"/>
          <w:sz w:val="28"/>
          <w:szCs w:val="28"/>
        </w:rPr>
        <w:t>вже частково</w:t>
      </w:r>
      <w:r w:rsidR="00A26D9E">
        <w:rPr>
          <w:rFonts w:ascii="Times New Roman" w:hAnsi="Times New Roman"/>
          <w:sz w:val="28"/>
          <w:szCs w:val="28"/>
        </w:rPr>
        <w:t xml:space="preserve"> </w:t>
      </w:r>
      <w:r w:rsidR="00A26D9E" w:rsidRPr="00DB457C">
        <w:rPr>
          <w:rFonts w:ascii="Times New Roman" w:hAnsi="Times New Roman"/>
          <w:sz w:val="28"/>
          <w:szCs w:val="28"/>
        </w:rPr>
        <w:t>розглядались у працях Т.І. Дудаш, Д. Шпільмана, А. Світа, X. Келлер, А. Дідікіна, А. Мелешевича, В. Палюка, Ю. По</w:t>
      </w:r>
      <w:r w:rsidR="00A26D9E" w:rsidRPr="00DB457C">
        <w:rPr>
          <w:rFonts w:ascii="Times New Roman" w:hAnsi="Times New Roman"/>
          <w:sz w:val="28"/>
          <w:szCs w:val="28"/>
        </w:rPr>
        <w:softHyphen/>
        <w:t xml:space="preserve">пова, Р. Арнольда, А. Фон Богданди та інших. </w:t>
      </w:r>
      <w:r>
        <w:rPr>
          <w:rFonts w:ascii="Times New Roman" w:hAnsi="Times New Roman"/>
          <w:sz w:val="28"/>
          <w:szCs w:val="28"/>
        </w:rPr>
        <w:t xml:space="preserve">Але нами буде більш системно проаналізовано саме сутність </w:t>
      </w:r>
      <w:r w:rsidR="00256295">
        <w:rPr>
          <w:rFonts w:ascii="Times New Roman" w:hAnsi="Times New Roman"/>
          <w:sz w:val="28"/>
          <w:szCs w:val="28"/>
        </w:rPr>
        <w:t xml:space="preserve"> рішень ЄСПЛ з позиції їх конституційно-правової природи та взаємодії з іншими джерелами конституційного права</w:t>
      </w:r>
      <w:r w:rsidR="00A26D9E" w:rsidRPr="00DB457C">
        <w:rPr>
          <w:rFonts w:ascii="Times New Roman" w:hAnsi="Times New Roman"/>
          <w:sz w:val="28"/>
          <w:szCs w:val="28"/>
        </w:rPr>
        <w:t>.</w:t>
      </w:r>
    </w:p>
    <w:p w:rsidR="00A91373" w:rsidRDefault="00A91373" w:rsidP="00A26D9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Мета і завдання</w:t>
      </w:r>
      <w:r>
        <w:rPr>
          <w:rStyle w:val="apple-converted-space"/>
          <w:b/>
          <w:bCs/>
          <w:color w:val="000000"/>
          <w:sz w:val="28"/>
          <w:szCs w:val="28"/>
        </w:rPr>
        <w:t> 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дослідження. </w:t>
      </w:r>
      <w:r>
        <w:rPr>
          <w:rFonts w:ascii="Times New Roman" w:hAnsi="Times New Roman"/>
          <w:sz w:val="28"/>
          <w:szCs w:val="28"/>
        </w:rPr>
        <w:t>Метою магістерської роботи є дослідження</w:t>
      </w:r>
      <w:r w:rsidR="00920477">
        <w:rPr>
          <w:rFonts w:ascii="Times New Roman" w:hAnsi="Times New Roman"/>
          <w:sz w:val="28"/>
          <w:szCs w:val="28"/>
        </w:rPr>
        <w:t xml:space="preserve"> </w:t>
      </w:r>
      <w:r w:rsidR="00920477" w:rsidRPr="00DB457C">
        <w:rPr>
          <w:rFonts w:ascii="Times New Roman" w:hAnsi="Times New Roman"/>
          <w:sz w:val="28"/>
          <w:szCs w:val="28"/>
        </w:rPr>
        <w:t>практики Європейського суду з прав людини саме як конституційного інструменту, що виник та розвивається як досягнення спільного євро</w:t>
      </w:r>
      <w:r w:rsidR="00920477" w:rsidRPr="00DB457C">
        <w:rPr>
          <w:rFonts w:ascii="Times New Roman" w:hAnsi="Times New Roman"/>
          <w:sz w:val="28"/>
          <w:szCs w:val="28"/>
        </w:rPr>
        <w:softHyphen/>
        <w:t>пейського конституційного простору</w:t>
      </w:r>
      <w:r w:rsidR="00920477">
        <w:rPr>
          <w:rFonts w:ascii="Times New Roman" w:hAnsi="Times New Roman"/>
          <w:sz w:val="28"/>
          <w:szCs w:val="28"/>
        </w:rPr>
        <w:t>.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Об’єктом дослідження</w:t>
      </w:r>
      <w:r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pacing w:val="-4"/>
          <w:sz w:val="28"/>
          <w:szCs w:val="28"/>
        </w:rPr>
        <w:t xml:space="preserve">суспільні відносини, що складаються в процесі </w:t>
      </w:r>
      <w:r w:rsidR="00920477">
        <w:rPr>
          <w:rFonts w:ascii="Times New Roman" w:hAnsi="Times New Roman"/>
          <w:spacing w:val="-4"/>
          <w:sz w:val="28"/>
          <w:szCs w:val="28"/>
        </w:rPr>
        <w:t>прийняття, застосування та дотримання рішень ЄСПЛ як джерел конституційного права</w:t>
      </w:r>
      <w:r>
        <w:rPr>
          <w:rFonts w:ascii="Times New Roman" w:hAnsi="Times New Roman"/>
          <w:sz w:val="28"/>
          <w:szCs w:val="28"/>
        </w:rPr>
        <w:t>.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Предмет дослідження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="00920477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920477">
        <w:rPr>
          <w:rFonts w:ascii="Times New Roman" w:hAnsi="Times New Roman"/>
          <w:spacing w:val="-4"/>
          <w:sz w:val="28"/>
          <w:szCs w:val="28"/>
        </w:rPr>
        <w:t>рішення ЄСПЛ як джерела конституційного права, їх роль в розвитку системи конституційно-правових норм ат інститутів</w:t>
      </w:r>
      <w:r>
        <w:rPr>
          <w:rFonts w:ascii="Times New Roman" w:hAnsi="Times New Roman"/>
          <w:sz w:val="28"/>
          <w:szCs w:val="28"/>
        </w:rPr>
        <w:t>. 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Методи дослідження</w:t>
      </w:r>
      <w:r>
        <w:rPr>
          <w:rFonts w:ascii="Times New Roman" w:hAnsi="Times New Roman"/>
          <w:sz w:val="28"/>
          <w:szCs w:val="28"/>
        </w:rPr>
        <w:t xml:space="preserve">. Методологічною базою  дослідження виступила система філософських, загально- і спеціально-наукових методів. 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основу роботи покладено системний метод, згідно з яким </w:t>
      </w:r>
      <w:r w:rsidR="00920477">
        <w:rPr>
          <w:rFonts w:ascii="Times New Roman" w:hAnsi="Times New Roman"/>
          <w:sz w:val="28"/>
          <w:szCs w:val="28"/>
        </w:rPr>
        <w:t>сутність та види джерел конституційного права розглядаються як цілісна ієрархічна система, в якій особливе місце займають рішення ЄСПЛ</w:t>
      </w:r>
      <w:r>
        <w:rPr>
          <w:rFonts w:ascii="Times New Roman" w:hAnsi="Times New Roman"/>
          <w:sz w:val="28"/>
          <w:szCs w:val="28"/>
        </w:rPr>
        <w:t>.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Структурно-функціональний метод задіяний при характеристиці </w:t>
      </w:r>
      <w:r w:rsidR="00920477">
        <w:rPr>
          <w:rFonts w:ascii="Times New Roman" w:hAnsi="Times New Roman"/>
          <w:sz w:val="28"/>
          <w:szCs w:val="28"/>
        </w:rPr>
        <w:t xml:space="preserve">взаємодії та впливу рішень ЄСПЛ з іншими джерелами </w:t>
      </w:r>
      <w:r w:rsidR="00162C4F">
        <w:rPr>
          <w:rFonts w:ascii="Times New Roman" w:hAnsi="Times New Roman"/>
          <w:sz w:val="28"/>
          <w:szCs w:val="28"/>
        </w:rPr>
        <w:t>конституційного права, особливо їх роль в здійсненні правосуддя загальними судами та Конституційним Судом України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Особлива роль в роботі відводиться порівняльно-правовому методу здійснення дослідження, за допомогою якого здійснюється вивчення зарубіжного досвіду </w:t>
      </w:r>
      <w:r w:rsidR="00162C4F">
        <w:rPr>
          <w:rFonts w:ascii="Times New Roman" w:hAnsi="Times New Roman"/>
          <w:sz w:val="28"/>
          <w:szCs w:val="28"/>
        </w:rPr>
        <w:t>визначення правової природи рішень ЄСПЛ, їх застосування в практиці та в нормативно-правовому регулюванні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Формально-юридичний метод дозволив з'ясувати зміст норм Конституції України й чинного законодавства, а також норм міжнародних договорів та інших міжнародно-правових актів, практики національних судів і прецедентів міжнародних судових і квазісудових установ. Указані методи у їх взаємозв’язку гарантували повноту й об’єктивність цього дослідження. </w:t>
      </w:r>
    </w:p>
    <w:p w:rsidR="00A91373" w:rsidRDefault="00A91373" w:rsidP="00A9137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Структура роботи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. Магістерська робота складається з трьох розділів та </w:t>
      </w:r>
      <w:r w:rsidR="00162C4F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8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підрозділів, в яких</w:t>
      </w:r>
      <w:r w:rsidR="00162C4F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системно розглядається сутність та місце рішень ЄСПЛ в системі джерел конституційного права, їх прецедентний характер та взаємодія з іншими джерелами судового права.</w:t>
      </w:r>
    </w:p>
    <w:p w:rsidR="00317E44" w:rsidRDefault="00317E44" w:rsidP="008B2939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A82852" w:rsidRDefault="00A82852" w:rsidP="00A82852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A82852">
        <w:rPr>
          <w:rFonts w:ascii="Times New Roman" w:hAnsi="Times New Roman"/>
          <w:b/>
          <w:sz w:val="28"/>
          <w:szCs w:val="28"/>
        </w:rPr>
        <w:t>ВИСНОВКИ</w:t>
      </w:r>
    </w:p>
    <w:p w:rsidR="00A82852" w:rsidRPr="003E7607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Під джерелом конституційного права України необхідно розуміти виражені</w:t>
      </w:r>
      <w:r w:rsidR="00EB2713">
        <w:rPr>
          <w:rFonts w:ascii="Times New Roman" w:hAnsi="Times New Roman"/>
          <w:sz w:val="28"/>
          <w:szCs w:val="28"/>
        </w:rPr>
        <w:t xml:space="preserve"> </w:t>
      </w:r>
      <w:r w:rsidRPr="003E7607">
        <w:rPr>
          <w:rFonts w:ascii="Times New Roman" w:hAnsi="Times New Roman"/>
          <w:sz w:val="28"/>
          <w:szCs w:val="28"/>
        </w:rPr>
        <w:t>в певній установленій або визнаній державою формі конституційно-правові принципи, норми та інші нормативні правові приписи, які характеризуються певним ступенем визначенності, дають можливість суб’єктам права дізнатися про зміст чинного права та за допомогою яких регулюються й охороняються правові ві</w:t>
      </w:r>
      <w:r w:rsidRPr="003E7607">
        <w:rPr>
          <w:rFonts w:ascii="Times New Roman" w:hAnsi="Times New Roman"/>
          <w:sz w:val="28"/>
          <w:szCs w:val="28"/>
        </w:rPr>
        <w:softHyphen/>
        <w:t>дносини, пов’язані з визначенням основ конституційного ладу та правового статусу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7607">
        <w:rPr>
          <w:rFonts w:ascii="Times New Roman" w:hAnsi="Times New Roman"/>
          <w:sz w:val="28"/>
          <w:szCs w:val="28"/>
        </w:rPr>
        <w:t>особистості, забезпеченням прав і свобод людини та громадянина, закріпленням і гарантуванням повновладдя українського народу, організацією та здійсненням дер</w:t>
      </w:r>
      <w:r w:rsidRPr="003E7607">
        <w:rPr>
          <w:rFonts w:ascii="Times New Roman" w:hAnsi="Times New Roman"/>
          <w:sz w:val="28"/>
          <w:szCs w:val="28"/>
        </w:rPr>
        <w:softHyphen/>
        <w:t>жавної влади і місцевого самоврядування.</w:t>
      </w:r>
    </w:p>
    <w:p w:rsidR="00A82852" w:rsidRPr="003E7607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Специфіка предмету правового регулювання конституційного права, яка по</w:t>
      </w:r>
      <w:r w:rsidRPr="003E7607">
        <w:rPr>
          <w:rFonts w:ascii="Times New Roman" w:hAnsi="Times New Roman"/>
          <w:sz w:val="28"/>
          <w:szCs w:val="28"/>
        </w:rPr>
        <w:softHyphen/>
        <w:t>лягає в тому, що конституційно-правові норми здійснюють регулятивний вплив на всі сфери суспільного життя (політичну, економічну, соціальну, духовну), зумовлює особливу природу джерел конституційного права України, які можуть одночасно розглядатися і як джерела інших галузей права.</w:t>
      </w:r>
    </w:p>
    <w:p w:rsidR="00A82852" w:rsidRPr="003E7607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Характерною рисою конституційного права України є множинність його джерел, які утворюють цілісну ієрархічну систему. При цьому ієрархічність джерел конституційного права обумовлюється не лише місцем суб’єкта правотворення в си</w:t>
      </w:r>
      <w:r w:rsidRPr="003E7607">
        <w:rPr>
          <w:rFonts w:ascii="Times New Roman" w:hAnsi="Times New Roman"/>
          <w:sz w:val="28"/>
          <w:szCs w:val="28"/>
        </w:rPr>
        <w:softHyphen/>
        <w:t>стемі органів влади, але й особливостями процедури їх прийняття.</w:t>
      </w:r>
    </w:p>
    <w:p w:rsidR="00A82852" w:rsidRPr="003E7607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Існують різні критерії класифікації джерел конституційного права. Зокрема, в залежності від їх значення в системі чинного права та можливостей регулятивного впливу на суспільні відносини необхідно виділяти первинні й вторинні джерела конституційного права; у залежності від території дії джерела конституційного пра</w:t>
      </w:r>
      <w:r w:rsidRPr="003E7607">
        <w:rPr>
          <w:rFonts w:ascii="Times New Roman" w:hAnsi="Times New Roman"/>
          <w:sz w:val="28"/>
          <w:szCs w:val="28"/>
        </w:rPr>
        <w:softHyphen/>
        <w:t>ва поділяються на загальнодержавні та локальні; за національною належністю дже</w:t>
      </w:r>
      <w:r w:rsidRPr="003E7607">
        <w:rPr>
          <w:rFonts w:ascii="Times New Roman" w:hAnsi="Times New Roman"/>
          <w:sz w:val="28"/>
          <w:szCs w:val="28"/>
        </w:rPr>
        <w:softHyphen/>
        <w:t>рела конституційного права класифікуються на національні й міжнародні; за часом дії виділяють постійні та тимчасові джерела конституційного права України; у за</w:t>
      </w:r>
      <w:r w:rsidRPr="003E7607">
        <w:rPr>
          <w:rFonts w:ascii="Times New Roman" w:hAnsi="Times New Roman"/>
          <w:sz w:val="28"/>
          <w:szCs w:val="28"/>
        </w:rPr>
        <w:softHyphen/>
        <w:t>лежності від форми джерела конституційного права виділяють Конституцію Украї</w:t>
      </w:r>
      <w:r w:rsidRPr="003E7607">
        <w:rPr>
          <w:rFonts w:ascii="Times New Roman" w:hAnsi="Times New Roman"/>
          <w:sz w:val="28"/>
          <w:szCs w:val="28"/>
        </w:rPr>
        <w:softHyphen/>
        <w:t>ни, закони України, міжнародні та внутрішньодержавні договори України, постано</w:t>
      </w:r>
      <w:r w:rsidRPr="003E7607">
        <w:rPr>
          <w:rFonts w:ascii="Times New Roman" w:hAnsi="Times New Roman"/>
          <w:sz w:val="28"/>
          <w:szCs w:val="28"/>
        </w:rPr>
        <w:softHyphen/>
        <w:t>ви Верховної Ради України, укази Президента України, постанови та розпорядження Кабінету Міністрів України, акти органів місцевого самоврядування, звичаї, докт</w:t>
      </w:r>
      <w:r w:rsidRPr="003E7607">
        <w:rPr>
          <w:rFonts w:ascii="Times New Roman" w:hAnsi="Times New Roman"/>
          <w:sz w:val="28"/>
          <w:szCs w:val="28"/>
        </w:rPr>
        <w:softHyphen/>
        <w:t>рину тощо.</w:t>
      </w:r>
    </w:p>
    <w:p w:rsidR="00A82852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Розвиток конституційного права в роки незалежності України супроводжу</w:t>
      </w:r>
      <w:r w:rsidRPr="003E7607">
        <w:rPr>
          <w:rFonts w:ascii="Times New Roman" w:hAnsi="Times New Roman"/>
          <w:sz w:val="28"/>
          <w:szCs w:val="28"/>
        </w:rPr>
        <w:softHyphen/>
        <w:t>вався поступовим зростанням ролі актів органів судової влади в нормативному ре</w:t>
      </w:r>
      <w:r w:rsidRPr="003E7607">
        <w:rPr>
          <w:rFonts w:ascii="Times New Roman" w:hAnsi="Times New Roman"/>
          <w:sz w:val="28"/>
          <w:szCs w:val="28"/>
        </w:rPr>
        <w:softHyphen/>
        <w:t>гулюванні конституційних правовідносин</w:t>
      </w:r>
      <w:r w:rsidR="00EB2713">
        <w:rPr>
          <w:rFonts w:ascii="Times New Roman" w:hAnsi="Times New Roman"/>
          <w:sz w:val="28"/>
          <w:szCs w:val="28"/>
        </w:rPr>
        <w:t xml:space="preserve">. </w:t>
      </w:r>
      <w:r w:rsidRPr="003E7607">
        <w:rPr>
          <w:rFonts w:ascii="Times New Roman" w:hAnsi="Times New Roman"/>
          <w:sz w:val="28"/>
          <w:szCs w:val="28"/>
        </w:rPr>
        <w:t xml:space="preserve"> Порівняльно-правове дослідження ролі актів органів судової влади в системі джерел конституційного права різних країн дозволяє зробити висновок, що судовий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7607">
        <w:rPr>
          <w:rFonts w:ascii="Times New Roman" w:hAnsi="Times New Roman"/>
          <w:sz w:val="28"/>
          <w:szCs w:val="28"/>
        </w:rPr>
        <w:t>прецедент є одним із основних джерел конституційного права країн аглосаксонської правової сім’ї. Під судовим прецедентом слід розуміти попереднє судове рішення, метод вирішення справи, що являє собою авторитетне правило або приклад для ви</w:t>
      </w:r>
      <w:r w:rsidRPr="003E7607">
        <w:rPr>
          <w:rFonts w:ascii="Times New Roman" w:hAnsi="Times New Roman"/>
          <w:sz w:val="28"/>
          <w:szCs w:val="28"/>
        </w:rPr>
        <w:softHyphen/>
        <w:t>рішення схожої або аналогічної справи.</w:t>
      </w:r>
    </w:p>
    <w:p w:rsidR="00A82852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У романо-германській правовій сім’ї судовий прецедент історично не став загальновизнаним джерелом права, хоча завжди відігравав певну роль у системі джерел права. У XX столітті значення окремих судових актів в системі джерел кон</w:t>
      </w:r>
      <w:r w:rsidRPr="003E7607">
        <w:rPr>
          <w:rFonts w:ascii="Times New Roman" w:hAnsi="Times New Roman"/>
          <w:sz w:val="28"/>
          <w:szCs w:val="28"/>
        </w:rPr>
        <w:softHyphen/>
        <w:t>тинентального права значно зросло внаслідок створення органів конституційної юрисдикції та міжнародних судових органів (Суду ЄС, ЄСПЛ тощо).</w:t>
      </w:r>
    </w:p>
    <w:p w:rsidR="00A82852" w:rsidRPr="00447B2B" w:rsidRDefault="00A82852" w:rsidP="00A82852">
      <w:pPr>
        <w:shd w:val="clear" w:color="auto" w:fill="FFFFFF"/>
        <w:spacing w:after="0" w:line="360" w:lineRule="auto"/>
        <w:ind w:firstLine="567"/>
        <w:jc w:val="both"/>
        <w:rPr>
          <w:rFonts w:ascii="inherit" w:eastAsia="Times New Roman" w:hAnsi="inherit" w:cs="Helvetica"/>
          <w:color w:val="222222"/>
          <w:sz w:val="18"/>
          <w:szCs w:val="18"/>
          <w:lang w:eastAsia="ru-RU"/>
        </w:rPr>
      </w:pPr>
      <w:r w:rsidRPr="00447B2B">
        <w:rPr>
          <w:rFonts w:ascii="Times New Roman" w:eastAsia="Times New Roman" w:hAnsi="Times New Roman"/>
          <w:color w:val="222222"/>
          <w:sz w:val="28"/>
          <w:szCs w:val="28"/>
          <w:bdr w:val="none" w:sz="0" w:space="0" w:color="auto" w:frame="1"/>
          <w:lang w:eastAsia="ru-RU"/>
        </w:rPr>
        <w:t>Визнання практики Європейського суду з прав людини джерелом права є новим для нашої країни правовим явищем, оскільки судовий прецедент в Україні</w:t>
      </w:r>
      <w:r>
        <w:rPr>
          <w:rFonts w:ascii="Times New Roman" w:eastAsia="Times New Roman" w:hAnsi="Times New Roman"/>
          <w:color w:val="222222"/>
          <w:sz w:val="28"/>
          <w:szCs w:val="28"/>
          <w:bdr w:val="none" w:sz="0" w:space="0" w:color="auto" w:frame="1"/>
          <w:lang w:eastAsia="ru-RU"/>
        </w:rPr>
        <w:t xml:space="preserve"> </w:t>
      </w:r>
      <w:r w:rsidRPr="00447B2B">
        <w:rPr>
          <w:rFonts w:ascii="Times New Roman" w:eastAsia="Times New Roman" w:hAnsi="Times New Roman"/>
          <w:color w:val="222222"/>
          <w:sz w:val="28"/>
          <w:szCs w:val="28"/>
          <w:bdr w:val="none" w:sz="0" w:space="0" w:color="auto" w:frame="1"/>
          <w:lang w:eastAsia="ru-RU"/>
        </w:rPr>
        <w:t>лише останнім часом на науковому рівні став визнаватися джерелом права, що вимагає істотних змін традицій правозастосування і правово</w:t>
      </w:r>
      <w:r>
        <w:rPr>
          <w:rFonts w:ascii="Times New Roman" w:eastAsia="Times New Roman" w:hAnsi="Times New Roman"/>
          <w:color w:val="222222"/>
          <w:sz w:val="28"/>
          <w:szCs w:val="28"/>
          <w:bdr w:val="none" w:sz="0" w:space="0" w:color="auto" w:frame="1"/>
          <w:lang w:eastAsia="ru-RU"/>
        </w:rPr>
        <w:t>го мислення</w:t>
      </w:r>
      <w:r w:rsidRPr="00447B2B">
        <w:rPr>
          <w:rFonts w:ascii="Times New Roman" w:eastAsia="Times New Roman" w:hAnsi="Times New Roman"/>
          <w:color w:val="222222"/>
          <w:sz w:val="28"/>
          <w:szCs w:val="28"/>
          <w:bdr w:val="none" w:sz="0" w:space="0" w:color="auto" w:frame="1"/>
          <w:lang w:eastAsia="ru-RU"/>
        </w:rPr>
        <w:t xml:space="preserve"> суддів, адвокатів, прокурорів, нотаріусів, слідчих тощо.</w:t>
      </w:r>
      <w:r>
        <w:rPr>
          <w:rFonts w:ascii="Times New Roman" w:eastAsia="Times New Roman" w:hAnsi="Times New Roman"/>
          <w:color w:val="222222"/>
          <w:sz w:val="28"/>
          <w:szCs w:val="28"/>
          <w:bdr w:val="none" w:sz="0" w:space="0" w:color="auto" w:frame="1"/>
          <w:lang w:eastAsia="ru-RU"/>
        </w:rPr>
        <w:t xml:space="preserve"> </w:t>
      </w:r>
      <w:r w:rsidRPr="003E7607">
        <w:rPr>
          <w:rFonts w:ascii="Times New Roman" w:hAnsi="Times New Roman"/>
          <w:sz w:val="28"/>
          <w:szCs w:val="28"/>
        </w:rPr>
        <w:t>Чинне законодавство прямо визнає практику ЄСПЛ джерелом права України; її застосування в національному судочинстві обумовлене потребою сумлінного ви</w:t>
      </w:r>
      <w:r w:rsidRPr="003E7607">
        <w:rPr>
          <w:rFonts w:ascii="Times New Roman" w:hAnsi="Times New Roman"/>
          <w:sz w:val="28"/>
          <w:szCs w:val="28"/>
        </w:rPr>
        <w:softHyphen/>
        <w:t>конання Україною зобов’язань, взятих відповідно до Конвенції.</w:t>
      </w:r>
    </w:p>
    <w:p w:rsidR="00A82852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Європейський Суд є особливим наднаціональним органом в системі захисту основних конституційних прав та свобод людини, е</w:t>
      </w:r>
      <w:r w:rsidRPr="00447B2B">
        <w:rPr>
          <w:rFonts w:ascii="Times New Roman" w:hAnsi="Times New Roman"/>
          <w:sz w:val="28"/>
          <w:szCs w:val="28"/>
        </w:rPr>
        <w:t xml:space="preserve">фективність </w:t>
      </w:r>
      <w:r>
        <w:rPr>
          <w:rFonts w:ascii="Times New Roman" w:hAnsi="Times New Roman"/>
          <w:sz w:val="28"/>
          <w:szCs w:val="28"/>
        </w:rPr>
        <w:t xml:space="preserve">якого </w:t>
      </w:r>
      <w:r w:rsidRPr="00447B2B">
        <w:rPr>
          <w:rFonts w:ascii="Times New Roman" w:hAnsi="Times New Roman"/>
          <w:sz w:val="28"/>
          <w:szCs w:val="28"/>
        </w:rPr>
        <w:t>за</w:t>
      </w:r>
      <w:r w:rsidRPr="00447B2B">
        <w:rPr>
          <w:rFonts w:ascii="Times New Roman" w:hAnsi="Times New Roman"/>
          <w:sz w:val="28"/>
          <w:szCs w:val="28"/>
        </w:rPr>
        <w:softHyphen/>
        <w:t xml:space="preserve">безпечується обов’язковою силою </w:t>
      </w:r>
      <w:r>
        <w:rPr>
          <w:rFonts w:ascii="Times New Roman" w:hAnsi="Times New Roman"/>
          <w:sz w:val="28"/>
          <w:szCs w:val="28"/>
        </w:rPr>
        <w:t>його</w:t>
      </w:r>
      <w:r w:rsidRPr="00447B2B">
        <w:rPr>
          <w:rFonts w:ascii="Times New Roman" w:hAnsi="Times New Roman"/>
          <w:sz w:val="28"/>
          <w:szCs w:val="28"/>
        </w:rPr>
        <w:t xml:space="preserve"> рішень. Стаття 46 Європейської конвенції з прав людини встановлює, що держави-учасниці зобов’язуються виконувати остаточне рішення Суду в будь-якій справі, в якій вони є сторонами.</w:t>
      </w:r>
    </w:p>
    <w:p w:rsidR="00A82852" w:rsidRPr="00447B2B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Центральне місце в прецедентному праві ЄСПЛ посідають рішення, винесені ним по суті розглянутих справ у складі палати або Великої палати, оскільки в них містяться найважливіші правові позиції, що мають принципове значення для захисту прав людини як на міжнародному, так і на національному рівнях. Серія аналогічних рішень з одного питання створює "усталене прецедентне право" та, зазвичай, набуває переконливішого зна</w:t>
      </w:r>
      <w:r w:rsidRPr="003E7607">
        <w:rPr>
          <w:rFonts w:ascii="Times New Roman" w:hAnsi="Times New Roman"/>
          <w:sz w:val="28"/>
          <w:szCs w:val="28"/>
        </w:rPr>
        <w:softHyphen/>
        <w:t>чення, ніж окремий прецедент.</w:t>
      </w:r>
    </w:p>
    <w:p w:rsidR="00A82852" w:rsidRPr="003E7607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3E7607">
        <w:rPr>
          <w:rFonts w:ascii="Times New Roman" w:hAnsi="Times New Roman"/>
          <w:sz w:val="28"/>
          <w:szCs w:val="28"/>
        </w:rPr>
        <w:t>Прецеденти ЄСПЛ слід розглядати, перш за все, як джерела конституційного права, оскільки до предмету регулювання саме цієї галузі права України входять відносини щодо за</w:t>
      </w:r>
      <w:r w:rsidRPr="003E7607">
        <w:rPr>
          <w:rFonts w:ascii="Times New Roman" w:hAnsi="Times New Roman"/>
          <w:sz w:val="28"/>
          <w:szCs w:val="28"/>
        </w:rPr>
        <w:softHyphen/>
        <w:t>безпечення прав і свобод людини, однак, враховуючи універсальність положень Конвенції, вони можуть застосовуватися в усіх формах судочинства: конституцій</w:t>
      </w:r>
      <w:r w:rsidRPr="003E7607">
        <w:rPr>
          <w:rFonts w:ascii="Times New Roman" w:hAnsi="Times New Roman"/>
          <w:sz w:val="28"/>
          <w:szCs w:val="28"/>
        </w:rPr>
        <w:softHyphen/>
        <w:t>ному, цивільному, кримінальному, господарському, адміністративному (з урахуван</w:t>
      </w:r>
      <w:r w:rsidRPr="003E7607">
        <w:rPr>
          <w:rFonts w:ascii="Times New Roman" w:hAnsi="Times New Roman"/>
          <w:sz w:val="28"/>
          <w:szCs w:val="28"/>
        </w:rPr>
        <w:softHyphen/>
        <w:t>ням специфіки справ, підвідомчих відповідним судам).</w:t>
      </w:r>
    </w:p>
    <w:p w:rsidR="00A82852" w:rsidRDefault="00EB2713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="00A82852">
        <w:rPr>
          <w:rFonts w:ascii="Times New Roman" w:hAnsi="Times New Roman"/>
          <w:sz w:val="28"/>
          <w:szCs w:val="28"/>
        </w:rPr>
        <w:t xml:space="preserve">ішення </w:t>
      </w:r>
      <w:r>
        <w:rPr>
          <w:rFonts w:ascii="Times New Roman" w:hAnsi="Times New Roman"/>
          <w:sz w:val="28"/>
          <w:szCs w:val="28"/>
        </w:rPr>
        <w:t xml:space="preserve"> </w:t>
      </w:r>
      <w:r w:rsidR="00A82852">
        <w:rPr>
          <w:rFonts w:ascii="Times New Roman" w:hAnsi="Times New Roman"/>
          <w:sz w:val="28"/>
          <w:szCs w:val="28"/>
        </w:rPr>
        <w:t xml:space="preserve">ЄСПЛ </w:t>
      </w:r>
      <w:r>
        <w:rPr>
          <w:rFonts w:ascii="Times New Roman" w:hAnsi="Times New Roman"/>
          <w:sz w:val="28"/>
          <w:szCs w:val="28"/>
        </w:rPr>
        <w:t>як</w:t>
      </w:r>
      <w:r w:rsidR="00A82852">
        <w:rPr>
          <w:rFonts w:ascii="Times New Roman" w:hAnsi="Times New Roman"/>
          <w:sz w:val="28"/>
          <w:szCs w:val="28"/>
        </w:rPr>
        <w:t xml:space="preserve"> «конституційний інструмент» </w:t>
      </w:r>
      <w:r>
        <w:rPr>
          <w:rFonts w:ascii="Times New Roman" w:hAnsi="Times New Roman"/>
          <w:sz w:val="28"/>
          <w:szCs w:val="28"/>
        </w:rPr>
        <w:t xml:space="preserve">механізму захисту прав людини </w:t>
      </w:r>
      <w:r w:rsidR="00A82852">
        <w:rPr>
          <w:rFonts w:ascii="Times New Roman" w:hAnsi="Times New Roman"/>
          <w:sz w:val="28"/>
          <w:szCs w:val="28"/>
        </w:rPr>
        <w:t>становлять важливу частину українського конституційного права, є надбанням та втіленням європейських конституційних цінностей. Про</w:t>
      </w:r>
      <w:r w:rsidR="00A82852">
        <w:rPr>
          <w:rFonts w:ascii="Times New Roman" w:hAnsi="Times New Roman"/>
          <w:sz w:val="28"/>
          <w:szCs w:val="28"/>
        </w:rPr>
        <w:softHyphen/>
        <w:t>те в Україні все ще існує доволі скептичне ставлення до норм Конвенції. Одним із способів збільшення ролі ЄКПЛ та рішень ЄСПЛ могло б бути включення при внесенні змін до існуючої або розробці нової Конституції норми, яка без</w:t>
      </w:r>
      <w:r w:rsidR="00A82852">
        <w:rPr>
          <w:rFonts w:ascii="Times New Roman" w:hAnsi="Times New Roman"/>
          <w:sz w:val="28"/>
          <w:szCs w:val="28"/>
        </w:rPr>
        <w:softHyphen/>
        <w:t>посередньо посилалася б на Конвенцію.</w:t>
      </w:r>
    </w:p>
    <w:p w:rsidR="00A82852" w:rsidRPr="00640C63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Україні створена досить розгалужена нормативна база щодо використання національними судами рішень ЄСПЛ як джерел права. Початок в цьому процесі було закладено прийняттям Закону України «Про виконання рішень та застосування практики Європейського Суду з прав людини»</w:t>
      </w:r>
      <w:r w:rsidR="00EB2713">
        <w:rPr>
          <w:rFonts w:ascii="Times New Roman" w:hAnsi="Times New Roman"/>
          <w:sz w:val="28"/>
          <w:szCs w:val="28"/>
        </w:rPr>
        <w:t xml:space="preserve"> 2006 року</w:t>
      </w:r>
      <w:r>
        <w:rPr>
          <w:rFonts w:ascii="Times New Roman" w:hAnsi="Times New Roman"/>
          <w:sz w:val="28"/>
          <w:szCs w:val="28"/>
        </w:rPr>
        <w:t xml:space="preserve">, в якому чітко встановлено, що суди при розгляді справ керуються «Європейської конвенцією про захист прав людини та основоположних </w:t>
      </w:r>
      <w:r w:rsidRPr="00640C63">
        <w:rPr>
          <w:rFonts w:ascii="Times New Roman" w:hAnsi="Times New Roman"/>
          <w:sz w:val="28"/>
          <w:szCs w:val="28"/>
        </w:rPr>
        <w:t>свобод 1950 року та практикою Європейського Суду з прав людини».</w:t>
      </w:r>
    </w:p>
    <w:p w:rsidR="00A82852" w:rsidRPr="00640C63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Style w:val="2"/>
          <w:rFonts w:eastAsia="Courier New"/>
          <w:sz w:val="28"/>
          <w:szCs w:val="28"/>
        </w:rPr>
        <w:t>Аналіз</w:t>
      </w:r>
      <w:r w:rsidRPr="00640C63">
        <w:rPr>
          <w:rStyle w:val="2"/>
          <w:rFonts w:eastAsia="Courier New"/>
          <w:sz w:val="28"/>
          <w:szCs w:val="28"/>
        </w:rPr>
        <w:t xml:space="preserve"> судової </w:t>
      </w:r>
      <w:r w:rsidRPr="00640C63">
        <w:rPr>
          <w:rStyle w:val="2"/>
          <w:rFonts w:eastAsia="Courier New"/>
          <w:sz w:val="28"/>
          <w:szCs w:val="28"/>
          <w:lang w:eastAsia="ru-RU" w:bidi="ru-RU"/>
        </w:rPr>
        <w:t>прак</w:t>
      </w:r>
      <w:r w:rsidRPr="00640C63">
        <w:rPr>
          <w:rStyle w:val="2"/>
          <w:rFonts w:eastAsia="Courier New"/>
          <w:sz w:val="28"/>
          <w:szCs w:val="28"/>
          <w:lang w:eastAsia="ru-RU" w:bidi="ru-RU"/>
        </w:rPr>
        <w:softHyphen/>
        <w:t>тики</w:t>
      </w:r>
      <w:r w:rsidRPr="00640C63">
        <w:rPr>
          <w:rStyle w:val="2"/>
          <w:rFonts w:eastAsia="Courier New"/>
          <w:sz w:val="28"/>
          <w:szCs w:val="28"/>
        </w:rPr>
        <w:t xml:space="preserve"> місцевих та апеляційних судів на предмет застосування ними правових позицій ЄСПЛ дозволяє зробити висновок, що якість посилань на рішення Європейського суду з прав людини залиша</w:t>
      </w:r>
      <w:r w:rsidRPr="00640C63">
        <w:rPr>
          <w:rStyle w:val="2"/>
          <w:rFonts w:eastAsia="Courier New"/>
          <w:sz w:val="28"/>
          <w:szCs w:val="28"/>
        </w:rPr>
        <w:softHyphen/>
        <w:t xml:space="preserve">ється низькою. Має місце </w:t>
      </w:r>
      <w:r w:rsidR="00EB2713">
        <w:rPr>
          <w:rStyle w:val="2"/>
          <w:rFonts w:eastAsia="Courier New"/>
          <w:sz w:val="28"/>
          <w:szCs w:val="28"/>
        </w:rPr>
        <w:t xml:space="preserve">як </w:t>
      </w:r>
      <w:r w:rsidRPr="00640C63">
        <w:rPr>
          <w:rStyle w:val="2"/>
          <w:rFonts w:eastAsia="Courier New"/>
          <w:sz w:val="28"/>
          <w:szCs w:val="28"/>
        </w:rPr>
        <w:t xml:space="preserve"> відсутність обґрунтованості в способах застосування посилань на правові позиції ЄСПЛ, що містяться в його рішеннях, </w:t>
      </w:r>
      <w:r w:rsidR="00EB2713">
        <w:rPr>
          <w:rStyle w:val="2"/>
          <w:rFonts w:eastAsia="Courier New"/>
          <w:sz w:val="28"/>
          <w:szCs w:val="28"/>
        </w:rPr>
        <w:t xml:space="preserve"> так </w:t>
      </w:r>
      <w:r w:rsidRPr="00640C63">
        <w:rPr>
          <w:rStyle w:val="2"/>
          <w:rFonts w:eastAsia="Courier New"/>
          <w:sz w:val="28"/>
          <w:szCs w:val="28"/>
        </w:rPr>
        <w:t>і їх повна відсутність. Що ж стосується вищих судів, то хоча вони й застосовують у своїх актах європейські стандарти прав людини, але не прагнуть активно розширювати застосування цих стандартів нижчими судами. Це перешкоджає процесу уніфікації стандартів у галузі прав і свобод людини, і не сприяє орієнтації нижчестоящих судів загальної юрисдикції на правильне і коректне використання правових позицій ЄСПЛ при відправленні правосуд</w:t>
      </w:r>
      <w:r w:rsidRPr="00640C63">
        <w:rPr>
          <w:rStyle w:val="2"/>
          <w:rFonts w:eastAsia="Courier New"/>
          <w:sz w:val="28"/>
          <w:szCs w:val="28"/>
        </w:rPr>
        <w:softHyphen/>
        <w:t>дя, що, в кінцевому підсумку, перешкоджає реалізації тих цілей, на досягнення яких були спрямовані ратифікація Конвенції і визнання юрисдикції ЄСПЛ.</w:t>
      </w:r>
      <w:r w:rsidRPr="00640C63">
        <w:rPr>
          <w:rFonts w:ascii="Times New Roman" w:hAnsi="Times New Roman"/>
          <w:sz w:val="28"/>
          <w:szCs w:val="28"/>
        </w:rPr>
        <w:t xml:space="preserve"> </w:t>
      </w:r>
    </w:p>
    <w:p w:rsidR="00A82852" w:rsidRPr="008379CE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Окремою проблемою є неоднозначне розуміння місця та ролі ЄСПЛ в національному механізмі здійснення правосуддя: за одними підходами, він є</w:t>
      </w:r>
      <w:r w:rsidRPr="00640C63">
        <w:rPr>
          <w:rFonts w:ascii="Times New Roman" w:hAnsi="Times New Roman"/>
          <w:sz w:val="28"/>
          <w:szCs w:val="28"/>
        </w:rPr>
        <w:t xml:space="preserve"> «вищим» судом по відношенню до національних судів, а тому може змінювати або скасовувати рішення національних судів</w:t>
      </w:r>
      <w:r>
        <w:rPr>
          <w:rFonts w:ascii="Times New Roman" w:hAnsi="Times New Roman"/>
          <w:sz w:val="28"/>
          <w:szCs w:val="28"/>
        </w:rPr>
        <w:t>, а за іншими Є</w:t>
      </w:r>
      <w:r w:rsidRPr="00640C63">
        <w:rPr>
          <w:rFonts w:ascii="Times New Roman" w:hAnsi="Times New Roman"/>
          <w:sz w:val="28"/>
          <w:szCs w:val="28"/>
        </w:rPr>
        <w:t>СПЛ є лише «субсидіарним» інститутом по відношенню до національних судів, а тому його рішення повинні мати лише ре</w:t>
      </w:r>
      <w:r w:rsidRPr="00640C63">
        <w:rPr>
          <w:rFonts w:ascii="Times New Roman" w:hAnsi="Times New Roman"/>
          <w:sz w:val="28"/>
          <w:szCs w:val="28"/>
        </w:rPr>
        <w:softHyphen/>
        <w:t>комендаційний (а не обов’язковий) характер. Так</w:t>
      </w:r>
      <w:r>
        <w:rPr>
          <w:rFonts w:ascii="Times New Roman" w:hAnsi="Times New Roman"/>
          <w:sz w:val="28"/>
          <w:szCs w:val="28"/>
        </w:rPr>
        <w:t xml:space="preserve">ий дуалізм </w:t>
      </w:r>
      <w:r w:rsidRPr="00640C63">
        <w:rPr>
          <w:rFonts w:ascii="Times New Roman" w:hAnsi="Times New Roman"/>
          <w:sz w:val="28"/>
          <w:szCs w:val="28"/>
        </w:rPr>
        <w:t>ро</w:t>
      </w:r>
      <w:r w:rsidRPr="00640C63">
        <w:rPr>
          <w:rFonts w:ascii="Times New Roman" w:hAnsi="Times New Roman"/>
          <w:sz w:val="28"/>
          <w:szCs w:val="28"/>
        </w:rPr>
        <w:softHyphen/>
        <w:t xml:space="preserve">зуміння правового статусу ЄСПЛ і зумовлює </w:t>
      </w:r>
      <w:r w:rsidRPr="008379CE">
        <w:rPr>
          <w:rFonts w:ascii="Times New Roman" w:hAnsi="Times New Roman"/>
          <w:sz w:val="28"/>
          <w:szCs w:val="28"/>
        </w:rPr>
        <w:t>неоднозначність підходів до оцінки значущості практики ЄСПЛ для правозастосовної практики національних судів.</w:t>
      </w:r>
    </w:p>
    <w:p w:rsidR="00F0462F" w:rsidRDefault="00F0462F" w:rsidP="00F0462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Статистичний аналіз звернень до ЄСПЛ громадян України, тенденція їх постійного збільшення з кожним наступним роком, а також наявність вже низки пілотних рішень, які не лише визнають Україну відповідальною перед окремими громадянами за неспроможність забезпечити на достатньому рівні найголовніші права та свободи, але й констатують системні проблеми в галузі правосуддя, зокрема – в галузі виконання рішень національних судів як важливої складової доступу особи до правосуддя, свідчать що попри всі названі законодавчі положення, їх реалізація залишається вкрай низькою.  </w:t>
      </w:r>
    </w:p>
    <w:p w:rsidR="00F0462F" w:rsidRDefault="00F0462F" w:rsidP="00F0462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 обумовлює необхідність вирішення на законодавчому рівні наступних питань</w:t>
      </w:r>
      <w:r w:rsidRPr="00A761E2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встановлення </w:t>
      </w:r>
      <w:r w:rsidRPr="00A761E2">
        <w:rPr>
          <w:rFonts w:ascii="Times New Roman" w:hAnsi="Times New Roman"/>
          <w:sz w:val="28"/>
          <w:szCs w:val="28"/>
        </w:rPr>
        <w:t>відповідальності за невиконання або неналежне виконання рішень</w:t>
      </w:r>
      <w:r>
        <w:rPr>
          <w:rFonts w:ascii="Times New Roman" w:hAnsi="Times New Roman"/>
          <w:sz w:val="28"/>
          <w:szCs w:val="28"/>
        </w:rPr>
        <w:t xml:space="preserve"> національних судів та рішень ЄСПЛ</w:t>
      </w:r>
      <w:r w:rsidRPr="00A761E2">
        <w:rPr>
          <w:rFonts w:ascii="Times New Roman" w:hAnsi="Times New Roman"/>
          <w:sz w:val="28"/>
          <w:szCs w:val="28"/>
        </w:rPr>
        <w:t xml:space="preserve">; нормативного обґрунтування цієї відповідальності; чіткого окреслення повноважень органів, котрі мають здійснювати перевірку виконання рішень Суду й реагувати на порушення в сфері застосування Європейської конвенції. У питаннях застосування </w:t>
      </w:r>
      <w:r>
        <w:rPr>
          <w:rFonts w:ascii="Times New Roman" w:hAnsi="Times New Roman"/>
          <w:sz w:val="28"/>
          <w:szCs w:val="28"/>
        </w:rPr>
        <w:t>К</w:t>
      </w:r>
      <w:r w:rsidRPr="00A761E2">
        <w:rPr>
          <w:rFonts w:ascii="Times New Roman" w:hAnsi="Times New Roman"/>
          <w:sz w:val="28"/>
          <w:szCs w:val="28"/>
        </w:rPr>
        <w:t xml:space="preserve">онвенції національними судами під час виконання рішень </w:t>
      </w:r>
      <w:r>
        <w:rPr>
          <w:rFonts w:ascii="Times New Roman" w:hAnsi="Times New Roman"/>
          <w:sz w:val="28"/>
          <w:szCs w:val="28"/>
        </w:rPr>
        <w:t>ЄСПЛ</w:t>
      </w:r>
      <w:r w:rsidRPr="00A761E2">
        <w:rPr>
          <w:rFonts w:ascii="Times New Roman" w:hAnsi="Times New Roman"/>
          <w:sz w:val="28"/>
          <w:szCs w:val="28"/>
        </w:rPr>
        <w:t xml:space="preserve"> активнішу позицію повинна мати судова влада, особливо Верховний Суд України, який повинен ініціювати використання цього документа й практики </w:t>
      </w:r>
      <w:r>
        <w:rPr>
          <w:rFonts w:ascii="Times New Roman" w:hAnsi="Times New Roman"/>
          <w:sz w:val="28"/>
          <w:szCs w:val="28"/>
        </w:rPr>
        <w:t>ЄСПЛ</w:t>
      </w:r>
      <w:r w:rsidRPr="00A761E2">
        <w:rPr>
          <w:rFonts w:ascii="Times New Roman" w:hAnsi="Times New Roman"/>
          <w:sz w:val="28"/>
          <w:szCs w:val="28"/>
        </w:rPr>
        <w:t>, що дало б змогу інтенсивніше імплементувати міжнародні стандарти захисту прав людини в нашій країн</w:t>
      </w:r>
      <w:r>
        <w:rPr>
          <w:rFonts w:ascii="Times New Roman" w:hAnsi="Times New Roman"/>
          <w:sz w:val="28"/>
          <w:szCs w:val="28"/>
        </w:rPr>
        <w:t>і</w:t>
      </w:r>
    </w:p>
    <w:p w:rsidR="00A82852" w:rsidRPr="008379CE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379CE">
        <w:rPr>
          <w:rFonts w:ascii="Times New Roman" w:hAnsi="Times New Roman"/>
          <w:sz w:val="28"/>
          <w:szCs w:val="28"/>
        </w:rPr>
        <w:t xml:space="preserve">Важливу роль практика ЄСПЛ відіграє в здійсненні конституційного судочинства. </w:t>
      </w:r>
      <w:r>
        <w:rPr>
          <w:rFonts w:ascii="Times New Roman" w:hAnsi="Times New Roman"/>
          <w:sz w:val="28"/>
          <w:szCs w:val="28"/>
        </w:rPr>
        <w:t>Аналіз з</w:t>
      </w:r>
      <w:r w:rsidRPr="008379CE">
        <w:rPr>
          <w:rFonts w:ascii="Times New Roman" w:hAnsi="Times New Roman"/>
          <w:sz w:val="28"/>
          <w:szCs w:val="28"/>
        </w:rPr>
        <w:t xml:space="preserve">астосування правових позицій ЄСПЛ у практиці Конституційного Суду України дозволяє стверджувати, що </w:t>
      </w:r>
      <w:r>
        <w:rPr>
          <w:rFonts w:ascii="Times New Roman" w:hAnsi="Times New Roman"/>
          <w:sz w:val="28"/>
          <w:szCs w:val="28"/>
        </w:rPr>
        <w:t xml:space="preserve">вони виступають </w:t>
      </w:r>
      <w:r w:rsidRPr="008379CE">
        <w:rPr>
          <w:rFonts w:ascii="Times New Roman" w:hAnsi="Times New Roman"/>
          <w:sz w:val="28"/>
          <w:szCs w:val="28"/>
        </w:rPr>
        <w:t>потужним правовим засобом у роз</w:t>
      </w:r>
      <w:r w:rsidRPr="008379CE">
        <w:rPr>
          <w:rFonts w:ascii="Times New Roman" w:hAnsi="Times New Roman"/>
          <w:sz w:val="28"/>
          <w:szCs w:val="28"/>
        </w:rPr>
        <w:softHyphen/>
        <w:t>витку конституційних цінностей. Варто також відзначити, що Кон</w:t>
      </w:r>
      <w:r w:rsidRPr="008379CE">
        <w:rPr>
          <w:rFonts w:ascii="Times New Roman" w:hAnsi="Times New Roman"/>
          <w:sz w:val="28"/>
          <w:szCs w:val="28"/>
        </w:rPr>
        <w:softHyphen/>
        <w:t xml:space="preserve">ституційний Суд України головним чином розглядає звернення, що стосуються захисту широкого кола прав і свобод людини, основою яких виступають загальновизнані міжнародні стандарти. </w:t>
      </w:r>
    </w:p>
    <w:p w:rsidR="00A82852" w:rsidRDefault="00A82852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379CE">
        <w:rPr>
          <w:rFonts w:ascii="Times New Roman" w:hAnsi="Times New Roman"/>
          <w:sz w:val="28"/>
          <w:szCs w:val="28"/>
        </w:rPr>
        <w:t>Отже їх практика має бути узгоджена або гармонізована у двосторонньому по</w:t>
      </w:r>
      <w:r w:rsidRPr="008379CE">
        <w:rPr>
          <w:rFonts w:ascii="Times New Roman" w:hAnsi="Times New Roman"/>
          <w:sz w:val="28"/>
          <w:szCs w:val="28"/>
        </w:rPr>
        <w:softHyphen/>
        <w:t>рядку: ЕСПЛ належить остаточне слово щодо тлумачення конвенційних прав, а офіційне роз'яснення КСУ тих самих прав, що містяться у Конституції України, має пріоритет над тлумаченням ЕСПЛ в українській правовій системі.</w:t>
      </w:r>
    </w:p>
    <w:p w:rsidR="00EB2713" w:rsidRPr="008379CE" w:rsidRDefault="00EB2713" w:rsidP="00A828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A82852" w:rsidRDefault="00A82852" w:rsidP="006333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D58D0" w:rsidRDefault="004D58D0" w:rsidP="00F0462F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4D58D0" w:rsidRDefault="004D58D0" w:rsidP="00F0462F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4D58D0" w:rsidRDefault="004D58D0" w:rsidP="00F0462F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A82852" w:rsidRPr="004B287A" w:rsidRDefault="00F0462F" w:rsidP="00F0462F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4B287A">
        <w:rPr>
          <w:rFonts w:ascii="Times New Roman" w:hAnsi="Times New Roman"/>
          <w:b/>
          <w:sz w:val="28"/>
          <w:szCs w:val="28"/>
        </w:rPr>
        <w:t>СПИСОК ВИКОРИСТАНИХ ДЖЕРЕЛ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Case of  SCOZZARI and GIUNTA v. ITALY (Applications nos. 39221/98 and 41963/98) [Електронний ресурс]. – </w:t>
      </w:r>
      <w:hyperlink r:id="rId8"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http://hudoc.echr.coe.int/sites/fra/</w:t>
        </w:r>
      </w:hyperlink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pages/search.aspx?i=001_58752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Ensuring the viability of the Strasbourg Court: structural 10. deficiencies in States Parties [Електронний ресурс]. – Режим доступу : </w:t>
      </w:r>
      <w:hyperlink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http://assembly. coe.int/</w:t>
        </w:r>
      </w:hyperlink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Communication/pressajdoc29_2012rev.pdf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European Court of Human Rights, Sokur v. Ukraine judg</w:t>
      </w:r>
      <w:r w:rsidRPr="004B287A">
        <w:rPr>
          <w:rFonts w:ascii="Times New Roman" w:hAnsi="Times New Roman"/>
          <w:sz w:val="28"/>
          <w:szCs w:val="28"/>
        </w:rPr>
        <w:softHyphen/>
        <w:t xml:space="preserve">ment of 26 April 2005 [Electronic resource] // European Court of Human Rights Portal. - Mode of access: </w:t>
      </w:r>
      <w:hyperlink r:id="rId9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http://cmiskp.echr.coe.int/tkpl97/view.asp? action=html&amp;documentId</w:t>
        </w:r>
      </w:hyperlink>
      <w:r w:rsidRPr="004B287A">
        <w:rPr>
          <w:rFonts w:ascii="Times New Roman" w:hAnsi="Times New Roman"/>
          <w:sz w:val="28"/>
          <w:szCs w:val="28"/>
        </w:rPr>
        <w:t xml:space="preserve"> =755842&amp;portal=hbkm&amp;source=externalbydocnumber&amp;table=F69A27FD8FB86142B F01C1166DEA398649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Loizidou v. Turkey, 40/1993/435/514, Council of Europe: European Court of Human Rights, 23 February 1995 [Електронний ресурс]. – Режим доступу: </w:t>
      </w:r>
      <w:hyperlink r:id="rId10" w:anchor="{&quot;itemid&quot; :[&quot;001-58007&quot;]}"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http://hudoc.echr.coe.int/sites/eng/pages/search.aspx?i=001-58007#{"itemid" :["001-58007"]}</w:t>
        </w:r>
      </w:hyperlink>
      <w:r w:rsidRPr="004B287A">
        <w:rPr>
          <w:rFonts w:ascii="Times New Roman" w:hAnsi="Times New Roman"/>
          <w:sz w:val="28"/>
          <w:szCs w:val="28"/>
        </w:rPr>
        <w:t>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M v United Kingdom and Ireland  (Application No. 9837/82) / The European Convention on Human Rights and the Conflict in Northern Ireland. B. Dickson (ed.). – Oxford.: Oxford University Press, 2010.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Miller S. Revisiting Extraterritorial Jurisdiction: A Territorial Justification for Extraterritorial Jurisdiction under the European Convention / S. Miller // European Journal of International Law. – 2009. – Vol. 20, Issue 4. – Р.223.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National and supranational constitutionalisra in Europe. Rainer Arnold. New Міііеппіиш Constitutionalisra: Paradigras of Reality and Challenges, Yerevan 2013 [Електронний ресурс]. - Режим доступу : </w:t>
      </w:r>
      <w:hyperlink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http://www.venice. coe.int/ CoCentre/</w:t>
        </w:r>
      </w:hyperlink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 Harutyunyannewrailleniura.pdf.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Statistiques. Tableau de violations 1959–2011 [Електронний ресурс]. – Режим доступу : http://www.echr. coe.int/ECHR/FR/Header/</w:t>
      </w: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Reports+and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+Statistics/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Statistics/Statistical+data/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Sweet, Alec Stone, "On the Constitutionalisation of the Convention: The European Court of Human Rights as a Constitutional Court" (2009). Faculty Scholarship Series. Paper 71. [Електронний ресурс]. - Режим доступу: </w:t>
      </w:r>
      <w:hyperlink r:id="rId11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http://digitalcommons.law.yale.edu/fss_papers/71/</w:t>
        </w:r>
      </w:hyperlink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The Pilot-Judgment Procedure. Information note issued by the Registrar, 05/05/2013 [Електронний ресурс]. - Режим доступу: </w:t>
      </w:r>
      <w:hyperlink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http://www.echr. coe.int/ Documents/Pilot_judgment_procedure_ENG.pdf</w:t>
        </w:r>
      </w:hyperlink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Адміністративне судочинство України: Підручник / О. М. Пасенюк (кер. авт. кол.), О. Н. Панченко, В. Б. Авер'янов [та ін.]; За заг. ред. О. М. Пасенюка. — К.: Юрінком Інтер, 2009. – С.640.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Аналіз застосування рішень Європейського суду з прав людини апеляційним судом Харківської області та судами першої інстанції в 2015 році [Електронний ресурс]. – Режим доступу:   </w:t>
      </w:r>
      <w:hyperlink r:id="rId12"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http://old.court.gov.ua/</w:t>
        </w:r>
      </w:hyperlink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sud2090/inf_court/generalization/uzag16c17/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Бортновська З. Виконання рішень Європейського суду з прав людини  [Електронний ресурс] // Юридична газета. – 2004. – № 11 (23). – Режим доступу:  http://www.yurgazeta.com/oarticle/812/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Веніамінова А. Рішення Європейського суду - джерело права для українського правосуддя / А. Веніамінова // Юридична газета. – К., 2013. – С. 44-45.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Гаджиев Г. А. Правовые позиции Конституционного Суда Российской Федерации как источник конституционного права / Г. А. Гаджиев // Конституционное право: Восточноевропейское обозрение. </w:t>
      </w:r>
      <w:r w:rsidR="00AB7789">
        <w:rPr>
          <w:rFonts w:ascii="Times New Roman" w:hAnsi="Times New Roman"/>
          <w:sz w:val="28"/>
          <w:szCs w:val="28"/>
        </w:rPr>
        <w:t>-</w:t>
      </w:r>
      <w:r w:rsidRPr="004B287A">
        <w:rPr>
          <w:rFonts w:ascii="Times New Roman" w:hAnsi="Times New Roman"/>
          <w:sz w:val="28"/>
          <w:szCs w:val="28"/>
        </w:rPr>
        <w:t xml:space="preserve"> 1999. </w:t>
      </w:r>
      <w:r w:rsidR="00AB7789">
        <w:rPr>
          <w:rFonts w:ascii="Times New Roman" w:hAnsi="Times New Roman"/>
          <w:sz w:val="28"/>
          <w:szCs w:val="28"/>
        </w:rPr>
        <w:t>-</w:t>
      </w:r>
      <w:r w:rsidRPr="004B287A">
        <w:rPr>
          <w:rFonts w:ascii="Times New Roman" w:hAnsi="Times New Roman"/>
          <w:sz w:val="28"/>
          <w:szCs w:val="28"/>
        </w:rPr>
        <w:t xml:space="preserve"> № 5 (28). </w:t>
      </w:r>
      <w:r w:rsidR="00AB7789">
        <w:rPr>
          <w:rFonts w:ascii="Times New Roman" w:hAnsi="Times New Roman"/>
          <w:sz w:val="28"/>
          <w:szCs w:val="28"/>
        </w:rPr>
        <w:t>-</w:t>
      </w:r>
      <w:r w:rsidRPr="004B287A">
        <w:rPr>
          <w:rFonts w:ascii="Times New Roman" w:hAnsi="Times New Roman"/>
          <w:sz w:val="28"/>
          <w:szCs w:val="28"/>
        </w:rPr>
        <w:t xml:space="preserve"> С. 82.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Галкін І.Г. Особливості юрисдикції Європейського Суду з прав людини // Часопис Київського університету права. – 2014. - №4. – С.286.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Гладенко О.М. Застосування практики Європейського Суду з прав людини судами загальної юрисдикції України [Електронний ресурс]. – Режим доступу: https://www.academia.edu/18935873/</w:t>
      </w:r>
    </w:p>
    <w:p w:rsidR="00AB7789" w:rsidRPr="004B287A" w:rsidRDefault="00AB7789" w:rsidP="00AB7789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Гураленко Н. А. Судовий прецедент в системі джерел права: філософсько-правовий аспект / Н. А. Гураленко. – Львів, 2010.</w:t>
      </w:r>
    </w:p>
    <w:p w:rsidR="00AB7789" w:rsidRPr="00AB7789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Дашковська О. Судовий прецедент і судова практика як джерела права // </w:t>
      </w:r>
      <w:hyperlink r:id="rId13" w:tooltip="Періодичне видання" w:history="1">
        <w:r w:rsidRPr="00AB7789">
          <w:rPr>
            <w:rStyle w:val="a7"/>
            <w:rFonts w:ascii="Times New Roman" w:hAnsi="Times New Roman"/>
            <w:color w:val="000000" w:themeColor="text1"/>
            <w:sz w:val="28"/>
            <w:szCs w:val="28"/>
            <w:u w:val="none"/>
          </w:rPr>
          <w:t>Вісник Академії правових наук України</w:t>
        </w:r>
      </w:hyperlink>
      <w:r w:rsidRPr="00AB7789">
        <w:rPr>
          <w:rFonts w:ascii="Times New Roman" w:hAnsi="Times New Roman"/>
          <w:color w:val="000000" w:themeColor="text1"/>
          <w:sz w:val="28"/>
          <w:szCs w:val="28"/>
        </w:rPr>
        <w:t>. - 2011. - № 1(64). - С. 34-41.</w:t>
      </w:r>
    </w:p>
    <w:p w:rsidR="009E0DB4" w:rsidRPr="004B287A" w:rsidRDefault="00AB7789" w:rsidP="009E0DB4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E0DB4" w:rsidRPr="004B287A">
        <w:rPr>
          <w:rFonts w:ascii="Times New Roman" w:hAnsi="Times New Roman"/>
          <w:sz w:val="28"/>
          <w:szCs w:val="28"/>
        </w:rPr>
        <w:t>Демченко Г. В. Судебный прецедент / Г. В. Демченко // Журнал Министерст</w:t>
      </w:r>
      <w:r w:rsidR="009E0DB4" w:rsidRPr="004B287A">
        <w:rPr>
          <w:rFonts w:ascii="Times New Roman" w:hAnsi="Times New Roman"/>
          <w:sz w:val="28"/>
          <w:szCs w:val="28"/>
        </w:rPr>
        <w:softHyphen/>
        <w:t xml:space="preserve">ва Юстиции. - 1903. - № 3. - С. 79-142.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>Д</w:t>
      </w:r>
      <w:r w:rsidRPr="004B287A">
        <w:rPr>
          <w:rFonts w:ascii="Times New Roman" w:hAnsi="Times New Roman"/>
          <w:sz w:val="28"/>
          <w:szCs w:val="28"/>
        </w:rPr>
        <w:t>женис М. Европейское право в области прав человека (практика и комментарии) / М. Дженис, Р. Кэй, Э. Бредли; пер. с. англ. – М. : Права человека, 1997. – 640 с.</w:t>
      </w:r>
    </w:p>
    <w:p w:rsidR="004B287A" w:rsidRPr="004B287A" w:rsidRDefault="00AB7789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4B287A" w:rsidRPr="004B287A">
        <w:rPr>
          <w:rFonts w:ascii="Times New Roman" w:hAnsi="Times New Roman"/>
          <w:sz w:val="28"/>
          <w:szCs w:val="28"/>
        </w:rPr>
        <w:t xml:space="preserve">Джерела конституційного права України : монографія / відп. ред. акад. Ю. С. Шемшученко і О. І. Ющик. - К.: Наукова думка, 2010. - 710 с.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Дика Д.О. Правові джерела, які регулюють діяльність Європейського Суду з прав людини, та їх особливості // Часопис Київського університету права. – 2013. - №1. – С.339.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Євграфова Є. Акти Конституційного Суду України в системі національного законодавства / Є. Євграфова // Право України. — 2001. — № 10. — С. 66-68.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Європейська Конвенція про захист прав людини та основоположних свобод від 1950 р. [Електронний ресурс]. - Режим доступу: </w:t>
      </w:r>
      <w:hyperlink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http://zakon4 .rada. gov.ua/laws/show/995_004</w:t>
        </w:r>
      </w:hyperlink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Європейський суд з прав людини: організація, діяльність, процес / За ред. В. В. Лутковської. – К.: Праксіс, 2005. – 168 с.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Жалій Т.В. Правовий статус Європейського Суду з прав людини за міжнародно-правовими нормами // Порівняльно-аналітичне право. – 2013. – № 3-2. – С.83-84.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Забокрицький І.І. Поняття джерел конституційного права: проблеми визначення // Науковий вісник Міжнародного гуманітарного університету. Сер.: Юриспруденція. – 2013. - № 6-3. - Том 1. – С.55-59.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Забокрицький І.І. Роль Європейської конвенції про захист прав людини та основоположних свобод 1950 р. як конституційного інструменту // Юридичний науковий електронний журнал. – 2014. - №4. – С.65.</w:t>
      </w:r>
    </w:p>
    <w:p w:rsidR="004B287A" w:rsidRPr="00AB7789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Зозуля Н. Правові позицій Верховного Суду як основа сталості та єдності судової практики [Електронний ресурс].  – Режим доступу: http://ukrainepravo.com/scientific-thought/legal_analyst/pravovi-pozitsii-verkhovnogo-sudu-yak-osnova-stalosti-ta-dnosti-sudovoi-praktiki-/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Зорькин В. Д. Современный мир, право и Конституция / В. Д. Зорькин. - М. : Норма, 2010. </w:t>
      </w:r>
      <w:r w:rsidR="00AB7789">
        <w:rPr>
          <w:rFonts w:ascii="Times New Roman" w:hAnsi="Times New Roman"/>
          <w:sz w:val="28"/>
          <w:szCs w:val="28"/>
        </w:rPr>
        <w:t xml:space="preserve">– </w:t>
      </w:r>
      <w:r w:rsidRPr="004B287A">
        <w:rPr>
          <w:rFonts w:ascii="Times New Roman" w:hAnsi="Times New Roman"/>
          <w:sz w:val="28"/>
          <w:szCs w:val="28"/>
        </w:rPr>
        <w:t>544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Калинин А.Ю. Правообразование и источник права [Електронний ресурс]. // Акту</w:t>
      </w:r>
      <w:r w:rsidRPr="004B287A">
        <w:rPr>
          <w:rFonts w:ascii="Times New Roman" w:hAnsi="Times New Roman"/>
          <w:sz w:val="28"/>
          <w:szCs w:val="28"/>
        </w:rPr>
        <w:softHyphen/>
        <w:t xml:space="preserve">альные проблемы российского права. - 2009. - № 3. - Режим доступу: </w:t>
      </w:r>
      <w:hyperlink r:id="rId14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http://www.nbpublish.com/view_</w:t>
        </w:r>
      </w:hyperlink>
      <w:r w:rsidRPr="004B287A">
        <w:rPr>
          <w:rFonts w:ascii="Times New Roman" w:hAnsi="Times New Roman"/>
          <w:sz w:val="28"/>
          <w:szCs w:val="28"/>
        </w:rPr>
        <w:t xml:space="preserve"> аі4іс1е8/20599.рйґ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Кельман М. С. Конституційний контроль як засіб захисту конституцій у національних пра</w:t>
      </w:r>
      <w:r w:rsidRPr="004B287A">
        <w:rPr>
          <w:rFonts w:ascii="Times New Roman" w:hAnsi="Times New Roman"/>
          <w:sz w:val="28"/>
          <w:szCs w:val="28"/>
        </w:rPr>
        <w:softHyphen/>
        <w:t>вових системах континентального права : автореф. дис. ... канд. юрид. наук : спец. 12.00.02 «Конституційне право» / М. С. Кельман. — К., 2001. — С. 15.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Кириченко О. Поняття та значення органічних законів у системі законодавства України // Вісник Академії управління МВС. – 2009. - №3. – С.93-103. </w:t>
      </w:r>
    </w:p>
    <w:p w:rsidR="004B287A" w:rsidRPr="00AB7789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Кисельова Л.В. Рішення Європейського суду з прав людини, Конституційного Суду України та Верховного Суду України у системі права України: застосування та виконання // Вісник Академії адвокатури України. – 2013. - №2 (27). – С.156-159.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Конвенція про захист прав і основних свобод людини від 1950 року. - Х.: «Одіссей», 2007. – 45 с.</w:t>
      </w:r>
    </w:p>
    <w:p w:rsidR="004B287A" w:rsidRPr="00AB7789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Кононенко В.П. Звичаєва природа прецедентного характеру рішень Європейського суду з прав людини: автореф. дис. … канд. юрид. наук: 12.00.11 / В.П. Кононенко. – К., 2009. – 19 с.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Коруц У.З. Окремі питання виконання Рішень Європейського Суду з прав людини [Електронний ресурс] // Актуальні проблеми правознавства. - 2016. - Вип. 1. - С. 49-53. - Режим доступу: </w:t>
      </w:r>
      <w:hyperlink r:id="rId15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http://nbuv.gov.ua/</w:t>
        </w:r>
      </w:hyperlink>
      <w:r w:rsidRPr="004B287A">
        <w:rPr>
          <w:rFonts w:ascii="Times New Roman" w:hAnsi="Times New Roman"/>
          <w:sz w:val="28"/>
          <w:szCs w:val="28"/>
        </w:rPr>
        <w:t xml:space="preserve"> UJRN/ aprpr_2016_1_12.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Кравченко В.В. Конституційне право України: Навчальний по</w:t>
      </w:r>
      <w:r w:rsidRPr="004B287A">
        <w:rPr>
          <w:rFonts w:ascii="Times New Roman" w:hAnsi="Times New Roman"/>
          <w:sz w:val="28"/>
          <w:szCs w:val="28"/>
        </w:rPr>
        <w:softHyphen/>
        <w:t>сібник. - Вид. 6-те, виправл. та доповн. - К.: Атіка, 2007. - 592 с.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Кравчук М.В., Тиханський Т.І. Природа рішень Європейського Суду з прав людини [Електронний ресурс] // Проблеми гармонізації національного та міжнародного законодавства: досягнення і перспективи: Науково-праткична інтернет конференція 19.05.2015. – Режим доступу: </w:t>
      </w:r>
      <w:hyperlink r:id="rId16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http://www.legalactivity.com.ua/index.php?option</w:t>
        </w:r>
      </w:hyperlink>
      <w:r w:rsidRPr="004B287A">
        <w:rPr>
          <w:rFonts w:ascii="Times New Roman" w:hAnsi="Times New Roman"/>
          <w:sz w:val="28"/>
          <w:szCs w:val="28"/>
        </w:rPr>
        <w:t xml:space="preserve"> =com_content&amp;view=section&amp;id=27&amp;Itemid=142&amp;lang=ru</w:t>
      </w:r>
    </w:p>
    <w:p w:rsidR="00AB7789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Куйбіда Р. О. Організація і розвиток сучасної судової системи України : автореф. дис. ... канд. юрид. наук : 12.00.10 / Р. О. Куйбіда ; Акад. адвокату</w:t>
      </w:r>
      <w:r w:rsidR="00AB7789" w:rsidRPr="00AB7789">
        <w:rPr>
          <w:rFonts w:ascii="Times New Roman" w:hAnsi="Times New Roman"/>
          <w:sz w:val="28"/>
          <w:szCs w:val="28"/>
        </w:rPr>
        <w:t>ри України. – К., 2006. – 21 с.</w:t>
      </w:r>
      <w:r w:rsidRPr="00AB7789">
        <w:rPr>
          <w:rFonts w:ascii="Times New Roman" w:hAnsi="Times New Roman"/>
          <w:sz w:val="28"/>
          <w:szCs w:val="28"/>
        </w:rPr>
        <w:t xml:space="preserve"> </w:t>
      </w:r>
    </w:p>
    <w:p w:rsidR="004B287A" w:rsidRPr="00AB7789" w:rsidRDefault="00AB7789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4B287A" w:rsidRPr="00AB7789">
        <w:rPr>
          <w:rFonts w:ascii="Times New Roman" w:hAnsi="Times New Roman"/>
          <w:sz w:val="28"/>
          <w:szCs w:val="28"/>
        </w:rPr>
        <w:t>Лисенков С.Л. Загальна теорія держави і права. Навчальний по</w:t>
      </w:r>
      <w:r w:rsidR="004B287A" w:rsidRPr="00AB7789">
        <w:rPr>
          <w:rFonts w:ascii="Times New Roman" w:hAnsi="Times New Roman"/>
          <w:sz w:val="28"/>
          <w:szCs w:val="28"/>
        </w:rPr>
        <w:softHyphen/>
        <w:t>сібник. - К.: «Юрисконсульт», 2006. - 355 с. – С.146-147.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Литвин В. М. Европейская Конвенция о защите прав человека и задачи юридической науки в Ук</w:t>
      </w:r>
      <w:r w:rsidRPr="004B287A">
        <w:rPr>
          <w:rFonts w:ascii="Times New Roman" w:hAnsi="Times New Roman"/>
          <w:sz w:val="28"/>
          <w:szCs w:val="28"/>
        </w:rPr>
        <w:softHyphen/>
        <w:t>раине. Доклад Председателя Верховной Рады Украины Владимира Литвина на общем собрании Национальной академии правовых наук Украины 24 сентября 2010 года // Голос України. — 2010. — № 179. — С. 2-3.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Луць Л.А. Загальна теорія держ. та права: Навчально-методич</w:t>
      </w:r>
      <w:r w:rsidRPr="004B287A">
        <w:rPr>
          <w:rFonts w:ascii="Times New Roman" w:hAnsi="Times New Roman"/>
          <w:sz w:val="28"/>
          <w:szCs w:val="28"/>
        </w:rPr>
        <w:softHyphen/>
        <w:t xml:space="preserve">ний посібник (за кредитно-модульною системою). - К.: Атіка, - 412 с.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Мазур М. В. Дискусія про правотворчі повноваження судів у дореволюційній українській і російсь</w:t>
      </w:r>
      <w:r w:rsidRPr="004B287A">
        <w:rPr>
          <w:rFonts w:ascii="Times New Roman" w:hAnsi="Times New Roman"/>
          <w:sz w:val="28"/>
          <w:szCs w:val="28"/>
        </w:rPr>
        <w:softHyphen/>
        <w:t>кій літературі / М. В. Мазур // Вісник Луганського державного університету внутрішніх справ. - 2007. - №3. - С. 52</w:t>
      </w:r>
      <w:r w:rsidRPr="004B287A">
        <w:rPr>
          <w:rFonts w:ascii="Times New Roman" w:hAnsi="Times New Roman"/>
          <w:sz w:val="28"/>
          <w:szCs w:val="28"/>
        </w:rPr>
        <w:softHyphen/>
        <w:t>-60.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Мазур М.В. Акти органів судової влади як джерело конституційного права України: Дис. на здобуття ступеня наук. ступеня канд. юрид. наук: спец. 12.00.02 «Конституційне право; муніципальне право»  [Електронний ресурс].  - Харків, 2009. - 233 с. – Режим доступу: </w:t>
      </w:r>
      <w:hyperlink r:id="rId17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http://mv-mazur.at.ua/_ld/0/7_Mazur-The_acts_.pdf</w:t>
        </w:r>
      </w:hyperlink>
      <w:r w:rsidRPr="004B287A">
        <w:rPr>
          <w:rFonts w:ascii="Times New Roman" w:hAnsi="Times New Roman"/>
          <w:sz w:val="28"/>
          <w:szCs w:val="28"/>
        </w:rPr>
        <w:t xml:space="preserve"> - С.42.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Мазур М.В. Прецеденти Європейського Суду з прав людини у системі джерел конституційного права України // Держава і право: зб. наук. праць. – 2008. – Вип.39. – С.228-229.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Марцеляк О. Правова природа актів Конституційного Суду України та їх роль у розвитку науки конституційного права // Вісник Конституційного Суду України. – 2015. - №4. – С.120.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Мелешевич A.A. Пілотне рішення Європейського Суду з прав людини «Іванов проти України» як результат систематичних по</w:t>
      </w:r>
      <w:r w:rsidRPr="004B287A">
        <w:rPr>
          <w:rFonts w:ascii="Times New Roman" w:hAnsi="Times New Roman"/>
          <w:sz w:val="28"/>
          <w:szCs w:val="28"/>
        </w:rPr>
        <w:softHyphen/>
        <w:t>рушень принципів верховенства права / А.А. Мелешевич // Загальнотеоретичне правознавство, верховенство права та Україна. Збірник наукових статей. К.: ДУХ І ЛІТЕРА, 2013. - 608 с.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Мкртумян А. Ю. Понятие судебного прецедента в современной теории права / А. Ю. Мкртумян // Рос. юстиция. - 2009. - № 11. - C. 11-13.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Назаров В.В. Вплив рішень Європейського Суду з прав людини на вдосокналення стандартів обмеження конституційних прав людини [Електронний ресурс]. – Режим доступу: http://goal-int.org/vpliv-rishen-yevropejskogo-sudu-z-prav-lyudini-na-vdosoknalennya-standartiv-obmezhennya-konstitucijnix-prav-lyudini/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Орленко В. І. Конституційне право України: Навчальний посібник. - К. : ПАЛИВОДА А. В., 2011. - 156 c.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Погорілко В. Ф. Конституційне право України: підручник / В. Ф. Погорілко, В. Л. Федоренко. – 2-ге вид., переробл. та доопр. – К.: Прав. єдність: Алерта, 2010. – 432 с.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Погорілко В.Ф., Федоренко В.Л. Конституційне право України: Підручник / За заг. ред. В.Ф. Погорілка. - К.: Наукова думка; Прецедент, 2007. - 344 с.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Права і свободи людини і громадянина в Україні (доктрина Європейського суду з прав людини і Конституційного Суду України): навчальний посібник/звернення до читачів Головіна А.С. - Голови Конституційного Суду України (VII.2010-VII.2013 роки); вст. слово і заг. ред. проф. Мартиненка П.Ф., Кампа В.М. - К.: Юрінком Інтер, 2013. - 376с.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Практика Європейського Суду з прав людини як джерело тлумачення Конвенції 1950 р. [Електронний ресурс]. Матеріал з офіційного сайту Української Гельсінської спілки з прав людини. – Режим доступу: https://helsinki.org.ua/articles/praktyka-evropejskoho-sudu-z-prav-lyudyny-yak-dzherelo-tlumachennya-konventsiji-1950-r/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Про виконання рішень та застосування практики Європейського суду з прав людини: Закон України від 23.02.2006 р. [Електро</w:t>
      </w:r>
      <w:r w:rsidRPr="004B287A">
        <w:rPr>
          <w:rFonts w:ascii="Times New Roman" w:hAnsi="Times New Roman"/>
          <w:sz w:val="28"/>
          <w:szCs w:val="28"/>
        </w:rPr>
        <w:softHyphen/>
        <w:t xml:space="preserve">нний ресурс]. - Режим доступу: </w:t>
      </w:r>
      <w:hyperlink r:id="rId18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http://zakon4.rada.gov.ua/laws/show/3477-15</w:t>
        </w:r>
      </w:hyperlink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актів: Закон України від 3 жовтня 2017 року [Електронний ресурс]. – Режим доступу: http://zakon2.rada.gov.ua/laws/show/2147-19/page9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Про застосування судами міжнародних договорів України при здійсненні правосуддя: Постанова Пленуму Вищого Спеціалізованого Суду України від 19 грудня 2014 року [Електронний ресурс]. – Режим доступу:   http://zakon3.rada.gov.ua/laws/show/v0013740-14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Про ратифікацію Конвенції про захист прав і основних свобод людини 1950 року, Першого протоколу та Протоко</w:t>
      </w:r>
      <w:r w:rsidRPr="004B287A">
        <w:rPr>
          <w:rFonts w:ascii="Times New Roman" w:hAnsi="Times New Roman"/>
          <w:sz w:val="28"/>
          <w:szCs w:val="28"/>
        </w:rPr>
        <w:softHyphen/>
        <w:t>лів № 2, 4, 7 та 11 до Конвенції: Закон України від 17 липня 1997 року. - № 475/97 // Відомості Верховної Ради України. - 1997. - №29.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Про судове рішення у цивільній справі [Електронний ресурс] : Постанова Пленуму Верховного Суду України від 18 грудня 2009 року № 14. - Режим доступу: </w:t>
      </w:r>
      <w:hyperlink r:id="rId19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http://zakon.rada</w:t>
        </w:r>
      </w:hyperlink>
      <w:r w:rsidRPr="004B287A">
        <w:rPr>
          <w:rFonts w:ascii="Times New Roman" w:hAnsi="Times New Roman"/>
          <w:sz w:val="28"/>
          <w:szCs w:val="28"/>
        </w:rPr>
        <w:t>. gov.ua/go/v0014700-09</w:t>
      </w:r>
    </w:p>
    <w:p w:rsidR="004B287A" w:rsidRPr="00AB7789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Про судоустрій та статус суддів: Закон України від 2 червня 201</w:t>
      </w:r>
      <w:r w:rsidR="00AB7789">
        <w:rPr>
          <w:rFonts w:ascii="Times New Roman" w:hAnsi="Times New Roman"/>
          <w:sz w:val="28"/>
          <w:szCs w:val="28"/>
        </w:rPr>
        <w:t>6</w:t>
      </w:r>
      <w:r w:rsidRPr="00AB7789">
        <w:rPr>
          <w:rFonts w:ascii="Times New Roman" w:hAnsi="Times New Roman"/>
          <w:sz w:val="28"/>
          <w:szCs w:val="28"/>
        </w:rPr>
        <w:t xml:space="preserve"> року // Відомості Верховної Ради України. -  2016. - № 31. - ст.545.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Пташинська В.П. Вплив рішень Європейського Суду з прав людини на національну імплементацію Конвенції про захист прав людини і основоположних свобод // Актуальні проблеми політики. – 2015. – Вип.56. – С.134-135.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Рабінович П.М. Основи загальної теорії права та держави. Навч. посібник. Вид. 9-е, зі змінами. - Львів: Край, 2007. - 192 с.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footnoteRef/>
      </w:r>
      <w:r w:rsidRPr="004B287A">
        <w:rPr>
          <w:rFonts w:ascii="Times New Roman" w:hAnsi="Times New Roman"/>
          <w:sz w:val="28"/>
          <w:szCs w:val="28"/>
        </w:rPr>
        <w:t xml:space="preserve"> Радь О. Нормативні акти судової влади України як джерело права [Електронний ресурс]. – Режим доступу: </w:t>
      </w:r>
      <w:hyperlink r:id="rId20"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http://izvestia</w:t>
        </w:r>
      </w:hyperlink>
      <w:r w:rsidRPr="004B287A">
        <w:rPr>
          <w:rFonts w:ascii="Times New Roman" w:hAnsi="Times New Roman"/>
          <w:sz w:val="28"/>
          <w:szCs w:val="28"/>
        </w:rPr>
        <w:t>.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kiev.ua/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blog/show/83981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Рішення Європейського суду з прав людини у справі «Балицький проти України» від 3 листопада 2011 року [Електронний ресурс]. – Режим доступу : http://zakon2.rada. gov.ua/laws/show/974_726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Рішення Європейського суду з прав людини у справі «Каверзін проти України» від 15 травня 2012 року [Електронний ресурс]. – Режим доступу: http://www.minjust.gov. ua/19614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Рішення Конституційного суду України у справі за конституційним зверненням громадянина Голованя Ігоря Володимировича щодо офіційного тлумачення положень статті 59 Конституції України (справа про право на правову допомогу) [Електронний ресурс]. – Режим доступу: </w:t>
      </w:r>
      <w:hyperlink r:id="rId21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http://zakon5.rada.gov.ua/laws/</w:t>
        </w:r>
      </w:hyperlink>
      <w:r w:rsidRPr="004B287A">
        <w:rPr>
          <w:rFonts w:ascii="Times New Roman" w:hAnsi="Times New Roman"/>
          <w:sz w:val="28"/>
          <w:szCs w:val="28"/>
        </w:rPr>
        <w:t xml:space="preserve"> show/v023p710-09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Рішення Конституційного Суду України у справі за конституційним поданням 51 народного депутата України щодо відповідності Конституції України (конституційності) положень статей 24, 58, 59, 60, 93, 190-1 Кримінального кодексу України в частині, що передбачає смертну кару як вид покарання                   (справа про смертну кару) від 29.12.1999 року [Електронний ресурс]. – Режим доступу: http://zakon3.rada.gov.ua/laws/show/v011p710-99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Рішення Конституційного Суду України у справі за конституційним поданням 51 народного депутата України щодо відповідності Конституції України (конституційності) положень статей 24, 58, 59, 60, 93, 190-1 Кримінального кодексу України в частині, що передбачає смертну кару як вид покарання                   (справа про смертну кару) від 29.12.1999 року [Електронний ресурс]. – Режим доступу: http://zakon3.rada.gov.ua/laws/show/v011p710-99.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Савчин М. В. Конституційний Суд України як гарант конституційного ладу : автореф. дис. ... канд. юрид. наук : 12.00.02 «Конституційне право». — К., 2003.</w:t>
      </w:r>
      <w:r w:rsidR="00AB7789">
        <w:rPr>
          <w:rFonts w:ascii="Times New Roman" w:hAnsi="Times New Roman"/>
          <w:sz w:val="28"/>
          <w:szCs w:val="28"/>
        </w:rPr>
        <w:t xml:space="preserve"> – 20 с</w:t>
      </w:r>
      <w:r w:rsidRPr="004B287A">
        <w:rPr>
          <w:rFonts w:ascii="Times New Roman" w:hAnsi="Times New Roman"/>
          <w:sz w:val="28"/>
          <w:szCs w:val="28"/>
        </w:rPr>
        <w:t>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Селіванов А.О. Питання теорії конституційного правосуддя в Україні: актуальні питання сучасного розвитку конституційного правосуддя:</w:t>
      </w:r>
      <w:r w:rsidRPr="004B287A">
        <w:rPr>
          <w:rFonts w:ascii="Times New Roman" w:hAnsi="Times New Roman"/>
          <w:sz w:val="28"/>
          <w:szCs w:val="28"/>
        </w:rPr>
        <w:tab/>
        <w:t xml:space="preserve">[моногр.  дослідж.] / А.О. Селіванов, А.А. Стрижак. — К.: Логос, 2010. </w:t>
      </w:r>
      <w:r w:rsidR="00AB7789">
        <w:rPr>
          <w:rFonts w:ascii="Times New Roman" w:hAnsi="Times New Roman"/>
          <w:sz w:val="28"/>
          <w:szCs w:val="28"/>
        </w:rPr>
        <w:t>–</w:t>
      </w:r>
      <w:r w:rsidRPr="004B287A">
        <w:rPr>
          <w:rFonts w:ascii="Times New Roman" w:hAnsi="Times New Roman"/>
          <w:sz w:val="28"/>
          <w:szCs w:val="28"/>
        </w:rPr>
        <w:t xml:space="preserve"> 276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с.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Селівон M. Вплив практики Євро</w:t>
      </w:r>
      <w:r w:rsidRPr="004B287A">
        <w:rPr>
          <w:rFonts w:ascii="Times New Roman" w:hAnsi="Times New Roman"/>
          <w:sz w:val="28"/>
          <w:szCs w:val="28"/>
        </w:rPr>
        <w:softHyphen/>
        <w:t>пейського суду з прав людини на національне конституційне судочинство: вступне слово до міжнародної науково-практичної конференції // Вісник Конституційного Суду України. - 2005. - № 6. - С. 5-6.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Скакун О.Ф. Теорія держави і права: Підручник</w:t>
      </w:r>
      <w:r w:rsidR="00AB7789">
        <w:rPr>
          <w:rFonts w:ascii="Times New Roman" w:hAnsi="Times New Roman"/>
          <w:sz w:val="28"/>
          <w:szCs w:val="28"/>
        </w:rPr>
        <w:t xml:space="preserve"> [Електронний ресурс] </w:t>
      </w:r>
      <w:r w:rsidRPr="004B287A">
        <w:rPr>
          <w:rFonts w:ascii="Times New Roman" w:hAnsi="Times New Roman"/>
          <w:sz w:val="28"/>
          <w:szCs w:val="28"/>
        </w:rPr>
        <w:t xml:space="preserve">/ Пер. з рос. - Харків: Консум, 2001. - 656 с. - Режим доступу: </w:t>
      </w:r>
      <w:hyperlink w:history="1">
        <w:r w:rsidR="00AB7789" w:rsidRPr="00822D0A">
          <w:rPr>
            <w:rStyle w:val="a7"/>
            <w:rFonts w:ascii="Times New Roman" w:hAnsi="Times New Roman"/>
            <w:sz w:val="28"/>
            <w:szCs w:val="28"/>
          </w:rPr>
          <w:t>http://pidruchniki. ws/1879112343083/pravo/dzherelo_</w:t>
        </w:r>
      </w:hyperlink>
      <w:r w:rsidRPr="004B287A">
        <w:rPr>
          <w:rFonts w:ascii="Times New Roman" w:hAnsi="Times New Roman"/>
          <w:sz w:val="28"/>
          <w:szCs w:val="28"/>
        </w:rPr>
        <w:t xml:space="preserve"> Еогта_ ргауа_ ЬгЬеге 1а_1т&gt;гті_ргауа_ЬеггЬауаЬ_8УІІи_икгауіпі#735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Слінько Т.М. </w:t>
      </w:r>
      <w:hyperlink r:id="rId22" w:history="1">
        <w:r w:rsidRPr="004B287A">
          <w:rPr>
            <w:rStyle w:val="a7"/>
            <w:rFonts w:ascii="Times New Roman" w:hAnsi="Times New Roman"/>
            <w:color w:val="000000" w:themeColor="text1"/>
            <w:sz w:val="28"/>
            <w:szCs w:val="28"/>
            <w:u w:val="none"/>
          </w:rPr>
          <w:t>Практика Європейського Суду з прав людини як джерело інтерпретаційної діяльності Конституційного Суду України</w:t>
        </w:r>
      </w:hyperlink>
      <w:r w:rsidRPr="004B287A">
        <w:rPr>
          <w:rFonts w:ascii="Times New Roman" w:hAnsi="Times New Roman"/>
          <w:color w:val="000000" w:themeColor="text1"/>
          <w:sz w:val="28"/>
          <w:szCs w:val="28"/>
        </w:rPr>
        <w:t xml:space="preserve"> [Електронний ресурс] // </w:t>
      </w:r>
      <w:hyperlink r:id="rId23" w:tooltip="Періодичне видання" w:history="1">
        <w:r w:rsidRPr="004B287A">
          <w:rPr>
            <w:rStyle w:val="a7"/>
            <w:rFonts w:ascii="Times New Roman" w:hAnsi="Times New Roman"/>
            <w:color w:val="000000" w:themeColor="text1"/>
            <w:sz w:val="28"/>
            <w:szCs w:val="28"/>
            <w:u w:val="none"/>
          </w:rPr>
          <w:t>Форум права</w:t>
        </w:r>
      </w:hyperlink>
      <w:r w:rsidRPr="004B287A">
        <w:rPr>
          <w:rFonts w:ascii="Times New Roman" w:hAnsi="Times New Roman"/>
          <w:color w:val="000000" w:themeColor="text1"/>
          <w:sz w:val="28"/>
          <w:szCs w:val="28"/>
        </w:rPr>
        <w:t xml:space="preserve">. - 2013. - № 3. - С. 596-601. - </w:t>
      </w:r>
      <w:r w:rsidRPr="004B287A">
        <w:rPr>
          <w:rFonts w:ascii="Times New Roman" w:hAnsi="Times New Roman"/>
          <w:sz w:val="28"/>
          <w:szCs w:val="28"/>
        </w:rPr>
        <w:t>Режим доступу: </w:t>
      </w:r>
      <w:hyperlink r:id="rId24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http://nbuv.gov.ua/UJRN/FP_index.htm_2013_3_98</w:t>
        </w:r>
      </w:hyperlink>
      <w:r w:rsidRPr="004B287A">
        <w:rPr>
          <w:rFonts w:ascii="Times New Roman" w:hAnsi="Times New Roman"/>
          <w:sz w:val="28"/>
          <w:szCs w:val="28"/>
        </w:rPr>
        <w:t xml:space="preserve">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Соловйов О.В. До питання про національно-юридичний статус практики Європейського суду з прав людини / О.В. Соловйов // Часопис Академії адвокатури України. – 2010. – № 6. – С. 1-9 – С.3.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Стецюк П. Вибори у механізмі функціонування конституційної держави / П. Стецюк // Право України. — 2013. — № 5. — С. 34.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Тимченко Л.Д. Міжнародне право / Л.Д. Тимченко. – Х.: Консум, 1999. – 523 с.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Трагнюк О. Принцип субсидіарності за Європейською конвенцією про захист прав і основних свобод 1950 року // Право України. — 2003. — № 1. — С. 25-29.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Туманов В. А. Европейский Суд по правам человека. Очерк организации и деятельности / В. А. Туманов. - М.: Норма, 2001. - С. 71.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Україна виграла в ЄСПЛ першу справу, пов’язано із втратою контролю над Луганськом: публікація з інтернет-видання [Електронний ресурс]. – Режим доступу: </w:t>
      </w:r>
      <w:hyperlink r:id="rId25" w:history="1">
        <w:r w:rsidRPr="004B287A">
          <w:rPr>
            <w:rStyle w:val="a7"/>
            <w:rFonts w:ascii="Times New Roman" w:hAnsi="Times New Roman"/>
            <w:sz w:val="28"/>
            <w:szCs w:val="28"/>
          </w:rPr>
          <w:t>http://www.eurointegration.com.ua/news/2017/07/25</w:t>
        </w:r>
      </w:hyperlink>
      <w:r w:rsidRPr="004B287A">
        <w:rPr>
          <w:rFonts w:ascii="Times New Roman" w:hAnsi="Times New Roman"/>
          <w:sz w:val="28"/>
          <w:szCs w:val="28"/>
        </w:rPr>
        <w:t xml:space="preserve"> /7068978/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Файн Т. М. Действие принципа прецедента и роль принципа применения пра</w:t>
      </w:r>
      <w:r w:rsidRPr="004B287A">
        <w:rPr>
          <w:rFonts w:ascii="Times New Roman" w:hAnsi="Times New Roman"/>
          <w:sz w:val="28"/>
          <w:szCs w:val="28"/>
        </w:rPr>
        <w:softHyphen/>
        <w:t>вил, уже содержащихся в судебных решениях, в правовой системе США / Т. М. Файн // Источники (формы) права: вопросы теории и истории : материалы Всероссийской научной конференции. - Ч. 2. - Краснодар : Кубанский гос. ун-т, 2002. - С. 42-55.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Фулей Т.І. Застосування практики Європейського суду з прав людини при здійсненні правосуддя: Науково-методичний посібник для суддів. – 2-ге вид. випр., допов. – К., 2015. – 208 с.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Хавронюк М. Моніторинг статистики і практики застосування нового КПК: основні висновки і рекомендації / М. Хавронюк // Слово національної школи суддів України. – 2013. – № 4(5). – С. 111–112.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Хассемер В.  Відносини Федерального Конституційного суду з європейськими суда</w:t>
      </w:r>
      <w:r w:rsidRPr="004B287A">
        <w:rPr>
          <w:rFonts w:ascii="Times New Roman" w:hAnsi="Times New Roman"/>
          <w:sz w:val="28"/>
          <w:szCs w:val="28"/>
        </w:rPr>
        <w:softHyphen/>
        <w:t>ми // Вісник Конституційного Суду України. - 2005. - № 6. - С. 18.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Хотинська-Нор О.З.  Вплив правових позицій Європейського суду з прав людини на розвиток правосуддя в Україні: матеріальний аспект // Вісник Академії адвокатури України. – 2014. – Том 11. – С.9.</w:t>
      </w:r>
    </w:p>
    <w:p w:rsidR="00AB7789" w:rsidRPr="004B287A" w:rsidRDefault="004B287A" w:rsidP="00AB7789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AB7789" w:rsidRPr="004B287A">
        <w:rPr>
          <w:rFonts w:ascii="Times New Roman" w:hAnsi="Times New Roman"/>
          <w:sz w:val="28"/>
          <w:szCs w:val="28"/>
        </w:rPr>
        <w:t xml:space="preserve">Цоклан В.І. Система сучасних джерел конституційного права України: монографія / В.І. Цоклан, В.Л. Федоренко. — К.: Ліра-К, 2009. </w:t>
      </w:r>
      <w:r w:rsidR="00AB7789">
        <w:rPr>
          <w:rFonts w:ascii="Times New Roman" w:hAnsi="Times New Roman"/>
          <w:sz w:val="28"/>
          <w:szCs w:val="28"/>
        </w:rPr>
        <w:t>–</w:t>
      </w:r>
      <w:r w:rsidR="00AB7789" w:rsidRPr="004B287A">
        <w:rPr>
          <w:rFonts w:ascii="Times New Roman" w:hAnsi="Times New Roman"/>
          <w:sz w:val="28"/>
          <w:szCs w:val="28"/>
        </w:rPr>
        <w:t xml:space="preserve"> 400</w:t>
      </w:r>
      <w:r w:rsidR="00AB7789">
        <w:rPr>
          <w:rFonts w:ascii="Times New Roman" w:hAnsi="Times New Roman"/>
          <w:sz w:val="28"/>
          <w:szCs w:val="28"/>
        </w:rPr>
        <w:t xml:space="preserve"> </w:t>
      </w:r>
      <w:r w:rsidR="00AB7789" w:rsidRPr="004B287A">
        <w:rPr>
          <w:rFonts w:ascii="Times New Roman" w:hAnsi="Times New Roman"/>
          <w:sz w:val="28"/>
          <w:szCs w:val="28"/>
        </w:rPr>
        <w:t xml:space="preserve">с.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Цоклан В. І. Теоретико-методологічні основи системи сучасних джерел конституційного права України / В. І. Цоклан / / Бюлетень Міністерства юстиції України. - 2008. - № 7-8. - С. 77-88.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>Цоклан В.І. Розвиток системи сучасних джерел конституційного права України // Науковий часопис НПУ імені М. П. Драгоманова. Серія 18 : Економіка і право. - 2011. - Вип. 15. - С. 174-179</w:t>
      </w:r>
      <w:r w:rsidR="00AB7789">
        <w:rPr>
          <w:rFonts w:ascii="Times New Roman" w:hAnsi="Times New Roman"/>
          <w:sz w:val="28"/>
          <w:szCs w:val="28"/>
        </w:rPr>
        <w:t>.</w:t>
      </w:r>
      <w:r w:rsidRPr="004B287A">
        <w:rPr>
          <w:rFonts w:ascii="Times New Roman" w:hAnsi="Times New Roman"/>
          <w:sz w:val="28"/>
          <w:szCs w:val="28"/>
        </w:rPr>
        <w:t xml:space="preserve">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Цоклан В.І. Теоретико-методологічні підходи до визначення джерел конституційного права України: історія та сучасність // Вісник Луганського державного університету внутрішніх справ імені Е.О. Дідоренка. – 2011. - №2. – С.6.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 Чубенко А. А. Вплив практики Європейського Суду з прав людини на конституційне судочинство в Україні  [Електронний ресурс]. – Режим доступу: 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Чугуєвська М. Виконання Україною рішень Європейського Суду з прав людини: проблемні аспекти [Електронний ресурс] // Віче. – 2013. - №2. – Режим доступу: http://veche.kiev.ua/journal/3895/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Чушенко В.І., Заяць І.Я. Конституційне право України: Підруч. - К.: Видавничий Дім «Ін Юре», 2007. - 488 с. </w:t>
      </w:r>
    </w:p>
    <w:p w:rsid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Шевчук С. В. Основи конституційної юрисдикції / С. В. Шевчук. — Х. : Консум, 2002. — С. 179.  </w:t>
      </w:r>
    </w:p>
    <w:p w:rsidR="004B287A" w:rsidRP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 xml:space="preserve">Шевчук С. Узгодженість практики Європейського Суду з прав людини та Конституційного Суду України // Вісник Конституційного Суду України. – 2011. - №4-5. – С.122.  </w:t>
      </w:r>
    </w:p>
    <w:p w:rsidR="004B287A" w:rsidRDefault="004B287A" w:rsidP="004B287A">
      <w:pPr>
        <w:pStyle w:val="a3"/>
        <w:numPr>
          <w:ilvl w:val="0"/>
          <w:numId w:val="15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4B287A">
        <w:rPr>
          <w:rFonts w:ascii="Times New Roman" w:hAnsi="Times New Roman"/>
          <w:sz w:val="28"/>
          <w:szCs w:val="28"/>
        </w:rPr>
        <w:t>Шевчук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4B287A">
        <w:rPr>
          <w:rFonts w:ascii="Times New Roman" w:hAnsi="Times New Roman"/>
          <w:sz w:val="28"/>
          <w:szCs w:val="28"/>
        </w:rPr>
        <w:t xml:space="preserve">С. Судова правотворчість: світовий досвід і перспективи в Україні / Шевчук С. - К. : Реферат, 2007. - 640 с.  </w:t>
      </w:r>
    </w:p>
    <w:p w:rsidR="00A82852" w:rsidRDefault="004B287A" w:rsidP="009E0DB4">
      <w:pPr>
        <w:pStyle w:val="a3"/>
        <w:numPr>
          <w:ilvl w:val="0"/>
          <w:numId w:val="15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9E0DB4">
        <w:rPr>
          <w:rFonts w:ascii="Times New Roman" w:hAnsi="Times New Roman"/>
          <w:sz w:val="28"/>
          <w:szCs w:val="28"/>
        </w:rPr>
        <w:t>Уолкер Р. Английская судебная система / Уолкер Р. ; [пер. с англ.]. - М. : Юридическая литература, 1980. - 632 с</w:t>
      </w:r>
      <w:r w:rsidR="00AB7789" w:rsidRPr="009E0DB4">
        <w:rPr>
          <w:rFonts w:ascii="Times New Roman" w:hAnsi="Times New Roman"/>
          <w:sz w:val="28"/>
          <w:szCs w:val="28"/>
        </w:rPr>
        <w:t>.</w:t>
      </w:r>
    </w:p>
    <w:p w:rsidR="00D9473F" w:rsidRPr="00767655" w:rsidRDefault="00D9473F" w:rsidP="00767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15765" w:rsidRPr="00767655" w:rsidRDefault="00415765" w:rsidP="00767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F71DE" w:rsidRPr="00767655" w:rsidRDefault="00FF71DE" w:rsidP="00767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sectPr w:rsidR="00FF71DE" w:rsidRPr="00767655" w:rsidSect="007D5E5A">
      <w:footerReference w:type="default" r:id="rId2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4532" w:rsidRDefault="00E74532" w:rsidP="00FF71DE">
      <w:pPr>
        <w:spacing w:after="0" w:line="240" w:lineRule="auto"/>
      </w:pPr>
      <w:r>
        <w:separator/>
      </w:r>
    </w:p>
  </w:endnote>
  <w:endnote w:type="continuationSeparator" w:id="0">
    <w:p w:rsidR="00E74532" w:rsidRDefault="00E74532" w:rsidP="00FF71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333904"/>
      <w:docPartObj>
        <w:docPartGallery w:val="Page Numbers (Bottom of Page)"/>
        <w:docPartUnique/>
      </w:docPartObj>
    </w:sdtPr>
    <w:sdtEndPr/>
    <w:sdtContent>
      <w:p w:rsidR="00BB59EC" w:rsidRDefault="004D58D0">
        <w:pPr>
          <w:pStyle w:val="af2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B59EC" w:rsidRDefault="00BB59EC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4532" w:rsidRDefault="00E74532" w:rsidP="00FF71DE">
      <w:pPr>
        <w:spacing w:after="0" w:line="240" w:lineRule="auto"/>
      </w:pPr>
      <w:r>
        <w:separator/>
      </w:r>
    </w:p>
  </w:footnote>
  <w:footnote w:type="continuationSeparator" w:id="0">
    <w:p w:rsidR="00E74532" w:rsidRDefault="00E74532" w:rsidP="00FF71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54155"/>
    <w:multiLevelType w:val="multilevel"/>
    <w:tmpl w:val="12546FA2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8"/>
        <w:szCs w:val="1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7C7470"/>
    <w:multiLevelType w:val="multilevel"/>
    <w:tmpl w:val="5F281670"/>
    <w:lvl w:ilvl="0">
      <w:start w:val="2"/>
      <w:numFmt w:val="upp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8"/>
        <w:szCs w:val="1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D8014F7"/>
    <w:multiLevelType w:val="multilevel"/>
    <w:tmpl w:val="EACC4B5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5"/>
        <w:szCs w:val="15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E1434E2"/>
    <w:multiLevelType w:val="multilevel"/>
    <w:tmpl w:val="02523E0E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5"/>
        <w:szCs w:val="15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4A3601D"/>
    <w:multiLevelType w:val="hybridMultilevel"/>
    <w:tmpl w:val="2A9E38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563CBF"/>
    <w:multiLevelType w:val="multilevel"/>
    <w:tmpl w:val="7414B40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17501077"/>
    <w:multiLevelType w:val="multilevel"/>
    <w:tmpl w:val="910E34C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71912FB"/>
    <w:multiLevelType w:val="multilevel"/>
    <w:tmpl w:val="A6E05D3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231F20"/>
        <w:spacing w:val="0"/>
        <w:w w:val="100"/>
        <w:position w:val="0"/>
        <w:sz w:val="21"/>
        <w:szCs w:val="21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8">
    <w:nsid w:val="29985F1C"/>
    <w:multiLevelType w:val="hybridMultilevel"/>
    <w:tmpl w:val="1894582A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392B615D"/>
    <w:multiLevelType w:val="multilevel"/>
    <w:tmpl w:val="D326D94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C025150"/>
    <w:multiLevelType w:val="hybridMultilevel"/>
    <w:tmpl w:val="73B09F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52A300ED"/>
    <w:multiLevelType w:val="hybridMultilevel"/>
    <w:tmpl w:val="87BCBF9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56B35D15"/>
    <w:multiLevelType w:val="multilevel"/>
    <w:tmpl w:val="63B239C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6D4E09C7"/>
    <w:multiLevelType w:val="multilevel"/>
    <w:tmpl w:val="AFD2A1A4"/>
    <w:lvl w:ilvl="0">
      <w:start w:val="1"/>
      <w:numFmt w:val="decimal"/>
      <w:lvlText w:val="%1."/>
      <w:lvlJc w:val="left"/>
      <w:rPr>
        <w:rFonts w:ascii="Book Antiqua" w:eastAsia="Book Antiqua" w:hAnsi="Book Antiqua" w:cs="Book Antiqu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2"/>
  </w:num>
  <w:num w:numId="2">
    <w:abstractNumId w:val="5"/>
  </w:num>
  <w:num w:numId="3">
    <w:abstractNumId w:val="11"/>
  </w:num>
  <w:num w:numId="4">
    <w:abstractNumId w:val="13"/>
  </w:num>
  <w:num w:numId="5">
    <w:abstractNumId w:val="9"/>
  </w:num>
  <w:num w:numId="6">
    <w:abstractNumId w:val="6"/>
  </w:num>
  <w:num w:numId="7">
    <w:abstractNumId w:val="0"/>
  </w:num>
  <w:num w:numId="8">
    <w:abstractNumId w:val="3"/>
  </w:num>
  <w:num w:numId="9">
    <w:abstractNumId w:val="4"/>
  </w:num>
  <w:num w:numId="10">
    <w:abstractNumId w:val="10"/>
  </w:num>
  <w:num w:numId="11">
    <w:abstractNumId w:val="2"/>
  </w:num>
  <w:num w:numId="12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1FA"/>
    <w:rsid w:val="00012C78"/>
    <w:rsid w:val="000343EC"/>
    <w:rsid w:val="00035CAC"/>
    <w:rsid w:val="00041125"/>
    <w:rsid w:val="00056469"/>
    <w:rsid w:val="00077910"/>
    <w:rsid w:val="000803B5"/>
    <w:rsid w:val="00080BFA"/>
    <w:rsid w:val="000912D3"/>
    <w:rsid w:val="000C03D2"/>
    <w:rsid w:val="000C3CD2"/>
    <w:rsid w:val="000D0DC4"/>
    <w:rsid w:val="000D1B73"/>
    <w:rsid w:val="000D56BE"/>
    <w:rsid w:val="00114AB4"/>
    <w:rsid w:val="0011609F"/>
    <w:rsid w:val="00152631"/>
    <w:rsid w:val="00157D09"/>
    <w:rsid w:val="001605E5"/>
    <w:rsid w:val="00162C4F"/>
    <w:rsid w:val="00175796"/>
    <w:rsid w:val="001C1ECC"/>
    <w:rsid w:val="001D4B81"/>
    <w:rsid w:val="00211A8C"/>
    <w:rsid w:val="00217F78"/>
    <w:rsid w:val="00227FF4"/>
    <w:rsid w:val="00256295"/>
    <w:rsid w:val="0027627B"/>
    <w:rsid w:val="002820CE"/>
    <w:rsid w:val="002A05C5"/>
    <w:rsid w:val="002A7F60"/>
    <w:rsid w:val="002B360B"/>
    <w:rsid w:val="002F05E3"/>
    <w:rsid w:val="00317E44"/>
    <w:rsid w:val="00323C8F"/>
    <w:rsid w:val="003323F4"/>
    <w:rsid w:val="00350DC8"/>
    <w:rsid w:val="00352827"/>
    <w:rsid w:val="00361A46"/>
    <w:rsid w:val="00371A07"/>
    <w:rsid w:val="00380755"/>
    <w:rsid w:val="00391C4C"/>
    <w:rsid w:val="00395315"/>
    <w:rsid w:val="003A33A2"/>
    <w:rsid w:val="003A39B8"/>
    <w:rsid w:val="003C45C3"/>
    <w:rsid w:val="003D0B17"/>
    <w:rsid w:val="003E1D20"/>
    <w:rsid w:val="003F6D27"/>
    <w:rsid w:val="00401CCA"/>
    <w:rsid w:val="00403E6D"/>
    <w:rsid w:val="00415765"/>
    <w:rsid w:val="004178EA"/>
    <w:rsid w:val="0042626E"/>
    <w:rsid w:val="00430FB2"/>
    <w:rsid w:val="004355F3"/>
    <w:rsid w:val="00452D89"/>
    <w:rsid w:val="004B287A"/>
    <w:rsid w:val="004B4B29"/>
    <w:rsid w:val="004B653A"/>
    <w:rsid w:val="004C69A9"/>
    <w:rsid w:val="004D58D0"/>
    <w:rsid w:val="00556027"/>
    <w:rsid w:val="00556B50"/>
    <w:rsid w:val="0057676D"/>
    <w:rsid w:val="0058790A"/>
    <w:rsid w:val="00590B4D"/>
    <w:rsid w:val="005A02D4"/>
    <w:rsid w:val="005C655B"/>
    <w:rsid w:val="005D0CA0"/>
    <w:rsid w:val="005D6D5E"/>
    <w:rsid w:val="005E2852"/>
    <w:rsid w:val="005E774E"/>
    <w:rsid w:val="00620001"/>
    <w:rsid w:val="0062495D"/>
    <w:rsid w:val="00630863"/>
    <w:rsid w:val="006333EB"/>
    <w:rsid w:val="00640C63"/>
    <w:rsid w:val="00641349"/>
    <w:rsid w:val="0065649C"/>
    <w:rsid w:val="0066331A"/>
    <w:rsid w:val="00683872"/>
    <w:rsid w:val="0068428F"/>
    <w:rsid w:val="0069270F"/>
    <w:rsid w:val="006A4A26"/>
    <w:rsid w:val="006A66C4"/>
    <w:rsid w:val="006B56E3"/>
    <w:rsid w:val="006D4633"/>
    <w:rsid w:val="006E0B2D"/>
    <w:rsid w:val="006E615D"/>
    <w:rsid w:val="006F1E94"/>
    <w:rsid w:val="006F2727"/>
    <w:rsid w:val="00704444"/>
    <w:rsid w:val="0071795F"/>
    <w:rsid w:val="0072127E"/>
    <w:rsid w:val="00721B95"/>
    <w:rsid w:val="00747810"/>
    <w:rsid w:val="0075315A"/>
    <w:rsid w:val="00761F5B"/>
    <w:rsid w:val="00767655"/>
    <w:rsid w:val="007843C9"/>
    <w:rsid w:val="00784A09"/>
    <w:rsid w:val="00787B67"/>
    <w:rsid w:val="007A2845"/>
    <w:rsid w:val="007B320B"/>
    <w:rsid w:val="007C0370"/>
    <w:rsid w:val="007C2E71"/>
    <w:rsid w:val="007D5E5A"/>
    <w:rsid w:val="00823837"/>
    <w:rsid w:val="008379CE"/>
    <w:rsid w:val="00845EB5"/>
    <w:rsid w:val="00851D2D"/>
    <w:rsid w:val="00852E66"/>
    <w:rsid w:val="008A5DAA"/>
    <w:rsid w:val="008B2939"/>
    <w:rsid w:val="008C7F1C"/>
    <w:rsid w:val="008D6C53"/>
    <w:rsid w:val="008E37AA"/>
    <w:rsid w:val="008E3D93"/>
    <w:rsid w:val="008F0682"/>
    <w:rsid w:val="008F2473"/>
    <w:rsid w:val="008F61FA"/>
    <w:rsid w:val="00903A82"/>
    <w:rsid w:val="00904787"/>
    <w:rsid w:val="00905F36"/>
    <w:rsid w:val="00906E8C"/>
    <w:rsid w:val="009076E7"/>
    <w:rsid w:val="0091624E"/>
    <w:rsid w:val="00920477"/>
    <w:rsid w:val="00925CB2"/>
    <w:rsid w:val="0093495B"/>
    <w:rsid w:val="00936A6D"/>
    <w:rsid w:val="00954F61"/>
    <w:rsid w:val="009678DE"/>
    <w:rsid w:val="0097085F"/>
    <w:rsid w:val="00981338"/>
    <w:rsid w:val="009D58A1"/>
    <w:rsid w:val="009D6574"/>
    <w:rsid w:val="009D7C41"/>
    <w:rsid w:val="009E0498"/>
    <w:rsid w:val="009E0DB4"/>
    <w:rsid w:val="009E35CE"/>
    <w:rsid w:val="009E5602"/>
    <w:rsid w:val="009F2F80"/>
    <w:rsid w:val="00A041EF"/>
    <w:rsid w:val="00A26D9E"/>
    <w:rsid w:val="00A4207F"/>
    <w:rsid w:val="00A60FDB"/>
    <w:rsid w:val="00A62F0F"/>
    <w:rsid w:val="00A70A26"/>
    <w:rsid w:val="00A761E2"/>
    <w:rsid w:val="00A82852"/>
    <w:rsid w:val="00A91373"/>
    <w:rsid w:val="00A952A2"/>
    <w:rsid w:val="00AA11A2"/>
    <w:rsid w:val="00AA2310"/>
    <w:rsid w:val="00AB0AE5"/>
    <w:rsid w:val="00AB31A8"/>
    <w:rsid w:val="00AB6AD2"/>
    <w:rsid w:val="00AB7789"/>
    <w:rsid w:val="00AE4E63"/>
    <w:rsid w:val="00AF38F4"/>
    <w:rsid w:val="00B04371"/>
    <w:rsid w:val="00B04783"/>
    <w:rsid w:val="00B06B29"/>
    <w:rsid w:val="00B06B52"/>
    <w:rsid w:val="00B278E2"/>
    <w:rsid w:val="00B329B7"/>
    <w:rsid w:val="00B472E0"/>
    <w:rsid w:val="00B64333"/>
    <w:rsid w:val="00B72EC5"/>
    <w:rsid w:val="00B80DCD"/>
    <w:rsid w:val="00BA1549"/>
    <w:rsid w:val="00BB59EC"/>
    <w:rsid w:val="00BD2743"/>
    <w:rsid w:val="00BD7485"/>
    <w:rsid w:val="00C10092"/>
    <w:rsid w:val="00C128FB"/>
    <w:rsid w:val="00C61F1D"/>
    <w:rsid w:val="00C81D7D"/>
    <w:rsid w:val="00C956F4"/>
    <w:rsid w:val="00CD3B2F"/>
    <w:rsid w:val="00CD3C77"/>
    <w:rsid w:val="00CE3D88"/>
    <w:rsid w:val="00CF02EB"/>
    <w:rsid w:val="00CF563D"/>
    <w:rsid w:val="00CF7179"/>
    <w:rsid w:val="00D215D3"/>
    <w:rsid w:val="00D3014F"/>
    <w:rsid w:val="00D31E81"/>
    <w:rsid w:val="00D50457"/>
    <w:rsid w:val="00D546C3"/>
    <w:rsid w:val="00D6031B"/>
    <w:rsid w:val="00D85629"/>
    <w:rsid w:val="00D869AF"/>
    <w:rsid w:val="00D92202"/>
    <w:rsid w:val="00D9473F"/>
    <w:rsid w:val="00DC79E3"/>
    <w:rsid w:val="00DE1660"/>
    <w:rsid w:val="00DE29CB"/>
    <w:rsid w:val="00DE339E"/>
    <w:rsid w:val="00DE4FCB"/>
    <w:rsid w:val="00DF373A"/>
    <w:rsid w:val="00E053E8"/>
    <w:rsid w:val="00E1564B"/>
    <w:rsid w:val="00E20AA9"/>
    <w:rsid w:val="00E64145"/>
    <w:rsid w:val="00E662B3"/>
    <w:rsid w:val="00E74532"/>
    <w:rsid w:val="00E87DB3"/>
    <w:rsid w:val="00E96731"/>
    <w:rsid w:val="00EB2713"/>
    <w:rsid w:val="00EC2672"/>
    <w:rsid w:val="00EC5951"/>
    <w:rsid w:val="00ED4766"/>
    <w:rsid w:val="00EE3D03"/>
    <w:rsid w:val="00EE571C"/>
    <w:rsid w:val="00F0462F"/>
    <w:rsid w:val="00F176C8"/>
    <w:rsid w:val="00F408CE"/>
    <w:rsid w:val="00F45586"/>
    <w:rsid w:val="00F615ED"/>
    <w:rsid w:val="00F663EA"/>
    <w:rsid w:val="00F76540"/>
    <w:rsid w:val="00F902B0"/>
    <w:rsid w:val="00F92DA5"/>
    <w:rsid w:val="00FE4317"/>
    <w:rsid w:val="00FF7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B938C96-1AC1-4B52-B21B-96888F302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5A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61FA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FF71DE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FF71DE"/>
    <w:rPr>
      <w:lang w:val="uk-UA" w:eastAsia="en-US"/>
    </w:rPr>
  </w:style>
  <w:style w:type="character" w:styleId="a6">
    <w:name w:val="footnote reference"/>
    <w:basedOn w:val="a0"/>
    <w:uiPriority w:val="99"/>
    <w:semiHidden/>
    <w:unhideWhenUsed/>
    <w:rsid w:val="00FF71DE"/>
    <w:rPr>
      <w:vertAlign w:val="superscript"/>
    </w:rPr>
  </w:style>
  <w:style w:type="character" w:customStyle="1" w:styleId="2">
    <w:name w:val="Основной текст (2)"/>
    <w:basedOn w:val="a0"/>
    <w:rsid w:val="009678D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8"/>
      <w:szCs w:val="18"/>
      <w:u w:val="none"/>
      <w:lang w:val="uk-UA" w:eastAsia="uk-UA" w:bidi="uk-UA"/>
    </w:rPr>
  </w:style>
  <w:style w:type="character" w:styleId="a7">
    <w:name w:val="Hyperlink"/>
    <w:basedOn w:val="a0"/>
    <w:uiPriority w:val="99"/>
    <w:unhideWhenUsed/>
    <w:rsid w:val="00ED4766"/>
    <w:rPr>
      <w:color w:val="0000FF"/>
      <w:u w:val="single"/>
    </w:rPr>
  </w:style>
  <w:style w:type="character" w:customStyle="1" w:styleId="20">
    <w:name w:val="Основной текст (2)_"/>
    <w:basedOn w:val="a0"/>
    <w:link w:val="21"/>
    <w:rsid w:val="00556B50"/>
    <w:rPr>
      <w:rFonts w:ascii="Book Antiqua" w:eastAsia="Book Antiqua" w:hAnsi="Book Antiqua" w:cs="Book Antiqua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275pt">
    <w:name w:val="Основной текст (2) + 7;5 pt;Малые прописные"/>
    <w:basedOn w:val="20"/>
    <w:rsid w:val="00556B50"/>
    <w:rPr>
      <w:rFonts w:ascii="Book Antiqua" w:eastAsia="Book Antiqua" w:hAnsi="Book Antiqua" w:cs="Book Antiqua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5"/>
      <w:szCs w:val="15"/>
      <w:u w:val="none"/>
      <w:lang w:val="uk-UA" w:eastAsia="uk-UA" w:bidi="uk-UA"/>
    </w:rPr>
  </w:style>
  <w:style w:type="paragraph" w:styleId="a8">
    <w:name w:val="Normal (Web)"/>
    <w:basedOn w:val="a"/>
    <w:uiPriority w:val="99"/>
    <w:unhideWhenUsed/>
    <w:rsid w:val="00A420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9">
    <w:name w:val="Subtle Emphasis"/>
    <w:basedOn w:val="a0"/>
    <w:uiPriority w:val="19"/>
    <w:qFormat/>
    <w:rsid w:val="00BD2743"/>
    <w:rPr>
      <w:i/>
      <w:iCs/>
      <w:color w:val="808080"/>
    </w:rPr>
  </w:style>
  <w:style w:type="character" w:customStyle="1" w:styleId="22">
    <w:name w:val="Основной текст (2) + Курсив"/>
    <w:basedOn w:val="20"/>
    <w:rsid w:val="00BA154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styleId="aa">
    <w:name w:val="Emphasis"/>
    <w:basedOn w:val="a0"/>
    <w:uiPriority w:val="20"/>
    <w:qFormat/>
    <w:rsid w:val="00BA1549"/>
    <w:rPr>
      <w:i/>
      <w:iCs/>
    </w:rPr>
  </w:style>
  <w:style w:type="paragraph" w:styleId="HTML">
    <w:name w:val="HTML Preformatted"/>
    <w:basedOn w:val="a"/>
    <w:link w:val="HTML0"/>
    <w:uiPriority w:val="99"/>
    <w:unhideWhenUsed/>
    <w:rsid w:val="00EE3D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E3D03"/>
    <w:rPr>
      <w:rFonts w:ascii="Courier New" w:eastAsia="Times New Roman" w:hAnsi="Courier New" w:cs="Courier New"/>
    </w:rPr>
  </w:style>
  <w:style w:type="paragraph" w:customStyle="1" w:styleId="rvps2">
    <w:name w:val="rvps2"/>
    <w:basedOn w:val="a"/>
    <w:rsid w:val="00DF373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10pt">
    <w:name w:val="Основной текст (2) + 10 pt;Курсив"/>
    <w:basedOn w:val="20"/>
    <w:rsid w:val="0015263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4">
    <w:name w:val="Основной текст (4)_"/>
    <w:basedOn w:val="a0"/>
    <w:link w:val="40"/>
    <w:rsid w:val="004355F3"/>
    <w:rPr>
      <w:rFonts w:ascii="Trebuchet MS" w:eastAsia="Trebuchet MS" w:hAnsi="Trebuchet MS" w:cs="Trebuchet MS"/>
      <w:b/>
      <w:bCs/>
      <w:sz w:val="30"/>
      <w:szCs w:val="30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4355F3"/>
    <w:pPr>
      <w:widowControl w:val="0"/>
      <w:shd w:val="clear" w:color="auto" w:fill="FFFFFF"/>
      <w:spacing w:before="420" w:after="0" w:line="360" w:lineRule="exact"/>
      <w:jc w:val="center"/>
    </w:pPr>
    <w:rPr>
      <w:rFonts w:ascii="Trebuchet MS" w:eastAsia="Trebuchet MS" w:hAnsi="Trebuchet MS" w:cs="Trebuchet MS"/>
      <w:b/>
      <w:bCs/>
      <w:sz w:val="30"/>
      <w:szCs w:val="30"/>
      <w:lang w:val="ru-RU" w:eastAsia="ru-RU"/>
    </w:rPr>
  </w:style>
  <w:style w:type="character" w:customStyle="1" w:styleId="ab">
    <w:name w:val="Сноска"/>
    <w:basedOn w:val="a0"/>
    <w:rsid w:val="0068428F"/>
    <w:rPr>
      <w:rFonts w:ascii="Arial" w:eastAsia="Arial" w:hAnsi="Arial" w:cs="Arial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ac">
    <w:name w:val="Сноска + Курсив"/>
    <w:basedOn w:val="a0"/>
    <w:rsid w:val="0068428F"/>
    <w:rPr>
      <w:rFonts w:ascii="Arial" w:eastAsia="Arial" w:hAnsi="Arial" w:cs="Arial"/>
      <w:b w:val="0"/>
      <w:bCs w:val="0"/>
      <w:i/>
      <w:iCs/>
      <w:smallCaps w:val="0"/>
      <w:strike w:val="0"/>
      <w:color w:val="231F2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1">
    <w:name w:val="Заголовок №1_"/>
    <w:basedOn w:val="a0"/>
    <w:rsid w:val="009D6574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10">
    <w:name w:val="Заголовок №1"/>
    <w:basedOn w:val="1"/>
    <w:rsid w:val="009D6574"/>
    <w:rPr>
      <w:rFonts w:ascii="Arial" w:eastAsia="Arial" w:hAnsi="Arial" w:cs="Arial"/>
      <w:b/>
      <w:bCs/>
      <w:i w:val="0"/>
      <w:iCs w:val="0"/>
      <w:smallCaps w:val="0"/>
      <w:strike w:val="0"/>
      <w:color w:val="231F2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apple-tab-span">
    <w:name w:val="apple-tab-span"/>
    <w:basedOn w:val="a0"/>
    <w:rsid w:val="00683872"/>
  </w:style>
  <w:style w:type="character" w:customStyle="1" w:styleId="3">
    <w:name w:val="Основной текст (3)_"/>
    <w:basedOn w:val="a0"/>
    <w:rsid w:val="00A952A2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30">
    <w:name w:val="Основной текст (3)"/>
    <w:basedOn w:val="3"/>
    <w:rsid w:val="00A952A2"/>
    <w:rPr>
      <w:rFonts w:ascii="Arial" w:eastAsia="Arial" w:hAnsi="Arial" w:cs="Arial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5"/>
      <w:szCs w:val="15"/>
      <w:u w:val="none"/>
      <w:lang w:val="uk-UA" w:eastAsia="uk-UA" w:bidi="uk-UA"/>
    </w:rPr>
  </w:style>
  <w:style w:type="character" w:customStyle="1" w:styleId="ad">
    <w:name w:val="Сноска_"/>
    <w:basedOn w:val="a0"/>
    <w:rsid w:val="007B320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  <w:lang w:val="ru-RU" w:eastAsia="ru-RU" w:bidi="ru-RU"/>
    </w:rPr>
  </w:style>
  <w:style w:type="character" w:customStyle="1" w:styleId="apple-converted-space">
    <w:name w:val="apple-converted-space"/>
    <w:basedOn w:val="a0"/>
    <w:rsid w:val="00620001"/>
  </w:style>
  <w:style w:type="paragraph" w:styleId="ae">
    <w:name w:val="endnote text"/>
    <w:basedOn w:val="a"/>
    <w:link w:val="af"/>
    <w:uiPriority w:val="99"/>
    <w:unhideWhenUsed/>
    <w:rsid w:val="00D6031B"/>
    <w:rPr>
      <w:rFonts w:eastAsia="Times New Roman"/>
      <w:sz w:val="20"/>
      <w:szCs w:val="20"/>
      <w:lang w:eastAsia="uk-UA"/>
    </w:rPr>
  </w:style>
  <w:style w:type="character" w:customStyle="1" w:styleId="af">
    <w:name w:val="Текст концевой сноски Знак"/>
    <w:basedOn w:val="a0"/>
    <w:link w:val="ae"/>
    <w:uiPriority w:val="99"/>
    <w:rsid w:val="00D6031B"/>
    <w:rPr>
      <w:rFonts w:eastAsia="Times New Roman"/>
      <w:lang w:val="uk-UA" w:eastAsia="uk-UA"/>
    </w:rPr>
  </w:style>
  <w:style w:type="character" w:customStyle="1" w:styleId="caps">
    <w:name w:val="caps"/>
    <w:basedOn w:val="a0"/>
    <w:rsid w:val="0075315A"/>
  </w:style>
  <w:style w:type="character" w:customStyle="1" w:styleId="err">
    <w:name w:val="err"/>
    <w:basedOn w:val="a0"/>
    <w:rsid w:val="0069270F"/>
  </w:style>
  <w:style w:type="paragraph" w:customStyle="1" w:styleId="21">
    <w:name w:val="Основной текст (2)1"/>
    <w:basedOn w:val="a"/>
    <w:link w:val="20"/>
    <w:rsid w:val="00CF7179"/>
    <w:pPr>
      <w:widowControl w:val="0"/>
      <w:shd w:val="clear" w:color="auto" w:fill="FFFFFF"/>
      <w:spacing w:before="260" w:after="0" w:line="197" w:lineRule="exact"/>
      <w:jc w:val="both"/>
    </w:pPr>
    <w:rPr>
      <w:rFonts w:ascii="Book Antiqua" w:eastAsia="Book Antiqua" w:hAnsi="Book Antiqua" w:cs="Book Antiqua"/>
      <w:sz w:val="17"/>
      <w:szCs w:val="17"/>
      <w:lang w:val="ru-RU" w:eastAsia="ru-RU"/>
    </w:rPr>
  </w:style>
  <w:style w:type="paragraph" w:styleId="af0">
    <w:name w:val="header"/>
    <w:basedOn w:val="a"/>
    <w:link w:val="af1"/>
    <w:uiPriority w:val="99"/>
    <w:semiHidden/>
    <w:unhideWhenUsed/>
    <w:rsid w:val="00BB59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BB59EC"/>
    <w:rPr>
      <w:sz w:val="22"/>
      <w:szCs w:val="22"/>
      <w:lang w:val="uk-UA" w:eastAsia="en-US"/>
    </w:rPr>
  </w:style>
  <w:style w:type="paragraph" w:styleId="af2">
    <w:name w:val="footer"/>
    <w:basedOn w:val="a"/>
    <w:link w:val="af3"/>
    <w:uiPriority w:val="99"/>
    <w:unhideWhenUsed/>
    <w:rsid w:val="00BB59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BB59EC"/>
    <w:rPr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0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0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7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1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udoc.echr.coe.int/sites/fra/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8574" TargetMode="External"/><Relationship Id="rId18" Type="http://schemas.openxmlformats.org/officeDocument/2006/relationships/hyperlink" Target="http://zakon4.rada.gov.ua/laws/show/3477-15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zakon5.rada.gov.ua/laws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old.court.gov.ua/" TargetMode="External"/><Relationship Id="rId17" Type="http://schemas.openxmlformats.org/officeDocument/2006/relationships/hyperlink" Target="http://mv-mazur.at.ua/_ld/0/7_Mazur-The_acts_.pdf" TargetMode="External"/><Relationship Id="rId25" Type="http://schemas.openxmlformats.org/officeDocument/2006/relationships/hyperlink" Target="http://www.eurointegration.com.ua/news/2017/07/2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legalactivity.com.ua/index.php?option" TargetMode="External"/><Relationship Id="rId20" Type="http://schemas.openxmlformats.org/officeDocument/2006/relationships/hyperlink" Target="http://izvesti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igitalcommons.law.yale.edu/fss_papers/71/" TargetMode="External"/><Relationship Id="rId2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FP_inde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nbuv.gov.ua/" TargetMode="External"/><Relationship Id="rId2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26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hudoc.echr.coe.int/sites/eng/pages/search.aspx?i=001-58007" TargetMode="External"/><Relationship Id="rId19" Type="http://schemas.openxmlformats.org/officeDocument/2006/relationships/hyperlink" Target="http://zakon.rad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miskp.echr.coe.int/tkpl97/view.asp?%20action=html&amp;documentId" TargetMode="External"/><Relationship Id="rId14" Type="http://schemas.openxmlformats.org/officeDocument/2006/relationships/hyperlink" Target="http://www.nbpublish.com/view_" TargetMode="External"/><Relationship Id="rId22" Type="http://schemas.openxmlformats.org/officeDocument/2006/relationships/hyperlink" Target="http://www.pravnuk.info/fomum-pr/1892-praktika-yevropejskogo-sudu-z-prav-lyudini-yak-dzherelo-interpretacijno%D1%97-diyalnosti-konstitucijnogo-sudu-ukra%D1%97ni.html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3D297-19CF-47D6-ADB5-A4163F22B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5718</Words>
  <Characters>32593</Characters>
  <Application>Microsoft Office Word</Application>
  <DocSecurity>0</DocSecurity>
  <Lines>271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38235</CharactersWithSpaces>
  <SharedDoc>false</SharedDoc>
  <HLinks>
    <vt:vector size="72" baseType="variant">
      <vt:variant>
        <vt:i4>524395</vt:i4>
      </vt:variant>
      <vt:variant>
        <vt:i4>33</vt:i4>
      </vt:variant>
      <vt:variant>
        <vt:i4>0</vt:i4>
      </vt:variant>
      <vt:variant>
        <vt:i4>5</vt:i4>
      </vt:variant>
      <vt:variant>
        <vt:lpwstr>http://www.echr.coe.int/Documents/Pilot_judgment_procedure_ENG.pdf</vt:lpwstr>
      </vt:variant>
      <vt:variant>
        <vt:lpwstr/>
      </vt:variant>
      <vt:variant>
        <vt:i4>2228265</vt:i4>
      </vt:variant>
      <vt:variant>
        <vt:i4>30</vt:i4>
      </vt:variant>
      <vt:variant>
        <vt:i4>0</vt:i4>
      </vt:variant>
      <vt:variant>
        <vt:i4>5</vt:i4>
      </vt:variant>
      <vt:variant>
        <vt:lpwstr>http://zakon4.rada.gov.ua/laws/show/3477-15</vt:lpwstr>
      </vt:variant>
      <vt:variant>
        <vt:lpwstr/>
      </vt:variant>
      <vt:variant>
        <vt:i4>4587580</vt:i4>
      </vt:variant>
      <vt:variant>
        <vt:i4>27</vt:i4>
      </vt:variant>
      <vt:variant>
        <vt:i4>0</vt:i4>
      </vt:variant>
      <vt:variant>
        <vt:i4>5</vt:i4>
      </vt:variant>
      <vt:variant>
        <vt:lpwstr>http://zakon4.rada.gov.ua/laws/show/995_004</vt:lpwstr>
      </vt:variant>
      <vt:variant>
        <vt:lpwstr/>
      </vt:variant>
      <vt:variant>
        <vt:i4>458828</vt:i4>
      </vt:variant>
      <vt:variant>
        <vt:i4>24</vt:i4>
      </vt:variant>
      <vt:variant>
        <vt:i4>0</vt:i4>
      </vt:variant>
      <vt:variant>
        <vt:i4>5</vt:i4>
      </vt:variant>
      <vt:variant>
        <vt:lpwstr>http://www.legalactivity.com.ua/index.php?option</vt:lpwstr>
      </vt:variant>
      <vt:variant>
        <vt:lpwstr/>
      </vt:variant>
      <vt:variant>
        <vt:i4>4915208</vt:i4>
      </vt:variant>
      <vt:variant>
        <vt:i4>21</vt:i4>
      </vt:variant>
      <vt:variant>
        <vt:i4>0</vt:i4>
      </vt:variant>
      <vt:variant>
        <vt:i4>5</vt:i4>
      </vt:variant>
      <vt:variant>
        <vt:lpwstr>http://www.eurointegration.com.ua/news/2017/07/25</vt:lpwstr>
      </vt:variant>
      <vt:variant>
        <vt:lpwstr/>
      </vt:variant>
      <vt:variant>
        <vt:i4>5898261</vt:i4>
      </vt:variant>
      <vt:variant>
        <vt:i4>18</vt:i4>
      </vt:variant>
      <vt:variant>
        <vt:i4>0</vt:i4>
      </vt:variant>
      <vt:variant>
        <vt:i4>5</vt:i4>
      </vt:variant>
      <vt:variant>
        <vt:lpwstr>http://hudoc.echr.coe.int/sites/eng/pages/search.aspx?i=001-58007</vt:lpwstr>
      </vt:variant>
      <vt:variant>
        <vt:lpwstr>{"itemid":["001-58007"]}</vt:lpwstr>
      </vt:variant>
      <vt:variant>
        <vt:i4>7143465</vt:i4>
      </vt:variant>
      <vt:variant>
        <vt:i4>15</vt:i4>
      </vt:variant>
      <vt:variant>
        <vt:i4>0</vt:i4>
      </vt:variant>
      <vt:variant>
        <vt:i4>5</vt:i4>
      </vt:variant>
      <vt:variant>
        <vt:lpwstr>http://zakon.rada/</vt:lpwstr>
      </vt:variant>
      <vt:variant>
        <vt:lpwstr/>
      </vt:variant>
      <vt:variant>
        <vt:i4>7733332</vt:i4>
      </vt:variant>
      <vt:variant>
        <vt:i4>12</vt:i4>
      </vt:variant>
      <vt:variant>
        <vt:i4>0</vt:i4>
      </vt:variant>
      <vt:variant>
        <vt:i4>5</vt:i4>
      </vt:variant>
      <vt:variant>
        <vt:lpwstr>http://www.irbis-nbuv.gov.ua/cgi-bin/irbis_nbuv/cgiirbis_64.exe?Z21ID=&amp;I21DBN=UJRN&amp;P21DBN=UJRN&amp;S21STN=1&amp;S21REF=10&amp;S21FMT=JUU_all&amp;C21COM=S&amp;S21CNR=20&amp;S21P01=0&amp;S21P02=0&amp;S21P03=IJ=&amp;S21COLORTERMS=1&amp;S21STR=%D0%9668574</vt:lpwstr>
      </vt:variant>
      <vt:variant>
        <vt:lpwstr/>
      </vt:variant>
      <vt:variant>
        <vt:i4>7733332</vt:i4>
      </vt:variant>
      <vt:variant>
        <vt:i4>9</vt:i4>
      </vt:variant>
      <vt:variant>
        <vt:i4>0</vt:i4>
      </vt:variant>
      <vt:variant>
        <vt:i4>5</vt:i4>
      </vt:variant>
      <vt:variant>
        <vt:lpwstr>http://www.irbis-nbuv.gov.ua/cgi-bin/irbis_nbuv/cgiirbis_64.exe?Z21ID=&amp;I21DBN=UJRN&amp;P21DBN=UJRN&amp;S21STN=1&amp;S21REF=10&amp;S21FMT=JUU_all&amp;C21COM=S&amp;S21CNR=20&amp;S21P01=0&amp;S21P02=0&amp;S21P03=IJ=&amp;S21COLORTERMS=1&amp;S21STR=%D0%9668574</vt:lpwstr>
      </vt:variant>
      <vt:variant>
        <vt:lpwstr/>
      </vt:variant>
      <vt:variant>
        <vt:i4>1572934</vt:i4>
      </vt:variant>
      <vt:variant>
        <vt:i4>6</vt:i4>
      </vt:variant>
      <vt:variant>
        <vt:i4>0</vt:i4>
      </vt:variant>
      <vt:variant>
        <vt:i4>5</vt:i4>
      </vt:variant>
      <vt:variant>
        <vt:lpwstr>http://mv-mazur.at.ua/_ld/0/7_Mazur-The_acts_.pdf</vt:lpwstr>
      </vt:variant>
      <vt:variant>
        <vt:lpwstr/>
      </vt:variant>
      <vt:variant>
        <vt:i4>1310760</vt:i4>
      </vt:variant>
      <vt:variant>
        <vt:i4>3</vt:i4>
      </vt:variant>
      <vt:variant>
        <vt:i4>0</vt:i4>
      </vt:variant>
      <vt:variant>
        <vt:i4>5</vt:i4>
      </vt:variant>
      <vt:variant>
        <vt:lpwstr>http://www.nbpublish.com/view_</vt:lpwstr>
      </vt:variant>
      <vt:variant>
        <vt:lpwstr/>
      </vt:variant>
      <vt:variant>
        <vt:i4>6488183</vt:i4>
      </vt:variant>
      <vt:variant>
        <vt:i4>0</vt:i4>
      </vt:variant>
      <vt:variant>
        <vt:i4>0</vt:i4>
      </vt:variant>
      <vt:variant>
        <vt:i4>5</vt:i4>
      </vt:variant>
      <vt:variant>
        <vt:lpwstr>http://pidruchniki.ws/1879112343083/pravo/dzherelo_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libonu</cp:lastModifiedBy>
  <cp:revision>2</cp:revision>
  <dcterms:created xsi:type="dcterms:W3CDTF">2018-10-16T10:45:00Z</dcterms:created>
  <dcterms:modified xsi:type="dcterms:W3CDTF">2018-10-16T10:45:00Z</dcterms:modified>
</cp:coreProperties>
</file>