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4CD7" w:rsidRDefault="00F46CF5">
      <w:pPr>
        <w:spacing w:line="276" w:lineRule="auto"/>
        <w:jc w:val="center"/>
        <w:rPr>
          <w:rFonts w:ascii="Times New Roman" w:eastAsia="Times New Roman" w:hAnsi="Times New Roman" w:cs="Times New Roman"/>
          <w:sz w:val="28"/>
          <w:szCs w:val="28"/>
        </w:rPr>
      </w:pPr>
      <w:r>
        <w:rPr>
          <w:rFonts w:ascii="Times New Roman" w:hAnsi="Times New Roman"/>
          <w:sz w:val="28"/>
          <w:szCs w:val="28"/>
        </w:rPr>
        <w:t>Одеський національний університет імені І.І. Мечникова</w:t>
      </w:r>
    </w:p>
    <w:p w:rsidR="00AD4CD7" w:rsidRDefault="00AD4CD7">
      <w:pPr>
        <w:spacing w:line="276" w:lineRule="auto"/>
        <w:jc w:val="center"/>
        <w:rPr>
          <w:rFonts w:ascii="Times New Roman" w:eastAsia="Times New Roman" w:hAnsi="Times New Roman" w:cs="Times New Roman"/>
          <w:sz w:val="28"/>
          <w:szCs w:val="28"/>
        </w:rPr>
      </w:pPr>
    </w:p>
    <w:p w:rsidR="00AD4CD7" w:rsidRDefault="00F46CF5">
      <w:pPr>
        <w:spacing w:line="276" w:lineRule="auto"/>
        <w:jc w:val="center"/>
        <w:rPr>
          <w:rFonts w:ascii="Times New Roman" w:eastAsia="Times New Roman" w:hAnsi="Times New Roman" w:cs="Times New Roman"/>
          <w:sz w:val="28"/>
          <w:szCs w:val="28"/>
        </w:rPr>
      </w:pPr>
      <w:r>
        <w:rPr>
          <w:rFonts w:ascii="Times New Roman" w:hAnsi="Times New Roman"/>
          <w:sz w:val="28"/>
          <w:szCs w:val="28"/>
        </w:rPr>
        <w:t>Факультет романо-германської філології</w:t>
      </w:r>
    </w:p>
    <w:p w:rsidR="00AD4CD7" w:rsidRDefault="00AD4CD7">
      <w:pPr>
        <w:spacing w:line="276" w:lineRule="auto"/>
        <w:jc w:val="center"/>
        <w:rPr>
          <w:rFonts w:ascii="Times New Roman" w:eastAsia="Times New Roman" w:hAnsi="Times New Roman" w:cs="Times New Roman"/>
          <w:sz w:val="28"/>
          <w:szCs w:val="28"/>
        </w:rPr>
      </w:pPr>
    </w:p>
    <w:p w:rsidR="00AD4CD7" w:rsidRDefault="00F46CF5">
      <w:pPr>
        <w:spacing w:line="276" w:lineRule="auto"/>
        <w:jc w:val="center"/>
        <w:rPr>
          <w:rFonts w:ascii="Times New Roman" w:eastAsia="Times New Roman" w:hAnsi="Times New Roman" w:cs="Times New Roman"/>
          <w:sz w:val="28"/>
          <w:szCs w:val="28"/>
        </w:rPr>
      </w:pPr>
      <w:r>
        <w:rPr>
          <w:rFonts w:ascii="Times New Roman" w:hAnsi="Times New Roman"/>
          <w:sz w:val="28"/>
          <w:szCs w:val="28"/>
        </w:rPr>
        <w:t>Кафедра теоретичної та прикладної фонетики англійської мови</w:t>
      </w:r>
    </w:p>
    <w:p w:rsidR="00AD4CD7" w:rsidRDefault="00AD4CD7">
      <w:pPr>
        <w:spacing w:line="276" w:lineRule="auto"/>
        <w:jc w:val="center"/>
        <w:rPr>
          <w:rFonts w:ascii="Times New Roman" w:eastAsia="Times New Roman" w:hAnsi="Times New Roman" w:cs="Times New Roman"/>
          <w:sz w:val="28"/>
          <w:szCs w:val="28"/>
        </w:rPr>
      </w:pPr>
    </w:p>
    <w:p w:rsidR="00AD4CD7" w:rsidRDefault="00AD4CD7">
      <w:pPr>
        <w:spacing w:line="276" w:lineRule="auto"/>
        <w:rPr>
          <w:rFonts w:ascii="Times New Roman" w:eastAsia="Times New Roman" w:hAnsi="Times New Roman" w:cs="Times New Roman"/>
          <w:sz w:val="28"/>
          <w:szCs w:val="28"/>
        </w:rPr>
      </w:pPr>
    </w:p>
    <w:p w:rsidR="00AD4CD7" w:rsidRDefault="00F46CF5">
      <w:pPr>
        <w:spacing w:line="276" w:lineRule="auto"/>
        <w:jc w:val="center"/>
        <w:rPr>
          <w:rFonts w:ascii="Times New Roman" w:eastAsia="Times New Roman" w:hAnsi="Times New Roman" w:cs="Times New Roman"/>
          <w:b/>
          <w:bCs/>
          <w:sz w:val="28"/>
          <w:szCs w:val="28"/>
        </w:rPr>
      </w:pPr>
      <w:r>
        <w:rPr>
          <w:rFonts w:ascii="Times New Roman" w:hAnsi="Times New Roman"/>
          <w:b/>
          <w:bCs/>
          <w:sz w:val="28"/>
          <w:szCs w:val="28"/>
        </w:rPr>
        <w:t>Д и п л о м н а   р о б о т а</w:t>
      </w:r>
    </w:p>
    <w:p w:rsidR="00AD4CD7" w:rsidRDefault="00AD4CD7">
      <w:pPr>
        <w:spacing w:line="276" w:lineRule="auto"/>
        <w:jc w:val="center"/>
        <w:rPr>
          <w:rFonts w:ascii="Times New Roman" w:eastAsia="Times New Roman" w:hAnsi="Times New Roman" w:cs="Times New Roman"/>
          <w:b/>
          <w:bCs/>
          <w:sz w:val="28"/>
          <w:szCs w:val="28"/>
        </w:rPr>
      </w:pPr>
    </w:p>
    <w:p w:rsidR="00AD4CD7" w:rsidRDefault="00F46CF5">
      <w:pPr>
        <w:spacing w:line="276" w:lineRule="auto"/>
        <w:jc w:val="center"/>
        <w:rPr>
          <w:rFonts w:ascii="Times New Roman" w:eastAsia="Times New Roman" w:hAnsi="Times New Roman" w:cs="Times New Roman"/>
          <w:sz w:val="28"/>
          <w:szCs w:val="28"/>
        </w:rPr>
      </w:pPr>
      <w:r>
        <w:rPr>
          <w:rFonts w:ascii="Times New Roman" w:hAnsi="Times New Roman"/>
          <w:sz w:val="28"/>
          <w:szCs w:val="28"/>
        </w:rPr>
        <w:t>магістра</w:t>
      </w:r>
    </w:p>
    <w:p w:rsidR="00AD4CD7" w:rsidRDefault="00AD4CD7">
      <w:pPr>
        <w:spacing w:line="276" w:lineRule="auto"/>
        <w:jc w:val="center"/>
        <w:rPr>
          <w:rFonts w:ascii="Times New Roman" w:eastAsia="Times New Roman" w:hAnsi="Times New Roman" w:cs="Times New Roman"/>
          <w:sz w:val="28"/>
          <w:szCs w:val="28"/>
        </w:rPr>
      </w:pPr>
    </w:p>
    <w:p w:rsidR="00AD4CD7" w:rsidRDefault="00F46CF5">
      <w:pPr>
        <w:spacing w:line="276" w:lineRule="auto"/>
        <w:jc w:val="center"/>
        <w:rPr>
          <w:rFonts w:ascii="Times New Roman" w:eastAsia="Times New Roman" w:hAnsi="Times New Roman" w:cs="Times New Roman"/>
          <w:b/>
          <w:bCs/>
          <w:sz w:val="28"/>
          <w:szCs w:val="28"/>
          <w:shd w:val="clear" w:color="auto" w:fill="FFFF00"/>
        </w:rPr>
      </w:pPr>
      <w:r>
        <w:rPr>
          <w:rFonts w:ascii="Times New Roman" w:hAnsi="Times New Roman"/>
          <w:sz w:val="28"/>
          <w:szCs w:val="28"/>
        </w:rPr>
        <w:t>на тему: «</w:t>
      </w:r>
      <w:r>
        <w:rPr>
          <w:rFonts w:ascii="Times New Roman" w:hAnsi="Times New Roman"/>
          <w:b/>
          <w:bCs/>
          <w:sz w:val="28"/>
          <w:szCs w:val="28"/>
        </w:rPr>
        <w:t>Вербальні та невербальні засоби вираження погрози в англомовному художньому дискурсі</w:t>
      </w:r>
      <w:r>
        <w:rPr>
          <w:rFonts w:ascii="Times New Roman" w:hAnsi="Times New Roman"/>
          <w:sz w:val="28"/>
          <w:szCs w:val="28"/>
        </w:rPr>
        <w:t>»</w:t>
      </w:r>
    </w:p>
    <w:p w:rsidR="00AD4CD7" w:rsidRDefault="00AD4CD7">
      <w:pPr>
        <w:spacing w:line="276" w:lineRule="auto"/>
        <w:jc w:val="center"/>
        <w:rPr>
          <w:rFonts w:ascii="Times New Roman" w:eastAsia="Times New Roman" w:hAnsi="Times New Roman" w:cs="Times New Roman"/>
          <w:b/>
          <w:bCs/>
          <w:sz w:val="28"/>
          <w:szCs w:val="28"/>
          <w:shd w:val="clear" w:color="auto" w:fill="FFFF00"/>
        </w:rPr>
      </w:pPr>
    </w:p>
    <w:p w:rsidR="00AD4CD7" w:rsidRDefault="00F46CF5">
      <w:pPr>
        <w:spacing w:line="276" w:lineRule="auto"/>
        <w:jc w:val="center"/>
        <w:rPr>
          <w:rFonts w:ascii="Times New Roman" w:eastAsia="Times New Roman" w:hAnsi="Times New Roman" w:cs="Times New Roman"/>
          <w:sz w:val="24"/>
          <w:szCs w:val="24"/>
          <w:lang w:val="en-US"/>
        </w:rPr>
      </w:pPr>
      <w:r>
        <w:rPr>
          <w:rFonts w:ascii="Times New Roman" w:hAnsi="Times New Roman"/>
          <w:sz w:val="24"/>
          <w:szCs w:val="24"/>
          <w:lang w:val="en-US"/>
        </w:rPr>
        <w:t>«Verbal and non-verbal means of expressing threat in English fictional discourse»</w:t>
      </w:r>
    </w:p>
    <w:p w:rsidR="00AD4CD7" w:rsidRDefault="00AD4CD7">
      <w:pPr>
        <w:spacing w:line="276" w:lineRule="auto"/>
        <w:jc w:val="center"/>
        <w:rPr>
          <w:rFonts w:ascii="Times New Roman" w:eastAsia="Times New Roman" w:hAnsi="Times New Roman" w:cs="Times New Roman"/>
          <w:sz w:val="24"/>
          <w:szCs w:val="24"/>
          <w:lang w:val="en-US"/>
        </w:rPr>
      </w:pPr>
    </w:p>
    <w:p w:rsidR="00AD4CD7" w:rsidRDefault="00F46CF5">
      <w:pPr>
        <w:spacing w:line="276" w:lineRule="auto"/>
        <w:jc w:val="center"/>
        <w:rPr>
          <w:rFonts w:ascii="Times New Roman" w:eastAsia="Times New Roman" w:hAnsi="Times New Roman" w:cs="Times New Roman"/>
          <w:sz w:val="28"/>
          <w:szCs w:val="28"/>
        </w:rPr>
      </w:pPr>
      <w:r>
        <w:rPr>
          <w:rFonts w:ascii="Times New Roman" w:hAnsi="Times New Roman"/>
          <w:sz w:val="28"/>
          <w:szCs w:val="28"/>
          <w:lang w:val="en-US"/>
        </w:rPr>
        <w:t xml:space="preserve">   </w:t>
      </w:r>
      <w:r>
        <w:rPr>
          <w:rFonts w:ascii="Times New Roman" w:hAnsi="Times New Roman"/>
          <w:sz w:val="28"/>
          <w:szCs w:val="28"/>
        </w:rPr>
        <w:t>Виконала: студентка денної форми навчання</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t xml:space="preserve">напряму підготовки 6.020303 </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                           </w:t>
      </w:r>
      <w:r>
        <w:rPr>
          <w:rFonts w:ascii="Times New Roman" w:hAnsi="Times New Roman"/>
          <w:sz w:val="28"/>
          <w:szCs w:val="28"/>
        </w:rPr>
        <w:tab/>
        <w:t xml:space="preserve"> </w:t>
      </w:r>
      <w:r>
        <w:rPr>
          <w:rFonts w:ascii="Times New Roman" w:hAnsi="Times New Roman"/>
          <w:sz w:val="28"/>
          <w:szCs w:val="28"/>
        </w:rPr>
        <w:tab/>
      </w:r>
      <w:r>
        <w:rPr>
          <w:rFonts w:ascii="Helvetica Neue" w:hAnsi="Helvetica Neue"/>
          <w:sz w:val="28"/>
          <w:szCs w:val="28"/>
        </w:rPr>
        <w:t>Чорнобай Дарія Олегівна</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t>Керівник докт.філол.н., проф. Бігунова Н.О. __</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t>Рецензент  к.філол.н., доц. Кашуба М.В.</w:t>
      </w:r>
    </w:p>
    <w:p w:rsidR="00AD4CD7" w:rsidRDefault="00AD4CD7">
      <w:pPr>
        <w:spacing w:line="276" w:lineRule="auto"/>
        <w:rPr>
          <w:rFonts w:ascii="Times New Roman" w:eastAsia="Times New Roman" w:hAnsi="Times New Roman" w:cs="Times New Roman"/>
          <w:sz w:val="28"/>
          <w:szCs w:val="28"/>
        </w:rPr>
      </w:pPr>
    </w:p>
    <w:p w:rsidR="00AD4CD7" w:rsidRDefault="00AD4CD7">
      <w:pPr>
        <w:spacing w:line="276" w:lineRule="auto"/>
        <w:rPr>
          <w:rFonts w:ascii="Times New Roman" w:eastAsia="Times New Roman" w:hAnsi="Times New Roman" w:cs="Times New Roman"/>
          <w:sz w:val="28"/>
          <w:szCs w:val="28"/>
        </w:rPr>
      </w:pP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Рекомендовано до захисту:                    Захищено на засіданні ЕК № 2</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протокол засідання кафедри                   протокол №    </w:t>
      </w:r>
      <w:r w:rsidR="00E83DBF">
        <w:rPr>
          <w:rFonts w:ascii="Times New Roman" w:hAnsi="Times New Roman"/>
          <w:sz w:val="28"/>
          <w:szCs w:val="28"/>
          <w:lang w:val="uk-UA"/>
        </w:rPr>
        <w:t xml:space="preserve"> </w:t>
      </w:r>
      <w:r>
        <w:rPr>
          <w:rFonts w:ascii="Times New Roman" w:hAnsi="Times New Roman"/>
          <w:sz w:val="28"/>
          <w:szCs w:val="28"/>
        </w:rPr>
        <w:t>від</w:t>
      </w:r>
    </w:p>
    <w:p w:rsidR="00AD4CD7" w:rsidRDefault="00E83DBF">
      <w:pPr>
        <w:spacing w:line="276" w:lineRule="auto"/>
        <w:rPr>
          <w:rFonts w:ascii="Times New Roman" w:eastAsia="Times New Roman" w:hAnsi="Times New Roman" w:cs="Times New Roman"/>
          <w:color w:val="FF0000"/>
          <w:sz w:val="28"/>
          <w:szCs w:val="28"/>
          <w:u w:color="FF0000"/>
        </w:rPr>
      </w:pPr>
      <w:r w:rsidRPr="00E01F71">
        <w:rPr>
          <w:rFonts w:ascii="Times New Roman" w:hAnsi="Times New Roman" w:cs="Times New Roman"/>
          <w:color w:val="000000" w:themeColor="text1"/>
          <w:sz w:val="28"/>
          <w:szCs w:val="28"/>
          <w:lang w:val="uk-UA"/>
        </w:rPr>
        <w:t xml:space="preserve">№ 4 від  23.11.22                                 </w:t>
      </w:r>
      <w:r w:rsidR="00F46CF5">
        <w:rPr>
          <w:rFonts w:ascii="Times New Roman" w:hAnsi="Times New Roman"/>
          <w:color w:val="FF0000"/>
          <w:sz w:val="28"/>
          <w:szCs w:val="28"/>
          <w:u w:color="FF0000"/>
        </w:rPr>
        <w:t xml:space="preserve">                                     </w:t>
      </w:r>
    </w:p>
    <w:p w:rsidR="00AD4CD7" w:rsidRDefault="00F46CF5">
      <w:pPr>
        <w:spacing w:line="276" w:lineRule="auto"/>
        <w:ind w:left="4955"/>
        <w:rPr>
          <w:rFonts w:ascii="Times New Roman" w:eastAsia="Times New Roman" w:hAnsi="Times New Roman" w:cs="Times New Roman"/>
          <w:sz w:val="28"/>
          <w:szCs w:val="28"/>
        </w:rPr>
      </w:pPr>
      <w:r>
        <w:rPr>
          <w:rFonts w:ascii="Times New Roman" w:hAnsi="Times New Roman"/>
          <w:sz w:val="28"/>
          <w:szCs w:val="28"/>
        </w:rPr>
        <w:t xml:space="preserve">Оцінка________/____/____ </w:t>
      </w:r>
    </w:p>
    <w:p w:rsidR="00AD4CD7" w:rsidRDefault="00F46CF5">
      <w:pPr>
        <w:tabs>
          <w:tab w:val="left" w:pos="5040"/>
        </w:tabs>
        <w:spacing w:line="276" w:lineRule="auto"/>
        <w:rPr>
          <w:rFonts w:ascii="Times New Roman" w:eastAsia="Times New Roman" w:hAnsi="Times New Roman" w:cs="Times New Roman"/>
          <w:sz w:val="20"/>
          <w:szCs w:val="20"/>
        </w:rPr>
      </w:pPr>
      <w:r>
        <w:rPr>
          <w:rFonts w:ascii="Times New Roman" w:hAnsi="Times New Roman"/>
          <w:sz w:val="28"/>
          <w:szCs w:val="28"/>
        </w:rPr>
        <w:t xml:space="preserve">                                                                </w:t>
      </w:r>
      <w:r>
        <w:rPr>
          <w:rFonts w:ascii="Times New Roman" w:hAnsi="Times New Roman"/>
          <w:sz w:val="20"/>
          <w:szCs w:val="20"/>
        </w:rPr>
        <w:t>(за національною шкалою, шкалою ECTS, бали)</w:t>
      </w:r>
    </w:p>
    <w:p w:rsidR="00AD4CD7" w:rsidRDefault="00AD4CD7">
      <w:pPr>
        <w:spacing w:line="276" w:lineRule="auto"/>
        <w:rPr>
          <w:rFonts w:ascii="Times New Roman" w:eastAsia="Times New Roman" w:hAnsi="Times New Roman" w:cs="Times New Roman"/>
          <w:sz w:val="28"/>
          <w:szCs w:val="28"/>
        </w:rPr>
      </w:pP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Завідувач кафедри                                     Голова  ЕК  </w:t>
      </w:r>
    </w:p>
    <w:p w:rsidR="00AD4CD7" w:rsidRDefault="00F46CF5">
      <w:pPr>
        <w:spacing w:line="276" w:lineRule="auto"/>
        <w:rPr>
          <w:rFonts w:ascii="Times New Roman" w:eastAsia="Times New Roman" w:hAnsi="Times New Roman" w:cs="Times New Roman"/>
          <w:sz w:val="28"/>
          <w:szCs w:val="28"/>
        </w:rPr>
      </w:pPr>
      <w:r>
        <w:rPr>
          <w:rFonts w:ascii="Times New Roman" w:hAnsi="Times New Roman"/>
          <w:sz w:val="28"/>
          <w:szCs w:val="28"/>
        </w:rPr>
        <w:t xml:space="preserve">_________   Кравченко Н.О.               _______                   </w:t>
      </w:r>
      <w:r w:rsidR="00B06130" w:rsidRPr="00B06130">
        <w:rPr>
          <w:rFonts w:ascii="Times New Roman" w:hAnsi="Times New Roman"/>
          <w:sz w:val="28"/>
          <w:szCs w:val="28"/>
        </w:rPr>
        <w:t>Кравченко Н.О</w:t>
      </w:r>
      <w:r>
        <w:rPr>
          <w:rFonts w:ascii="Times New Roman" w:hAnsi="Times New Roman"/>
          <w:sz w:val="28"/>
          <w:szCs w:val="28"/>
        </w:rPr>
        <w:t>.</w:t>
      </w:r>
    </w:p>
    <w:p w:rsidR="00AD4CD7" w:rsidRDefault="00F46CF5">
      <w:pPr>
        <w:tabs>
          <w:tab w:val="left" w:pos="5280"/>
        </w:tabs>
        <w:spacing w:line="276" w:lineRule="auto"/>
        <w:rPr>
          <w:rFonts w:ascii="Times New Roman" w:eastAsia="Times New Roman" w:hAnsi="Times New Roman" w:cs="Times New Roman"/>
          <w:sz w:val="24"/>
          <w:szCs w:val="24"/>
        </w:rPr>
      </w:pPr>
      <w:r>
        <w:rPr>
          <w:rFonts w:ascii="Times New Roman" w:hAnsi="Times New Roman"/>
          <w:sz w:val="24"/>
          <w:szCs w:val="24"/>
        </w:rPr>
        <w:t>(підпис)                                                           (підпис)</w:t>
      </w:r>
    </w:p>
    <w:p w:rsidR="00AD4CD7" w:rsidRDefault="00AD4CD7">
      <w:pPr>
        <w:tabs>
          <w:tab w:val="left" w:pos="5280"/>
        </w:tabs>
        <w:spacing w:line="276" w:lineRule="auto"/>
        <w:jc w:val="center"/>
        <w:rPr>
          <w:rFonts w:ascii="Times New Roman" w:eastAsia="Times New Roman" w:hAnsi="Times New Roman" w:cs="Times New Roman"/>
          <w:b/>
          <w:bCs/>
          <w:sz w:val="28"/>
          <w:szCs w:val="28"/>
        </w:rPr>
      </w:pPr>
    </w:p>
    <w:p w:rsidR="00AD4CD7" w:rsidRDefault="00AD4CD7">
      <w:pPr>
        <w:tabs>
          <w:tab w:val="left" w:pos="5280"/>
        </w:tabs>
        <w:spacing w:line="276" w:lineRule="auto"/>
        <w:jc w:val="center"/>
        <w:rPr>
          <w:rFonts w:ascii="Times New Roman" w:eastAsia="Times New Roman" w:hAnsi="Times New Roman" w:cs="Times New Roman"/>
          <w:b/>
          <w:bCs/>
          <w:sz w:val="28"/>
          <w:szCs w:val="28"/>
        </w:rPr>
      </w:pPr>
    </w:p>
    <w:p w:rsidR="00AD4CD7" w:rsidRDefault="00F46CF5">
      <w:pPr>
        <w:tabs>
          <w:tab w:val="left" w:pos="5280"/>
        </w:tabs>
        <w:spacing w:line="276" w:lineRule="auto"/>
        <w:jc w:val="center"/>
        <w:rPr>
          <w:rFonts w:ascii="Times New Roman" w:eastAsia="Times New Roman" w:hAnsi="Times New Roman" w:cs="Times New Roman"/>
          <w:b/>
          <w:bCs/>
          <w:sz w:val="28"/>
          <w:szCs w:val="28"/>
        </w:rPr>
      </w:pPr>
      <w:r>
        <w:rPr>
          <w:rFonts w:ascii="Times New Roman" w:hAnsi="Times New Roman"/>
          <w:b/>
          <w:bCs/>
          <w:sz w:val="28"/>
          <w:szCs w:val="28"/>
        </w:rPr>
        <w:t>Одеса – 2022</w:t>
      </w:r>
    </w:p>
    <w:p w:rsidR="00AD4CD7" w:rsidRDefault="00F46CF5">
      <w:pPr>
        <w:ind w:firstLine="0"/>
      </w:pPr>
      <w:r>
        <w:rPr>
          <w:rFonts w:ascii="Arial Unicode MS" w:hAnsi="Arial Unicode MS"/>
          <w:sz w:val="28"/>
          <w:szCs w:val="28"/>
        </w:rPr>
        <w:br w:type="page"/>
      </w:r>
    </w:p>
    <w:p w:rsidR="00AD4CD7" w:rsidRDefault="00F46CF5">
      <w:pPr>
        <w:pStyle w:val="4"/>
        <w:spacing w:after="0" w:line="360" w:lineRule="auto"/>
        <w:ind w:firstLine="0"/>
        <w:jc w:val="center"/>
        <w:rPr>
          <w:sz w:val="28"/>
          <w:szCs w:val="28"/>
        </w:rPr>
      </w:pPr>
      <w:r>
        <w:rPr>
          <w:b/>
          <w:bCs/>
          <w:sz w:val="28"/>
          <w:szCs w:val="28"/>
        </w:rPr>
        <w:lastRenderedPageBreak/>
        <w:t>ЗМІСТ</w:t>
      </w:r>
    </w:p>
    <w:p w:rsidR="00AD4CD7" w:rsidRDefault="00F46CF5">
      <w:pPr>
        <w:pStyle w:val="4"/>
        <w:spacing w:line="360" w:lineRule="auto"/>
        <w:ind w:firstLine="0"/>
        <w:jc w:val="both"/>
        <w:rPr>
          <w:sz w:val="28"/>
          <w:szCs w:val="28"/>
        </w:rPr>
      </w:pPr>
      <w:r>
        <w:rPr>
          <w:sz w:val="28"/>
          <w:szCs w:val="28"/>
        </w:rPr>
        <w:t>ВСТУП ……………………………………………………………………..3</w:t>
      </w:r>
    </w:p>
    <w:p w:rsidR="00AD4CD7" w:rsidRDefault="00F46CF5">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Style w:val="Hyperlink0"/>
        </w:rPr>
      </w:pPr>
      <w:r>
        <w:rPr>
          <w:rStyle w:val="Hyperlink0"/>
        </w:rPr>
        <w:t>РОЗДІЛ 1. ПОГРОЗА ЯК ГІБРИДНИЙ МОВЛЕННЄВИЙ АКТ</w:t>
      </w:r>
    </w:p>
    <w:p w:rsidR="00AD4CD7" w:rsidRDefault="00F46CF5">
      <w:pPr>
        <w:spacing w:line="360" w:lineRule="auto"/>
        <w:rPr>
          <w:rStyle w:val="Hyperlink0"/>
        </w:rPr>
      </w:pPr>
      <w:r>
        <w:rPr>
          <w:rFonts w:ascii="Times New Roman" w:hAnsi="Times New Roman"/>
          <w:sz w:val="28"/>
          <w:szCs w:val="28"/>
          <w:u w:color="00B050"/>
        </w:rPr>
        <w:t xml:space="preserve">1.1. Теорії лінгвістичної ввічливості та мовленнєвих актів як тоететичне підгрунтя вивчення вислювлювань погрози </w:t>
      </w:r>
      <w:r>
        <w:rPr>
          <w:rStyle w:val="Hyperlink0"/>
        </w:rPr>
        <w:t xml:space="preserve">…….………………. </w:t>
      </w:r>
      <w:r w:rsidRPr="007F25DD">
        <w:rPr>
          <w:rStyle w:val="Hyperlink0"/>
        </w:rPr>
        <w:t>8</w:t>
      </w:r>
    </w:p>
    <w:p w:rsidR="00AD4CD7" w:rsidRDefault="00F46CF5">
      <w:pPr>
        <w:pStyle w:val="4"/>
        <w:spacing w:after="0" w:line="360" w:lineRule="auto"/>
        <w:jc w:val="both"/>
        <w:rPr>
          <w:sz w:val="28"/>
          <w:szCs w:val="28"/>
        </w:rPr>
      </w:pPr>
      <w:r>
        <w:rPr>
          <w:sz w:val="28"/>
          <w:szCs w:val="28"/>
        </w:rPr>
        <w:t>1.2 Визначення мовленнєвого акту погрози як гібридного мовленнєвого акту……………………….……………………………………………………….</w:t>
      </w:r>
      <w:r w:rsidRPr="007F25DD">
        <w:rPr>
          <w:sz w:val="28"/>
          <w:szCs w:val="28"/>
        </w:rPr>
        <w:t>17</w:t>
      </w:r>
    </w:p>
    <w:p w:rsidR="00AD4CD7" w:rsidRDefault="00F46CF5">
      <w:pPr>
        <w:pStyle w:val="Default"/>
        <w:spacing w:line="360" w:lineRule="auto"/>
        <w:rPr>
          <w:sz w:val="28"/>
          <w:szCs w:val="28"/>
        </w:rPr>
      </w:pPr>
      <w:r>
        <w:rPr>
          <w:sz w:val="28"/>
          <w:szCs w:val="28"/>
        </w:rPr>
        <w:t>1.3 Умови успішності мовленнєвого акту погрози……………………..</w:t>
      </w:r>
      <w:r w:rsidRPr="007F25DD">
        <w:rPr>
          <w:sz w:val="28"/>
          <w:szCs w:val="28"/>
        </w:rPr>
        <w:t>24</w:t>
      </w:r>
    </w:p>
    <w:p w:rsidR="00AD4CD7" w:rsidRPr="005C0BFF" w:rsidRDefault="005C0BFF" w:rsidP="005C0BFF">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Висновки до розділу ………………………………………………………….. </w:t>
      </w:r>
      <w:r w:rsidR="006E10F7">
        <w:rPr>
          <w:rFonts w:ascii="Times New Roman" w:eastAsia="Times New Roman" w:hAnsi="Times New Roman" w:cs="Times New Roman"/>
          <w:sz w:val="28"/>
          <w:szCs w:val="28"/>
          <w:lang w:val="uk-UA"/>
        </w:rPr>
        <w:t>28</w:t>
      </w:r>
    </w:p>
    <w:p w:rsidR="00AD4CD7" w:rsidRDefault="00F46CF5">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Fonts w:ascii="Times New Roman" w:eastAsia="Times New Roman" w:hAnsi="Times New Roman" w:cs="Times New Roman"/>
          <w:sz w:val="28"/>
          <w:szCs w:val="28"/>
        </w:rPr>
      </w:pPr>
      <w:r>
        <w:rPr>
          <w:rStyle w:val="Hyperlink0"/>
        </w:rPr>
        <w:t xml:space="preserve">РОЗДІЛ 2. ПРЯМІ ТА НЕПРЯМІ ЗАСОБИ ВИСЛОВЛЕННЯ ПОГРОЗИ У ХУДОЖНЬОМУ </w:t>
      </w:r>
      <w:r>
        <w:rPr>
          <w:rFonts w:ascii="Times New Roman" w:hAnsi="Times New Roman"/>
          <w:sz w:val="28"/>
          <w:szCs w:val="28"/>
        </w:rPr>
        <w:t>ДИСКУРСІ</w:t>
      </w:r>
    </w:p>
    <w:p w:rsidR="00AD4CD7" w:rsidRDefault="00F46CF5">
      <w:pPr>
        <w:pStyle w:val="Default"/>
        <w:spacing w:line="360" w:lineRule="auto"/>
        <w:rPr>
          <w:sz w:val="28"/>
          <w:szCs w:val="28"/>
        </w:rPr>
      </w:pPr>
      <w:r>
        <w:rPr>
          <w:sz w:val="28"/>
          <w:szCs w:val="28"/>
        </w:rPr>
        <w:t xml:space="preserve">2.1 Розмовний діалогічний дискурс як когнітивно-комунікативне </w:t>
      </w:r>
    </w:p>
    <w:p w:rsidR="00AD4CD7" w:rsidRDefault="00F46CF5">
      <w:pPr>
        <w:pStyle w:val="4"/>
        <w:spacing w:after="0" w:line="360" w:lineRule="auto"/>
        <w:jc w:val="both"/>
        <w:rPr>
          <w:sz w:val="28"/>
          <w:szCs w:val="28"/>
        </w:rPr>
      </w:pPr>
      <w:r>
        <w:rPr>
          <w:sz w:val="28"/>
          <w:szCs w:val="28"/>
        </w:rPr>
        <w:t>середовище реалізації мовленнєвого акту погрози…………………….</w:t>
      </w:r>
      <w:r w:rsidRPr="007F25DD">
        <w:rPr>
          <w:sz w:val="28"/>
          <w:szCs w:val="28"/>
        </w:rPr>
        <w:t>31</w:t>
      </w:r>
    </w:p>
    <w:p w:rsidR="00AD4CD7" w:rsidRDefault="00F46CF5">
      <w:pPr>
        <w:pStyle w:val="Default"/>
        <w:spacing w:line="360" w:lineRule="auto"/>
        <w:rPr>
          <w:sz w:val="28"/>
          <w:szCs w:val="28"/>
        </w:rPr>
      </w:pPr>
      <w:r>
        <w:rPr>
          <w:sz w:val="28"/>
          <w:szCs w:val="28"/>
        </w:rPr>
        <w:t>2.2. Різновиди мовленнєвого акту погрози в сучасному англомовному розмовному діалогічному дискурсі…………………………………………….</w:t>
      </w:r>
      <w:r w:rsidRPr="007F25DD">
        <w:rPr>
          <w:sz w:val="28"/>
          <w:szCs w:val="28"/>
        </w:rPr>
        <w:t>36</w:t>
      </w:r>
    </w:p>
    <w:p w:rsidR="00AD4CD7" w:rsidRDefault="00F46CF5">
      <w:pPr>
        <w:pStyle w:val="Default"/>
        <w:spacing w:line="360" w:lineRule="auto"/>
        <w:rPr>
          <w:sz w:val="28"/>
          <w:szCs w:val="28"/>
        </w:rPr>
      </w:pPr>
      <w:r>
        <w:rPr>
          <w:sz w:val="28"/>
          <w:szCs w:val="28"/>
        </w:rPr>
        <w:t>2.3. Експліцитні мовленнєві акти погрози………………………………</w:t>
      </w:r>
      <w:r w:rsidRPr="007F25DD">
        <w:rPr>
          <w:sz w:val="28"/>
          <w:szCs w:val="28"/>
        </w:rPr>
        <w:t>40</w:t>
      </w:r>
    </w:p>
    <w:p w:rsidR="00AD4CD7" w:rsidRDefault="00F46CF5">
      <w:pPr>
        <w:pStyle w:val="Default"/>
        <w:spacing w:line="360" w:lineRule="auto"/>
        <w:rPr>
          <w:sz w:val="28"/>
          <w:szCs w:val="28"/>
        </w:rPr>
      </w:pPr>
      <w:r>
        <w:rPr>
          <w:sz w:val="28"/>
          <w:szCs w:val="28"/>
        </w:rPr>
        <w:t>2.4. Імплікативні мовленнєві акти погрози ……………………………..</w:t>
      </w:r>
      <w:r w:rsidRPr="007F25DD">
        <w:rPr>
          <w:sz w:val="28"/>
          <w:szCs w:val="28"/>
        </w:rPr>
        <w:t>41</w:t>
      </w:r>
    </w:p>
    <w:p w:rsidR="005C0BFF" w:rsidRPr="005C0BFF" w:rsidRDefault="005C0BFF" w:rsidP="005C0BFF">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Висновки до розділу ………………………………………………………….. </w:t>
      </w:r>
      <w:r w:rsidR="006E10F7">
        <w:rPr>
          <w:rFonts w:ascii="Times New Roman" w:eastAsia="Times New Roman" w:hAnsi="Times New Roman" w:cs="Times New Roman"/>
          <w:sz w:val="28"/>
          <w:szCs w:val="28"/>
          <w:lang w:val="uk-UA"/>
        </w:rPr>
        <w:t>44</w:t>
      </w:r>
    </w:p>
    <w:p w:rsidR="00AD4CD7" w:rsidRDefault="00AD4CD7">
      <w:pPr>
        <w:pStyle w:val="Default"/>
        <w:spacing w:line="360" w:lineRule="auto"/>
        <w:rPr>
          <w:rStyle w:val="A6"/>
          <w:sz w:val="28"/>
          <w:szCs w:val="28"/>
        </w:rPr>
      </w:pPr>
    </w:p>
    <w:p w:rsidR="00AD4CD7" w:rsidRDefault="00F46CF5">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Fonts w:ascii="Times New Roman" w:eastAsia="Times New Roman" w:hAnsi="Times New Roman" w:cs="Times New Roman"/>
          <w:sz w:val="28"/>
          <w:szCs w:val="28"/>
        </w:rPr>
      </w:pPr>
      <w:r>
        <w:rPr>
          <w:rFonts w:ascii="Times New Roman" w:hAnsi="Times New Roman"/>
          <w:sz w:val="28"/>
          <w:szCs w:val="28"/>
        </w:rPr>
        <w:t>РОЗДІЛ 3. ДОСЛІДЖЕННЯ ІНТОНАЦІЙНИХ ЗАСОБІВ ВИСЛОВЛЕННЯ ПОГРОЗИ У ХУДОЖНЬОМУ КІНОДИСКУРСІ</w:t>
      </w:r>
    </w:p>
    <w:p w:rsidR="00AD4CD7" w:rsidRDefault="00F46CF5">
      <w:pPr>
        <w:pStyle w:val="Default"/>
        <w:spacing w:line="360" w:lineRule="auto"/>
        <w:rPr>
          <w:sz w:val="28"/>
          <w:szCs w:val="28"/>
        </w:rPr>
      </w:pPr>
      <w:r>
        <w:rPr>
          <w:sz w:val="28"/>
          <w:szCs w:val="28"/>
        </w:rPr>
        <w:t>3.1. Методика аудиторського дослідженя…………………………….....</w:t>
      </w:r>
      <w:r w:rsidRPr="007F25DD">
        <w:rPr>
          <w:sz w:val="28"/>
          <w:szCs w:val="28"/>
        </w:rPr>
        <w:t>45</w:t>
      </w:r>
    </w:p>
    <w:p w:rsidR="00AD4CD7" w:rsidRDefault="00F46CF5">
      <w:pPr>
        <w:pStyle w:val="Default"/>
        <w:spacing w:line="360" w:lineRule="auto"/>
        <w:rPr>
          <w:sz w:val="28"/>
          <w:szCs w:val="28"/>
        </w:rPr>
      </w:pPr>
      <w:r>
        <w:rPr>
          <w:sz w:val="28"/>
          <w:szCs w:val="28"/>
        </w:rPr>
        <w:t>3.2. Результати аудиторського дослідження…………………………….47</w:t>
      </w:r>
    </w:p>
    <w:p w:rsidR="00AD4CD7" w:rsidRDefault="00F46CF5">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3.3. Методика електро-акустичного дослідження ……………………</w:t>
      </w:r>
      <w:r w:rsidR="006E10F7">
        <w:rPr>
          <w:rFonts w:ascii="Times New Roman" w:hAnsi="Times New Roman"/>
          <w:sz w:val="28"/>
          <w:szCs w:val="28"/>
          <w:u w:color="00B050"/>
          <w:lang w:val="uk-UA"/>
        </w:rPr>
        <w:t>..</w:t>
      </w:r>
      <w:r>
        <w:rPr>
          <w:rFonts w:ascii="Times New Roman" w:hAnsi="Times New Roman"/>
          <w:sz w:val="28"/>
          <w:szCs w:val="28"/>
          <w:u w:color="00B050"/>
        </w:rPr>
        <w:t>54</w:t>
      </w:r>
    </w:p>
    <w:p w:rsidR="00AD4CD7" w:rsidRDefault="00F46CF5">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Style w:val="Hyperlink0"/>
        </w:rPr>
      </w:pPr>
      <w:r>
        <w:rPr>
          <w:rFonts w:ascii="Times New Roman" w:hAnsi="Times New Roman"/>
          <w:sz w:val="28"/>
          <w:szCs w:val="28"/>
          <w:u w:color="00B050"/>
        </w:rPr>
        <w:t xml:space="preserve">3.4. Результати електро-акустичного дослідження </w:t>
      </w:r>
      <w:r>
        <w:rPr>
          <w:rStyle w:val="Hyperlink0"/>
        </w:rPr>
        <w:t>……………………57</w:t>
      </w:r>
    </w:p>
    <w:p w:rsidR="005C0BFF" w:rsidRPr="005C0BFF" w:rsidRDefault="005C0BFF" w:rsidP="005C0BFF">
      <w:pPr>
        <w:pStyle w:val="a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8849"/>
        </w:tabs>
        <w:spacing w:line="360" w:lineRule="auto"/>
        <w:ind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Висновки до розділу ………………………………………………………….. </w:t>
      </w:r>
      <w:r w:rsidR="006E10F7">
        <w:rPr>
          <w:rFonts w:ascii="Times New Roman" w:eastAsia="Times New Roman" w:hAnsi="Times New Roman" w:cs="Times New Roman"/>
          <w:sz w:val="28"/>
          <w:szCs w:val="28"/>
          <w:lang w:val="uk-UA"/>
        </w:rPr>
        <w:t>62</w:t>
      </w:r>
    </w:p>
    <w:p w:rsidR="00AD4CD7" w:rsidRPr="006E10F7" w:rsidRDefault="00F46CF5" w:rsidP="006E10F7">
      <w:pPr>
        <w:pStyle w:val="4"/>
        <w:spacing w:line="360" w:lineRule="auto"/>
        <w:ind w:firstLine="0"/>
        <w:jc w:val="both"/>
        <w:rPr>
          <w:sz w:val="28"/>
          <w:szCs w:val="28"/>
          <w:lang w:val="uk-UA"/>
        </w:rPr>
      </w:pPr>
      <w:r w:rsidRPr="006E10F7">
        <w:rPr>
          <w:sz w:val="28"/>
          <w:szCs w:val="28"/>
          <w:lang w:val="uk-UA"/>
        </w:rPr>
        <w:t>ВИСНОВКИ .……………………………………………………………</w:t>
      </w:r>
      <w:r w:rsidR="006E10F7">
        <w:rPr>
          <w:sz w:val="28"/>
          <w:szCs w:val="28"/>
          <w:lang w:val="uk-UA"/>
        </w:rPr>
        <w:t>…….</w:t>
      </w:r>
      <w:r w:rsidRPr="006E10F7">
        <w:rPr>
          <w:sz w:val="28"/>
          <w:szCs w:val="28"/>
          <w:lang w:val="uk-UA"/>
        </w:rPr>
        <w:t>..65</w:t>
      </w:r>
    </w:p>
    <w:p w:rsidR="00AD4CD7" w:rsidRPr="006E10F7" w:rsidRDefault="00F46CF5" w:rsidP="006E10F7">
      <w:pPr>
        <w:pStyle w:val="4"/>
        <w:spacing w:line="360" w:lineRule="auto"/>
        <w:ind w:firstLine="0"/>
        <w:jc w:val="both"/>
        <w:rPr>
          <w:sz w:val="28"/>
          <w:szCs w:val="28"/>
          <w:lang w:val="uk-UA"/>
        </w:rPr>
      </w:pPr>
      <w:r w:rsidRPr="006E10F7">
        <w:rPr>
          <w:sz w:val="28"/>
          <w:szCs w:val="28"/>
          <w:lang w:val="uk-UA"/>
        </w:rPr>
        <w:t>БІБЛІОГРАФІЯ…………………………………………………………</w:t>
      </w:r>
      <w:r w:rsidR="006E10F7">
        <w:rPr>
          <w:sz w:val="28"/>
          <w:szCs w:val="28"/>
          <w:lang w:val="uk-UA"/>
        </w:rPr>
        <w:t>…….…</w:t>
      </w:r>
      <w:r w:rsidRPr="006E10F7">
        <w:rPr>
          <w:sz w:val="28"/>
          <w:szCs w:val="28"/>
          <w:lang w:val="uk-UA"/>
        </w:rPr>
        <w:t>70</w:t>
      </w:r>
    </w:p>
    <w:p w:rsidR="00AD4CD7" w:rsidRPr="006E10F7" w:rsidRDefault="00F46CF5" w:rsidP="006E10F7">
      <w:pPr>
        <w:spacing w:line="360" w:lineRule="auto"/>
        <w:ind w:firstLine="0"/>
        <w:rPr>
          <w:rFonts w:ascii="Times New Roman" w:eastAsia="Times New Roman" w:hAnsi="Times New Roman" w:cs="Times New Roman"/>
          <w:sz w:val="28"/>
          <w:szCs w:val="28"/>
          <w:lang w:val="uk-UA"/>
        </w:rPr>
      </w:pPr>
      <w:r>
        <w:rPr>
          <w:rFonts w:ascii="Times New Roman" w:hAnsi="Times New Roman"/>
          <w:sz w:val="28"/>
          <w:szCs w:val="28"/>
          <w:lang w:val="en-US"/>
        </w:rPr>
        <w:t>SUMMARY</w:t>
      </w:r>
      <w:r w:rsidRPr="006E10F7">
        <w:rPr>
          <w:rFonts w:ascii="Times New Roman" w:hAnsi="Times New Roman"/>
          <w:sz w:val="28"/>
          <w:szCs w:val="28"/>
          <w:lang w:val="uk-UA"/>
        </w:rPr>
        <w:t xml:space="preserve"> ………………………………………………………………</w:t>
      </w:r>
      <w:r w:rsidR="006E10F7">
        <w:rPr>
          <w:rFonts w:ascii="Times New Roman" w:hAnsi="Times New Roman"/>
          <w:sz w:val="28"/>
          <w:szCs w:val="28"/>
          <w:lang w:val="uk-UA"/>
        </w:rPr>
        <w:t>…….</w:t>
      </w:r>
      <w:r w:rsidRPr="006E10F7">
        <w:rPr>
          <w:rFonts w:ascii="Times New Roman" w:hAnsi="Times New Roman"/>
          <w:sz w:val="28"/>
          <w:szCs w:val="28"/>
          <w:lang w:val="uk-UA"/>
        </w:rPr>
        <w:t xml:space="preserve"> 79</w:t>
      </w:r>
    </w:p>
    <w:p w:rsidR="00AD4CD7" w:rsidRPr="006E10F7" w:rsidRDefault="00F46CF5">
      <w:pPr>
        <w:spacing w:after="160" w:line="360" w:lineRule="auto"/>
        <w:ind w:firstLine="0"/>
        <w:jc w:val="center"/>
        <w:rPr>
          <w:rFonts w:ascii="Times New Roman" w:eastAsia="Times New Roman" w:hAnsi="Times New Roman" w:cs="Times New Roman"/>
          <w:b/>
          <w:bCs/>
          <w:sz w:val="28"/>
          <w:szCs w:val="28"/>
          <w:lang w:val="uk-UA"/>
        </w:rPr>
      </w:pPr>
      <w:r w:rsidRPr="006E10F7">
        <w:rPr>
          <w:rFonts w:ascii="Times New Roman" w:hAnsi="Times New Roman"/>
          <w:b/>
          <w:bCs/>
          <w:sz w:val="28"/>
          <w:szCs w:val="28"/>
          <w:lang w:val="uk-UA"/>
        </w:rPr>
        <w:lastRenderedPageBreak/>
        <w:t>ВСТУП</w:t>
      </w:r>
    </w:p>
    <w:p w:rsidR="00AD4CD7" w:rsidRPr="00E83DBF" w:rsidRDefault="00F46CF5">
      <w:pPr>
        <w:spacing w:line="360" w:lineRule="auto"/>
        <w:jc w:val="both"/>
        <w:rPr>
          <w:rFonts w:ascii="Times New Roman" w:eastAsia="Times New Roman" w:hAnsi="Times New Roman" w:cs="Times New Roman"/>
          <w:sz w:val="28"/>
          <w:szCs w:val="28"/>
          <w:lang w:val="uk-UA"/>
        </w:rPr>
      </w:pPr>
      <w:r w:rsidRPr="006E10F7">
        <w:rPr>
          <w:rFonts w:ascii="Times New Roman" w:hAnsi="Times New Roman"/>
          <w:sz w:val="28"/>
          <w:szCs w:val="28"/>
          <w:lang w:val="uk-UA"/>
        </w:rPr>
        <w:t>Останнім часом лінгвістика зосередила пильну увагу на вивченні мовленнєвих особливостей конфліктного спілкування. Викрем</w:t>
      </w:r>
      <w:r w:rsidRPr="00E83DBF">
        <w:rPr>
          <w:rFonts w:ascii="Times New Roman" w:hAnsi="Times New Roman"/>
          <w:sz w:val="28"/>
          <w:szCs w:val="28"/>
          <w:lang w:val="uk-UA"/>
        </w:rPr>
        <w:t xml:space="preserve">люється конфліктний дискурс [Гридасова, 2010; Фролова, 2018], вивчаються особливості вербальної агресії [Бублік, 2012; Воронцова, 2006; Клюєв, 2002; Чайка, 2018], характеристики інвективної лексики [Жельвіс, 2001; Негляд, 2019], конфронтаційні стратегії [Панова, 2009; Заложна, 2011; Мулькєєва, 2006; Хорошилова, 2014]. </w:t>
      </w:r>
    </w:p>
    <w:p w:rsidR="00AD4CD7" w:rsidRDefault="00F46CF5">
      <w:pPr>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Конфлікт можна розглядати у широкому та вузькому сенсах. У широкому значенні конфлікт постає як феномен соціального порядку, об'єкт нелінгвістичної реальності – стан протиборства, непримиренної розбіжності між суб'єктами чи групами суб'єктів. У вузькому трактуванні конфлікт є актом комунікації, способом вирішення розбіжностей, які у як актуальному, і глобальному контекстах.</w:t>
      </w:r>
    </w:p>
    <w:p w:rsidR="00AD4CD7" w:rsidRDefault="00F46CF5">
      <w:pPr>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У конфліктної комунікації учасники обирають певні моделі мовленнєвої поведінки: ініціатор конфліктного діалогу переслідує певні цілі (власної емоційної розрядки та впливу, зокрема й маніпулятивного, на поведінку опонента, його емоційний стан, на ціннісну картину світу); суб'єкт агресії або займає позицію реципієнта, або протистоїть стратегіям мовця.</w:t>
      </w:r>
    </w:p>
    <w:p w:rsidR="00AD4CD7" w:rsidRDefault="00F46CF5">
      <w:pPr>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 xml:space="preserve">Конфліктний дискурс розглядається у широкому та вузькому трактуванні. У широкому трактуванні – як «практика» конфліктної взаємодії мовців, яка включає весь попередній актуальному дискурсу та подальший за ним комунікативний досвід учасників дискурсу. Подібна «практика», безумовно, детермінована лінгвокультурними та історико-культурними особливостями спілкування та відображає зміни у світогляді, ідеології конкретного суспільства, а також те, які комунікативні та мовні стратегії та тактики учасників взаємодії релевантні чи, навпаки, архаїчні у сучасному контексті. У вузькому трактуванні, у межах теорії мовленнєвої комунікації, конфліктний дискурс співвідноситься з комунікативним дією (в трактуванні ван Дейка), мовленнєвим актом комунікації, притаманним будь-якій сфери </w:t>
      </w:r>
      <w:r>
        <w:rPr>
          <w:rFonts w:ascii="Times New Roman" w:hAnsi="Times New Roman"/>
          <w:sz w:val="28"/>
          <w:szCs w:val="28"/>
          <w:u w:color="00B050"/>
        </w:rPr>
        <w:lastRenderedPageBreak/>
        <w:t>діяльності. У цьому контексті конфлікт не єдиною, а однією з форм взаємодії в конфліктному дискурсі.</w:t>
      </w:r>
    </w:p>
    <w:p w:rsidR="00AD4CD7" w:rsidRDefault="00F46CF5">
      <w:pPr>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Слід визнати, що незважаючи на значну кількість досліджень вербальної агресії (на прикладах юридичного, побутового, ділового та медіадискурсів) (Т.Г. Винокур, О.А. Даниленко, В.І. Карасік, В.С. Третьякова, J. ​​Burton D. Mayer), як і раніше, невирішеним залишається питання про просодичний компонент конфліктної взаємодії. На даний момент у низці досліджень у рамках прагмафонетики та конверсаційної фонетики було проаналізовано окремі просодичні одиниці мови та встановлено їх конфліктогенний потенціал у різних видах дискурсу (С.В. Кодзасов, Р.К. Потапова, E. Couper-Kuhlen, J. Wells, A. Wichmann, та ін).</w:t>
      </w:r>
    </w:p>
    <w:p w:rsidR="00AD4CD7" w:rsidRDefault="00F46CF5">
      <w:pPr>
        <w:spacing w:line="360" w:lineRule="auto"/>
        <w:jc w:val="both"/>
        <w:rPr>
          <w:rStyle w:val="Hyperlink0"/>
        </w:rPr>
      </w:pPr>
      <w:r>
        <w:rPr>
          <w:rStyle w:val="Hyperlink0"/>
        </w:rPr>
        <w:t>Особливу увагу викликає мовленнєвий акт погрози, виокремлений як особливий іллокутивний тип – менасив [Арский, 1998; Жучков,  2010; Пономаренко, 2019].</w:t>
      </w:r>
    </w:p>
    <w:p w:rsidR="00AD4CD7" w:rsidRDefault="00F46CF5">
      <w:pPr>
        <w:spacing w:line="360" w:lineRule="auto"/>
        <w:jc w:val="both"/>
        <w:rPr>
          <w:rStyle w:val="Hyperlink0"/>
        </w:rPr>
      </w:pPr>
      <w:r>
        <w:rPr>
          <w:rStyle w:val="Hyperlink0"/>
        </w:rPr>
        <w:t>Увага до цього типу висловлювань пояснюється їхньою складною природою: з одного боку, мовленнєві акти погрози будуються за законами прагматики молення; з іншого боку, вони тісно пов'язані з емоціями, оскільки є актами агресії. Тісне переплетення раціонального та емоційного в мовленнєвій дії погрози становить безперечний інтерес для лінгвістики.</w:t>
      </w:r>
    </w:p>
    <w:p w:rsidR="00AD4CD7" w:rsidRDefault="00F46CF5">
      <w:pPr>
        <w:spacing w:line="360" w:lineRule="auto"/>
        <w:jc w:val="both"/>
        <w:rPr>
          <w:rStyle w:val="Hyperlink0"/>
        </w:rPr>
      </w:pPr>
      <w:r>
        <w:rPr>
          <w:rFonts w:ascii="Times New Roman" w:hAnsi="Times New Roman"/>
          <w:sz w:val="28"/>
          <w:szCs w:val="28"/>
          <w:u w:color="00B050"/>
        </w:rPr>
        <w:t>Принципова відмінність даної роботи полягає у спробі комплексного аналізу просодичної складової конфліктного дискурсу, зокрема мовленнєвого акту погрози у кінодискурсі, та виявлення «просодичних конфліктогенів» – просодичних засобів, що маркують конфліктну комунікацію. При цьому, дотримуючись традицій сучасної прагмафонетики та конверсаційної фонетики, велика увага в даній роботі приділяється проблемам взаємовпливу контексту та просодії. У руслі даних напрямів фонетичних досліджень ми спираємося одне із ключових положень у тому, що просодична реалізація конфліктного дискурсу зумовлена ​​глобальним і актуальним екстралінгвістичним контекстом, тобто комплексом соціально-особистісних, соціально-ідеологічних, історико-культурних чинників.</w:t>
      </w:r>
    </w:p>
    <w:p w:rsidR="00AD4CD7" w:rsidRDefault="00F46CF5">
      <w:pPr>
        <w:spacing w:line="360" w:lineRule="auto"/>
        <w:jc w:val="both"/>
        <w:rPr>
          <w:rStyle w:val="Hyperlink0"/>
        </w:rPr>
      </w:pPr>
      <w:r>
        <w:rPr>
          <w:rStyle w:val="Hyperlink0"/>
        </w:rPr>
        <w:lastRenderedPageBreak/>
        <w:t>Мовленнєвий акт погрози вивчається у фонетичному [Бут, 2004], іллокутивному [Карчевскі, 2005], перлокутивному [Паповянц, 2004], жанровому [Багдасарян, 2002], когнітивному [Пономаренко, 2019], дискурсивному [Мартинова, 2005] аспектах. Проте ще багато питань очікують на своє розв’язання, до них, зокрема, належать рівневі засоби вираження погрози в англомовному дискурсі. Тож назріла потреба  розгляду погрози в розмовному діалогічному дискурсі під кутом зору дискурсивної прагмалінгвістики, яка інтегрує когнітивні, комунікативні, соціолінгвістичні, етнокультурні й інтеракційні особливості мовленнєвої діяльності суб’єктів комунікації. Такий підхід уможливлює  вивчення мовленнєвого акту погрози з урахуванням усіх аспектів дискурсивної взаємодії комунікантів.</w:t>
      </w:r>
    </w:p>
    <w:p w:rsidR="00AD4CD7" w:rsidRDefault="00F46CF5">
      <w:pPr>
        <w:spacing w:line="360" w:lineRule="auto"/>
        <w:jc w:val="both"/>
        <w:rPr>
          <w:rStyle w:val="Hyperlink0"/>
        </w:rPr>
      </w:pPr>
      <w:r>
        <w:rPr>
          <w:rStyle w:val="Hyperlink0"/>
        </w:rPr>
        <w:t xml:space="preserve">Ці наявні лакуни свідчать про </w:t>
      </w:r>
      <w:r>
        <w:rPr>
          <w:rFonts w:ascii="Times New Roman" w:hAnsi="Times New Roman"/>
          <w:b/>
          <w:bCs/>
          <w:sz w:val="28"/>
          <w:szCs w:val="28"/>
        </w:rPr>
        <w:t>актуальність</w:t>
      </w:r>
      <w:r>
        <w:rPr>
          <w:rStyle w:val="Hyperlink0"/>
        </w:rPr>
        <w:t xml:space="preserve"> дослідження погрози в зображеній комунікації англомовного літературного дискурсу. </w:t>
      </w:r>
    </w:p>
    <w:p w:rsidR="00AD4CD7" w:rsidRDefault="00F46CF5">
      <w:pPr>
        <w:spacing w:line="360" w:lineRule="auto"/>
        <w:ind w:firstLine="720"/>
        <w:jc w:val="both"/>
        <w:rPr>
          <w:rStyle w:val="Hyperlink0"/>
        </w:rPr>
      </w:pPr>
      <w:r>
        <w:rPr>
          <w:rFonts w:ascii="Times New Roman" w:hAnsi="Times New Roman"/>
          <w:b/>
          <w:bCs/>
          <w:spacing w:val="-1"/>
          <w:sz w:val="28"/>
          <w:szCs w:val="28"/>
        </w:rPr>
        <w:t>Об’єктом</w:t>
      </w:r>
      <w:r>
        <w:rPr>
          <w:rFonts w:ascii="Times New Roman" w:hAnsi="Times New Roman"/>
          <w:spacing w:val="-1"/>
          <w:sz w:val="28"/>
          <w:szCs w:val="28"/>
        </w:rPr>
        <w:t xml:space="preserve"> дослідження стали </w:t>
      </w:r>
      <w:r>
        <w:rPr>
          <w:rStyle w:val="Hyperlink0"/>
        </w:rPr>
        <w:t xml:space="preserve">комунікативні ситуації погрози в художній зображеній комунікації, зокрема в художньому літературному дискурсі та в кінодискурсі. </w:t>
      </w:r>
    </w:p>
    <w:p w:rsidR="00AD4CD7" w:rsidRDefault="00F46CF5">
      <w:pPr>
        <w:spacing w:line="360" w:lineRule="auto"/>
        <w:jc w:val="both"/>
        <w:rPr>
          <w:rStyle w:val="Hyperlink0"/>
        </w:rPr>
      </w:pPr>
      <w:r>
        <w:rPr>
          <w:rFonts w:ascii="Times New Roman" w:hAnsi="Times New Roman"/>
          <w:b/>
          <w:bCs/>
          <w:sz w:val="28"/>
          <w:szCs w:val="28"/>
        </w:rPr>
        <w:t>Предмет</w:t>
      </w:r>
      <w:r>
        <w:rPr>
          <w:rStyle w:val="Hyperlink0"/>
        </w:rPr>
        <w:t xml:space="preserve"> дослідження становлять просодичні засоби вираження погрози в сучасному англомовному художньому кінодискурсі.</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b/>
          <w:bCs/>
          <w:sz w:val="28"/>
          <w:szCs w:val="28"/>
        </w:rPr>
        <w:t xml:space="preserve">Актуальність </w:t>
      </w:r>
      <w:r>
        <w:rPr>
          <w:rStyle w:val="Hyperlink0"/>
        </w:rPr>
        <w:t xml:space="preserve">даного </w:t>
      </w:r>
      <w:r>
        <w:rPr>
          <w:rFonts w:ascii="Times New Roman" w:hAnsi="Times New Roman"/>
          <w:sz w:val="28"/>
          <w:szCs w:val="28"/>
        </w:rPr>
        <w:t>дослідження визначається інтересом сучасної лінгвістики до функціонування мовленнєвих одиниць в дискурсі і вивчення несиметричних стосунків між смислами, які висловлюються в процесі комунікації і мовленнєвими формами, завдяки яким ці смисли виражені.</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b/>
          <w:bCs/>
          <w:sz w:val="28"/>
          <w:szCs w:val="28"/>
        </w:rPr>
        <w:t>Мета</w:t>
      </w:r>
      <w:r>
        <w:rPr>
          <w:rFonts w:ascii="Times New Roman" w:hAnsi="Times New Roman"/>
          <w:sz w:val="28"/>
          <w:szCs w:val="28"/>
        </w:rPr>
        <w:t xml:space="preserve"> дослідження полягає у встановленні мовленнєвих та невербальних засобів вираження погрози в англомовному художньому дискурсі та в кінодискурсі.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Меті дослідження підпорядковується вирішення таких </w:t>
      </w:r>
      <w:r>
        <w:rPr>
          <w:rFonts w:ascii="Times New Roman" w:hAnsi="Times New Roman"/>
          <w:b/>
          <w:bCs/>
          <w:sz w:val="28"/>
          <w:szCs w:val="28"/>
        </w:rPr>
        <w:t>завдань</w:t>
      </w:r>
      <w:r>
        <w:rPr>
          <w:rFonts w:ascii="Times New Roman" w:hAnsi="Times New Roman"/>
          <w:sz w:val="28"/>
          <w:szCs w:val="28"/>
        </w:rPr>
        <w:t>:</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1. обґрунтувати гібридний іллокутивний статус погрози;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2. визначити успішні умови реалізації МА погрози;</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4. проаналізувати типи МА погрози за критерієм способу вираження;</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5. встановити прямі та непрямі засоби вираження погрози в англомовному художньому дискурсі;</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6. на підставі власного аудиторського та електро-акустичного дослідження встановити інтонаційні засоби вираження погрози в англомовному кінодискурсі.</w:t>
      </w:r>
    </w:p>
    <w:p w:rsidR="00AD4CD7" w:rsidRPr="007F25DD"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В дослідженні використано загальнонаукові та спеціальні лінгвістичні дослідницькі </w:t>
      </w:r>
      <w:r>
        <w:rPr>
          <w:rFonts w:ascii="Times New Roman" w:hAnsi="Times New Roman"/>
          <w:b/>
          <w:bCs/>
          <w:sz w:val="28"/>
          <w:szCs w:val="28"/>
        </w:rPr>
        <w:t>методи</w:t>
      </w:r>
      <w:r>
        <w:rPr>
          <w:rFonts w:ascii="Times New Roman" w:hAnsi="Times New Roman"/>
          <w:sz w:val="28"/>
          <w:szCs w:val="28"/>
        </w:rPr>
        <w:t xml:space="preserve">. Серед </w:t>
      </w:r>
      <w:r>
        <w:rPr>
          <w:rFonts w:ascii="Times New Roman" w:hAnsi="Times New Roman"/>
          <w:i/>
          <w:iCs/>
          <w:sz w:val="28"/>
          <w:szCs w:val="28"/>
        </w:rPr>
        <w:t>загальнонаукових</w:t>
      </w:r>
      <w:r>
        <w:rPr>
          <w:rFonts w:ascii="Times New Roman" w:hAnsi="Times New Roman"/>
          <w:sz w:val="28"/>
          <w:szCs w:val="28"/>
        </w:rPr>
        <w:t xml:space="preserve"> методів у роботі застосовано метод синтезу й аналізу  – для цілісного дослідження окремих комунікативних конструкцій з огляду на їхню участь у реалізації погрози; метод спостереження</w:t>
      </w:r>
      <w:r w:rsidR="007F25DD">
        <w:rPr>
          <w:rFonts w:ascii="Times New Roman" w:hAnsi="Times New Roman"/>
          <w:sz w:val="28"/>
          <w:szCs w:val="28"/>
          <w:lang w:val="uk-UA"/>
        </w:rPr>
        <w:t>,</w:t>
      </w:r>
      <w:r>
        <w:rPr>
          <w:rFonts w:ascii="Times New Roman" w:hAnsi="Times New Roman"/>
          <w:sz w:val="28"/>
          <w:szCs w:val="28"/>
        </w:rPr>
        <w:t xml:space="preserve"> який уможливив виявлення характерних ознак </w:t>
      </w:r>
      <w:r w:rsidR="007F25DD">
        <w:rPr>
          <w:rFonts w:ascii="Times New Roman" w:hAnsi="Times New Roman"/>
          <w:sz w:val="28"/>
          <w:szCs w:val="28"/>
          <w:lang w:val="uk-UA"/>
        </w:rPr>
        <w:t>висловлень погрози</w:t>
      </w:r>
      <w:r>
        <w:rPr>
          <w:rFonts w:ascii="Times New Roman" w:hAnsi="Times New Roman"/>
          <w:sz w:val="28"/>
          <w:szCs w:val="28"/>
        </w:rPr>
        <w:t xml:space="preserve">; описовий метод – для планомірної інвентаризації та виокремлення ознак аналізованого фактичного матеріалу. У межах </w:t>
      </w:r>
      <w:r>
        <w:rPr>
          <w:rFonts w:ascii="Times New Roman" w:hAnsi="Times New Roman"/>
          <w:i/>
          <w:iCs/>
          <w:sz w:val="28"/>
          <w:szCs w:val="28"/>
        </w:rPr>
        <w:t>спеціальних</w:t>
      </w:r>
      <w:r>
        <w:rPr>
          <w:rFonts w:ascii="Times New Roman" w:hAnsi="Times New Roman"/>
          <w:sz w:val="28"/>
          <w:szCs w:val="28"/>
        </w:rPr>
        <w:t xml:space="preserve"> мовознавчих методів застосовано прагмалінгвістичний метод – для аналізу інтенції адресанта; когнітивний метод – для простеження зв'язку когнітивних </w:t>
      </w:r>
      <w:r w:rsidR="007F25DD">
        <w:rPr>
          <w:rFonts w:ascii="Times New Roman" w:hAnsi="Times New Roman"/>
          <w:sz w:val="28"/>
          <w:szCs w:val="28"/>
          <w:lang w:val="uk-UA"/>
        </w:rPr>
        <w:t>процесів мислення</w:t>
      </w:r>
      <w:r>
        <w:rPr>
          <w:rFonts w:ascii="Times New Roman" w:hAnsi="Times New Roman"/>
          <w:sz w:val="28"/>
          <w:szCs w:val="28"/>
        </w:rPr>
        <w:t xml:space="preserve"> з мовленням і </w:t>
      </w:r>
      <w:r w:rsidR="007F25DD">
        <w:rPr>
          <w:rFonts w:ascii="Times New Roman" w:hAnsi="Times New Roman"/>
          <w:sz w:val="28"/>
          <w:szCs w:val="28"/>
          <w:lang w:val="uk-UA"/>
        </w:rPr>
        <w:t>їх</w:t>
      </w:r>
      <w:r>
        <w:rPr>
          <w:rFonts w:ascii="Times New Roman" w:hAnsi="Times New Roman"/>
          <w:sz w:val="28"/>
          <w:szCs w:val="28"/>
        </w:rPr>
        <w:t xml:space="preserve"> взаємодії; контекстуально-</w:t>
      </w:r>
      <w:r w:rsidRPr="007F25DD">
        <w:rPr>
          <w:rFonts w:ascii="Times New Roman" w:hAnsi="Times New Roman" w:cs="Times New Roman"/>
          <w:sz w:val="28"/>
          <w:szCs w:val="28"/>
        </w:rPr>
        <w:t>інтерпретаційний аналіз – для інтерпретації інтенцій комунікантів, їхніх пресупозицій, фонових знань</w:t>
      </w:r>
      <w:r w:rsidR="007F25DD" w:rsidRPr="007F25DD">
        <w:rPr>
          <w:rFonts w:ascii="Times New Roman" w:hAnsi="Times New Roman" w:cs="Times New Roman"/>
          <w:sz w:val="28"/>
          <w:szCs w:val="28"/>
          <w:lang w:val="uk-UA"/>
        </w:rPr>
        <w:t xml:space="preserve"> та</w:t>
      </w:r>
      <w:r w:rsidRPr="007F25DD">
        <w:rPr>
          <w:rFonts w:ascii="Times New Roman" w:hAnsi="Times New Roman" w:cs="Times New Roman"/>
          <w:sz w:val="28"/>
          <w:szCs w:val="28"/>
        </w:rPr>
        <w:t xml:space="preserve"> стереотипів як компонентів висловлювань у вибір</w:t>
      </w:r>
      <w:r w:rsidR="007F25DD" w:rsidRPr="007F25DD">
        <w:rPr>
          <w:rFonts w:ascii="Times New Roman" w:hAnsi="Times New Roman" w:cs="Times New Roman"/>
          <w:sz w:val="28"/>
          <w:szCs w:val="28"/>
          <w:lang w:val="uk-UA"/>
        </w:rPr>
        <w:t>ці</w:t>
      </w:r>
      <w:r w:rsidRPr="007F25DD">
        <w:rPr>
          <w:rFonts w:ascii="Times New Roman" w:hAnsi="Times New Roman" w:cs="Times New Roman"/>
          <w:sz w:val="28"/>
          <w:szCs w:val="28"/>
        </w:rPr>
        <w:t xml:space="preserve"> та</w:t>
      </w:r>
      <w:r w:rsidR="007F25DD" w:rsidRPr="007F25DD">
        <w:rPr>
          <w:rFonts w:ascii="Times New Roman" w:hAnsi="Times New Roman" w:cs="Times New Roman"/>
          <w:sz w:val="28"/>
          <w:szCs w:val="28"/>
          <w:lang w:val="uk-UA"/>
        </w:rPr>
        <w:t xml:space="preserve"> інструментально-фонетичний метод</w:t>
      </w:r>
      <w:r w:rsidR="007F25DD">
        <w:rPr>
          <w:rFonts w:ascii="Times New Roman" w:hAnsi="Times New Roman" w:cs="Times New Roman"/>
          <w:sz w:val="28"/>
          <w:szCs w:val="28"/>
          <w:lang w:val="uk-UA"/>
        </w:rPr>
        <w:t xml:space="preserve"> </w:t>
      </w:r>
      <w:r w:rsidRPr="007F25DD">
        <w:rPr>
          <w:rFonts w:ascii="Times New Roman" w:hAnsi="Times New Roman" w:cs="Times New Roman"/>
          <w:sz w:val="28"/>
          <w:szCs w:val="28"/>
        </w:rPr>
        <w:t>– для встановлення інтонаційн</w:t>
      </w:r>
      <w:r w:rsidR="007F25DD">
        <w:rPr>
          <w:rFonts w:ascii="Times New Roman" w:hAnsi="Times New Roman" w:cs="Times New Roman"/>
          <w:sz w:val="28"/>
          <w:szCs w:val="28"/>
          <w:lang w:val="uk-UA"/>
        </w:rPr>
        <w:t>их</w:t>
      </w:r>
      <w:r w:rsidRPr="007F25DD">
        <w:rPr>
          <w:rFonts w:ascii="Times New Roman" w:hAnsi="Times New Roman" w:cs="Times New Roman"/>
          <w:sz w:val="28"/>
          <w:szCs w:val="28"/>
        </w:rPr>
        <w:t xml:space="preserve"> засоб</w:t>
      </w:r>
      <w:r w:rsidR="007F25DD">
        <w:rPr>
          <w:rFonts w:ascii="Times New Roman" w:hAnsi="Times New Roman" w:cs="Times New Roman"/>
          <w:sz w:val="28"/>
          <w:szCs w:val="28"/>
          <w:lang w:val="uk-UA"/>
        </w:rPr>
        <w:t>ів</w:t>
      </w:r>
      <w:r w:rsidRPr="007F25DD">
        <w:rPr>
          <w:rFonts w:ascii="Times New Roman" w:hAnsi="Times New Roman" w:cs="Times New Roman"/>
          <w:sz w:val="28"/>
          <w:szCs w:val="28"/>
        </w:rPr>
        <w:t xml:space="preserve"> вираження погрози в англомовному кінодискурсі.</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b/>
          <w:bCs/>
          <w:sz w:val="28"/>
          <w:szCs w:val="28"/>
        </w:rPr>
        <w:t>Структура роботи</w:t>
      </w:r>
      <w:r>
        <w:rPr>
          <w:rFonts w:ascii="Times New Roman" w:hAnsi="Times New Roman"/>
          <w:sz w:val="28"/>
          <w:szCs w:val="28"/>
        </w:rPr>
        <w:t xml:space="preserve">. </w:t>
      </w:r>
      <w:r w:rsidR="007F25DD">
        <w:rPr>
          <w:rFonts w:ascii="Times New Roman" w:hAnsi="Times New Roman"/>
          <w:sz w:val="28"/>
          <w:szCs w:val="28"/>
          <w:lang w:val="uk-UA"/>
        </w:rPr>
        <w:t>Р</w:t>
      </w:r>
      <w:r>
        <w:rPr>
          <w:rFonts w:ascii="Times New Roman" w:hAnsi="Times New Roman"/>
          <w:sz w:val="28"/>
          <w:szCs w:val="28"/>
        </w:rPr>
        <w:t>обота містить Вступ, три розділи, Висновки, Бібліографію та анотацію англійською мовою.</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У Вступі висвітлено загальну характеристику роботи, предмет та об'єкт дослідження, обґрунтовано актуальність, сформульована основна мета та конкретні завдання.</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Перший розділ, «Погроза як експресивний мовленнєвий акт», присвячено</w:t>
      </w:r>
      <w:r>
        <w:rPr>
          <w:rFonts w:ascii="Times New Roman" w:hAnsi="Times New Roman"/>
          <w:sz w:val="28"/>
          <w:szCs w:val="28"/>
          <w:u w:color="00B050"/>
        </w:rPr>
        <w:t xml:space="preserve"> огляду Теорії лінгвістичної ввічливості та мовленнєвих актів як тоететичному підгрунтю вивчення вислювлювань погрози</w:t>
      </w:r>
      <w:r>
        <w:rPr>
          <w:rFonts w:ascii="Times New Roman" w:hAnsi="Times New Roman"/>
          <w:sz w:val="28"/>
          <w:szCs w:val="28"/>
        </w:rPr>
        <w:t>. Розділ також містить визначення мовленнєвого акту погрози як гібридного мовленнєвого акту та виклад умов успішності мовленнєвого акту погрози.</w:t>
      </w:r>
    </w:p>
    <w:p w:rsidR="00AD4CD7" w:rsidRDefault="00F46CF5">
      <w:pPr>
        <w:spacing w:line="360" w:lineRule="auto"/>
        <w:jc w:val="both"/>
        <w:rPr>
          <w:rStyle w:val="Hyperlink0"/>
        </w:rPr>
      </w:pPr>
      <w:r>
        <w:rPr>
          <w:rFonts w:ascii="Times New Roman" w:hAnsi="Times New Roman"/>
          <w:sz w:val="28"/>
          <w:szCs w:val="28"/>
        </w:rPr>
        <w:lastRenderedPageBreak/>
        <w:t xml:space="preserve">Другий розділ, «Прямі та непрямі засоби висловлення погрози у художньому дискурсі», присвячено аналізові розмовного діалогічного дискурсу з точки зору реалізації мовленнєвого акту погрози, типів мовленнєвого акту погрози за критерієм способу вираження в сучасному англомовному розмовному </w:t>
      </w:r>
      <w:r>
        <w:rPr>
          <w:rStyle w:val="Hyperlink0"/>
        </w:rPr>
        <w:t>діалогічному дискурсі.</w:t>
      </w:r>
    </w:p>
    <w:p w:rsidR="00AD4CD7" w:rsidRDefault="00F46CF5">
      <w:pPr>
        <w:spacing w:line="360" w:lineRule="auto"/>
        <w:jc w:val="both"/>
        <w:rPr>
          <w:rStyle w:val="Hyperlink0"/>
        </w:rPr>
      </w:pPr>
      <w:r>
        <w:rPr>
          <w:rStyle w:val="Hyperlink0"/>
        </w:rPr>
        <w:t>Третій розділ, «</w:t>
      </w:r>
      <w:r>
        <w:rPr>
          <w:rFonts w:ascii="Times New Roman" w:hAnsi="Times New Roman"/>
          <w:sz w:val="28"/>
          <w:szCs w:val="28"/>
          <w:u w:color="00B050"/>
        </w:rPr>
        <w:t>Дослідження інтонаційних засобів висловлення погрози у художньому кінодискурсі</w:t>
      </w:r>
      <w:r>
        <w:rPr>
          <w:rStyle w:val="Hyperlink0"/>
        </w:rPr>
        <w:t xml:space="preserve">», присвячено аналізу інтонаційної організації МА погрози на підставі проведеного аудиторського </w:t>
      </w:r>
      <w:r>
        <w:rPr>
          <w:rFonts w:ascii="Times New Roman" w:hAnsi="Times New Roman"/>
          <w:sz w:val="28"/>
          <w:szCs w:val="28"/>
          <w:u w:color="00B050"/>
        </w:rPr>
        <w:t xml:space="preserve">та електро-акустичного </w:t>
      </w:r>
      <w:r>
        <w:rPr>
          <w:rStyle w:val="Hyperlink0"/>
        </w:rPr>
        <w:t>дослідження усної частини матеріалу дослідження.</w:t>
      </w:r>
    </w:p>
    <w:p w:rsidR="00AD4CD7" w:rsidRDefault="00F46CF5">
      <w:pPr>
        <w:spacing w:line="360" w:lineRule="auto"/>
        <w:jc w:val="both"/>
        <w:rPr>
          <w:rStyle w:val="Hyperlink0"/>
        </w:rPr>
      </w:pPr>
      <w:r>
        <w:rPr>
          <w:rStyle w:val="Hyperlink0"/>
        </w:rPr>
        <w:t>У Висновках в узагальненій формі надаються результати проведеного аудиторського дослідження.</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Бібліографія містить 7</w:t>
      </w:r>
      <w:r w:rsidR="007F25DD">
        <w:rPr>
          <w:rFonts w:ascii="Times New Roman" w:hAnsi="Times New Roman"/>
          <w:sz w:val="28"/>
          <w:szCs w:val="28"/>
          <w:lang w:val="uk-UA"/>
        </w:rPr>
        <w:t>5</w:t>
      </w:r>
      <w:r>
        <w:rPr>
          <w:rFonts w:ascii="Times New Roman" w:hAnsi="Times New Roman"/>
          <w:sz w:val="28"/>
          <w:szCs w:val="28"/>
        </w:rPr>
        <w:t xml:space="preserve"> теоретичних та довідкових джерел, 18 ілюстративних джерел, з яких 11 художніх роанів та 7 художніх фільмів.</w:t>
      </w:r>
    </w:p>
    <w:p w:rsidR="00AD4CD7" w:rsidRDefault="00F46CF5">
      <w:pPr>
        <w:ind w:firstLine="0"/>
      </w:pPr>
      <w:r>
        <w:rPr>
          <w:rFonts w:ascii="Arial Unicode MS" w:hAnsi="Arial Unicode MS"/>
          <w:sz w:val="28"/>
          <w:szCs w:val="28"/>
        </w:rPr>
        <w:br w:type="page"/>
      </w:r>
    </w:p>
    <w:p w:rsidR="00AD4CD7" w:rsidRDefault="00F46CF5">
      <w:pPr>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ВИСНОВКИ</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Погроза є вербально або невербально вираженим наміром завдати фізичної, матеріальної, моральної чи іншої шкоди адресату у разі невиконання поставлених мовцем вимог. МА погрози є самостійним мовленнєвим актом, який не має інваріантих засобів реалізації, оскільки мовленнєві засоби, які використовуються для реалізації МА погрози в мові вербалізують </w:t>
      </w:r>
      <w:r w:rsidR="00B80C85">
        <w:rPr>
          <w:rFonts w:ascii="Times New Roman" w:hAnsi="Times New Roman"/>
          <w:sz w:val="28"/>
          <w:szCs w:val="28"/>
          <w:lang w:val="uk-UA"/>
        </w:rPr>
        <w:t>й</w:t>
      </w:r>
      <w:r>
        <w:rPr>
          <w:rFonts w:ascii="Times New Roman" w:hAnsi="Times New Roman"/>
          <w:sz w:val="28"/>
          <w:szCs w:val="28"/>
        </w:rPr>
        <w:t xml:space="preserve"> інші комунікативні значення.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Погроза як гібридний мовленнєвий акт є проміжною ланкою між директивом і комісивом. Він суміщає у собі риси двох ілокутивних типів: спонукальної (вимогу адресата здійснити певну дію) і комісивної (зобов‘язання мовця виконати певну дію у майбутньому в разі невиконання вимоги) іллокуції. Директивна складова зумовлена первинною ціллю мовця змусити адресата виконати дію, яка може призвести до несприятливих для адресата наслідків.</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Погроза як управління діяльністю і поведінкою співрозмовника передбачає повне ігнорування інтересів останнього, домінування над ним на тлі підвищення власного статусу, а тому вона виступає статусно-маркованим і статусно-фіксованим мовленнєвим актом. Залякування негативними і небажаними для адресата наслідками є спробою вербального насильства над співрозмовником і тиском на нього для досягнення інтересів мовця-агресора. Успіх цієї тактики залежить від уміння мовця майстерно і в правильній «дозі» висловити свою агресію на комунікативного партнера, вплинути, головним чином, на його емоційну сферу і викликати страх.</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Погроза є гібридним МА, оскільки суміщає у собі дві рівноправні іллокуції: директивну (вимога здійснити певну дію всупереч інтересам адресата) та комісивну (зобов’язання мовця виконати певну небажану дію у майбутньому в разі невиконання адресатом вимоги). МА погрози може супроводжуватися супутньою експресивною іллокуцією. Перлокутивною ціллю мовця є змусити адресата виконати певну дію шляхом залякування.</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Способи вираження погрози діляться на вербальні (прямі, непрямі, оказіональні) і невербальні. Найбільш частотним способом вираження менасивних значень є непрямі мовленнєві акти погрози. Непрямі мовленнєві акти містять показники іллокутивної сили для одного типу іллокутивного акту, а здійснюють іллокутивний акт іншого типу.</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За критерієм способів і засобів вираження у англомовному діалогічному дискурсі МА погрози демонструє три типи – експліцитний, імплікативний та комбінований.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Експліцитний МА погрози має вираження у формі структурно-семантичної моделі </w:t>
      </w:r>
      <w:r>
        <w:rPr>
          <w:rFonts w:ascii="Times New Roman" w:hAnsi="Times New Roman"/>
          <w:i/>
          <w:iCs/>
          <w:sz w:val="28"/>
          <w:szCs w:val="28"/>
        </w:rPr>
        <w:t xml:space="preserve">If you do/don’t do </w:t>
      </w:r>
      <w:r>
        <w:rPr>
          <w:rFonts w:ascii="Times New Roman" w:hAnsi="Times New Roman"/>
          <w:i/>
          <w:iCs/>
          <w:sz w:val="28"/>
          <w:szCs w:val="28"/>
          <w:lang w:val="en-US"/>
        </w:rPr>
        <w:t>A</w:t>
      </w:r>
      <w:r>
        <w:rPr>
          <w:rFonts w:ascii="Times New Roman" w:hAnsi="Times New Roman"/>
          <w:i/>
          <w:iCs/>
          <w:sz w:val="28"/>
          <w:szCs w:val="28"/>
        </w:rPr>
        <w:t xml:space="preserve">, I will do/will not do </w:t>
      </w:r>
      <w:r>
        <w:rPr>
          <w:rFonts w:ascii="Times New Roman" w:hAnsi="Times New Roman"/>
          <w:i/>
          <w:iCs/>
          <w:sz w:val="28"/>
          <w:szCs w:val="28"/>
          <w:lang w:val="en-US"/>
        </w:rPr>
        <w:t>B</w:t>
      </w:r>
      <w:r>
        <w:rPr>
          <w:rFonts w:ascii="Times New Roman" w:hAnsi="Times New Roman"/>
          <w:sz w:val="28"/>
          <w:szCs w:val="28"/>
        </w:rPr>
        <w:t xml:space="preserve">, де </w:t>
      </w:r>
      <w:r>
        <w:rPr>
          <w:rFonts w:ascii="Times New Roman" w:hAnsi="Times New Roman"/>
          <w:sz w:val="28"/>
          <w:szCs w:val="28"/>
          <w:lang w:val="en-US"/>
        </w:rPr>
        <w:t>A</w:t>
      </w:r>
      <w:r>
        <w:rPr>
          <w:rFonts w:ascii="Times New Roman" w:hAnsi="Times New Roman"/>
          <w:sz w:val="28"/>
          <w:szCs w:val="28"/>
        </w:rPr>
        <w:t xml:space="preserve"> – вимога адресата здійснити певну дію (директивна складова), а </w:t>
      </w:r>
      <w:r>
        <w:rPr>
          <w:rFonts w:ascii="Times New Roman" w:hAnsi="Times New Roman"/>
          <w:sz w:val="28"/>
          <w:szCs w:val="28"/>
          <w:lang w:val="en-US"/>
        </w:rPr>
        <w:t>B</w:t>
      </w:r>
      <w:r>
        <w:rPr>
          <w:rFonts w:ascii="Times New Roman" w:hAnsi="Times New Roman"/>
          <w:sz w:val="28"/>
          <w:szCs w:val="28"/>
        </w:rPr>
        <w:t xml:space="preserve"> – зобов’язання мовця виконати певну дію у майбутньому в разі невиконання вимоги (комісивна складова).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Імплікативні МА погрози реалізуються в разі вираження директивної та комісивної складових в імплікатурі.</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Комбінованим МА погрози є тоді, коли він реалізується висловленням, у якому директивну і комісивну складові погрози виражено експліцитно, імплікативно або невербально в різних комбінаціях.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За критерієм експлікації МА погрози демонструє три типи – експліцитний, імплікативний, невербальний та їхні комбінації у довільному порядку.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На матеріалі англомовного </w:t>
      </w:r>
      <w:r w:rsidR="00B80C85">
        <w:rPr>
          <w:rFonts w:ascii="Times New Roman" w:hAnsi="Times New Roman"/>
          <w:sz w:val="28"/>
          <w:szCs w:val="28"/>
          <w:lang w:val="uk-UA"/>
        </w:rPr>
        <w:t xml:space="preserve">художнього </w:t>
      </w:r>
      <w:r>
        <w:rPr>
          <w:rFonts w:ascii="Times New Roman" w:hAnsi="Times New Roman"/>
          <w:sz w:val="28"/>
          <w:szCs w:val="28"/>
        </w:rPr>
        <w:t>дискурсу проаналізовано такі типи вираження МА погрози:</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1)</w:t>
      </w:r>
      <w:r>
        <w:rPr>
          <w:rFonts w:ascii="Times New Roman" w:hAnsi="Times New Roman"/>
          <w:sz w:val="28"/>
          <w:szCs w:val="28"/>
        </w:rPr>
        <w:tab/>
        <w:t xml:space="preserve">Директивна та комісивна складові виражені експліцитно,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2) Директивна та комісивна складові виражені імпліцитно,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3) Директивна складова виражена експліцитно, а комісивна –імплікативно,</w:t>
      </w:r>
      <w:r>
        <w:rPr>
          <w:rFonts w:ascii="Times New Roman" w:hAnsi="Times New Roman"/>
          <w:sz w:val="28"/>
          <w:szCs w:val="28"/>
        </w:rPr>
        <w:tab/>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4) Директивна складова виражена імплікативно, а комісивна – експліцитно, </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lastRenderedPageBreak/>
        <w:t>5) Директивна складова виражена експліцитно, а комісивна – невербально,</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6) Директивна складова виражена імплікативно, а комісивна – невербально.</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Умовою щирості МА погрози є відповідність дійсності бажання мовця, щоб адресат виконав дію-1, що пов’язує погрозу з директивним типом, та бажання мовця самому виконати дію-2 в майбутньому, що пов’язано з комісивним типом. Таку ситуацію спостерігаємо, коли мовець перебуває під впливом погрози зі сторони.</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Проведений аудиторський аналіз дозволяє нам зробити низку висновків щодо характеристики мовленнєвого акту погрози:</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фрази погрози характеризуються переважно низьким тональним рівнем, що надає їм відтінку категоричності; Найменшим показником в свою чергу є високий тональний тон, але порівняно з експліцитною погрозою в імпліцитній погрозі цей показник є вищим. Причиною є те, що імпліцитна погроза висловлюється адресантом завуальовано;</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у МА погрози найчастіше вживається вузький тональний діапазон, притаманний людям, які відчувають негативні емоції;</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МА погрози відрізняється вживанням швидкого або середнього темпу мовлення;</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фрази погрози характеризуються неоднозначністю: погроза може бути гучною або тихою. Остання в свою чергу надає висловлюванню ще більший ефект агресивності;</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фразам погрози характерний низхідний ядерний тон, який надає фразам ефект категоричності і вагомості;</w:t>
      </w:r>
    </w:p>
    <w:p w:rsidR="00AD4CD7" w:rsidRDefault="00F46CF5">
      <w:pPr>
        <w:pStyle w:val="ac"/>
        <w:numPr>
          <w:ilvl w:val="0"/>
          <w:numId w:val="11"/>
        </w:numPr>
        <w:spacing w:after="0" w:line="360" w:lineRule="auto"/>
        <w:jc w:val="both"/>
        <w:rPr>
          <w:rFonts w:ascii="Times New Roman" w:hAnsi="Times New Roman"/>
          <w:sz w:val="28"/>
          <w:szCs w:val="28"/>
        </w:rPr>
      </w:pPr>
      <w:r>
        <w:rPr>
          <w:rStyle w:val="A6"/>
          <w:rFonts w:ascii="Times New Roman" w:hAnsi="Times New Roman"/>
          <w:sz w:val="28"/>
          <w:szCs w:val="28"/>
        </w:rPr>
        <w:t>домінуючою шкалою фраз погрози є поступово низхідна шкала, якій притаманна серйозність і категоричність.</w:t>
      </w:r>
    </w:p>
    <w:p w:rsidR="00AD4CD7" w:rsidRDefault="00F46CF5">
      <w:pPr>
        <w:spacing w:line="360" w:lineRule="auto"/>
        <w:jc w:val="both"/>
        <w:rPr>
          <w:rFonts w:ascii="Times New Roman" w:eastAsia="Times New Roman" w:hAnsi="Times New Roman" w:cs="Times New Roman"/>
          <w:sz w:val="28"/>
          <w:szCs w:val="28"/>
        </w:rPr>
      </w:pPr>
      <w:r>
        <w:rPr>
          <w:rFonts w:ascii="Times New Roman" w:hAnsi="Times New Roman"/>
          <w:sz w:val="28"/>
          <w:szCs w:val="28"/>
        </w:rPr>
        <w:t>Отже, таких висновків ми дійшли після аналізу даних аудиторського аналізу фраз погрози, вимовлених персонажами художніх фільмів.</w:t>
      </w:r>
    </w:p>
    <w:p w:rsidR="00AD4CD7" w:rsidRDefault="00F46CF5">
      <w:pPr>
        <w:spacing w:line="360" w:lineRule="auto"/>
        <w:jc w:val="both"/>
        <w:rPr>
          <w:rStyle w:val="Hyperlink0"/>
        </w:rPr>
      </w:pPr>
      <w:r>
        <w:rPr>
          <w:rFonts w:ascii="Times New Roman" w:hAnsi="Times New Roman"/>
          <w:sz w:val="28"/>
          <w:szCs w:val="28"/>
        </w:rPr>
        <w:lastRenderedPageBreak/>
        <w:t xml:space="preserve">Щодо елекро-акустичного дослідження, воно дозволило встановити конткретні частотні, силові та темпоральніпоказники. Які властві фразам погрози. Тут на перший план вийшов гендерний фактор, адже ми противоставили погрозливі фрази, вимовлені чоловіками, фразам, які вимовили жінки. </w:t>
      </w:r>
      <w:r>
        <w:rPr>
          <w:rStyle w:val="Hyperlink0"/>
        </w:rPr>
        <w:t>Найвищі показники ЧОТ зафіксовані в чоловічому мовленні. Це стосується ядерного складу (</w:t>
      </w:r>
      <w:r>
        <w:rPr>
          <w:rFonts w:ascii="Times New Roman" w:hAnsi="Times New Roman"/>
          <w:sz w:val="28"/>
          <w:szCs w:val="28"/>
          <w:u w:color="FF2600"/>
        </w:rPr>
        <w:t xml:space="preserve">278 </w:t>
      </w:r>
      <w:r>
        <w:rPr>
          <w:rStyle w:val="Hyperlink0"/>
        </w:rPr>
        <w:t>Гц) та тонального діапазону (</w:t>
      </w:r>
      <w:r>
        <w:rPr>
          <w:rFonts w:ascii="Times New Roman" w:hAnsi="Times New Roman"/>
          <w:sz w:val="28"/>
          <w:szCs w:val="28"/>
          <w:u w:color="FF2600"/>
        </w:rPr>
        <w:t>202</w:t>
      </w:r>
      <w:r>
        <w:rPr>
          <w:rStyle w:val="Hyperlink0"/>
        </w:rPr>
        <w:t xml:space="preserve"> Гц). Проте перший наголошений дещо вищий у жінок </w:t>
      </w:r>
      <w:r>
        <w:rPr>
          <w:rFonts w:ascii="Times New Roman" w:hAnsi="Times New Roman"/>
          <w:sz w:val="28"/>
          <w:szCs w:val="28"/>
          <w:u w:color="FF2600"/>
        </w:rPr>
        <w:t>(246</w:t>
      </w:r>
      <w:r>
        <w:rPr>
          <w:rStyle w:val="Hyperlink0"/>
        </w:rPr>
        <w:t xml:space="preserve"> Гц). Мінімальний рівень ЧОТ у чоловіків складає </w:t>
      </w:r>
      <w:r>
        <w:rPr>
          <w:rFonts w:ascii="Times New Roman" w:hAnsi="Times New Roman"/>
          <w:sz w:val="28"/>
          <w:szCs w:val="28"/>
          <w:u w:color="FF2600"/>
        </w:rPr>
        <w:t>65 Гц</w:t>
      </w:r>
      <w:r>
        <w:rPr>
          <w:rStyle w:val="Hyperlink0"/>
        </w:rPr>
        <w:t xml:space="preserve">, у жінок </w:t>
      </w:r>
      <w:r>
        <w:rPr>
          <w:rFonts w:ascii="Times New Roman" w:hAnsi="Times New Roman"/>
          <w:sz w:val="28"/>
          <w:szCs w:val="28"/>
          <w:u w:color="FF2600"/>
        </w:rPr>
        <w:t xml:space="preserve">80 Гц. </w:t>
      </w:r>
      <w:r>
        <w:rPr>
          <w:rStyle w:val="Hyperlink0"/>
        </w:rPr>
        <w:t>Найбільш високі показники властиві ядерним складам у чоловічому (</w:t>
      </w:r>
      <w:r>
        <w:rPr>
          <w:rFonts w:ascii="Times New Roman" w:hAnsi="Times New Roman"/>
          <w:sz w:val="28"/>
          <w:szCs w:val="28"/>
          <w:u w:color="FF2600"/>
        </w:rPr>
        <w:t xml:space="preserve">278 </w:t>
      </w:r>
      <w:r>
        <w:rPr>
          <w:rStyle w:val="Hyperlink0"/>
        </w:rPr>
        <w:t>Гц) виконанні, проте  у жіночому вони значно нижчі (</w:t>
      </w:r>
      <w:r>
        <w:rPr>
          <w:rFonts w:ascii="Times New Roman" w:hAnsi="Times New Roman"/>
          <w:sz w:val="28"/>
          <w:szCs w:val="28"/>
          <w:u w:color="FF2600"/>
        </w:rPr>
        <w:t xml:space="preserve">135 </w:t>
      </w:r>
      <w:r>
        <w:rPr>
          <w:rStyle w:val="Hyperlink0"/>
        </w:rPr>
        <w:t>Гц).</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u w:color="00B050"/>
        </w:rPr>
      </w:pPr>
      <w:r>
        <w:rPr>
          <w:rFonts w:ascii="Times New Roman" w:hAnsi="Times New Roman"/>
          <w:sz w:val="28"/>
          <w:szCs w:val="28"/>
          <w:u w:color="00B050"/>
        </w:rPr>
        <w:t xml:space="preserve">Слід зазначити контрастність частотних характеристик у чоловічому мовленні, наприклад, тональний діапазон у них варіює від 84 до 483 Гц, що свідчить про те, що висловлюючи погрозу, чоловіки як суттєво підвищують голос, так і значно знижують його. </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Style w:val="Hyperlink0"/>
        </w:rPr>
      </w:pPr>
      <w:r>
        <w:rPr>
          <w:rStyle w:val="Hyperlink0"/>
        </w:rPr>
        <w:t xml:space="preserve">Чоловікам, які висловлюють погрозу, властивий більш широкий діапазон мовлення, що свідчить про більш виражену чоловічу просодичну експліцитність </w:t>
      </w:r>
      <w:r>
        <w:rPr>
          <w:rFonts w:ascii="Times New Roman" w:hAnsi="Times New Roman"/>
          <w:sz w:val="28"/>
          <w:szCs w:val="28"/>
          <w:u w:color="FF2600"/>
        </w:rPr>
        <w:t>202 Гц.</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36" w:lineRule="auto"/>
        <w:ind w:firstLine="680"/>
        <w:jc w:val="both"/>
        <w:rPr>
          <w:rFonts w:ascii="Times New Roman" w:eastAsia="Times New Roman" w:hAnsi="Times New Roman" w:cs="Times New Roman"/>
          <w:b/>
          <w:bCs/>
          <w:sz w:val="28"/>
          <w:szCs w:val="28"/>
        </w:rPr>
      </w:pPr>
      <w:r>
        <w:rPr>
          <w:rFonts w:ascii="Times New Roman" w:hAnsi="Times New Roman"/>
          <w:sz w:val="28"/>
          <w:szCs w:val="28"/>
        </w:rPr>
        <w:t xml:space="preserve">Дослідження параметру інтенсивності показало, що чоловіки говорять голосніше, ніж жінки. Відносно параметра сереньої інтенсивності, виявилося, що він дещо вище у чоловіків і складає </w:t>
      </w:r>
      <w:r>
        <w:rPr>
          <w:rFonts w:ascii="Times New Roman" w:hAnsi="Times New Roman"/>
          <w:sz w:val="28"/>
          <w:szCs w:val="28"/>
          <w:u w:color="FF2600"/>
        </w:rPr>
        <w:t xml:space="preserve">72 </w:t>
      </w:r>
      <w:r>
        <w:rPr>
          <w:rFonts w:ascii="Times New Roman" w:hAnsi="Times New Roman"/>
          <w:sz w:val="28"/>
          <w:szCs w:val="28"/>
          <w:u w:color="FF2600"/>
          <w:lang w:val="en-US"/>
        </w:rPr>
        <w:t>d</w:t>
      </w:r>
      <w:r>
        <w:rPr>
          <w:rFonts w:ascii="Times New Roman" w:hAnsi="Times New Roman"/>
          <w:sz w:val="28"/>
          <w:szCs w:val="28"/>
          <w:lang w:val="en-US"/>
        </w:rPr>
        <w:t>B</w:t>
      </w:r>
      <w:r>
        <w:rPr>
          <w:rFonts w:ascii="Times New Roman" w:hAnsi="Times New Roman"/>
          <w:sz w:val="28"/>
          <w:szCs w:val="28"/>
        </w:rPr>
        <w:t xml:space="preserve">. Параметр максимальної інтенсивності теж дещо вище у жінок і складає </w:t>
      </w:r>
      <w:r>
        <w:rPr>
          <w:rFonts w:ascii="Times New Roman" w:hAnsi="Times New Roman"/>
          <w:sz w:val="28"/>
          <w:szCs w:val="28"/>
          <w:u w:color="FF2600"/>
        </w:rPr>
        <w:t xml:space="preserve">75 </w:t>
      </w:r>
      <w:r>
        <w:rPr>
          <w:rFonts w:ascii="Times New Roman" w:hAnsi="Times New Roman"/>
          <w:sz w:val="28"/>
          <w:szCs w:val="28"/>
          <w:u w:color="FF2600"/>
          <w:lang w:val="en-US"/>
        </w:rPr>
        <w:t>dB</w:t>
      </w:r>
      <w:r>
        <w:rPr>
          <w:rFonts w:ascii="Times New Roman" w:hAnsi="Times New Roman"/>
          <w:sz w:val="28"/>
          <w:szCs w:val="28"/>
          <w:u w:color="FF2600"/>
        </w:rPr>
        <w:t xml:space="preserve">. </w:t>
      </w:r>
      <w:r>
        <w:rPr>
          <w:rFonts w:ascii="Times New Roman" w:hAnsi="Times New Roman"/>
          <w:sz w:val="28"/>
          <w:szCs w:val="28"/>
        </w:rPr>
        <w:t xml:space="preserve">Показники інтенсивності ядерного складу є дещо вищими за показники першого складу ядерного складу (у чоловіків в ядрі </w:t>
      </w:r>
      <w:r>
        <w:rPr>
          <w:rFonts w:ascii="Times New Roman" w:hAnsi="Times New Roman"/>
          <w:sz w:val="28"/>
          <w:szCs w:val="28"/>
          <w:u w:color="FF2600"/>
        </w:rPr>
        <w:t xml:space="preserve">71 </w:t>
      </w:r>
      <w:r>
        <w:rPr>
          <w:rFonts w:ascii="Times New Roman" w:hAnsi="Times New Roman"/>
          <w:sz w:val="28"/>
          <w:szCs w:val="28"/>
          <w:u w:color="FF2600"/>
          <w:lang w:val="en-US"/>
        </w:rPr>
        <w:t>dB</w:t>
      </w:r>
      <w:r>
        <w:rPr>
          <w:rFonts w:ascii="Times New Roman" w:hAnsi="Times New Roman"/>
          <w:sz w:val="28"/>
          <w:szCs w:val="28"/>
        </w:rPr>
        <w:t xml:space="preserve"> і на першому складі </w:t>
      </w:r>
      <w:r>
        <w:rPr>
          <w:rFonts w:ascii="Times New Roman" w:hAnsi="Times New Roman"/>
          <w:sz w:val="28"/>
          <w:szCs w:val="28"/>
          <w:u w:color="FF2600"/>
        </w:rPr>
        <w:t xml:space="preserve">69 </w:t>
      </w:r>
      <w:r>
        <w:rPr>
          <w:rFonts w:ascii="Times New Roman" w:hAnsi="Times New Roman"/>
          <w:sz w:val="28"/>
          <w:szCs w:val="28"/>
          <w:u w:color="FF2600"/>
          <w:lang w:val="en-US"/>
        </w:rPr>
        <w:t>dB</w:t>
      </w:r>
      <w:r>
        <w:rPr>
          <w:rFonts w:ascii="Times New Roman" w:hAnsi="Times New Roman"/>
          <w:sz w:val="28"/>
          <w:szCs w:val="28"/>
          <w:u w:color="FF2600"/>
        </w:rPr>
        <w:t>,</w:t>
      </w:r>
      <w:r>
        <w:rPr>
          <w:rFonts w:ascii="Times New Roman" w:hAnsi="Times New Roman"/>
          <w:sz w:val="28"/>
          <w:szCs w:val="28"/>
        </w:rPr>
        <w:t xml:space="preserve"> проте у жінок в ядрі </w:t>
      </w:r>
      <w:r>
        <w:rPr>
          <w:rFonts w:ascii="Times New Roman" w:hAnsi="Times New Roman"/>
          <w:sz w:val="28"/>
          <w:szCs w:val="28"/>
          <w:u w:color="FF2600"/>
        </w:rPr>
        <w:t xml:space="preserve">66 </w:t>
      </w:r>
      <w:r>
        <w:rPr>
          <w:rFonts w:ascii="Times New Roman" w:hAnsi="Times New Roman"/>
          <w:sz w:val="28"/>
          <w:szCs w:val="28"/>
          <w:u w:color="FF2600"/>
          <w:lang w:val="en-US"/>
        </w:rPr>
        <w:t>dB</w:t>
      </w:r>
      <w:r>
        <w:rPr>
          <w:rFonts w:ascii="Times New Roman" w:hAnsi="Times New Roman"/>
          <w:sz w:val="28"/>
          <w:szCs w:val="28"/>
          <w:u w:color="FF2600"/>
        </w:rPr>
        <w:t>, а</w:t>
      </w:r>
      <w:r>
        <w:rPr>
          <w:rFonts w:ascii="Times New Roman" w:hAnsi="Times New Roman"/>
          <w:sz w:val="28"/>
          <w:szCs w:val="28"/>
        </w:rPr>
        <w:t xml:space="preserve"> на першому складі </w:t>
      </w:r>
      <w:r>
        <w:rPr>
          <w:rFonts w:ascii="Times New Roman" w:hAnsi="Times New Roman"/>
          <w:sz w:val="28"/>
          <w:szCs w:val="28"/>
          <w:u w:color="FF2600"/>
        </w:rPr>
        <w:t xml:space="preserve">67,5 </w:t>
      </w:r>
      <w:r>
        <w:rPr>
          <w:rFonts w:ascii="Times New Roman" w:hAnsi="Times New Roman"/>
          <w:sz w:val="28"/>
          <w:szCs w:val="28"/>
          <w:u w:color="FF2600"/>
          <w:lang w:val="en-US"/>
        </w:rPr>
        <w:t>dB</w:t>
      </w:r>
      <w:r>
        <w:rPr>
          <w:rFonts w:ascii="Times New Roman" w:hAnsi="Times New Roman"/>
          <w:sz w:val="28"/>
          <w:szCs w:val="28"/>
        </w:rPr>
        <w:t xml:space="preserve">). </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u w:color="00B050"/>
        </w:rPr>
      </w:pPr>
      <w:r>
        <w:rPr>
          <w:rStyle w:val="Hyperlink0"/>
        </w:rPr>
        <w:t>Дослідження параметру тривалості доводить, що т</w:t>
      </w:r>
      <w:r>
        <w:rPr>
          <w:rFonts w:ascii="Times New Roman" w:hAnsi="Times New Roman"/>
          <w:sz w:val="28"/>
          <w:szCs w:val="28"/>
          <w:u w:color="00B050"/>
        </w:rPr>
        <w:t>ривалість синтагм у чоловічому виконанні є значно коротшою від жіночої (1356 мс) та складає всього 726 мс.</w:t>
      </w:r>
      <w:r>
        <w:rPr>
          <w:rFonts w:ascii="Times New Roman" w:hAnsi="Times New Roman"/>
          <w:sz w:val="24"/>
          <w:szCs w:val="24"/>
          <w:u w:color="00B050"/>
        </w:rPr>
        <w:t xml:space="preserve"> </w:t>
      </w:r>
      <w:r>
        <w:rPr>
          <w:rFonts w:ascii="Times New Roman" w:hAnsi="Times New Roman"/>
          <w:sz w:val="28"/>
          <w:szCs w:val="28"/>
          <w:u w:color="00B050"/>
        </w:rPr>
        <w:t xml:space="preserve">Середня середньоскладова тривалість у жіночому та чоловічому виконанні незначно відрізняються (186 та 143 мс відповідно). Показники тривалості першого наголошеного складу в чоловічому погрозливому </w:t>
      </w:r>
      <w:r>
        <w:rPr>
          <w:rFonts w:ascii="Times New Roman" w:hAnsi="Times New Roman"/>
          <w:sz w:val="28"/>
          <w:szCs w:val="28"/>
          <w:u w:color="00B050"/>
        </w:rPr>
        <w:lastRenderedPageBreak/>
        <w:t xml:space="preserve">мовленні майже однакові з показниками жіночого мовленні і складають 306 та 300 мс відповідно. </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firstLine="680"/>
        <w:jc w:val="both"/>
        <w:rPr>
          <w:rFonts w:ascii="Times New Roman" w:eastAsia="Times New Roman" w:hAnsi="Times New Roman" w:cs="Times New Roman"/>
          <w:b/>
          <w:bCs/>
          <w:sz w:val="28"/>
          <w:szCs w:val="28"/>
        </w:rPr>
      </w:pPr>
      <w:r>
        <w:rPr>
          <w:rFonts w:ascii="Times New Roman" w:hAnsi="Times New Roman"/>
          <w:sz w:val="28"/>
          <w:szCs w:val="28"/>
          <w:u w:color="00B050"/>
        </w:rPr>
        <w:t xml:space="preserve">Показники тривалості ядерного наголошеного складу в чоловічому мовленні нижчі за показники в жіночому мовленні і в середньому складають </w:t>
      </w:r>
      <w:r>
        <w:rPr>
          <w:rStyle w:val="Hyperlink0"/>
        </w:rPr>
        <w:t>303 мс, що значно вище від показників чоловічого мовлення – 223 мс. Отже, тенденції чоловічого та жіночого мовлення щодо тривалості  ядра та першого наголошеного складу співпадають: ядро є значно тривалішим за перший наголошений склад. В середньому ядерний склад в жіночому виконанні складає 303 мс, в чоловічому – 223 мс, в той час, як середня тривалість першого наголошеного у чоловічому виконанні є вищою і складає 184 мс, в жіночому виконанні – 175 мс.</w:t>
      </w:r>
    </w:p>
    <w:p w:rsidR="00AD4CD7" w:rsidRDefault="00F46CF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4"/>
          <w:szCs w:val="24"/>
        </w:rPr>
      </w:pPr>
      <w:r>
        <w:rPr>
          <w:rFonts w:ascii="Times New Roman" w:hAnsi="Times New Roman"/>
          <w:sz w:val="28"/>
          <w:szCs w:val="28"/>
        </w:rPr>
        <w:t xml:space="preserve">Таким чином, найбільш широкий діапазон (202 Гц) і більш високі показники ЧОТ (267 Гц) зафіксовані у фразах погрози, вимовлених чоловіками. Щодо інтенсивності, ми зафіксували у жіночому мовленні незначно вищий показник вимовлення фраз погрози (75 </w:t>
      </w:r>
      <w:r>
        <w:rPr>
          <w:rFonts w:ascii="Times New Roman" w:hAnsi="Times New Roman"/>
          <w:sz w:val="28"/>
          <w:szCs w:val="28"/>
          <w:lang w:val="en-US"/>
        </w:rPr>
        <w:t>dB</w:t>
      </w:r>
      <w:r>
        <w:rPr>
          <w:rFonts w:ascii="Times New Roman" w:hAnsi="Times New Roman"/>
          <w:sz w:val="28"/>
          <w:szCs w:val="28"/>
        </w:rPr>
        <w:t>). Стосовно темпу, ми зафіксували незначну різницю середньоскладової тривалості (186 мс) у чоловіків та (143 мс) у жінок.</w:t>
      </w:r>
    </w:p>
    <w:p w:rsidR="00AD4CD7" w:rsidRDefault="00F46CF5">
      <w:pPr>
        <w:spacing w:line="360" w:lineRule="auto"/>
        <w:jc w:val="both"/>
      </w:pPr>
      <w:r>
        <w:rPr>
          <w:rFonts w:ascii="Arial Unicode MS" w:hAnsi="Arial Unicode MS"/>
          <w:sz w:val="28"/>
          <w:szCs w:val="28"/>
        </w:rPr>
        <w:br w:type="page"/>
      </w:r>
    </w:p>
    <w:p w:rsidR="00AD4CD7" w:rsidRDefault="00F46CF5">
      <w:pPr>
        <w:spacing w:line="360" w:lineRule="auto"/>
        <w:ind w:left="360"/>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БІБЛІОГРАФІЯ</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Алефиренко Н. Ф. Спорные вопросы семантики: монография. Москва: Гнозис, 2005. 326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Кусько К. Я. Процеси мовно-текстової деструкції (на матеріалі німецькомовних творів Петера Гандке та Юргена Беккера). </w:t>
      </w:r>
      <w:r>
        <w:rPr>
          <w:rFonts w:ascii="Times New Roman" w:hAnsi="Times New Roman"/>
          <w:i/>
          <w:iCs/>
          <w:sz w:val="28"/>
          <w:szCs w:val="28"/>
        </w:rPr>
        <w:t>Одиниці та категорії сучасної лінгвістики: зб. статей, присвяч. ювілею В.Д. Каліщенка.</w:t>
      </w:r>
      <w:r>
        <w:rPr>
          <w:rStyle w:val="A6"/>
          <w:rFonts w:ascii="Times New Roman" w:hAnsi="Times New Roman"/>
          <w:sz w:val="28"/>
          <w:szCs w:val="28"/>
        </w:rPr>
        <w:t xml:space="preserve"> Донецьк : ТОВ «Юго-Восток», Лтд, 2007. С. 454-462.</w:t>
      </w:r>
    </w:p>
    <w:p w:rsidR="00AD4CD7" w:rsidRPr="007F25DD"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rPr>
        <w:t xml:space="preserve">Анцупов А. Я., Шипилов А. И. Словарь конфликтолога. </w:t>
      </w:r>
      <w:r>
        <w:rPr>
          <w:rFonts w:ascii="Times New Roman" w:hAnsi="Times New Roman"/>
          <w:sz w:val="28"/>
          <w:szCs w:val="28"/>
          <w:lang w:val="en-US"/>
        </w:rPr>
        <w:t>2009. URL: https://vocabulary.ru/termin/ugroza.html#item-51187.</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Астафурова Т.Н. Типология коммуникативных стратегий в научных парадигмах. </w:t>
      </w:r>
      <w:r>
        <w:rPr>
          <w:rFonts w:ascii="Times New Roman" w:hAnsi="Times New Roman"/>
          <w:i/>
          <w:iCs/>
          <w:sz w:val="28"/>
          <w:szCs w:val="28"/>
        </w:rPr>
        <w:t>Лингводидактические проблемы межкультурной коммуникации : сб. науч. статей. Юбилейное издание</w:t>
      </w:r>
      <w:r>
        <w:rPr>
          <w:rStyle w:val="A6"/>
          <w:rFonts w:ascii="Times New Roman" w:hAnsi="Times New Roman"/>
          <w:sz w:val="28"/>
          <w:szCs w:val="28"/>
        </w:rPr>
        <w:t xml:space="preserve">, 2003. С. 15–25.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Багдасарян Т. О. Тональность как компонент модели речевого жанра (на материале речевого жанра «угроза»). </w:t>
      </w:r>
      <w:r>
        <w:rPr>
          <w:rFonts w:ascii="Times New Roman" w:hAnsi="Times New Roman"/>
          <w:i/>
          <w:iCs/>
          <w:sz w:val="28"/>
          <w:szCs w:val="28"/>
        </w:rPr>
        <w:t>Жанры речи</w:t>
      </w:r>
      <w:r>
        <w:rPr>
          <w:rStyle w:val="A6"/>
          <w:rFonts w:ascii="Times New Roman" w:hAnsi="Times New Roman"/>
          <w:sz w:val="28"/>
          <w:szCs w:val="28"/>
        </w:rPr>
        <w:t>. Саратов : Колледж, 2002. Вып. 3. С. 240–245.</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Бацевич Ф. С. Основи комунікативної лінгвістики : підруч. [для студентів вищих навч. закладів]. К. : ВЦ «Академія», 2004. 344 с.</w:t>
      </w:r>
    </w:p>
    <w:p w:rsidR="00AD4CD7" w:rsidRDefault="00F46CF5">
      <w:pPr>
        <w:pStyle w:val="ac"/>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Безугла Л. Р. Вербалізація імпліцитних смислів у німецькомовному діалогічному дискурсі : монографія. Харків : ХНУ імені В.Н. Каразіна, 2007. 332 </w:t>
      </w:r>
      <w:r>
        <w:rPr>
          <w:rFonts w:ascii="Times New Roman" w:hAnsi="Times New Roman"/>
          <w:sz w:val="28"/>
          <w:szCs w:val="28"/>
          <w:lang w:val="en-US"/>
        </w:rPr>
        <w:t>c</w:t>
      </w:r>
      <w:r>
        <w:rPr>
          <w:rFonts w:ascii="Times New Roman" w:hAnsi="Times New Roman"/>
          <w:sz w:val="28"/>
          <w:szCs w:val="28"/>
        </w:rPr>
        <w:t>.</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Безугла Л. Р. Когнітивно-прагматичні характеристики імпліцитних смислів у німецькомовному дискурсі : дис. … доктора філол. наук : 10.02.04. Харків, 2008. 570 с.</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 xml:space="preserve">Безугла Л.Р., Крупкина Т.В. Предостережение как гибридный речевой акт. </w:t>
      </w:r>
      <w:r>
        <w:rPr>
          <w:rFonts w:ascii="Times New Roman" w:hAnsi="Times New Roman"/>
          <w:i/>
          <w:iCs/>
          <w:sz w:val="28"/>
          <w:szCs w:val="28"/>
        </w:rPr>
        <w:t>Научные труды Каменец-Подольского национального университету имени Ивана Огиенко</w:t>
      </w:r>
      <w:r>
        <w:rPr>
          <w:rStyle w:val="A6"/>
          <w:rFonts w:ascii="Times New Roman" w:hAnsi="Times New Roman"/>
          <w:sz w:val="28"/>
          <w:szCs w:val="28"/>
        </w:rPr>
        <w:t>, 2012. Выпуск 29. С. 35–38.</w:t>
      </w:r>
    </w:p>
    <w:p w:rsidR="00AD4CD7" w:rsidRDefault="00F46CF5">
      <w:pPr>
        <w:numPr>
          <w:ilvl w:val="0"/>
          <w:numId w:val="13"/>
        </w:numPr>
        <w:shd w:val="clear" w:color="auto" w:fill="FFFFFF"/>
        <w:spacing w:line="360" w:lineRule="auto"/>
        <w:jc w:val="both"/>
        <w:rPr>
          <w:rFonts w:ascii="Times New Roman" w:hAnsi="Times New Roman"/>
          <w:sz w:val="28"/>
          <w:szCs w:val="28"/>
        </w:rPr>
      </w:pPr>
      <w:r>
        <w:rPr>
          <w:rStyle w:val="A6"/>
          <w:rFonts w:ascii="Times New Roman" w:hAnsi="Times New Roman"/>
          <w:sz w:val="28"/>
          <w:szCs w:val="28"/>
        </w:rPr>
        <w:t>Беркли-Ален М. Забытое искусство слушать. СПб.: Питер, 1997. 256 с.</w:t>
      </w:r>
    </w:p>
    <w:p w:rsidR="00AD4CD7" w:rsidRDefault="00F46CF5">
      <w:pPr>
        <w:pStyle w:val="ac"/>
        <w:numPr>
          <w:ilvl w:val="0"/>
          <w:numId w:val="12"/>
        </w:numPr>
        <w:spacing w:after="0" w:line="360" w:lineRule="auto"/>
        <w:jc w:val="both"/>
        <w:rPr>
          <w:rFonts w:ascii="Times New Roman" w:hAnsi="Times New Roman"/>
          <w:sz w:val="28"/>
          <w:szCs w:val="28"/>
        </w:rPr>
      </w:pPr>
      <w:r>
        <w:rPr>
          <w:rFonts w:ascii="Times New Roman" w:hAnsi="Times New Roman"/>
          <w:sz w:val="28"/>
          <w:szCs w:val="28"/>
          <w14:textOutline w14:w="12700" w14:cap="flat" w14:cmpd="sng" w14:algn="ctr">
            <w14:noFill/>
            <w14:prstDash w14:val="solid"/>
            <w14:miter w14:lim="400000"/>
          </w14:textOutline>
        </w:rPr>
        <w:t>Бігунова Н.О. Позитивна оцінка: від когнітивного судження до комунікативного висловлювання : монографія. Одеса: КП ОМД, 2017. 580 с.</w:t>
      </w:r>
    </w:p>
    <w:p w:rsidR="00AD4CD7" w:rsidRDefault="00F46CF5">
      <w:pPr>
        <w:numPr>
          <w:ilvl w:val="0"/>
          <w:numId w:val="13"/>
        </w:numPr>
        <w:shd w:val="clear" w:color="auto" w:fill="FFFFFF"/>
        <w:spacing w:line="360" w:lineRule="auto"/>
        <w:jc w:val="both"/>
        <w:rPr>
          <w:rFonts w:ascii="Times New Roman" w:hAnsi="Times New Roman"/>
          <w:sz w:val="28"/>
          <w:szCs w:val="28"/>
        </w:rPr>
      </w:pPr>
      <w:r>
        <w:rPr>
          <w:rStyle w:val="A6"/>
          <w:rFonts w:ascii="Times New Roman" w:hAnsi="Times New Roman"/>
          <w:sz w:val="28"/>
          <w:szCs w:val="28"/>
        </w:rPr>
        <w:lastRenderedPageBreak/>
        <w:t>Бровченко Т. А., Волошин В. Г. Методические указания по математической обработке и анализу результатов фонетического эксперимента. Одесса: ОГУ, 1986. 48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Бублик И. Ф. Вербальная дискриминация оппонента в политическом дискурсе Австрии. Вісник Харківського національного університету імені В. Н. Каразіна. 2012. Вип. 1003. С. 6–10.</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Буренко Т. М. Когнітивно-прагматичні характеристики мовленнєвого акту вибачення в англомовному дискурсі XVI-XXI століть : автореф. дис. на здобуття наук. ступеня канд. філол. наук: спец. 10.02.04 «Германські мови». Харків, 2008. 20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Бут Н. А. Просодические характеристики ситуативно обусловленных иллокутивных актов группы «менативов» (эксперименетально-фонетическое исследование на материале современного немецкого языка) : автореф. дис. на соискание уч. степени канд. филол. наук : спец. 10.02.04 «Германские языки». Тамбов, 2004. 14 с. 42.</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Воронцова Т. А. Речевая агрессия в коммуникативно-дискурсивной парадигме. </w:t>
      </w:r>
      <w:r>
        <w:rPr>
          <w:rFonts w:ascii="Times New Roman" w:hAnsi="Times New Roman"/>
          <w:i/>
          <w:iCs/>
          <w:sz w:val="28"/>
          <w:szCs w:val="28"/>
        </w:rPr>
        <w:t>Вестник Воронежского государственного университета. Серия «Лингвистика и межкультурная коммуникация».</w:t>
      </w:r>
      <w:r>
        <w:rPr>
          <w:rStyle w:val="A6"/>
          <w:rFonts w:ascii="Times New Roman" w:hAnsi="Times New Roman"/>
          <w:sz w:val="28"/>
          <w:szCs w:val="28"/>
        </w:rPr>
        <w:t xml:space="preserve"> 2006. № 1. С. 83–86.</w:t>
      </w:r>
    </w:p>
    <w:p w:rsidR="00AD4CD7" w:rsidRDefault="00F46CF5">
      <w:pPr>
        <w:pStyle w:val="ac"/>
        <w:numPr>
          <w:ilvl w:val="0"/>
          <w:numId w:val="12"/>
        </w:numPr>
        <w:spacing w:after="0" w:line="360" w:lineRule="auto"/>
        <w:jc w:val="both"/>
        <w:rPr>
          <w:rFonts w:ascii="Times New Roman" w:hAnsi="Times New Roman"/>
          <w:sz w:val="28"/>
          <w:szCs w:val="28"/>
        </w:rPr>
      </w:pPr>
      <w:r>
        <w:rPr>
          <w:rFonts w:ascii="Times New Roman" w:hAnsi="Times New Roman"/>
          <w:sz w:val="28"/>
          <w:szCs w:val="28"/>
        </w:rPr>
        <w:t>Выготский  Л.С.  Мышление  и  речь  /  Л.С. Выготский  //  Собрание  сочинений  в  6  томах.  – Т.  2.  – М.  :  Педагогика,  1982.  – 504  сГридасова О. І. Особливості актуалізації стереотипних ролей в англомовному сімейному конфліктному дискурсі: автореф. дис. на здобуття наук. ступеня канд. філол. наук :  спец. 10.02.04 «Германські мови». Харків, 2010. 20 с.</w:t>
      </w:r>
    </w:p>
    <w:p w:rsidR="00B80C85" w:rsidRPr="00B80C85" w:rsidRDefault="00F46CF5">
      <w:pPr>
        <w:numPr>
          <w:ilvl w:val="0"/>
          <w:numId w:val="14"/>
        </w:numPr>
        <w:spacing w:line="360" w:lineRule="auto"/>
        <w:jc w:val="both"/>
        <w:rPr>
          <w:rFonts w:ascii="Times New Roman" w:hAnsi="Times New Roman"/>
          <w:color w:val="auto"/>
          <w:sz w:val="28"/>
          <w:szCs w:val="28"/>
        </w:rPr>
      </w:pPr>
      <w:r w:rsidRPr="00B80C85">
        <w:rPr>
          <w:rFonts w:ascii="Times New Roman" w:hAnsi="Times New Roman"/>
          <w:color w:val="auto"/>
          <w:sz w:val="28"/>
          <w:szCs w:val="28"/>
        </w:rPr>
        <w:t>Девкин  В.Д. Диалог: Немецкая разговорная речь в сопоставлении  с  русской</w:t>
      </w:r>
      <w:r w:rsidR="00B80C85" w:rsidRPr="00B80C85">
        <w:rPr>
          <w:rFonts w:ascii="Times New Roman" w:hAnsi="Times New Roman"/>
          <w:color w:val="auto"/>
          <w:sz w:val="28"/>
          <w:szCs w:val="28"/>
          <w:lang w:val="uk-UA"/>
        </w:rPr>
        <w:t>.</w:t>
      </w:r>
      <w:r w:rsidRPr="00B80C85">
        <w:rPr>
          <w:rFonts w:ascii="Times New Roman" w:hAnsi="Times New Roman"/>
          <w:color w:val="auto"/>
          <w:sz w:val="28"/>
          <w:szCs w:val="28"/>
        </w:rPr>
        <w:t xml:space="preserve">  М</w:t>
      </w:r>
      <w:r w:rsidR="00B80C85" w:rsidRPr="00B80C85">
        <w:rPr>
          <w:rFonts w:ascii="Times New Roman" w:hAnsi="Times New Roman"/>
          <w:color w:val="auto"/>
          <w:sz w:val="28"/>
          <w:szCs w:val="28"/>
          <w:lang w:val="uk-UA"/>
        </w:rPr>
        <w:t>осква</w:t>
      </w:r>
      <w:r w:rsidRPr="00B80C85">
        <w:rPr>
          <w:rFonts w:ascii="Times New Roman" w:hAnsi="Times New Roman"/>
          <w:color w:val="auto"/>
          <w:sz w:val="28"/>
          <w:szCs w:val="28"/>
        </w:rPr>
        <w:t xml:space="preserve">  :  Высшая  школа,  1981.  160  с.</w:t>
      </w:r>
    </w:p>
    <w:p w:rsidR="00AD4CD7" w:rsidRPr="00B80C85" w:rsidRDefault="00F46CF5">
      <w:pPr>
        <w:numPr>
          <w:ilvl w:val="0"/>
          <w:numId w:val="14"/>
        </w:numPr>
        <w:spacing w:line="360" w:lineRule="auto"/>
        <w:jc w:val="both"/>
        <w:rPr>
          <w:rFonts w:ascii="Times New Roman" w:hAnsi="Times New Roman"/>
          <w:color w:val="auto"/>
          <w:sz w:val="28"/>
          <w:szCs w:val="28"/>
        </w:rPr>
      </w:pPr>
      <w:r w:rsidRPr="00B80C85">
        <w:rPr>
          <w:rFonts w:ascii="Times New Roman" w:hAnsi="Times New Roman"/>
          <w:color w:val="auto"/>
          <w:sz w:val="28"/>
          <w:szCs w:val="28"/>
        </w:rPr>
        <w:t>Дейк ван Т. А. Язык, познание, коммуникация : пер. с англ. Москва: Прогресс, 1989. 312 с.</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lastRenderedPageBreak/>
        <w:t>Жельвис. В. И. Поле брани: Сквернословие как социальная проблема в языках и культурах мира. Москва: научно-изд. Центр «Ладо-мир», 2001. 352 с.</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Жучков Д. О. Речевой акт угрозы как объект прагмалингвистического анализа: на материале английского языка : автореф. дис. на соискание уч. степени кандид. филол. наук: спец. 10.02.04 «Германские языки». Воронеж, 2010. 181 с.</w:t>
      </w:r>
    </w:p>
    <w:p w:rsidR="00AD4CD7" w:rsidRDefault="00F46CF5">
      <w:pPr>
        <w:numPr>
          <w:ilvl w:val="0"/>
          <w:numId w:val="13"/>
        </w:numPr>
        <w:shd w:val="clear" w:color="auto" w:fill="FFFFFF"/>
        <w:spacing w:line="360" w:lineRule="auto"/>
        <w:jc w:val="both"/>
        <w:rPr>
          <w:rFonts w:ascii="Times New Roman" w:hAnsi="Times New Roman"/>
          <w:sz w:val="28"/>
          <w:szCs w:val="28"/>
        </w:rPr>
      </w:pPr>
      <w:r>
        <w:rPr>
          <w:rStyle w:val="A6"/>
          <w:rFonts w:ascii="Times New Roman" w:hAnsi="Times New Roman"/>
          <w:sz w:val="28"/>
          <w:szCs w:val="28"/>
        </w:rPr>
        <w:t xml:space="preserve">Златоустова Л. В. Интонация и просодия в организации текста. </w:t>
      </w:r>
      <w:r>
        <w:rPr>
          <w:rFonts w:ascii="Times New Roman" w:hAnsi="Times New Roman"/>
          <w:i/>
          <w:iCs/>
          <w:sz w:val="28"/>
          <w:szCs w:val="28"/>
        </w:rPr>
        <w:t>Звучащий текст</w:t>
      </w:r>
      <w:r>
        <w:rPr>
          <w:rStyle w:val="A6"/>
          <w:rFonts w:ascii="Times New Roman" w:hAnsi="Times New Roman"/>
          <w:sz w:val="28"/>
          <w:szCs w:val="28"/>
        </w:rPr>
        <w:t>. Москва: ИНИОН АН СССР, 1983. С. 78-80.</w:t>
      </w:r>
    </w:p>
    <w:p w:rsidR="00AD4CD7" w:rsidRDefault="00F46CF5">
      <w:pPr>
        <w:numPr>
          <w:ilvl w:val="0"/>
          <w:numId w:val="13"/>
        </w:numPr>
        <w:shd w:val="clear" w:color="auto" w:fill="FFFFFF"/>
        <w:spacing w:line="360" w:lineRule="auto"/>
        <w:jc w:val="both"/>
        <w:rPr>
          <w:rFonts w:ascii="Times New Roman" w:hAnsi="Times New Roman"/>
          <w:sz w:val="28"/>
          <w:szCs w:val="28"/>
        </w:rPr>
      </w:pPr>
      <w:r>
        <w:rPr>
          <w:rStyle w:val="A6"/>
          <w:rFonts w:ascii="Times New Roman" w:hAnsi="Times New Roman"/>
          <w:sz w:val="28"/>
          <w:szCs w:val="28"/>
        </w:rPr>
        <w:t xml:space="preserve">Карасик В. И. О типах дискурса. Языковая личность: </w:t>
      </w:r>
      <w:r>
        <w:rPr>
          <w:rFonts w:ascii="Times New Roman" w:hAnsi="Times New Roman"/>
          <w:i/>
          <w:iCs/>
          <w:sz w:val="28"/>
          <w:szCs w:val="28"/>
        </w:rPr>
        <w:t>Институциональный и песональный дискурс: сб. науч. тр</w:t>
      </w:r>
      <w:r>
        <w:rPr>
          <w:rStyle w:val="A6"/>
          <w:rFonts w:ascii="Times New Roman" w:hAnsi="Times New Roman"/>
          <w:sz w:val="28"/>
          <w:szCs w:val="28"/>
        </w:rPr>
        <w:t>. Волгоград : Перемена, 2000. С. 5–20.</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Карчевски Р. Прагмакоммуникативные характеристики языковых средств выражения угрозы в английском языке: автореф. дис. на соискание уч. степени канд. филол. наук : спец. 10.02.04 «Германские языки». Минск, 2005. 17 с.</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Кашкин В. Б. Дискурс: пределы точности. Стилистика сегодня и завтра: материалы конференции. Москва : Факультет журналистики МГУ,2014. Ч. I. С. 103–108.</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Клюев Е. В. Речевая коммуникация: успешность речевого взаимодействия. Москва : РИПОЛ КЛАССИК, 2002. 320 с.</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 xml:space="preserve">Козловский В. В. Конъюнктив и выражение модального значения «ИРРЕАЛЬНОСТЬ» (на материале простого предложения современного немецкого языка). </w:t>
      </w:r>
      <w:r>
        <w:rPr>
          <w:rFonts w:ascii="Times New Roman" w:hAnsi="Times New Roman"/>
          <w:i/>
          <w:iCs/>
          <w:sz w:val="28"/>
          <w:szCs w:val="28"/>
        </w:rPr>
        <w:t>Вісник Харківського національного університету імені В. Н. Каразіна,</w:t>
      </w:r>
      <w:r>
        <w:rPr>
          <w:rStyle w:val="A6"/>
          <w:rFonts w:ascii="Times New Roman" w:hAnsi="Times New Roman"/>
          <w:sz w:val="28"/>
          <w:szCs w:val="28"/>
        </w:rPr>
        <w:t xml:space="preserve"> 2004. № 635. С. 84–88.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Козловський В. В. Формальна структура та інтерпретація деяких перформативних висловлювань (на матеріалі сучасної німецької мови). Мовні і концептуальні картини світу. Київ : ВПЦ «Київський університет», 2007. Вип. Ч. 2. С. 178–182.</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lastRenderedPageBreak/>
        <w:t>Красных В. В. «Свой» среди «чужих»: миф или реальность? : монография. Москва : Гнозис, 2003. 375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Кубрякова Е. С. О разных подходах к изучению СМИ. Язык средств массовой информации как объект междисциплинарного исследования: </w:t>
      </w:r>
      <w:r>
        <w:rPr>
          <w:rFonts w:ascii="Times New Roman" w:hAnsi="Times New Roman"/>
          <w:i/>
          <w:iCs/>
          <w:sz w:val="28"/>
          <w:szCs w:val="28"/>
        </w:rPr>
        <w:t>тезисы докл. междунар. науч. конф.</w:t>
      </w:r>
      <w:r>
        <w:rPr>
          <w:rStyle w:val="A6"/>
          <w:rFonts w:ascii="Times New Roman" w:hAnsi="Times New Roman"/>
          <w:sz w:val="28"/>
          <w:szCs w:val="28"/>
        </w:rPr>
        <w:t xml:space="preserve"> Москва, 2001. С. 61–62.</w:t>
      </w:r>
    </w:p>
    <w:p w:rsidR="00B80C85" w:rsidRPr="00B80C85" w:rsidRDefault="00F46CF5" w:rsidP="00B80C85">
      <w:pPr>
        <w:pStyle w:val="ac"/>
        <w:numPr>
          <w:ilvl w:val="0"/>
          <w:numId w:val="15"/>
        </w:numPr>
        <w:spacing w:after="0" w:line="360" w:lineRule="auto"/>
        <w:ind w:left="567" w:firstLine="142"/>
        <w:jc w:val="both"/>
        <w:rPr>
          <w:rFonts w:ascii="Times New Roman" w:eastAsia="Times New Roman" w:hAnsi="Times New Roman" w:cs="Times New Roman"/>
          <w:color w:val="auto"/>
          <w:sz w:val="28"/>
          <w:szCs w:val="28"/>
        </w:rPr>
      </w:pPr>
      <w:r w:rsidRPr="00B80C85">
        <w:rPr>
          <w:rFonts w:ascii="Times New Roman" w:hAnsi="Times New Roman"/>
          <w:color w:val="auto"/>
          <w:sz w:val="28"/>
          <w:szCs w:val="28"/>
        </w:rPr>
        <w:t xml:space="preserve">Лагутин В.И.  Проблемы анализа художественного диалога (К прагмалингвистической теории драмы).  Кишинев:  Штиинца,  1991. 97  с. </w:t>
      </w:r>
    </w:p>
    <w:p w:rsidR="00AD4CD7" w:rsidRPr="00B80C85" w:rsidRDefault="00F46CF5" w:rsidP="00B80C85">
      <w:pPr>
        <w:pStyle w:val="ac"/>
        <w:numPr>
          <w:ilvl w:val="0"/>
          <w:numId w:val="15"/>
        </w:numPr>
        <w:spacing w:after="0" w:line="360" w:lineRule="auto"/>
        <w:ind w:left="567" w:firstLine="142"/>
        <w:jc w:val="both"/>
        <w:rPr>
          <w:rFonts w:ascii="Times New Roman" w:eastAsia="Times New Roman" w:hAnsi="Times New Roman" w:cs="Times New Roman"/>
          <w:color w:val="auto"/>
          <w:sz w:val="28"/>
          <w:szCs w:val="28"/>
        </w:rPr>
      </w:pPr>
      <w:r w:rsidRPr="00B80C85">
        <w:rPr>
          <w:rFonts w:ascii="Times New Roman" w:hAnsi="Times New Roman"/>
          <w:color w:val="auto"/>
          <w:sz w:val="28"/>
          <w:szCs w:val="28"/>
        </w:rPr>
        <w:t xml:space="preserve">Мартынова И. А. Некоторые аспекты дискурсивной дистрибуции речевого акта угрозы в англоязычной лингвокультуре. </w:t>
      </w:r>
      <w:r w:rsidRPr="00B80C85">
        <w:rPr>
          <w:rFonts w:ascii="Times New Roman" w:hAnsi="Times New Roman"/>
          <w:i/>
          <w:iCs/>
          <w:color w:val="auto"/>
          <w:sz w:val="28"/>
          <w:szCs w:val="28"/>
        </w:rPr>
        <w:t>Филология и культура: Материалы V Междунар. науч. конф</w:t>
      </w:r>
      <w:r w:rsidRPr="00B80C85">
        <w:rPr>
          <w:rFonts w:ascii="Times New Roman" w:hAnsi="Times New Roman"/>
          <w:color w:val="auto"/>
          <w:sz w:val="28"/>
          <w:szCs w:val="28"/>
        </w:rPr>
        <w:t>. Тамбов : ТГУ им. Г. Р. Державина, 2005. С. 428–430.</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Медведева Л. М. О типах речевых актов. Человек и речевая деятельность. </w:t>
      </w:r>
      <w:r>
        <w:rPr>
          <w:rFonts w:ascii="Times New Roman" w:hAnsi="Times New Roman"/>
          <w:i/>
          <w:iCs/>
          <w:sz w:val="28"/>
          <w:szCs w:val="28"/>
        </w:rPr>
        <w:t>Вестник Харьковского университета</w:t>
      </w:r>
      <w:r>
        <w:rPr>
          <w:rStyle w:val="A6"/>
          <w:rFonts w:ascii="Times New Roman" w:hAnsi="Times New Roman"/>
          <w:sz w:val="28"/>
          <w:szCs w:val="28"/>
        </w:rPr>
        <w:t>. Харьков, 1989. Вып. 339. С. 42–46.</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Миловидов В. А. Текст vs. дискурс: опыт эпистемологического анализа. Интерпретация. Понимание. Перевод: сб. научн. ст. СанктПетербург : СПбГУЭФ, 2005. С. 125–132.</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Морозова Е. И. Ложь как дискурсивное образование: лингвокогнитивный аспект. Харьков : Экограф, 2005. 299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Мулькеева В. О. Речевые стратегии конфликта и факторы, влияющие на их выбор: автореф. дис. на соискание уч. степени канд. филол. наук: спец. 10.02.04 «Германские языки». Санкт-Петербург, 2006. 19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Негляд К.О. Вплив стану афекту на мисленнєво-мовленнєві процеси (на матеріалі англомовного літературного дискурсу). </w:t>
      </w:r>
      <w:r>
        <w:rPr>
          <w:rFonts w:ascii="Times New Roman" w:hAnsi="Times New Roman"/>
          <w:i/>
          <w:iCs/>
          <w:sz w:val="28"/>
          <w:szCs w:val="28"/>
        </w:rPr>
        <w:t>Південний архів (філологічні науки): Збірник наукових праць. Випуск LXXX</w:t>
      </w:r>
      <w:r>
        <w:rPr>
          <w:rStyle w:val="A6"/>
          <w:rFonts w:ascii="Times New Roman" w:hAnsi="Times New Roman"/>
          <w:sz w:val="28"/>
          <w:szCs w:val="28"/>
        </w:rPr>
        <w:t xml:space="preserve">. Херсон: ХДУ, 2019. С. 41 – 46.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Одинцов В. В. Стилистика текста. Москва : Наука, 1980. 263 с</w:t>
      </w:r>
      <w:r>
        <w:rPr>
          <w:rStyle w:val="A6"/>
          <w:rFonts w:ascii="Times New Roman" w:hAnsi="Times New Roman"/>
          <w:sz w:val="28"/>
          <w:szCs w:val="28"/>
          <w:lang w:val="en-US"/>
        </w:rPr>
        <w:t>.</w:t>
      </w:r>
    </w:p>
    <w:p w:rsidR="00B80C85" w:rsidRPr="00B80C85" w:rsidRDefault="00F46CF5">
      <w:pPr>
        <w:pStyle w:val="ac"/>
        <w:numPr>
          <w:ilvl w:val="0"/>
          <w:numId w:val="12"/>
        </w:numPr>
        <w:spacing w:after="0" w:line="360" w:lineRule="auto"/>
        <w:jc w:val="both"/>
        <w:rPr>
          <w:rFonts w:ascii="Times New Roman" w:hAnsi="Times New Roman"/>
          <w:color w:val="auto"/>
          <w:sz w:val="28"/>
          <w:szCs w:val="28"/>
        </w:rPr>
      </w:pPr>
      <w:r w:rsidRPr="00B80C85">
        <w:rPr>
          <w:rFonts w:ascii="Times New Roman" w:hAnsi="Times New Roman"/>
          <w:color w:val="auto"/>
          <w:sz w:val="28"/>
          <w:szCs w:val="28"/>
        </w:rPr>
        <w:t>Олексієнко Л.П. Прагматична характеристика та  структурна організація  англійського  діалогу</w:t>
      </w:r>
      <w:r w:rsidR="00B80C85" w:rsidRPr="00B80C85">
        <w:rPr>
          <w:rFonts w:ascii="Times New Roman" w:hAnsi="Times New Roman"/>
          <w:color w:val="auto"/>
          <w:sz w:val="28"/>
          <w:szCs w:val="28"/>
          <w:lang w:val="uk-UA"/>
        </w:rPr>
        <w:t xml:space="preserve">. </w:t>
      </w:r>
      <w:r w:rsidRPr="00B80C85">
        <w:rPr>
          <w:rFonts w:ascii="Times New Roman" w:hAnsi="Times New Roman"/>
          <w:i/>
          <w:color w:val="auto"/>
          <w:sz w:val="28"/>
          <w:szCs w:val="28"/>
        </w:rPr>
        <w:t>Вісник Київського національного університету ім. Т. Шевченка. Іноземна філологія</w:t>
      </w:r>
      <w:r w:rsidRPr="00B80C85">
        <w:rPr>
          <w:rFonts w:ascii="Times New Roman" w:hAnsi="Times New Roman"/>
          <w:color w:val="auto"/>
          <w:sz w:val="28"/>
          <w:szCs w:val="28"/>
        </w:rPr>
        <w:t xml:space="preserve">. 2001. Вип. 31. С. 25–28. </w:t>
      </w:r>
    </w:p>
    <w:p w:rsidR="00AD4CD7" w:rsidRDefault="00F46CF5">
      <w:pPr>
        <w:numPr>
          <w:ilvl w:val="0"/>
          <w:numId w:val="14"/>
        </w:numPr>
        <w:spacing w:line="360" w:lineRule="auto"/>
        <w:jc w:val="both"/>
        <w:rPr>
          <w:rFonts w:ascii="Times New Roman" w:hAnsi="Times New Roman"/>
          <w:sz w:val="28"/>
          <w:szCs w:val="28"/>
        </w:rPr>
      </w:pPr>
      <w:r>
        <w:rPr>
          <w:rFonts w:ascii="Times New Roman" w:hAnsi="Times New Roman"/>
          <w:sz w:val="28"/>
          <w:szCs w:val="28"/>
        </w:rPr>
        <w:lastRenderedPageBreak/>
        <w:t xml:space="preserve">Остин Дж. Л. Слово как действие. </w:t>
      </w:r>
      <w:r>
        <w:rPr>
          <w:rFonts w:ascii="Times New Roman" w:hAnsi="Times New Roman"/>
          <w:i/>
          <w:iCs/>
          <w:sz w:val="28"/>
          <w:szCs w:val="28"/>
        </w:rPr>
        <w:t>Новое в зарубежной лингвистике</w:t>
      </w:r>
      <w:r>
        <w:rPr>
          <w:rFonts w:ascii="Times New Roman" w:hAnsi="Times New Roman"/>
          <w:sz w:val="28"/>
          <w:szCs w:val="28"/>
        </w:rPr>
        <w:t>. Вып. 17 : Теория речевых актов. Москва, 1986. С. 22-130.</w:t>
      </w:r>
    </w:p>
    <w:p w:rsidR="00AD4CD7" w:rsidRDefault="00F46CF5">
      <w:pPr>
        <w:numPr>
          <w:ilvl w:val="0"/>
          <w:numId w:val="14"/>
        </w:numPr>
        <w:spacing w:line="360" w:lineRule="auto"/>
        <w:jc w:val="both"/>
        <w:rPr>
          <w:rFonts w:ascii="Times New Roman" w:hAnsi="Times New Roman"/>
          <w:sz w:val="28"/>
          <w:szCs w:val="28"/>
        </w:rPr>
      </w:pPr>
      <w:r>
        <w:rPr>
          <w:rFonts w:ascii="Times New Roman" w:hAnsi="Times New Roman"/>
          <w:sz w:val="28"/>
          <w:szCs w:val="28"/>
        </w:rPr>
        <w:t>Паповянц Э. Г. Перлокутивная функция речевого акта угрозы. Ювілейні четверті Каразінські читання: Людина. Мова. Комунікація: мат-ли міжнар. наук.-метод. конф., Харків, дата 2004 р. Харків : ХНУ імені В. Н. Каразіна, 2004. С. 210–212.</w:t>
      </w:r>
    </w:p>
    <w:p w:rsidR="00B80C85" w:rsidRPr="00B80C85" w:rsidRDefault="00B80C85" w:rsidP="00B80C85">
      <w:pPr>
        <w:pStyle w:val="ac"/>
        <w:numPr>
          <w:ilvl w:val="0"/>
          <w:numId w:val="12"/>
        </w:numPr>
        <w:spacing w:after="0" w:line="360" w:lineRule="auto"/>
        <w:jc w:val="both"/>
        <w:rPr>
          <w:rFonts w:ascii="Times New Roman" w:hAnsi="Times New Roman"/>
          <w:color w:val="auto"/>
          <w:sz w:val="28"/>
          <w:szCs w:val="28"/>
        </w:rPr>
      </w:pPr>
      <w:r w:rsidRPr="00B80C85">
        <w:rPr>
          <w:rFonts w:ascii="Times New Roman" w:hAnsi="Times New Roman"/>
          <w:color w:val="auto"/>
          <w:sz w:val="28"/>
          <w:szCs w:val="28"/>
        </w:rPr>
        <w:t xml:space="preserve">Петрова Н. В. Текст и дискурс. </w:t>
      </w:r>
      <w:r w:rsidRPr="00B80C85">
        <w:rPr>
          <w:rFonts w:ascii="Times New Roman" w:hAnsi="Times New Roman"/>
          <w:i/>
          <w:iCs/>
          <w:color w:val="auto"/>
          <w:sz w:val="28"/>
          <w:szCs w:val="28"/>
        </w:rPr>
        <w:t>Вопросы языкознания,</w:t>
      </w:r>
      <w:r w:rsidRPr="00B80C85">
        <w:rPr>
          <w:rFonts w:ascii="Times New Roman" w:hAnsi="Times New Roman"/>
          <w:color w:val="auto"/>
          <w:sz w:val="28"/>
          <w:szCs w:val="28"/>
        </w:rPr>
        <w:t xml:space="preserve"> 2003. № 6. С. 123–131.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Пономаренко О. О. Мовленнєві акти погрози в сучасному англомовному діалогічному дискурсі: когнітивно-прагматичний аспект : автореф. дис. на здобуття наук. ступеня канд. філол. наук: спец. 10.02.04. Германські мови. Харків, 2019. 246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Cамощенко І. В. Понятие и признаки угрозы в уголовном праве : монография. Харьков : СПД ФЛ Вапнярчук Н. М., 2005. 120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Серл Дж. Р. Классификация иллокутивных актов. </w:t>
      </w:r>
      <w:r>
        <w:rPr>
          <w:rFonts w:ascii="Times New Roman" w:hAnsi="Times New Roman"/>
          <w:i/>
          <w:iCs/>
          <w:sz w:val="28"/>
          <w:szCs w:val="28"/>
        </w:rPr>
        <w:t>Новое в зарубежной лингвистике</w:t>
      </w:r>
      <w:r>
        <w:rPr>
          <w:rStyle w:val="A6"/>
          <w:rFonts w:ascii="Times New Roman" w:hAnsi="Times New Roman"/>
          <w:sz w:val="28"/>
          <w:szCs w:val="28"/>
        </w:rPr>
        <w:t>. Вып. 17 : Теория речевых актов. Москва, 1986. С. 170-194.</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Соколова В.Л. Коммуникативная структура англоязычного художественного диалога: на материале англоязычной прозы и драмы XX века. Дис. … канд. філол. наук: 10.02.04. Москва, 2008. 250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Сусов И. П. Семантика и прагматика предложения. Калинин : Калининский ГУ, 1980. 51 с.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Сусов И. П. Лингвистическая прагматика : монография. Вінниця : Нова Книга, 2009. 272 с.:119-122.</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Формановская Н. И. Речевое взаимодействие : коммуникация и прагматика : монография.  Москва : Икар, 2007. 480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Фролова І. Є. Стратегія конфронтації в англомовному дискурсі : монографія. Харків : ХНУ імені В. Н. Каразіна, 2009. 344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Фролова І. Є. Типологія дискурсів: проблеми і перспективи. </w:t>
      </w:r>
      <w:r>
        <w:rPr>
          <w:rFonts w:ascii="Times New Roman" w:hAnsi="Times New Roman"/>
          <w:i/>
          <w:iCs/>
          <w:sz w:val="28"/>
          <w:szCs w:val="28"/>
        </w:rPr>
        <w:t xml:space="preserve">Каразінські читання: Людина. Мова. Комунікація: тези доповідей XVII наукової </w:t>
      </w:r>
      <w:r>
        <w:rPr>
          <w:rFonts w:ascii="Times New Roman" w:hAnsi="Times New Roman"/>
          <w:i/>
          <w:iCs/>
          <w:sz w:val="28"/>
          <w:szCs w:val="28"/>
        </w:rPr>
        <w:lastRenderedPageBreak/>
        <w:t>конференції з міжнародною участю</w:t>
      </w:r>
      <w:r>
        <w:rPr>
          <w:rStyle w:val="A6"/>
          <w:rFonts w:ascii="Times New Roman" w:hAnsi="Times New Roman"/>
          <w:sz w:val="28"/>
          <w:szCs w:val="28"/>
        </w:rPr>
        <w:t>. Харків : ХНУ імені В. Н. Каразіна, 2018. С. 166–168.</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Хорошилова В. Н. Дискурсивні особливості реалізації стратегії завдання образи як підтипу неввічливості в інтернет-просторі. </w:t>
      </w:r>
      <w:r>
        <w:rPr>
          <w:rFonts w:ascii="Times New Roman" w:hAnsi="Times New Roman"/>
          <w:i/>
          <w:iCs/>
          <w:sz w:val="28"/>
          <w:szCs w:val="28"/>
        </w:rPr>
        <w:t>Вісник Харківського національного університету імені В. Н. Каразіна.</w:t>
      </w:r>
      <w:r>
        <w:rPr>
          <w:rStyle w:val="A6"/>
          <w:rFonts w:ascii="Times New Roman" w:hAnsi="Times New Roman"/>
          <w:sz w:val="28"/>
          <w:szCs w:val="28"/>
        </w:rPr>
        <w:t xml:space="preserve"> 2014. Вип. 1102. С. 100–106.</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Чайка Л. В. Вербальний конфлікт та аспекти його дослідження в англомовній комунікації. </w:t>
      </w:r>
      <w:r>
        <w:rPr>
          <w:rFonts w:ascii="Times New Roman" w:hAnsi="Times New Roman"/>
          <w:i/>
          <w:iCs/>
          <w:sz w:val="28"/>
          <w:szCs w:val="28"/>
        </w:rPr>
        <w:t>Каразінські читання: Людина. Мова. Комунікація: тези доповідей XVII наукової конференції з міжнародною участю</w:t>
      </w:r>
      <w:r>
        <w:rPr>
          <w:rStyle w:val="A6"/>
          <w:rFonts w:ascii="Times New Roman" w:hAnsi="Times New Roman"/>
          <w:sz w:val="28"/>
          <w:szCs w:val="28"/>
        </w:rPr>
        <w:t>. Харків : ХНУ імені В. Н. Каразіна, 2018. С. 168–171.</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Чернявская В. Е. Открытый текст и открытый дискурс: Интертекстуальность – дискурсивность – интердискурсивность. </w:t>
      </w:r>
      <w:r>
        <w:rPr>
          <w:rFonts w:ascii="Times New Roman" w:hAnsi="Times New Roman"/>
          <w:i/>
          <w:iCs/>
          <w:sz w:val="28"/>
          <w:szCs w:val="28"/>
        </w:rPr>
        <w:t>Лингвистика текста и дискурсивный анализ: традиции и перспективы</w:t>
      </w:r>
      <w:r>
        <w:rPr>
          <w:rStyle w:val="A6"/>
          <w:rFonts w:ascii="Times New Roman" w:hAnsi="Times New Roman"/>
          <w:sz w:val="28"/>
          <w:szCs w:val="28"/>
        </w:rPr>
        <w:t xml:space="preserve"> : сб. науч. статей / Отв. ред. В. Е. Чернявская. Санкт-Петербург : СПбГУЭФ, 2007. С. 7–25.</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Шевченко И. С. Историческая динамика прагматики предложения: английское вопросительное предложение 16–20 вв. : монографія. Харьков : Константа, 1998. 168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Шевченко І. С. Когнітивно-комунікативна парадигма і аналіз дискурсу. </w:t>
      </w:r>
      <w:r>
        <w:rPr>
          <w:rFonts w:ascii="Times New Roman" w:hAnsi="Times New Roman"/>
          <w:i/>
          <w:iCs/>
          <w:sz w:val="28"/>
          <w:szCs w:val="28"/>
        </w:rPr>
        <w:t>Дискурс як когнітивно-комунікативний феномен : кол. монографія</w:t>
      </w:r>
      <w:r>
        <w:rPr>
          <w:rStyle w:val="A6"/>
          <w:rFonts w:ascii="Times New Roman" w:hAnsi="Times New Roman"/>
          <w:sz w:val="28"/>
          <w:szCs w:val="28"/>
        </w:rPr>
        <w:t xml:space="preserve"> / під загальн. ред. Шевченко І. С. Харків : Константа, 2005. С. 9–20.</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Шевченко І. С., Морозова О. І. Проблеми типології дискурсу. Дискурс як когнітивно-комунікативний феномен : кол. монографія / під загальн. ред. Шевченко І. С. Харків : Константа, 2005. С. 233–236.</w:t>
      </w:r>
    </w:p>
    <w:p w:rsidR="00AD4CD7" w:rsidRDefault="00F46CF5">
      <w:pPr>
        <w:pStyle w:val="ac"/>
        <w:numPr>
          <w:ilvl w:val="0"/>
          <w:numId w:val="13"/>
        </w:numPr>
        <w:spacing w:after="0" w:line="360" w:lineRule="auto"/>
        <w:jc w:val="both"/>
        <w:rPr>
          <w:rFonts w:ascii="Times New Roman" w:hAnsi="Times New Roman"/>
          <w:sz w:val="28"/>
          <w:szCs w:val="28"/>
        </w:rPr>
      </w:pPr>
      <w:r>
        <w:rPr>
          <w:rStyle w:val="A6"/>
          <w:rFonts w:ascii="Times New Roman" w:hAnsi="Times New Roman"/>
          <w:sz w:val="28"/>
          <w:szCs w:val="28"/>
        </w:rPr>
        <w:t>Шейгал Е. И. Семиотика политического дискурса : монографія. Москва : Гнозис, 2004. 326 с.</w:t>
      </w:r>
    </w:p>
    <w:p w:rsidR="00B80C85" w:rsidRPr="00B80C85" w:rsidRDefault="00F46CF5">
      <w:pPr>
        <w:pStyle w:val="ac"/>
        <w:numPr>
          <w:ilvl w:val="0"/>
          <w:numId w:val="13"/>
        </w:numPr>
        <w:spacing w:after="0" w:line="360" w:lineRule="auto"/>
        <w:jc w:val="both"/>
        <w:rPr>
          <w:rFonts w:ascii="Times New Roman" w:hAnsi="Times New Roman"/>
          <w:color w:val="auto"/>
          <w:sz w:val="28"/>
          <w:szCs w:val="28"/>
          <w:lang w:val="en-US"/>
        </w:rPr>
      </w:pPr>
      <w:r w:rsidRPr="00B80C85">
        <w:rPr>
          <w:rFonts w:ascii="Times New Roman" w:hAnsi="Times New Roman"/>
          <w:color w:val="auto"/>
          <w:sz w:val="28"/>
          <w:szCs w:val="28"/>
        </w:rPr>
        <w:t>Якубинский  Л.П. О  диалогической речи</w:t>
      </w:r>
      <w:r w:rsidR="00B80C85" w:rsidRPr="00B80C85">
        <w:rPr>
          <w:rFonts w:ascii="Times New Roman" w:hAnsi="Times New Roman"/>
          <w:color w:val="auto"/>
          <w:sz w:val="28"/>
          <w:szCs w:val="28"/>
          <w:lang w:val="uk-UA"/>
        </w:rPr>
        <w:t>.</w:t>
      </w:r>
      <w:r w:rsidRPr="00B80C85">
        <w:rPr>
          <w:rFonts w:ascii="Times New Roman" w:hAnsi="Times New Roman"/>
          <w:color w:val="auto"/>
          <w:sz w:val="28"/>
          <w:szCs w:val="28"/>
        </w:rPr>
        <w:t xml:space="preserve">  </w:t>
      </w:r>
      <w:r w:rsidR="00B80C85">
        <w:rPr>
          <w:rFonts w:ascii="Times New Roman" w:hAnsi="Times New Roman"/>
          <w:color w:val="auto"/>
          <w:sz w:val="28"/>
          <w:szCs w:val="28"/>
          <w:lang w:val="uk-UA"/>
        </w:rPr>
        <w:t xml:space="preserve">Москва: </w:t>
      </w:r>
      <w:r w:rsidR="00B80C85">
        <w:rPr>
          <w:rFonts w:ascii="Times New Roman" w:hAnsi="Times New Roman"/>
          <w:color w:val="auto"/>
          <w:sz w:val="28"/>
          <w:szCs w:val="28"/>
        </w:rPr>
        <w:t>Русская</w:t>
      </w:r>
      <w:r w:rsidR="00B80C85" w:rsidRPr="00B80C85">
        <w:rPr>
          <w:rFonts w:ascii="Times New Roman" w:hAnsi="Times New Roman"/>
          <w:color w:val="auto"/>
          <w:sz w:val="28"/>
          <w:szCs w:val="28"/>
          <w:lang w:val="en-US"/>
        </w:rPr>
        <w:t xml:space="preserve">  </w:t>
      </w:r>
      <w:r w:rsidR="00B80C85">
        <w:rPr>
          <w:rFonts w:ascii="Times New Roman" w:hAnsi="Times New Roman"/>
          <w:color w:val="auto"/>
          <w:sz w:val="28"/>
          <w:szCs w:val="28"/>
        </w:rPr>
        <w:t>речь</w:t>
      </w:r>
      <w:r w:rsidRPr="00B80C85">
        <w:rPr>
          <w:rFonts w:ascii="Times New Roman" w:hAnsi="Times New Roman"/>
          <w:color w:val="auto"/>
          <w:sz w:val="28"/>
          <w:szCs w:val="28"/>
          <w:lang w:val="en-US"/>
        </w:rPr>
        <w:t>,  19</w:t>
      </w:r>
      <w:r w:rsidR="00B80C85">
        <w:rPr>
          <w:rFonts w:ascii="Times New Roman" w:hAnsi="Times New Roman"/>
          <w:color w:val="auto"/>
          <w:sz w:val="28"/>
          <w:szCs w:val="28"/>
          <w:lang w:val="en-US"/>
        </w:rPr>
        <w:t>86</w:t>
      </w:r>
      <w:r w:rsidRPr="00B80C85">
        <w:rPr>
          <w:rFonts w:ascii="Times New Roman" w:hAnsi="Times New Roman"/>
          <w:color w:val="auto"/>
          <w:sz w:val="28"/>
          <w:szCs w:val="28"/>
          <w:lang w:val="en-US"/>
        </w:rPr>
        <w:t xml:space="preserve">.  </w:t>
      </w:r>
      <w:r w:rsidRPr="00B80C85">
        <w:rPr>
          <w:rFonts w:ascii="Times New Roman" w:hAnsi="Times New Roman"/>
          <w:color w:val="auto"/>
          <w:sz w:val="28"/>
          <w:szCs w:val="28"/>
        </w:rPr>
        <w:t>С</w:t>
      </w:r>
      <w:r w:rsidRPr="00B80C85">
        <w:rPr>
          <w:rFonts w:ascii="Times New Roman" w:hAnsi="Times New Roman"/>
          <w:color w:val="auto"/>
          <w:sz w:val="28"/>
          <w:szCs w:val="28"/>
          <w:lang w:val="en-US"/>
        </w:rPr>
        <w:t xml:space="preserve">.  95–194.  </w:t>
      </w:r>
    </w:p>
    <w:p w:rsidR="00AD4CD7" w:rsidRPr="00B80C85" w:rsidRDefault="00F46CF5">
      <w:pPr>
        <w:pStyle w:val="ac"/>
        <w:numPr>
          <w:ilvl w:val="0"/>
          <w:numId w:val="13"/>
        </w:numPr>
        <w:spacing w:after="0" w:line="360" w:lineRule="auto"/>
        <w:jc w:val="both"/>
        <w:rPr>
          <w:rFonts w:ascii="Times New Roman" w:hAnsi="Times New Roman"/>
          <w:color w:val="auto"/>
          <w:sz w:val="28"/>
          <w:szCs w:val="28"/>
        </w:rPr>
      </w:pPr>
      <w:r w:rsidRPr="00B80C85">
        <w:rPr>
          <w:rFonts w:ascii="Times New Roman" w:hAnsi="Times New Roman"/>
          <w:color w:val="auto"/>
          <w:sz w:val="28"/>
          <w:szCs w:val="28"/>
          <w:lang w:val="de-DE"/>
        </w:rPr>
        <w:t xml:space="preserve">Apeltauer E. Drohen. Sprengel K., Bald W.-D., Viethen H.W. (Hg.) </w:t>
      </w:r>
      <w:r w:rsidRPr="00B80C85">
        <w:rPr>
          <w:rFonts w:ascii="Times New Roman" w:hAnsi="Times New Roman"/>
          <w:i/>
          <w:iCs/>
          <w:color w:val="auto"/>
          <w:sz w:val="28"/>
          <w:szCs w:val="28"/>
          <w:lang w:val="en-US"/>
        </w:rPr>
        <w:t>Semantik u. Pragmatik.</w:t>
      </w:r>
      <w:r w:rsidRPr="00B80C85">
        <w:rPr>
          <w:rFonts w:ascii="Times New Roman" w:hAnsi="Times New Roman"/>
          <w:color w:val="auto"/>
          <w:sz w:val="28"/>
          <w:szCs w:val="28"/>
          <w:lang w:val="en-US"/>
        </w:rPr>
        <w:t xml:space="preserve"> Tübingen : Niemeyer, 1977. </w:t>
      </w:r>
      <w:r w:rsidRPr="00B80C85">
        <w:rPr>
          <w:rFonts w:ascii="Times New Roman" w:hAnsi="Times New Roman"/>
          <w:color w:val="auto"/>
          <w:sz w:val="28"/>
          <w:szCs w:val="28"/>
        </w:rPr>
        <w:t>S. 187–198.</w:t>
      </w:r>
    </w:p>
    <w:p w:rsidR="00AD4CD7" w:rsidRPr="00B80C85" w:rsidRDefault="00F46CF5" w:rsidP="00126990">
      <w:pPr>
        <w:pStyle w:val="ac"/>
        <w:numPr>
          <w:ilvl w:val="0"/>
          <w:numId w:val="13"/>
        </w:numPr>
        <w:spacing w:after="0" w:line="360" w:lineRule="auto"/>
        <w:jc w:val="both"/>
        <w:rPr>
          <w:rFonts w:ascii="Times New Roman" w:hAnsi="Times New Roman"/>
          <w:color w:val="auto"/>
          <w:sz w:val="28"/>
          <w:szCs w:val="28"/>
          <w:lang w:val="en-US"/>
        </w:rPr>
      </w:pPr>
      <w:r>
        <w:rPr>
          <w:rFonts w:ascii="Times New Roman" w:hAnsi="Times New Roman"/>
          <w:sz w:val="28"/>
          <w:szCs w:val="28"/>
          <w:lang w:val="en-US"/>
        </w:rPr>
        <w:lastRenderedPageBreak/>
        <w:t>Austin</w:t>
      </w:r>
      <w:r w:rsidRPr="00E83DBF">
        <w:rPr>
          <w:rFonts w:ascii="Times New Roman" w:hAnsi="Times New Roman"/>
          <w:sz w:val="28"/>
          <w:szCs w:val="28"/>
          <w:lang w:val="en-US"/>
        </w:rPr>
        <w:t xml:space="preserve"> </w:t>
      </w:r>
      <w:r>
        <w:rPr>
          <w:rFonts w:ascii="Times New Roman" w:hAnsi="Times New Roman"/>
          <w:sz w:val="28"/>
          <w:szCs w:val="28"/>
          <w:lang w:val="en-US"/>
        </w:rPr>
        <w:t>J</w:t>
      </w:r>
      <w:r w:rsidRPr="00E83DBF">
        <w:rPr>
          <w:rFonts w:ascii="Times New Roman" w:hAnsi="Times New Roman"/>
          <w:sz w:val="28"/>
          <w:szCs w:val="28"/>
          <w:lang w:val="en-US"/>
        </w:rPr>
        <w:t>.</w:t>
      </w:r>
      <w:r>
        <w:rPr>
          <w:rFonts w:ascii="Times New Roman" w:hAnsi="Times New Roman"/>
          <w:sz w:val="28"/>
          <w:szCs w:val="28"/>
          <w:lang w:val="en-US"/>
        </w:rPr>
        <w:t>L</w:t>
      </w:r>
      <w:r w:rsidRPr="00E83DBF">
        <w:rPr>
          <w:rFonts w:ascii="Times New Roman" w:hAnsi="Times New Roman"/>
          <w:sz w:val="28"/>
          <w:szCs w:val="28"/>
          <w:lang w:val="en-US"/>
        </w:rPr>
        <w:t xml:space="preserve">. </w:t>
      </w:r>
      <w:r>
        <w:rPr>
          <w:rFonts w:ascii="Times New Roman" w:hAnsi="Times New Roman"/>
          <w:sz w:val="28"/>
          <w:szCs w:val="28"/>
          <w:lang w:val="en-US"/>
        </w:rPr>
        <w:t>How</w:t>
      </w:r>
      <w:r w:rsidRPr="00E83DBF">
        <w:rPr>
          <w:rFonts w:ascii="Times New Roman" w:hAnsi="Times New Roman"/>
          <w:sz w:val="28"/>
          <w:szCs w:val="28"/>
          <w:lang w:val="en-US"/>
        </w:rPr>
        <w:t xml:space="preserve"> </w:t>
      </w:r>
      <w:r>
        <w:rPr>
          <w:rFonts w:ascii="Times New Roman" w:hAnsi="Times New Roman"/>
          <w:sz w:val="28"/>
          <w:szCs w:val="28"/>
          <w:lang w:val="en-US"/>
        </w:rPr>
        <w:t>to</w:t>
      </w:r>
      <w:r w:rsidRPr="00E83DBF">
        <w:rPr>
          <w:rFonts w:ascii="Times New Roman" w:hAnsi="Times New Roman"/>
          <w:sz w:val="28"/>
          <w:szCs w:val="28"/>
          <w:lang w:val="en-US"/>
        </w:rPr>
        <w:t xml:space="preserve"> </w:t>
      </w:r>
      <w:r>
        <w:rPr>
          <w:rFonts w:ascii="Times New Roman" w:hAnsi="Times New Roman"/>
          <w:sz w:val="28"/>
          <w:szCs w:val="28"/>
          <w:lang w:val="en-US"/>
        </w:rPr>
        <w:t>Do</w:t>
      </w:r>
      <w:r w:rsidRPr="00E83DBF">
        <w:rPr>
          <w:rFonts w:ascii="Times New Roman" w:hAnsi="Times New Roman"/>
          <w:sz w:val="28"/>
          <w:szCs w:val="28"/>
          <w:lang w:val="en-US"/>
        </w:rPr>
        <w:t xml:space="preserve"> </w:t>
      </w:r>
      <w:r>
        <w:rPr>
          <w:rFonts w:ascii="Times New Roman" w:hAnsi="Times New Roman"/>
          <w:sz w:val="28"/>
          <w:szCs w:val="28"/>
          <w:lang w:val="en-US"/>
        </w:rPr>
        <w:t>Things</w:t>
      </w:r>
      <w:r w:rsidRPr="00E83DBF">
        <w:rPr>
          <w:rFonts w:ascii="Times New Roman" w:hAnsi="Times New Roman"/>
          <w:sz w:val="28"/>
          <w:szCs w:val="28"/>
          <w:lang w:val="en-US"/>
        </w:rPr>
        <w:t xml:space="preserve"> </w:t>
      </w:r>
      <w:r>
        <w:rPr>
          <w:rFonts w:ascii="Times New Roman" w:hAnsi="Times New Roman"/>
          <w:sz w:val="28"/>
          <w:szCs w:val="28"/>
          <w:lang w:val="en-US"/>
        </w:rPr>
        <w:t>with</w:t>
      </w:r>
      <w:r w:rsidRPr="00E83DBF">
        <w:rPr>
          <w:rFonts w:ascii="Times New Roman" w:hAnsi="Times New Roman"/>
          <w:sz w:val="28"/>
          <w:szCs w:val="28"/>
          <w:lang w:val="en-US"/>
        </w:rPr>
        <w:t xml:space="preserve"> </w:t>
      </w:r>
      <w:r>
        <w:rPr>
          <w:rFonts w:ascii="Times New Roman" w:hAnsi="Times New Roman"/>
          <w:sz w:val="28"/>
          <w:szCs w:val="28"/>
          <w:lang w:val="en-US"/>
        </w:rPr>
        <w:t>Words</w:t>
      </w:r>
      <w:r w:rsidRPr="00E83DBF">
        <w:rPr>
          <w:rFonts w:ascii="Times New Roman" w:hAnsi="Times New Roman"/>
          <w:sz w:val="28"/>
          <w:szCs w:val="28"/>
          <w:lang w:val="en-US"/>
        </w:rPr>
        <w:t xml:space="preserve">. </w:t>
      </w:r>
      <w:r>
        <w:rPr>
          <w:rFonts w:ascii="Times New Roman" w:hAnsi="Times New Roman"/>
          <w:sz w:val="28"/>
          <w:szCs w:val="28"/>
          <w:lang w:val="en-US"/>
        </w:rPr>
        <w:t>Oxford</w:t>
      </w:r>
      <w:r w:rsidRPr="00E83DBF">
        <w:rPr>
          <w:rFonts w:ascii="Times New Roman" w:hAnsi="Times New Roman"/>
          <w:sz w:val="28"/>
          <w:szCs w:val="28"/>
          <w:lang w:val="en-US"/>
        </w:rPr>
        <w:t xml:space="preserve">: </w:t>
      </w:r>
      <w:r>
        <w:rPr>
          <w:rFonts w:ascii="Times New Roman" w:hAnsi="Times New Roman"/>
          <w:sz w:val="28"/>
          <w:szCs w:val="28"/>
          <w:lang w:val="en-US"/>
        </w:rPr>
        <w:t>Oxford</w:t>
      </w:r>
      <w:r w:rsidRPr="00E83DBF">
        <w:rPr>
          <w:rFonts w:ascii="Times New Roman" w:hAnsi="Times New Roman"/>
          <w:sz w:val="28"/>
          <w:szCs w:val="28"/>
          <w:lang w:val="en-US"/>
        </w:rPr>
        <w:t xml:space="preserve"> </w:t>
      </w:r>
      <w:r>
        <w:rPr>
          <w:rFonts w:ascii="Times New Roman" w:hAnsi="Times New Roman"/>
          <w:sz w:val="28"/>
          <w:szCs w:val="28"/>
          <w:lang w:val="en-US"/>
        </w:rPr>
        <w:t>University</w:t>
      </w:r>
      <w:r w:rsidRPr="00E83DBF">
        <w:rPr>
          <w:rFonts w:ascii="Times New Roman" w:hAnsi="Times New Roman"/>
          <w:sz w:val="28"/>
          <w:szCs w:val="28"/>
          <w:lang w:val="en-US"/>
        </w:rPr>
        <w:t xml:space="preserve"> </w:t>
      </w:r>
      <w:r>
        <w:rPr>
          <w:rFonts w:ascii="Times New Roman" w:hAnsi="Times New Roman"/>
          <w:sz w:val="28"/>
          <w:szCs w:val="28"/>
          <w:lang w:val="en-US"/>
        </w:rPr>
        <w:t>Press</w:t>
      </w:r>
      <w:r w:rsidRPr="00E83DBF">
        <w:rPr>
          <w:rFonts w:ascii="Times New Roman" w:hAnsi="Times New Roman"/>
          <w:sz w:val="28"/>
          <w:szCs w:val="28"/>
          <w:lang w:val="en-US"/>
        </w:rPr>
        <w:t xml:space="preserve">. 1962, </w:t>
      </w:r>
      <w:r w:rsidRPr="00E83DBF">
        <w:rPr>
          <w:rFonts w:ascii="Times New Roman" w:hAnsi="Times New Roman"/>
          <w:color w:val="auto"/>
          <w:sz w:val="28"/>
          <w:szCs w:val="28"/>
          <w:lang w:val="en-US"/>
        </w:rPr>
        <w:t>1</w:t>
      </w:r>
      <w:r w:rsidRPr="00B80C85">
        <w:rPr>
          <w:rFonts w:ascii="Times New Roman" w:hAnsi="Times New Roman"/>
          <w:color w:val="auto"/>
          <w:sz w:val="28"/>
          <w:szCs w:val="28"/>
          <w:lang w:val="en-US"/>
        </w:rPr>
        <w:t>973. – 329 p.</w:t>
      </w:r>
    </w:p>
    <w:p w:rsidR="00AD4CD7" w:rsidRPr="00B80C85" w:rsidRDefault="00F46CF5" w:rsidP="00126990">
      <w:pPr>
        <w:pStyle w:val="ac"/>
        <w:numPr>
          <w:ilvl w:val="0"/>
          <w:numId w:val="13"/>
        </w:numPr>
        <w:spacing w:after="0" w:line="360" w:lineRule="auto"/>
        <w:jc w:val="both"/>
        <w:rPr>
          <w:rFonts w:ascii="Times New Roman" w:hAnsi="Times New Roman"/>
          <w:color w:val="auto"/>
          <w:sz w:val="28"/>
          <w:szCs w:val="28"/>
          <w:lang w:val="en-US"/>
        </w:rPr>
      </w:pPr>
      <w:r w:rsidRPr="00B80C85">
        <w:rPr>
          <w:rFonts w:ascii="Times New Roman" w:hAnsi="Times New Roman"/>
          <w:color w:val="auto"/>
          <w:sz w:val="28"/>
          <w:szCs w:val="28"/>
          <w:lang w:val="en-US"/>
        </w:rPr>
        <w:t xml:space="preserve">Brinker  K. </w:t>
      </w:r>
      <w:r w:rsidR="00B80C85" w:rsidRPr="00B80C85">
        <w:rPr>
          <w:rFonts w:ascii="Times New Roman" w:hAnsi="Times New Roman"/>
          <w:color w:val="auto"/>
          <w:sz w:val="28"/>
          <w:szCs w:val="28"/>
          <w:lang w:val="en-US"/>
        </w:rPr>
        <w:t xml:space="preserve">Sager S.  </w:t>
      </w:r>
      <w:r w:rsidRPr="00B80C85">
        <w:rPr>
          <w:rFonts w:ascii="Times New Roman" w:hAnsi="Times New Roman"/>
          <w:color w:val="auto"/>
          <w:sz w:val="28"/>
          <w:szCs w:val="28"/>
          <w:lang w:val="en-US"/>
        </w:rPr>
        <w:t>Linguistische  Gesprächsanalyse</w:t>
      </w:r>
      <w:r w:rsidR="00B80C85" w:rsidRPr="00B80C85">
        <w:rPr>
          <w:rFonts w:ascii="Times New Roman" w:hAnsi="Times New Roman"/>
          <w:color w:val="auto"/>
          <w:sz w:val="28"/>
          <w:szCs w:val="28"/>
          <w:lang w:val="en-US"/>
        </w:rPr>
        <w:t>.</w:t>
      </w:r>
      <w:r w:rsidRPr="00B80C85">
        <w:rPr>
          <w:rFonts w:ascii="Times New Roman" w:hAnsi="Times New Roman"/>
          <w:color w:val="auto"/>
          <w:sz w:val="28"/>
          <w:szCs w:val="28"/>
          <w:lang w:val="en-US"/>
        </w:rPr>
        <w:t xml:space="preserve"> B.</w:t>
      </w:r>
      <w:r w:rsidR="00B80C85" w:rsidRPr="00B80C85">
        <w:rPr>
          <w:rFonts w:ascii="Times New Roman" w:hAnsi="Times New Roman"/>
          <w:color w:val="auto"/>
          <w:sz w:val="28"/>
          <w:szCs w:val="28"/>
          <w:lang w:val="en-US"/>
        </w:rPr>
        <w:t>erlin</w:t>
      </w:r>
      <w:r w:rsidRPr="00B80C85">
        <w:rPr>
          <w:rFonts w:ascii="Times New Roman" w:hAnsi="Times New Roman"/>
          <w:color w:val="auto"/>
          <w:sz w:val="28"/>
          <w:szCs w:val="28"/>
          <w:lang w:val="en-US"/>
        </w:rPr>
        <w:t xml:space="preserve">:  Schmidt,  2001.  215  S. </w:t>
      </w:r>
    </w:p>
    <w:p w:rsidR="00AD4CD7" w:rsidRDefault="00F46CF5">
      <w:pPr>
        <w:pStyle w:val="ac"/>
        <w:numPr>
          <w:ilvl w:val="0"/>
          <w:numId w:val="13"/>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Brown P. Politeness: Some universals in language usage. In N. Coupland, A. Jaworski (Eds.), </w:t>
      </w:r>
      <w:r>
        <w:rPr>
          <w:rFonts w:ascii="Times New Roman" w:hAnsi="Times New Roman"/>
          <w:i/>
          <w:iCs/>
          <w:sz w:val="28"/>
          <w:szCs w:val="28"/>
          <w:lang w:val="en-US"/>
        </w:rPr>
        <w:t>Sociolinguistics: critical concepts</w:t>
      </w:r>
      <w:r>
        <w:rPr>
          <w:rFonts w:ascii="Times New Roman" w:hAnsi="Times New Roman"/>
          <w:sz w:val="28"/>
          <w:szCs w:val="28"/>
          <w:lang w:val="en-US"/>
        </w:rPr>
        <w:t xml:space="preserve"> [volume III: Interactional sociolinguistics]. London: Routledge, 2009. P. 311-323.</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Goffman E. On Face Work. </w:t>
      </w:r>
      <w:r>
        <w:rPr>
          <w:rFonts w:ascii="Times New Roman" w:hAnsi="Times New Roman"/>
          <w:i/>
          <w:iCs/>
          <w:sz w:val="28"/>
          <w:szCs w:val="28"/>
          <w:lang w:val="en-US"/>
        </w:rPr>
        <w:t>The Discourse Reader</w:t>
      </w:r>
      <w:r>
        <w:rPr>
          <w:rFonts w:ascii="Times New Roman" w:hAnsi="Times New Roman"/>
          <w:sz w:val="28"/>
          <w:szCs w:val="28"/>
          <w:lang w:val="en-US"/>
        </w:rPr>
        <w:t xml:space="preserve"> / Ed. by A. Jaworski, N. Coupland. London; New York: Routledge: 1999.</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Haberland H. Text, discourse, discours: The latest report from the Terminology Vice Squard. </w:t>
      </w:r>
      <w:r>
        <w:rPr>
          <w:rFonts w:ascii="Times New Roman" w:hAnsi="Times New Roman"/>
          <w:i/>
          <w:iCs/>
          <w:sz w:val="28"/>
          <w:szCs w:val="28"/>
          <w:lang w:val="en-US"/>
        </w:rPr>
        <w:t>Journal of Pragmatics</w:t>
      </w:r>
      <w:r>
        <w:rPr>
          <w:rFonts w:ascii="Times New Roman" w:hAnsi="Times New Roman"/>
          <w:sz w:val="28"/>
          <w:szCs w:val="28"/>
          <w:lang w:val="en-US"/>
        </w:rPr>
        <w:t>. 1999. Vol. 31. P. 911–918.</w:t>
      </w:r>
    </w:p>
    <w:p w:rsidR="00AD4CD7" w:rsidRDefault="00F46CF5">
      <w:pPr>
        <w:pStyle w:val="ac"/>
        <w:numPr>
          <w:ilvl w:val="0"/>
          <w:numId w:val="12"/>
        </w:numPr>
        <w:spacing w:after="0" w:line="360" w:lineRule="auto"/>
        <w:jc w:val="both"/>
        <w:rPr>
          <w:rFonts w:ascii="Times New Roman" w:hAnsi="Times New Roman"/>
          <w:sz w:val="28"/>
          <w:szCs w:val="28"/>
          <w:lang w:val="de-DE"/>
        </w:rPr>
      </w:pPr>
      <w:r>
        <w:rPr>
          <w:rFonts w:ascii="Times New Roman" w:hAnsi="Times New Roman"/>
          <w:sz w:val="28"/>
          <w:szCs w:val="28"/>
          <w:lang w:val="de-DE"/>
        </w:rPr>
        <w:t xml:space="preserve">Jung M. Diskurshistorische Analyse – eine linguistische Perspektive. Wengeler M. (Hg.) </w:t>
      </w:r>
      <w:r>
        <w:rPr>
          <w:rFonts w:ascii="Times New Roman" w:hAnsi="Times New Roman"/>
          <w:i/>
          <w:iCs/>
          <w:sz w:val="28"/>
          <w:szCs w:val="28"/>
          <w:lang w:val="de-DE"/>
        </w:rPr>
        <w:t>Sprachgeschichte als Zeitgeschichte.</w:t>
      </w:r>
      <w:r>
        <w:rPr>
          <w:rFonts w:ascii="Times New Roman" w:hAnsi="Times New Roman"/>
          <w:sz w:val="28"/>
          <w:szCs w:val="28"/>
          <w:lang w:val="de-DE"/>
        </w:rPr>
        <w:t xml:space="preserve"> Hildesheim et al. : Olms, 2005. </w:t>
      </w:r>
      <w:r>
        <w:rPr>
          <w:rFonts w:ascii="Times New Roman" w:hAnsi="Times New Roman"/>
          <w:sz w:val="28"/>
          <w:szCs w:val="28"/>
          <w:lang w:val="en-US"/>
        </w:rPr>
        <w:t>S. 165–193.</w:t>
      </w:r>
      <w:r>
        <w:rPr>
          <w:lang w:val="en-US"/>
        </w:rPr>
        <w:t xml:space="preserve"> </w:t>
      </w:r>
    </w:p>
    <w:p w:rsidR="00AD4CD7" w:rsidRDefault="00F46CF5">
      <w:pPr>
        <w:pStyle w:val="ac"/>
        <w:numPr>
          <w:ilvl w:val="0"/>
          <w:numId w:val="12"/>
        </w:numPr>
        <w:spacing w:after="0" w:line="360" w:lineRule="auto"/>
        <w:jc w:val="both"/>
        <w:rPr>
          <w:rFonts w:ascii="Times New Roman" w:hAnsi="Times New Roman"/>
          <w:sz w:val="28"/>
          <w:szCs w:val="28"/>
          <w:lang w:val="de-DE"/>
        </w:rPr>
      </w:pPr>
      <w:r>
        <w:rPr>
          <w:rFonts w:ascii="Times New Roman" w:hAnsi="Times New Roman"/>
          <w:sz w:val="28"/>
          <w:szCs w:val="28"/>
          <w:lang w:val="de-DE"/>
        </w:rPr>
        <w:t>Kallmeyer W., Schütze</w:t>
      </w:r>
      <w:r>
        <w:rPr>
          <w:rFonts w:ascii="Times New Roman" w:hAnsi="Times New Roman"/>
          <w:sz w:val="28"/>
          <w:szCs w:val="28"/>
          <w:lang w:val="en-US"/>
        </w:rPr>
        <w:t xml:space="preserve"> F.</w:t>
      </w:r>
      <w:r>
        <w:rPr>
          <w:rFonts w:ascii="Times New Roman" w:hAnsi="Times New Roman"/>
          <w:sz w:val="28"/>
          <w:szCs w:val="28"/>
          <w:lang w:val="de-DE"/>
        </w:rPr>
        <w:t xml:space="preserve"> Konversationsmaximen. Interaktionspostulate</w:t>
      </w:r>
      <w:r>
        <w:rPr>
          <w:rFonts w:ascii="Times New Roman" w:hAnsi="Times New Roman"/>
          <w:sz w:val="28"/>
          <w:szCs w:val="28"/>
          <w:lang w:val="en-US"/>
        </w:rPr>
        <w:t>.</w:t>
      </w:r>
      <w:r>
        <w:rPr>
          <w:rFonts w:ascii="Times New Roman" w:hAnsi="Times New Roman"/>
          <w:sz w:val="28"/>
          <w:szCs w:val="28"/>
          <w:lang w:val="de-DE"/>
        </w:rPr>
        <w:t xml:space="preserve"> </w:t>
      </w:r>
      <w:r>
        <w:rPr>
          <w:rFonts w:ascii="Times New Roman" w:hAnsi="Times New Roman"/>
          <w:i/>
          <w:iCs/>
          <w:sz w:val="28"/>
          <w:szCs w:val="28"/>
          <w:lang w:val="de-DE"/>
        </w:rPr>
        <w:t>Kleines Lexikon der Linguistik</w:t>
      </w:r>
      <w:r>
        <w:rPr>
          <w:rFonts w:ascii="Times New Roman" w:hAnsi="Times New Roman"/>
          <w:sz w:val="28"/>
          <w:szCs w:val="28"/>
          <w:lang w:val="de-DE"/>
        </w:rPr>
        <w:t xml:space="preserve">. </w:t>
      </w:r>
      <w:r>
        <w:rPr>
          <w:rFonts w:ascii="Times New Roman" w:hAnsi="Times New Roman"/>
          <w:i/>
          <w:iCs/>
          <w:sz w:val="28"/>
          <w:szCs w:val="28"/>
          <w:lang w:val="de-DE"/>
        </w:rPr>
        <w:t>Linguistik und Didaktik</w:t>
      </w:r>
      <w:r>
        <w:rPr>
          <w:rFonts w:ascii="Times New Roman" w:hAnsi="Times New Roman"/>
          <w:sz w:val="28"/>
          <w:szCs w:val="28"/>
          <w:lang w:val="de-DE"/>
        </w:rPr>
        <w:t>, H. 6: 1985. S. 81-84.</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Leech G. N. Principles of Pragmatics. London, NY: Longman: 1983. 250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Rimal R. N., Real K. How behaviors are influenced by perceived norms: A test of the theory of normative social behaviour. </w:t>
      </w:r>
      <w:r>
        <w:rPr>
          <w:rFonts w:ascii="Times New Roman" w:hAnsi="Times New Roman"/>
          <w:i/>
          <w:iCs/>
          <w:sz w:val="28"/>
          <w:szCs w:val="28"/>
        </w:rPr>
        <w:t>Communication Research</w:t>
      </w:r>
      <w:r>
        <w:rPr>
          <w:rFonts w:ascii="Times New Roman" w:hAnsi="Times New Roman"/>
          <w:sz w:val="28"/>
          <w:szCs w:val="28"/>
        </w:rPr>
        <w:t>. 2005.Vol. 32, issue 3. P. 389–414.</w:t>
      </w:r>
    </w:p>
    <w:p w:rsidR="00AD4CD7" w:rsidRDefault="00F46CF5">
      <w:pPr>
        <w:pStyle w:val="ac"/>
        <w:numPr>
          <w:ilvl w:val="0"/>
          <w:numId w:val="12"/>
        </w:numPr>
        <w:spacing w:after="0" w:line="360" w:lineRule="auto"/>
        <w:jc w:val="both"/>
        <w:rPr>
          <w:rFonts w:ascii="Times New Roman" w:hAnsi="Times New Roman"/>
          <w:sz w:val="28"/>
          <w:szCs w:val="28"/>
          <w:lang w:val="de-DE"/>
        </w:rPr>
      </w:pPr>
      <w:r>
        <w:rPr>
          <w:rFonts w:ascii="Times New Roman" w:hAnsi="Times New Roman"/>
          <w:sz w:val="28"/>
          <w:szCs w:val="28"/>
          <w:lang w:val="de-DE"/>
        </w:rPr>
        <w:t xml:space="preserve">Rolf E. Sprachliche Informationshandlungen. Göppingen: Kümmerle, 1983. </w:t>
      </w:r>
      <w:r>
        <w:rPr>
          <w:rFonts w:ascii="Times New Roman" w:hAnsi="Times New Roman"/>
          <w:sz w:val="28"/>
          <w:szCs w:val="28"/>
        </w:rPr>
        <w:t xml:space="preserve">232 S. </w:t>
      </w:r>
    </w:p>
    <w:p w:rsidR="00AD4CD7" w:rsidRDefault="00F46CF5">
      <w:pPr>
        <w:numPr>
          <w:ilvl w:val="0"/>
          <w:numId w:val="12"/>
        </w:numPr>
        <w:spacing w:line="360" w:lineRule="auto"/>
        <w:jc w:val="both"/>
        <w:rPr>
          <w:rFonts w:ascii="Times New Roman" w:hAnsi="Times New Roman"/>
          <w:sz w:val="28"/>
          <w:szCs w:val="28"/>
          <w:lang w:val="en-US"/>
        </w:rPr>
      </w:pPr>
      <w:r>
        <w:rPr>
          <w:rFonts w:ascii="Times New Roman" w:hAnsi="Times New Roman"/>
          <w:sz w:val="28"/>
          <w:szCs w:val="28"/>
          <w:shd w:val="clear" w:color="auto" w:fill="FFFFFF"/>
          <w:lang w:val="en-US"/>
        </w:rPr>
        <w:t>Searle J. R. Speech acts: An Essay in the Philosophy of Language. Cambridge: Cambridge University Press, Cambridge, 1969. 203 p.</w:t>
      </w:r>
    </w:p>
    <w:p w:rsidR="00AD4CD7" w:rsidRDefault="00F46CF5">
      <w:pPr>
        <w:pStyle w:val="ac"/>
        <w:numPr>
          <w:ilvl w:val="0"/>
          <w:numId w:val="12"/>
        </w:numPr>
        <w:spacing w:after="0" w:line="360" w:lineRule="auto"/>
        <w:jc w:val="both"/>
        <w:rPr>
          <w:rFonts w:ascii="Times New Roman" w:hAnsi="Times New Roman"/>
          <w:sz w:val="28"/>
          <w:szCs w:val="28"/>
          <w:lang w:val="de-DE"/>
        </w:rPr>
      </w:pPr>
      <w:r>
        <w:rPr>
          <w:rFonts w:ascii="Times New Roman" w:hAnsi="Times New Roman"/>
          <w:sz w:val="28"/>
          <w:szCs w:val="28"/>
          <w:lang w:val="de-DE"/>
        </w:rPr>
        <w:t>Wagner K. R. Pragmatik der deutschen Sprache. Frankfurt am Main: Lang: 2001. 495 S.</w:t>
      </w:r>
    </w:p>
    <w:p w:rsidR="00AD4CD7" w:rsidRDefault="00F46CF5">
      <w:pPr>
        <w:pStyle w:val="ac"/>
        <w:numPr>
          <w:ilvl w:val="0"/>
          <w:numId w:val="12"/>
        </w:numPr>
        <w:spacing w:after="0" w:line="360" w:lineRule="auto"/>
        <w:jc w:val="both"/>
        <w:rPr>
          <w:rFonts w:ascii="Times New Roman" w:hAnsi="Times New Roman"/>
          <w:sz w:val="28"/>
          <w:szCs w:val="28"/>
          <w:lang w:val="de-DE"/>
        </w:rPr>
      </w:pPr>
      <w:r>
        <w:rPr>
          <w:rFonts w:ascii="Times New Roman" w:hAnsi="Times New Roman"/>
          <w:sz w:val="28"/>
          <w:szCs w:val="28"/>
          <w:lang w:val="de-DE"/>
        </w:rPr>
        <w:t xml:space="preserve">Wunderlich D. Studien zur Sprechtacttheorie. </w:t>
      </w:r>
      <w:r>
        <w:rPr>
          <w:rFonts w:ascii="Times New Roman" w:hAnsi="Times New Roman"/>
          <w:sz w:val="28"/>
          <w:szCs w:val="28"/>
          <w:lang w:val="en-US"/>
        </w:rPr>
        <w:t>Fr/ M. : Suhrkamp, 1976. 416 S.</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Великий енциклопедичний юридичний словник / за ред. акад. НАН України Ю. С. Шемшученка. Київ : Видавництво “Юридична думка”, 2007. 992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lastRenderedPageBreak/>
        <w:t>Великий тлумачний словник сучасної української мови / уклад. І гол. ред. В. Т. Бусел. Київ, Ірпінь : ВТФ « Перун», 2004. 1140 с. С. 486-487.</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 xml:space="preserve">Великий тлумачний словник сучасної української мови (з дод. І допов.) / уклад. і голов. ред. В. Т. Бусел. Київ, Ірпінь : ВТФ «Перун», 2005. 1728 с. </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Словник юридичних термінів (російсько-український) / уклад.: Андерш Ф., Винник В., Красницька А. Київ : Юрінком, 1994. 322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Словник української мови: в 11 т. / АН УРСР. Інститут мовознавства; за ред. І. К. Білодіда. Київ : Наукова думка, 1970–1980. Т. 1. 427 с.</w:t>
      </w:r>
    </w:p>
    <w:p w:rsidR="00AD4CD7" w:rsidRDefault="00F46CF5">
      <w:pPr>
        <w:pStyle w:val="ac"/>
        <w:numPr>
          <w:ilvl w:val="0"/>
          <w:numId w:val="12"/>
        </w:numPr>
        <w:spacing w:after="0" w:line="360" w:lineRule="auto"/>
        <w:jc w:val="both"/>
        <w:rPr>
          <w:rFonts w:ascii="Times New Roman" w:hAnsi="Times New Roman"/>
          <w:sz w:val="28"/>
          <w:szCs w:val="28"/>
        </w:rPr>
      </w:pPr>
      <w:r>
        <w:rPr>
          <w:rStyle w:val="A6"/>
          <w:rFonts w:ascii="Times New Roman" w:hAnsi="Times New Roman"/>
          <w:sz w:val="28"/>
          <w:szCs w:val="28"/>
        </w:rPr>
        <w:t>Оксфордский толковый словарь по психологи / Под ред. А. Ребера, 2002. URL: https://vocabulary.ru/termin/ugroza.html#item-39926.</w:t>
      </w:r>
    </w:p>
    <w:p w:rsidR="00AD4CD7" w:rsidRDefault="00F46CF5">
      <w:pPr>
        <w:spacing w:line="360" w:lineRule="auto"/>
        <w:ind w:left="360"/>
        <w:jc w:val="center"/>
        <w:rPr>
          <w:rFonts w:ascii="Times New Roman" w:eastAsia="Times New Roman" w:hAnsi="Times New Roman" w:cs="Times New Roman"/>
          <w:b/>
          <w:bCs/>
          <w:sz w:val="28"/>
          <w:szCs w:val="28"/>
        </w:rPr>
      </w:pPr>
      <w:r>
        <w:rPr>
          <w:rFonts w:ascii="Times New Roman" w:hAnsi="Times New Roman"/>
          <w:b/>
          <w:bCs/>
          <w:sz w:val="28"/>
          <w:szCs w:val="28"/>
        </w:rPr>
        <w:t>Художні Джерела</w:t>
      </w:r>
    </w:p>
    <w:p w:rsidR="00AD4CD7" w:rsidRDefault="00F46CF5">
      <w:pPr>
        <w:spacing w:line="360" w:lineRule="auto"/>
        <w:ind w:left="360"/>
        <w:jc w:val="center"/>
        <w:rPr>
          <w:rFonts w:ascii="Times New Roman" w:eastAsia="Times New Roman" w:hAnsi="Times New Roman" w:cs="Times New Roman"/>
          <w:b/>
          <w:bCs/>
          <w:sz w:val="28"/>
          <w:szCs w:val="28"/>
        </w:rPr>
      </w:pPr>
      <w:r>
        <w:rPr>
          <w:rFonts w:ascii="Times New Roman" w:hAnsi="Times New Roman"/>
          <w:b/>
          <w:bCs/>
          <w:sz w:val="28"/>
          <w:szCs w:val="28"/>
        </w:rPr>
        <w:t>А)Романи</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Christie A. The Secret Adversary.  – </w:t>
      </w:r>
      <w:r>
        <w:rPr>
          <w:rFonts w:ascii="Times New Roman" w:hAnsi="Times New Roman"/>
          <w:sz w:val="28"/>
          <w:szCs w:val="28"/>
        </w:rPr>
        <w:t>Waking Lion Press</w:t>
      </w:r>
      <w:r>
        <w:rPr>
          <w:rFonts w:ascii="Times New Roman" w:hAnsi="Times New Roman"/>
          <w:sz w:val="28"/>
          <w:szCs w:val="28"/>
          <w:lang w:val="en-US"/>
        </w:rPr>
        <w:t>, 2008. – 268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Chesterton G. K. The innocence of father Brown. – Whitaker House, 2013. – 256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Chesterton G. K.  The man who was Thursday. – CreateSpace Independent Publishing Platform, 2015. – 138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Doyle C. A. The sign of the four.  – </w:t>
      </w:r>
      <w:r>
        <w:rPr>
          <w:rFonts w:ascii="Times New Roman" w:hAnsi="Times New Roman"/>
          <w:sz w:val="28"/>
          <w:szCs w:val="28"/>
        </w:rPr>
        <w:t xml:space="preserve">Aziloth Books, 2010. – 102 </w:t>
      </w:r>
      <w:r>
        <w:rPr>
          <w:rFonts w:ascii="Times New Roman" w:hAnsi="Times New Roman"/>
          <w:sz w:val="28"/>
          <w:szCs w:val="28"/>
          <w:lang w:val="en-US"/>
        </w:rPr>
        <w:t>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Doyle C. A. The Valley of Fear. – Penguin Classics, 2008. – 224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Galbraith R. The Silkworm. – Mulholland Books, 2015. – 672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Hare C. An English murder. –Faber &amp; Faber, 2017. – 40 p.</w:t>
      </w:r>
    </w:p>
    <w:p w:rsidR="00AD4CD7" w:rsidRDefault="00F46CF5">
      <w:pPr>
        <w:pStyle w:val="ac"/>
        <w:numPr>
          <w:ilvl w:val="0"/>
          <w:numId w:val="12"/>
        </w:numPr>
        <w:spacing w:line="360" w:lineRule="auto"/>
        <w:rPr>
          <w:rFonts w:ascii="Times New Roman" w:hAnsi="Times New Roman"/>
          <w:sz w:val="28"/>
          <w:szCs w:val="28"/>
          <w:lang w:val="en-US"/>
        </w:rPr>
      </w:pPr>
      <w:r>
        <w:rPr>
          <w:rFonts w:ascii="Times New Roman" w:hAnsi="Times New Roman"/>
          <w:sz w:val="28"/>
          <w:szCs w:val="28"/>
          <w:lang w:val="en-US"/>
        </w:rPr>
        <w:t>Jones R. C. Ten seconds from the sun. – London: Abacus, 2009. – 309p.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King S. The Green mile. – Pocket Books, 1999. – 544 p.</w:t>
      </w:r>
    </w:p>
    <w:p w:rsidR="00AD4CD7" w:rsidRDefault="00F46CF5">
      <w:pPr>
        <w:pStyle w:val="ac"/>
        <w:numPr>
          <w:ilvl w:val="0"/>
          <w:numId w:val="12"/>
        </w:numPr>
        <w:spacing w:after="0" w:line="360" w:lineRule="auto"/>
        <w:jc w:val="both"/>
        <w:rPr>
          <w:rFonts w:ascii="Times New Roman" w:hAnsi="Times New Roman"/>
          <w:sz w:val="28"/>
          <w:szCs w:val="28"/>
          <w:lang w:val="en-US"/>
        </w:rPr>
      </w:pPr>
      <w:r>
        <w:rPr>
          <w:rFonts w:ascii="Times New Roman" w:hAnsi="Times New Roman"/>
          <w:sz w:val="28"/>
          <w:szCs w:val="28"/>
          <w:lang w:val="en-US"/>
        </w:rPr>
        <w:t>King S. Firestarter. – Pocket Books, 2016. – 576 p.</w:t>
      </w:r>
    </w:p>
    <w:p w:rsidR="00AD4CD7" w:rsidRDefault="00F46CF5">
      <w:pPr>
        <w:pStyle w:val="ac"/>
        <w:numPr>
          <w:ilvl w:val="0"/>
          <w:numId w:val="12"/>
        </w:numPr>
        <w:spacing w:line="360" w:lineRule="auto"/>
        <w:rPr>
          <w:rFonts w:ascii="Times New Roman" w:hAnsi="Times New Roman"/>
          <w:sz w:val="28"/>
          <w:szCs w:val="28"/>
          <w:lang w:val="en-US"/>
        </w:rPr>
      </w:pPr>
      <w:r>
        <w:rPr>
          <w:rFonts w:ascii="Times New Roman" w:hAnsi="Times New Roman"/>
          <w:sz w:val="28"/>
          <w:szCs w:val="28"/>
          <w:lang w:val="en-US"/>
        </w:rPr>
        <w:t>Martin G. A clash of Kings. – Bantam, 2000. – 1040 p.</w:t>
      </w:r>
    </w:p>
    <w:p w:rsidR="00AD4CD7" w:rsidRPr="007F25DD" w:rsidRDefault="00F46CF5" w:rsidP="00126990">
      <w:pPr>
        <w:pStyle w:val="ac"/>
        <w:spacing w:after="0" w:line="360" w:lineRule="auto"/>
        <w:jc w:val="both"/>
        <w:rPr>
          <w:rFonts w:ascii="Times New Roman" w:eastAsia="Times New Roman" w:hAnsi="Times New Roman" w:cs="Times New Roman"/>
          <w:b/>
          <w:bCs/>
          <w:sz w:val="28"/>
          <w:szCs w:val="28"/>
          <w:lang w:val="en-US"/>
        </w:rPr>
      </w:pPr>
      <w:r>
        <w:rPr>
          <w:rFonts w:ascii="Times New Roman" w:hAnsi="Times New Roman"/>
          <w:b/>
          <w:bCs/>
          <w:sz w:val="28"/>
          <w:szCs w:val="28"/>
          <w:lang w:val="en-US"/>
        </w:rPr>
        <w:t xml:space="preserve">B) </w:t>
      </w:r>
      <w:r>
        <w:rPr>
          <w:rFonts w:ascii="Times New Roman" w:hAnsi="Times New Roman"/>
          <w:b/>
          <w:bCs/>
          <w:sz w:val="28"/>
          <w:szCs w:val="28"/>
        </w:rPr>
        <w:t>Художні</w:t>
      </w:r>
      <w:r>
        <w:rPr>
          <w:rFonts w:ascii="Times New Roman" w:hAnsi="Times New Roman"/>
          <w:b/>
          <w:bCs/>
          <w:sz w:val="28"/>
          <w:szCs w:val="28"/>
          <w:lang w:val="en-US"/>
        </w:rPr>
        <w:t xml:space="preserve"> </w:t>
      </w:r>
      <w:r>
        <w:rPr>
          <w:rFonts w:ascii="Times New Roman" w:hAnsi="Times New Roman"/>
          <w:b/>
          <w:bCs/>
          <w:sz w:val="28"/>
          <w:szCs w:val="28"/>
        </w:rPr>
        <w:t>фільми</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76. Behind her eyes. A Left Bank Pictures production . 2021.</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77.The Blacklist. Davis Entertainment. 2013.</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78.Deadly Illusions. Voltage Pictures. 2021.</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lastRenderedPageBreak/>
        <w:t>79.Dynasty. Fake Empire Productions. 2019.</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80.Gangster. – Universal Pictures. 2007.</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81.Legend.– Universal Studios. 2015.</w:t>
      </w:r>
    </w:p>
    <w:p w:rsidR="00AD4CD7" w:rsidRDefault="00F46CF5" w:rsidP="00126990">
      <w:pPr>
        <w:pStyle w:val="ac"/>
        <w:spacing w:after="0" w:line="360" w:lineRule="auto"/>
        <w:ind w:left="0"/>
        <w:jc w:val="both"/>
        <w:rPr>
          <w:rFonts w:ascii="Times New Roman" w:eastAsia="Times New Roman" w:hAnsi="Times New Roman" w:cs="Times New Roman"/>
          <w:sz w:val="28"/>
          <w:szCs w:val="28"/>
          <w:lang w:val="en-US"/>
        </w:rPr>
      </w:pPr>
      <w:r>
        <w:rPr>
          <w:rFonts w:ascii="Times New Roman" w:hAnsi="Times New Roman"/>
          <w:sz w:val="28"/>
          <w:szCs w:val="28"/>
          <w:lang w:val="en-US"/>
        </w:rPr>
        <w:t>82.Peaky Blinders. – BBC Studios. 2013.</w:t>
      </w:r>
    </w:p>
    <w:p w:rsidR="00AD4CD7" w:rsidRDefault="00AD4CD7">
      <w:pPr>
        <w:spacing w:line="360" w:lineRule="auto"/>
        <w:rPr>
          <w:rFonts w:ascii="Times New Roman" w:eastAsia="Times New Roman" w:hAnsi="Times New Roman" w:cs="Times New Roman"/>
          <w:b/>
          <w:bCs/>
          <w:sz w:val="28"/>
          <w:szCs w:val="28"/>
          <w:lang w:val="en-US"/>
        </w:rPr>
      </w:pPr>
    </w:p>
    <w:p w:rsidR="00AD4CD7" w:rsidRDefault="00AD4CD7">
      <w:pPr>
        <w:spacing w:line="360" w:lineRule="auto"/>
        <w:rPr>
          <w:rFonts w:ascii="Times New Roman" w:eastAsia="Times New Roman" w:hAnsi="Times New Roman" w:cs="Times New Roman"/>
          <w:b/>
          <w:bCs/>
          <w:sz w:val="28"/>
          <w:szCs w:val="28"/>
          <w:lang w:val="en-US"/>
        </w:rPr>
      </w:pPr>
    </w:p>
    <w:p w:rsidR="00AD4CD7" w:rsidRDefault="00AD4CD7">
      <w:pPr>
        <w:spacing w:line="360" w:lineRule="auto"/>
        <w:rPr>
          <w:rFonts w:ascii="Times New Roman" w:eastAsia="Times New Roman" w:hAnsi="Times New Roman" w:cs="Times New Roman"/>
          <w:b/>
          <w:bCs/>
          <w:sz w:val="28"/>
          <w:szCs w:val="28"/>
          <w:lang w:val="en-US"/>
        </w:rPr>
      </w:pPr>
    </w:p>
    <w:p w:rsidR="00AD4CD7" w:rsidRDefault="00AD4CD7">
      <w:pPr>
        <w:spacing w:line="360" w:lineRule="auto"/>
        <w:rPr>
          <w:rFonts w:ascii="Times New Roman" w:eastAsia="Times New Roman" w:hAnsi="Times New Roman" w:cs="Times New Roman"/>
          <w:b/>
          <w:bCs/>
          <w:sz w:val="28"/>
          <w:szCs w:val="28"/>
          <w:lang w:val="en-US"/>
        </w:rPr>
      </w:pPr>
    </w:p>
    <w:p w:rsidR="00AD4CD7" w:rsidRDefault="00AD4CD7">
      <w:pPr>
        <w:spacing w:line="360" w:lineRule="auto"/>
        <w:rPr>
          <w:rFonts w:ascii="Times New Roman" w:eastAsia="Times New Roman" w:hAnsi="Times New Roman" w:cs="Times New Roman"/>
          <w:b/>
          <w:bCs/>
          <w:sz w:val="28"/>
          <w:szCs w:val="28"/>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AD4CD7">
      <w:pPr>
        <w:pStyle w:val="ac"/>
        <w:spacing w:after="0" w:line="360" w:lineRule="auto"/>
        <w:ind w:left="0"/>
        <w:jc w:val="center"/>
        <w:rPr>
          <w:rFonts w:ascii="Times New Roman" w:eastAsia="Times New Roman" w:hAnsi="Times New Roman" w:cs="Times New Roman"/>
          <w:lang w:val="en-US"/>
        </w:rPr>
      </w:pPr>
    </w:p>
    <w:p w:rsidR="00AD4CD7" w:rsidRDefault="00F46CF5" w:rsidP="00B14FFF">
      <w:pPr>
        <w:pStyle w:val="ac"/>
        <w:spacing w:after="0" w:line="240" w:lineRule="auto"/>
        <w:ind w:left="0"/>
        <w:jc w:val="center"/>
        <w:rPr>
          <w:rFonts w:ascii="Times New Roman" w:eastAsia="Times New Roman" w:hAnsi="Times New Roman" w:cs="Times New Roman"/>
          <w:b/>
          <w:bCs/>
          <w:sz w:val="28"/>
          <w:szCs w:val="28"/>
          <w:lang w:val="en-US"/>
        </w:rPr>
      </w:pPr>
      <w:r>
        <w:rPr>
          <w:rFonts w:ascii="Times New Roman" w:hAnsi="Times New Roman"/>
          <w:b/>
          <w:bCs/>
          <w:sz w:val="28"/>
          <w:szCs w:val="28"/>
          <w:lang w:val="en-US"/>
        </w:rPr>
        <w:lastRenderedPageBreak/>
        <w:t>DARIIA CHORNOBAI</w:t>
      </w:r>
    </w:p>
    <w:p w:rsidR="00AD4CD7" w:rsidRDefault="00F46CF5" w:rsidP="00B14FFF">
      <w:pPr>
        <w:pStyle w:val="ac"/>
        <w:spacing w:after="0" w:line="240" w:lineRule="auto"/>
        <w:ind w:left="0"/>
        <w:jc w:val="center"/>
        <w:rPr>
          <w:rFonts w:ascii="Times New Roman" w:eastAsia="Times New Roman" w:hAnsi="Times New Roman" w:cs="Times New Roman"/>
          <w:b/>
          <w:bCs/>
          <w:sz w:val="28"/>
          <w:szCs w:val="28"/>
          <w:lang w:val="en-US"/>
        </w:rPr>
      </w:pPr>
      <w:r>
        <w:rPr>
          <w:rFonts w:ascii="Times New Roman" w:hAnsi="Times New Roman"/>
          <w:b/>
          <w:bCs/>
          <w:sz w:val="28"/>
          <w:szCs w:val="28"/>
          <w:lang w:val="en-US"/>
        </w:rPr>
        <w:t>VERBAL AND NON-VERBAL MEANS OF EXPRESSING THREAT IN ENGLISH FICTIONAL DISCOURSE</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The Master's thesis focuses on the analysis of verbal and non-verbal means of expressing threat in English fictional discourse.</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 The relevance of this study is determined by the constantly growing interest of modern linguistics in the functioning of speech units in discourse and the study of asymmetric relationships between the meanings expressed in the process of communication and the speech forms through which these meanings are expressed.</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 The purpose of our study is to determine direct and indirect means of carrying out a threat speech act in artistic discourse and film discourse.</w:t>
      </w:r>
    </w:p>
    <w:p w:rsidR="00B14FFF" w:rsidRDefault="00F46CF5" w:rsidP="00B14FFF">
      <w:pPr>
        <w:jc w:val="both"/>
        <w:rPr>
          <w:rFonts w:ascii="Times New Roman" w:hAnsi="Times New Roman"/>
          <w:sz w:val="28"/>
          <w:szCs w:val="28"/>
          <w:lang w:val="en-US"/>
        </w:rPr>
      </w:pPr>
      <w:r>
        <w:rPr>
          <w:rFonts w:ascii="Times New Roman" w:hAnsi="Times New Roman"/>
          <w:sz w:val="28"/>
          <w:szCs w:val="28"/>
          <w:lang w:val="en-US"/>
        </w:rPr>
        <w:t> Communicative situations of threat in depicted artistic communication, in particular in artistic literary discourse and film discourse are chosen as the object of our investigation.</w:t>
      </w:r>
      <w:r w:rsidR="00B14FFF" w:rsidRPr="00B14FFF">
        <w:rPr>
          <w:lang w:val="en-US"/>
        </w:rPr>
        <w:t xml:space="preserve"> </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The subject of the research is the direct and indirect means of expressing the threat in modern English literary and film discourse.</w:t>
      </w:r>
    </w:p>
    <w:p w:rsidR="00B14FFF" w:rsidRPr="00B14FFF" w:rsidRDefault="00B14FFF" w:rsidP="00B14FFF">
      <w:pPr>
        <w:jc w:val="both"/>
        <w:rPr>
          <w:rFonts w:ascii="Times New Roman" w:hAnsi="Times New Roman"/>
          <w:sz w:val="28"/>
          <w:szCs w:val="28"/>
          <w:lang w:val="en-US"/>
        </w:rPr>
      </w:pPr>
      <w:r w:rsidRPr="00B14FFF">
        <w:rPr>
          <w:rFonts w:ascii="Times New Roman" w:hAnsi="Times New Roman"/>
          <w:sz w:val="28"/>
          <w:szCs w:val="28"/>
          <w:lang w:val="en-US"/>
        </w:rPr>
        <w:t>First of all we overviewed the theory of speech acts, the definition of a threat speech act as a hybrid speech act, and the conditions for the success of a threat speech act.</w:t>
      </w:r>
    </w:p>
    <w:p w:rsidR="00B14FFF" w:rsidRPr="00B14FFF" w:rsidRDefault="00B14FFF" w:rsidP="00B14FFF">
      <w:pPr>
        <w:jc w:val="both"/>
        <w:rPr>
          <w:rFonts w:ascii="Times New Roman" w:hAnsi="Times New Roman"/>
          <w:sz w:val="28"/>
          <w:szCs w:val="28"/>
          <w:lang w:val="en-US"/>
        </w:rPr>
      </w:pPr>
      <w:r w:rsidRPr="00B14FFF">
        <w:rPr>
          <w:rFonts w:ascii="Times New Roman" w:hAnsi="Times New Roman"/>
          <w:sz w:val="28"/>
          <w:szCs w:val="28"/>
          <w:lang w:val="en-US"/>
        </w:rPr>
        <w:t>In the second chapter we analyzed colloquial dialogic discourse from the point of view of the implementation of a threat speech act, types of a threat speech act according to the criterion of the method of expression in modern English colloquial dialogic discourse.</w:t>
      </w:r>
    </w:p>
    <w:p w:rsidR="00B14FFF" w:rsidRPr="00B14FFF" w:rsidRDefault="00B14FFF" w:rsidP="00B14FFF">
      <w:pPr>
        <w:jc w:val="both"/>
        <w:rPr>
          <w:rFonts w:ascii="Times New Roman" w:hAnsi="Times New Roman"/>
          <w:sz w:val="28"/>
          <w:szCs w:val="28"/>
          <w:lang w:val="en-US"/>
        </w:rPr>
      </w:pPr>
      <w:r w:rsidRPr="00B14FFF">
        <w:rPr>
          <w:rFonts w:ascii="Times New Roman" w:hAnsi="Times New Roman"/>
          <w:sz w:val="28"/>
          <w:szCs w:val="28"/>
          <w:lang w:val="en-US"/>
        </w:rPr>
        <w:t xml:space="preserve"> Subsequently, we conducted an auditory and electro-acoustic study based on modern English Film Discourse. We concluded that intonation characteristics are significant for distinguishing direct and indirect ways of expressing threat speech acts</w:t>
      </w:r>
      <w:r>
        <w:rPr>
          <w:rFonts w:ascii="Times New Roman" w:hAnsi="Times New Roman"/>
          <w:sz w:val="28"/>
          <w:szCs w:val="28"/>
        </w:rPr>
        <w:t>ю</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Threat is a commissive speech act whose illocutionary purpose is to express a future consequence for the recipient under a certain circumstances in order to encourage the hearer to act to addresser`s advantages. Threats are typically given as warnings or as reactions. Additionally, threats imply possible acts of harm, which have the perlocutionary effect of making the recipient suffer from a potentially disfavorable event.</w:t>
      </w:r>
    </w:p>
    <w:p w:rsidR="00E4721F" w:rsidRDefault="00F46CF5" w:rsidP="00B14FFF">
      <w:pPr>
        <w:jc w:val="both"/>
        <w:rPr>
          <w:rFonts w:ascii="Times New Roman" w:hAnsi="Times New Roman"/>
          <w:sz w:val="28"/>
          <w:szCs w:val="28"/>
          <w:lang w:val="en-US"/>
        </w:rPr>
      </w:pPr>
      <w:r>
        <w:rPr>
          <w:rFonts w:ascii="Times New Roman" w:hAnsi="Times New Roman"/>
          <w:sz w:val="28"/>
          <w:szCs w:val="28"/>
          <w:lang w:val="en-US"/>
        </w:rPr>
        <w:t> In linguistics threatening words and phrases have got the name “invective lexis and phraseology”. Although swear words can be taken as a certain part of the vocabulary of a language, they are used to create and to perform the speech act of swearing, sometimes also called invective; Invectives are understood as all those linguistic activities that may have an effect to conventionally humiliate, run down or discriminate somebody.</w:t>
      </w:r>
    </w:p>
    <w:p w:rsidR="00AD4CD7" w:rsidRDefault="00E4721F" w:rsidP="00B14FFF">
      <w:pPr>
        <w:jc w:val="both"/>
        <w:rPr>
          <w:rFonts w:ascii="Times New Roman" w:eastAsia="Times New Roman" w:hAnsi="Times New Roman" w:cs="Times New Roman"/>
          <w:sz w:val="28"/>
          <w:szCs w:val="28"/>
          <w:lang w:val="en-US"/>
        </w:rPr>
      </w:pPr>
      <w:r w:rsidRPr="00E4721F">
        <w:rPr>
          <w:lang w:val="en-US"/>
        </w:rPr>
        <w:t xml:space="preserve"> </w:t>
      </w:r>
      <w:r w:rsidRPr="00E4721F">
        <w:rPr>
          <w:rFonts w:ascii="Times New Roman" w:hAnsi="Times New Roman"/>
          <w:sz w:val="28"/>
          <w:szCs w:val="28"/>
          <w:lang w:val="en-US"/>
        </w:rPr>
        <w:t>The core of invective lexis is formed by swearwords, that belong to colloquial style (swine, beast, crackpot, blockhead, headbanger, oaf, nutcase); by colloquial expressions, that contain in their semantic meaning a negative evaluation of the addressee’s appearance or behaviour (rascal, swindler, butcher) and common literary words (rogue, villain, scoundrel).</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lastRenderedPageBreak/>
        <w:t>In the course of the auditory analysis the intonation organization of threatening phrases has been determined. The survey shows that the phrases, constituting Threat Speech Act, are characteristic of mid or low pitch level, narrow or mid speech range, the use of various emphatic terminal tones and the contrast in terms of loudness can be also observed. It varies from extremely increased to very low, when the speaker is almost whispering which by contrast strengthens the meaning of aggression.</w:t>
      </w:r>
    </w:p>
    <w:p w:rsidR="00AD4CD7" w:rsidRDefault="00F46CF5" w:rsidP="00B14FFF">
      <w:pPr>
        <w:jc w:val="both"/>
        <w:rPr>
          <w:rFonts w:ascii="Times New Roman" w:eastAsia="Times New Roman" w:hAnsi="Times New Roman" w:cs="Times New Roman"/>
          <w:sz w:val="28"/>
          <w:szCs w:val="28"/>
          <w:lang w:val="en-US"/>
        </w:rPr>
      </w:pPr>
      <w:r>
        <w:rPr>
          <w:rFonts w:ascii="Times New Roman" w:hAnsi="Times New Roman"/>
          <w:sz w:val="28"/>
          <w:szCs w:val="28"/>
          <w:lang w:val="en-US"/>
        </w:rPr>
        <w:t> Thus, with the help of PRAAT program, it can be said that the widest range and higher pitch rates were recorded in men's threatening phrases. In terms of intensity, we recorded a slightly higher rate of threatening phrases in women's speech. Regarding the duration, we recorded a slight difference in the average compound duration for men and for women.</w:t>
      </w:r>
    </w:p>
    <w:p w:rsidR="00AD4CD7" w:rsidRDefault="00F46CF5" w:rsidP="00B14FFF">
      <w:pPr>
        <w:jc w:val="both"/>
        <w:rPr>
          <w:rFonts w:ascii="Times New Roman" w:hAnsi="Times New Roman"/>
          <w:sz w:val="28"/>
          <w:szCs w:val="28"/>
          <w:lang w:val="en-US"/>
        </w:rPr>
      </w:pPr>
      <w:r>
        <w:rPr>
          <w:rFonts w:ascii="Times New Roman" w:hAnsi="Times New Roman"/>
          <w:sz w:val="28"/>
          <w:szCs w:val="28"/>
          <w:lang w:val="en-US"/>
        </w:rPr>
        <w:t> The perspective of this work is to expand the theoretical and practical material. In addition, it is necessary to conduct the study of verbal and non-verbal means of expressing threat in English fictional discourse. </w:t>
      </w:r>
    </w:p>
    <w:p w:rsidR="00C06EBC" w:rsidRDefault="00C06EBC">
      <w:pPr>
        <w:spacing w:line="360" w:lineRule="auto"/>
        <w:jc w:val="both"/>
        <w:rPr>
          <w:rFonts w:ascii="Times New Roman" w:hAnsi="Times New Roman"/>
          <w:sz w:val="28"/>
          <w:szCs w:val="28"/>
          <w:lang w:val="en-US"/>
        </w:rPr>
      </w:pPr>
    </w:p>
    <w:p w:rsidR="00B14FFF" w:rsidRDefault="00B14FFF">
      <w:pPr>
        <w:ind w:firstLine="0"/>
        <w:rPr>
          <w:rFonts w:ascii="Times New Roman" w:hAnsi="Times New Roman"/>
          <w:b/>
          <w:sz w:val="28"/>
          <w:szCs w:val="28"/>
          <w:lang w:val="en-US"/>
        </w:rPr>
      </w:pPr>
      <w:r>
        <w:rPr>
          <w:rFonts w:ascii="Times New Roman" w:hAnsi="Times New Roman"/>
          <w:b/>
          <w:sz w:val="28"/>
          <w:szCs w:val="28"/>
          <w:lang w:val="en-US"/>
        </w:rPr>
        <w:br w:type="page"/>
      </w:r>
      <w:bookmarkStart w:id="0" w:name="_GoBack"/>
      <w:bookmarkEnd w:id="0"/>
    </w:p>
    <w:sectPr w:rsidR="00B14FFF">
      <w:headerReference w:type="even" r:id="rId7"/>
      <w:headerReference w:type="default" r:id="rId8"/>
      <w:footerReference w:type="even" r:id="rId9"/>
      <w:footerReference w:type="default" r:id="rId10"/>
      <w:headerReference w:type="first" r:id="rId11"/>
      <w:footerReference w:type="first" r:id="rId12"/>
      <w:pgSz w:w="11900" w:h="16840"/>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16BB" w:rsidRDefault="008E16BB">
      <w:r>
        <w:separator/>
      </w:r>
    </w:p>
  </w:endnote>
  <w:endnote w:type="continuationSeparator" w:id="0">
    <w:p w:rsidR="008E16BB" w:rsidRDefault="008E1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Helvetica Neue">
    <w:altName w:val="Times New Roman"/>
    <w:charset w:val="00"/>
    <w:family w:val="roman"/>
    <w:pitch w:val="default"/>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7"/>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7"/>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7"/>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16BB" w:rsidRDefault="008E16BB">
      <w:r>
        <w:separator/>
      </w:r>
    </w:p>
  </w:footnote>
  <w:footnote w:type="continuationSeparator" w:id="0">
    <w:p w:rsidR="008E16BB" w:rsidRDefault="008E16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5"/>
      <w:tabs>
        <w:tab w:val="clear" w:pos="9355"/>
        <w:tab w:val="right" w:pos="9329"/>
      </w:tabs>
      <w:jc w:val="right"/>
    </w:pPr>
    <w:r>
      <w:rPr>
        <w:noProof/>
      </w:rPr>
      <mc:AlternateContent>
        <mc:Choice Requires="wps">
          <w:drawing>
            <wp:anchor distT="152400" distB="152400" distL="152400" distR="152400" simplePos="0" relativeHeight="251657216" behindDoc="1" locked="0" layoutInCell="1" allowOverlap="1">
              <wp:simplePos x="0" y="0"/>
              <wp:positionH relativeFrom="page">
                <wp:posOffset>7272655</wp:posOffset>
              </wp:positionH>
              <wp:positionV relativeFrom="page">
                <wp:posOffset>5181915</wp:posOffset>
              </wp:positionV>
              <wp:extent cx="283846" cy="329567"/>
              <wp:effectExtent l="0" t="0" r="0" b="0"/>
              <wp:wrapNone/>
              <wp:docPr id="1073741826" name="officeArt object" descr="Прямоугольник"/>
              <wp:cNvGraphicFramePr/>
              <a:graphic xmlns:a="http://schemas.openxmlformats.org/drawingml/2006/main">
                <a:graphicData uri="http://schemas.microsoft.com/office/word/2010/wordprocessingShape">
                  <wps:wsp>
                    <wps:cNvSpPr/>
                    <wps:spPr>
                      <a:xfrm>
                        <a:off x="0" y="0"/>
                        <a:ext cx="283846" cy="329567"/>
                      </a:xfrm>
                      <a:prstGeom prst="rect">
                        <a:avLst/>
                      </a:prstGeom>
                      <a:solidFill>
                        <a:srgbClr val="FFFFFF"/>
                      </a:solidFill>
                      <a:ln w="12700" cap="flat">
                        <a:noFill/>
                        <a:miter lim="400000"/>
                      </a:ln>
                      <a:effectLst/>
                    </wps:spPr>
                    <wps:txbx>
                      <w:txbxContent>
                        <w:p w:rsidR="000032D3" w:rsidRDefault="000032D3">
                          <w:pPr>
                            <w:pBdr>
                              <w:bottom w:val="single" w:sz="4" w:space="0" w:color="000000"/>
                            </w:pBdr>
                          </w:pPr>
                          <w:r>
                            <w:fldChar w:fldCharType="begin"/>
                          </w:r>
                          <w:r>
                            <w:instrText xml:space="preserve"> PAGE </w:instrText>
                          </w:r>
                          <w:r>
                            <w:fldChar w:fldCharType="separate"/>
                          </w:r>
                          <w:r w:rsidR="00FE24B4">
                            <w:rPr>
                              <w:noProof/>
                            </w:rPr>
                            <w:t>24</w:t>
                          </w:r>
                          <w:r>
                            <w:fldChar w:fldCharType="end"/>
                          </w:r>
                        </w:p>
                      </w:txbxContent>
                    </wps:txbx>
                    <wps:bodyPr wrap="square" lIns="45718" tIns="45718" rIns="45718" bIns="45718" numCol="1" anchor="t">
                      <a:noAutofit/>
                    </wps:bodyPr>
                  </wps:wsp>
                </a:graphicData>
              </a:graphic>
            </wp:anchor>
          </w:drawing>
        </mc:Choice>
        <mc:Fallback>
          <w:pict>
            <v:rect id="officeArt object" o:spid="_x0000_s1026" alt="Прямоугольник" style="position:absolute;left:0;text-align:left;margin-left:572.65pt;margin-top:408pt;width:22.35pt;height:25.95pt;z-index:-251659264;visibility:visible;mso-wrap-style:square;mso-wrap-distance-left:12pt;mso-wrap-distance-top:12pt;mso-wrap-distance-right:12pt;mso-wrap-distance-bottom:12pt;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" stroked="f" strokeweight="1pt">
              <v:stroke miterlimit="4"/>
              <v:textbox inset="1.2699mm,1.2699mm,1.2699mm,1.2699mm">
                <w:txbxContent>
                  <w:p w:rsidR="000032D3" w:rsidRDefault="000032D3">
                    <w:pPr>
                      <w:pBdr>
                        <w:bottom w:val="single" w:sz="4" w:space="0" w:color="000000"/>
                      </w:pBdr>
                    </w:pPr>
                    <w:r>
                      <w:fldChar w:fldCharType="begin"/>
                    </w:r>
                    <w:r>
                      <w:instrText xml:space="preserve"> PAGE </w:instrText>
                    </w:r>
                    <w:r>
                      <w:fldChar w:fldCharType="separate"/>
                    </w:r>
                    <w:r w:rsidR="00FE24B4">
                      <w:rPr>
                        <w:noProof/>
                      </w:rPr>
                      <w:t>24</w:t>
                    </w:r>
                    <w:r>
                      <w:fldChar w:fldCharType="end"/>
                    </w:r>
                  </w:p>
                </w:txbxContent>
              </v:textbox>
              <w10:wrap anchorx="page" anchory="page"/>
            </v:rect>
          </w:pict>
        </mc:Fallback>
      </mc:AlternateContent>
    </w:r>
    <w:r>
      <w:rPr>
        <w:rStyle w:val="A6"/>
      </w:rPr>
      <w:fldChar w:fldCharType="begin"/>
    </w:r>
    <w:r>
      <w:rPr>
        <w:rStyle w:val="A6"/>
      </w:rPr>
      <w:instrText xml:space="preserve"> PAGE </w:instrText>
    </w:r>
    <w:r>
      <w:rPr>
        <w:rStyle w:val="A6"/>
      </w:rPr>
      <w:fldChar w:fldCharType="separate"/>
    </w:r>
    <w:r w:rsidR="00FE24B4">
      <w:rPr>
        <w:rStyle w:val="A6"/>
        <w:noProof/>
      </w:rPr>
      <w:t>24</w:t>
    </w:r>
    <w:r>
      <w:rPr>
        <w:rStyle w:val="A6"/>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5"/>
      <w:tabs>
        <w:tab w:val="clear" w:pos="9355"/>
        <w:tab w:val="right" w:pos="9329"/>
      </w:tabs>
      <w:jc w:val="right"/>
    </w:pPr>
    <w:r>
      <w:rPr>
        <w:noProof/>
      </w:rPr>
      <mc:AlternateContent>
        <mc:Choice Requires="wps">
          <w:drawing>
            <wp:anchor distT="152400" distB="152400" distL="152400" distR="152400" simplePos="0" relativeHeight="251658240" behindDoc="1" locked="0" layoutInCell="1" allowOverlap="1">
              <wp:simplePos x="0" y="0"/>
              <wp:positionH relativeFrom="page">
                <wp:posOffset>7272655</wp:posOffset>
              </wp:positionH>
              <wp:positionV relativeFrom="page">
                <wp:posOffset>5181915</wp:posOffset>
              </wp:positionV>
              <wp:extent cx="283846" cy="329567"/>
              <wp:effectExtent l="0" t="0" r="0" b="0"/>
              <wp:wrapNone/>
              <wp:docPr id="1073741825" name="officeArt object" descr="Прямоугольник"/>
              <wp:cNvGraphicFramePr/>
              <a:graphic xmlns:a="http://schemas.openxmlformats.org/drawingml/2006/main">
                <a:graphicData uri="http://schemas.microsoft.com/office/word/2010/wordprocessingShape">
                  <wps:wsp>
                    <wps:cNvSpPr/>
                    <wps:spPr>
                      <a:xfrm>
                        <a:off x="0" y="0"/>
                        <a:ext cx="283846" cy="329567"/>
                      </a:xfrm>
                      <a:prstGeom prst="rect">
                        <a:avLst/>
                      </a:prstGeom>
                      <a:solidFill>
                        <a:srgbClr val="FFFFFF"/>
                      </a:solidFill>
                      <a:ln w="12700" cap="flat">
                        <a:noFill/>
                        <a:miter lim="400000"/>
                      </a:ln>
                      <a:effectLst/>
                    </wps:spPr>
                    <wps:txbx>
                      <w:txbxContent>
                        <w:p w:rsidR="000032D3" w:rsidRDefault="000032D3">
                          <w:pPr>
                            <w:pBdr>
                              <w:bottom w:val="single" w:sz="4" w:space="0" w:color="000000"/>
                            </w:pBdr>
                          </w:pPr>
                          <w:r>
                            <w:fldChar w:fldCharType="begin"/>
                          </w:r>
                          <w:r>
                            <w:instrText xml:space="preserve"> PAGE </w:instrText>
                          </w:r>
                          <w:r>
                            <w:fldChar w:fldCharType="separate"/>
                          </w:r>
                          <w:r w:rsidR="00FE24B4">
                            <w:rPr>
                              <w:noProof/>
                            </w:rPr>
                            <w:t>5</w:t>
                          </w:r>
                          <w:r>
                            <w:fldChar w:fldCharType="end"/>
                          </w:r>
                        </w:p>
                      </w:txbxContent>
                    </wps:txbx>
                    <wps:bodyPr wrap="square" lIns="45718" tIns="45718" rIns="45718" bIns="45718" numCol="1" anchor="t">
                      <a:noAutofit/>
                    </wps:bodyPr>
                  </wps:wsp>
                </a:graphicData>
              </a:graphic>
            </wp:anchor>
          </w:drawing>
        </mc:Choice>
        <mc:Fallback>
          <w:pict>
            <v:rect id="_x0000_s1027" alt="Прямоугольник" style="position:absolute;left:0;text-align:left;margin-left:572.65pt;margin-top:408pt;width:22.35pt;height:25.95pt;z-index:-251658240;visibility:visible;mso-wrap-style:square;mso-wrap-distance-left:12pt;mso-wrap-distance-top:12pt;mso-wrap-distance-right:12pt;mso-wrap-distance-bottom:12pt;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" stroked="f" strokeweight="1pt">
              <v:stroke miterlimit="4"/>
              <v:textbox inset="1.2699mm,1.2699mm,1.2699mm,1.2699mm">
                <w:txbxContent>
                  <w:p w:rsidR="000032D3" w:rsidRDefault="000032D3">
                    <w:pPr>
                      <w:pBdr>
                        <w:bottom w:val="single" w:sz="4" w:space="0" w:color="000000"/>
                      </w:pBdr>
                    </w:pPr>
                    <w:r>
                      <w:fldChar w:fldCharType="begin"/>
                    </w:r>
                    <w:r>
                      <w:instrText xml:space="preserve"> PAGE </w:instrText>
                    </w:r>
                    <w:r>
                      <w:fldChar w:fldCharType="separate"/>
                    </w:r>
                    <w:r w:rsidR="00FE24B4">
                      <w:rPr>
                        <w:noProof/>
                      </w:rPr>
                      <w:t>5</w:t>
                    </w:r>
                    <w:r>
                      <w:fldChar w:fldCharType="end"/>
                    </w:r>
                  </w:p>
                </w:txbxContent>
              </v:textbox>
              <w10:wrap anchorx="page" anchory="page"/>
            </v:rect>
          </w:pict>
        </mc:Fallback>
      </mc:AlternateContent>
    </w:r>
    <w:r>
      <w:rPr>
        <w:rStyle w:val="A6"/>
      </w:rPr>
      <w:fldChar w:fldCharType="begin"/>
    </w:r>
    <w:r>
      <w:rPr>
        <w:rStyle w:val="A6"/>
      </w:rPr>
      <w:instrText xml:space="preserve"> PAGE </w:instrText>
    </w:r>
    <w:r>
      <w:rPr>
        <w:rStyle w:val="A6"/>
      </w:rPr>
      <w:fldChar w:fldCharType="separate"/>
    </w:r>
    <w:r w:rsidR="00FE24B4">
      <w:rPr>
        <w:rStyle w:val="A6"/>
        <w:noProof/>
      </w:rPr>
      <w:t>5</w:t>
    </w:r>
    <w:r>
      <w:rPr>
        <w:rStyle w:val="A6"/>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2D3" w:rsidRDefault="000032D3">
    <w:pPr>
      <w:pStyle w:val="a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1E1D85"/>
    <w:multiLevelType w:val="hybridMultilevel"/>
    <w:tmpl w:val="5FDA9C28"/>
    <w:styleLink w:val="a"/>
    <w:lvl w:ilvl="0" w:tplc="4080DB6E">
      <w:start w:val="1"/>
      <w:numFmt w:val="bullet"/>
      <w:lvlText w:val="•"/>
      <w:lvlJc w:val="left"/>
      <w:pPr>
        <w:tabs>
          <w:tab w:val="left" w:pos="720"/>
          <w:tab w:val="num" w:pos="1024"/>
          <w:tab w:val="left" w:pos="1440"/>
          <w:tab w:val="left" w:pos="2160"/>
          <w:tab w:val="left" w:pos="2880"/>
          <w:tab w:val="left" w:pos="3600"/>
          <w:tab w:val="left" w:pos="4320"/>
          <w:tab w:val="left" w:pos="5040"/>
          <w:tab w:val="left" w:pos="5760"/>
          <w:tab w:val="left" w:pos="6480"/>
          <w:tab w:val="left" w:pos="7200"/>
          <w:tab w:val="left" w:pos="7920"/>
          <w:tab w:val="left" w:pos="8640"/>
        </w:tabs>
        <w:ind w:left="1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1" w:tplc="893E8538">
      <w:start w:val="1"/>
      <w:numFmt w:val="bullet"/>
      <w:lvlText w:val="•"/>
      <w:lvlJc w:val="left"/>
      <w:pPr>
        <w:tabs>
          <w:tab w:val="left" w:pos="720"/>
          <w:tab w:val="left" w:pos="1024"/>
          <w:tab w:val="left" w:pos="1440"/>
          <w:tab w:val="num" w:pos="1624"/>
          <w:tab w:val="left" w:pos="2160"/>
          <w:tab w:val="left" w:pos="2880"/>
          <w:tab w:val="left" w:pos="3600"/>
          <w:tab w:val="left" w:pos="4320"/>
          <w:tab w:val="left" w:pos="5040"/>
          <w:tab w:val="left" w:pos="5760"/>
          <w:tab w:val="left" w:pos="6480"/>
          <w:tab w:val="left" w:pos="7200"/>
          <w:tab w:val="left" w:pos="7920"/>
          <w:tab w:val="left" w:pos="8640"/>
        </w:tabs>
        <w:ind w:left="7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2" w:tplc="220EBEDA">
      <w:start w:val="1"/>
      <w:numFmt w:val="bullet"/>
      <w:lvlText w:val="•"/>
      <w:lvlJc w:val="left"/>
      <w:pPr>
        <w:tabs>
          <w:tab w:val="left" w:pos="720"/>
          <w:tab w:val="left" w:pos="1024"/>
          <w:tab w:val="left" w:pos="1440"/>
          <w:tab w:val="num" w:pos="2224"/>
          <w:tab w:val="left" w:pos="2880"/>
          <w:tab w:val="left" w:pos="3600"/>
          <w:tab w:val="left" w:pos="4320"/>
          <w:tab w:val="left" w:pos="5040"/>
          <w:tab w:val="left" w:pos="5760"/>
          <w:tab w:val="left" w:pos="6480"/>
          <w:tab w:val="left" w:pos="7200"/>
          <w:tab w:val="left" w:pos="7920"/>
          <w:tab w:val="left" w:pos="8640"/>
        </w:tabs>
        <w:ind w:left="13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3" w:tplc="5DAE6028">
      <w:start w:val="1"/>
      <w:numFmt w:val="bullet"/>
      <w:lvlText w:val="•"/>
      <w:lvlJc w:val="left"/>
      <w:pPr>
        <w:tabs>
          <w:tab w:val="left" w:pos="720"/>
          <w:tab w:val="left" w:pos="1024"/>
          <w:tab w:val="left" w:pos="1440"/>
          <w:tab w:val="left" w:pos="2160"/>
          <w:tab w:val="num" w:pos="2824"/>
          <w:tab w:val="left" w:pos="2880"/>
          <w:tab w:val="left" w:pos="3600"/>
          <w:tab w:val="left" w:pos="4320"/>
          <w:tab w:val="left" w:pos="5040"/>
          <w:tab w:val="left" w:pos="5760"/>
          <w:tab w:val="left" w:pos="6480"/>
          <w:tab w:val="left" w:pos="7200"/>
          <w:tab w:val="left" w:pos="7920"/>
          <w:tab w:val="left" w:pos="8640"/>
        </w:tabs>
        <w:ind w:left="19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4" w:tplc="4C9C5BEA">
      <w:start w:val="1"/>
      <w:numFmt w:val="bullet"/>
      <w:lvlText w:val="•"/>
      <w:lvlJc w:val="left"/>
      <w:pPr>
        <w:tabs>
          <w:tab w:val="left" w:pos="720"/>
          <w:tab w:val="left" w:pos="1024"/>
          <w:tab w:val="left" w:pos="1440"/>
          <w:tab w:val="left" w:pos="2160"/>
          <w:tab w:val="left" w:pos="2880"/>
          <w:tab w:val="num" w:pos="3424"/>
          <w:tab w:val="left" w:pos="3600"/>
          <w:tab w:val="left" w:pos="4320"/>
          <w:tab w:val="left" w:pos="5040"/>
          <w:tab w:val="left" w:pos="5760"/>
          <w:tab w:val="left" w:pos="6480"/>
          <w:tab w:val="left" w:pos="7200"/>
          <w:tab w:val="left" w:pos="7920"/>
          <w:tab w:val="left" w:pos="8640"/>
        </w:tabs>
        <w:ind w:left="25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5" w:tplc="80C0E084">
      <w:start w:val="1"/>
      <w:numFmt w:val="bullet"/>
      <w:lvlText w:val="•"/>
      <w:lvlJc w:val="left"/>
      <w:pPr>
        <w:tabs>
          <w:tab w:val="left" w:pos="720"/>
          <w:tab w:val="left" w:pos="1024"/>
          <w:tab w:val="left" w:pos="1440"/>
          <w:tab w:val="left" w:pos="2160"/>
          <w:tab w:val="left" w:pos="2880"/>
          <w:tab w:val="left" w:pos="3600"/>
          <w:tab w:val="num" w:pos="4024"/>
          <w:tab w:val="left" w:pos="4320"/>
          <w:tab w:val="left" w:pos="5040"/>
          <w:tab w:val="left" w:pos="5760"/>
          <w:tab w:val="left" w:pos="6480"/>
          <w:tab w:val="left" w:pos="7200"/>
          <w:tab w:val="left" w:pos="7920"/>
          <w:tab w:val="left" w:pos="8640"/>
        </w:tabs>
        <w:ind w:left="31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6" w:tplc="BD3E9E5E">
      <w:start w:val="1"/>
      <w:numFmt w:val="bullet"/>
      <w:lvlText w:val="•"/>
      <w:lvlJc w:val="left"/>
      <w:pPr>
        <w:tabs>
          <w:tab w:val="left" w:pos="720"/>
          <w:tab w:val="left" w:pos="1024"/>
          <w:tab w:val="left" w:pos="1440"/>
          <w:tab w:val="left" w:pos="2160"/>
          <w:tab w:val="left" w:pos="2880"/>
          <w:tab w:val="left" w:pos="3600"/>
          <w:tab w:val="left" w:pos="4320"/>
          <w:tab w:val="num" w:pos="4624"/>
          <w:tab w:val="left" w:pos="5040"/>
          <w:tab w:val="left" w:pos="5760"/>
          <w:tab w:val="left" w:pos="6480"/>
          <w:tab w:val="left" w:pos="7200"/>
          <w:tab w:val="left" w:pos="7920"/>
          <w:tab w:val="left" w:pos="8640"/>
        </w:tabs>
        <w:ind w:left="37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7" w:tplc="2BDE32FC">
      <w:start w:val="1"/>
      <w:numFmt w:val="bullet"/>
      <w:lvlText w:val="•"/>
      <w:lvlJc w:val="left"/>
      <w:pPr>
        <w:tabs>
          <w:tab w:val="left" w:pos="720"/>
          <w:tab w:val="left" w:pos="1024"/>
          <w:tab w:val="left" w:pos="1440"/>
          <w:tab w:val="left" w:pos="2160"/>
          <w:tab w:val="left" w:pos="2880"/>
          <w:tab w:val="left" w:pos="3600"/>
          <w:tab w:val="left" w:pos="4320"/>
          <w:tab w:val="left" w:pos="5040"/>
          <w:tab w:val="num" w:pos="5224"/>
          <w:tab w:val="left" w:pos="5760"/>
          <w:tab w:val="left" w:pos="6480"/>
          <w:tab w:val="left" w:pos="7200"/>
          <w:tab w:val="left" w:pos="7920"/>
          <w:tab w:val="left" w:pos="8640"/>
        </w:tabs>
        <w:ind w:left="43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 w:ilvl="8" w:tplc="781E7330">
      <w:start w:val="1"/>
      <w:numFmt w:val="bullet"/>
      <w:lvlText w:val="•"/>
      <w:lvlJc w:val="left"/>
      <w:pPr>
        <w:tabs>
          <w:tab w:val="left" w:pos="720"/>
          <w:tab w:val="left" w:pos="1024"/>
          <w:tab w:val="left" w:pos="1440"/>
          <w:tab w:val="left" w:pos="2160"/>
          <w:tab w:val="left" w:pos="2880"/>
          <w:tab w:val="left" w:pos="3600"/>
          <w:tab w:val="left" w:pos="4320"/>
          <w:tab w:val="left" w:pos="5040"/>
          <w:tab w:val="num" w:pos="5824"/>
          <w:tab w:val="left" w:pos="6480"/>
          <w:tab w:val="left" w:pos="7200"/>
          <w:tab w:val="left" w:pos="7920"/>
          <w:tab w:val="left" w:pos="8640"/>
        </w:tabs>
        <w:ind w:left="4974" w:firstLine="677"/>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nsid w:val="27081513"/>
    <w:multiLevelType w:val="hybridMultilevel"/>
    <w:tmpl w:val="0D9A3F46"/>
    <w:numStyleLink w:val="2"/>
  </w:abstractNum>
  <w:abstractNum w:abstractNumId="2">
    <w:nsid w:val="30DE016A"/>
    <w:multiLevelType w:val="hybridMultilevel"/>
    <w:tmpl w:val="A304545E"/>
    <w:numStyleLink w:val="10"/>
  </w:abstractNum>
  <w:abstractNum w:abstractNumId="3">
    <w:nsid w:val="404E2570"/>
    <w:multiLevelType w:val="hybridMultilevel"/>
    <w:tmpl w:val="C6E84B30"/>
    <w:styleLink w:val="1"/>
    <w:lvl w:ilvl="0" w:tplc="01E4EF6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9DC26D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7A877B8">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27E26AA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CAAD32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9005248">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0AA6CA2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19AA52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B1EC07A">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56AA7295"/>
    <w:multiLevelType w:val="hybridMultilevel"/>
    <w:tmpl w:val="5FDA9C28"/>
    <w:numStyleLink w:val="a"/>
  </w:abstractNum>
  <w:abstractNum w:abstractNumId="5">
    <w:nsid w:val="672A149C"/>
    <w:multiLevelType w:val="hybridMultilevel"/>
    <w:tmpl w:val="A304545E"/>
    <w:styleLink w:val="10"/>
    <w:lvl w:ilvl="0" w:tplc="15BC1774">
      <w:start w:val="1"/>
      <w:numFmt w:val="decimal"/>
      <w:lvlText w:val="%1."/>
      <w:lvlJc w:val="left"/>
      <w:pPr>
        <w:tabs>
          <w:tab w:val="left" w:pos="5940"/>
        </w:tabs>
        <w:ind w:left="585"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2A6AC04">
      <w:start w:val="1"/>
      <w:numFmt w:val="lowerLetter"/>
      <w:lvlText w:val="%2."/>
      <w:lvlJc w:val="left"/>
      <w:pPr>
        <w:tabs>
          <w:tab w:val="left" w:pos="5940"/>
        </w:tabs>
        <w:ind w:left="1305"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CCCEC68">
      <w:start w:val="1"/>
      <w:numFmt w:val="lowerRoman"/>
      <w:lvlText w:val="%3."/>
      <w:lvlJc w:val="left"/>
      <w:pPr>
        <w:tabs>
          <w:tab w:val="left" w:pos="5940"/>
        </w:tabs>
        <w:ind w:left="2025"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D0E6AAC8">
      <w:start w:val="1"/>
      <w:numFmt w:val="decimal"/>
      <w:lvlText w:val="%4."/>
      <w:lvlJc w:val="left"/>
      <w:pPr>
        <w:tabs>
          <w:tab w:val="left" w:pos="5940"/>
        </w:tabs>
        <w:ind w:left="2745"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44A0594">
      <w:start w:val="1"/>
      <w:numFmt w:val="lowerLetter"/>
      <w:lvlText w:val="%5."/>
      <w:lvlJc w:val="left"/>
      <w:pPr>
        <w:tabs>
          <w:tab w:val="left" w:pos="5940"/>
        </w:tabs>
        <w:ind w:left="3465"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E389D96">
      <w:start w:val="1"/>
      <w:numFmt w:val="lowerRoman"/>
      <w:lvlText w:val="%6."/>
      <w:lvlJc w:val="left"/>
      <w:pPr>
        <w:tabs>
          <w:tab w:val="left" w:pos="5940"/>
        </w:tabs>
        <w:ind w:left="4185"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18E8D28A">
      <w:start w:val="1"/>
      <w:numFmt w:val="decimal"/>
      <w:lvlText w:val="%7."/>
      <w:lvlJc w:val="left"/>
      <w:pPr>
        <w:tabs>
          <w:tab w:val="left" w:pos="5940"/>
        </w:tabs>
        <w:ind w:left="4905"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10A8F70">
      <w:start w:val="1"/>
      <w:numFmt w:val="lowerLetter"/>
      <w:lvlText w:val="%8."/>
      <w:lvlJc w:val="left"/>
      <w:pPr>
        <w:tabs>
          <w:tab w:val="left" w:pos="5940"/>
        </w:tabs>
        <w:ind w:left="5625"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6E0F77E">
      <w:start w:val="1"/>
      <w:numFmt w:val="lowerRoman"/>
      <w:lvlText w:val="%9."/>
      <w:lvlJc w:val="left"/>
      <w:pPr>
        <w:tabs>
          <w:tab w:val="left" w:pos="5940"/>
        </w:tabs>
        <w:ind w:left="6345"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68BA7677"/>
    <w:multiLevelType w:val="hybridMultilevel"/>
    <w:tmpl w:val="0D9A3F46"/>
    <w:styleLink w:val="2"/>
    <w:lvl w:ilvl="0" w:tplc="E988C66C">
      <w:start w:val="1"/>
      <w:numFmt w:val="decimal"/>
      <w:lvlText w:val="%1."/>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993AF2BC">
      <w:start w:val="1"/>
      <w:numFmt w:val="decimal"/>
      <w:lvlText w:val="%2."/>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A7CE3138">
      <w:start w:val="1"/>
      <w:numFmt w:val="decimal"/>
      <w:lvlText w:val="%3."/>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9AD08F22">
      <w:start w:val="1"/>
      <w:numFmt w:val="decimal"/>
      <w:lvlText w:val="%4."/>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7984458C">
      <w:start w:val="1"/>
      <w:numFmt w:val="decimal"/>
      <w:lvlText w:val="%5."/>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30AA11C">
      <w:start w:val="1"/>
      <w:numFmt w:val="decimal"/>
      <w:lvlText w:val="%6."/>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55D05D48">
      <w:start w:val="1"/>
      <w:numFmt w:val="decimal"/>
      <w:lvlText w:val="%7."/>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2384D128">
      <w:start w:val="1"/>
      <w:numFmt w:val="decimal"/>
      <w:lvlText w:val="%8."/>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F785D38">
      <w:start w:val="1"/>
      <w:numFmt w:val="decimal"/>
      <w:lvlText w:val="%9."/>
      <w:lvlJc w:val="left"/>
      <w:pPr>
        <w:tabs>
          <w:tab w:val="left" w:pos="8544"/>
          <w:tab w:val="left" w:pos="8849"/>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nsid w:val="6A9C1EC4"/>
    <w:multiLevelType w:val="hybridMultilevel"/>
    <w:tmpl w:val="C6E84B30"/>
    <w:numStyleLink w:val="1"/>
  </w:abstractNum>
  <w:num w:numId="1">
    <w:abstractNumId w:val="3"/>
  </w:num>
  <w:num w:numId="2">
    <w:abstractNumId w:val="7"/>
  </w:num>
  <w:num w:numId="3">
    <w:abstractNumId w:val="0"/>
  </w:num>
  <w:num w:numId="4">
    <w:abstractNumId w:val="4"/>
  </w:num>
  <w:num w:numId="5">
    <w:abstractNumId w:val="5"/>
  </w:num>
  <w:num w:numId="6">
    <w:abstractNumId w:val="2"/>
  </w:num>
  <w:num w:numId="7">
    <w:abstractNumId w:val="7"/>
    <w:lvlOverride w:ilvl="0">
      <w:startOverride w:val="1"/>
      <w:lvl w:ilvl="0" w:tplc="C2DAB926">
        <w:start w:val="1"/>
        <w:numFmt w:val="decimal"/>
        <w:lvlText w:val="%1."/>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89AC1A86">
        <w:start w:val="1"/>
        <w:numFmt w:val="decimal"/>
        <w:lvlText w:val="%2."/>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FA8ECBC4">
        <w:start w:val="1"/>
        <w:numFmt w:val="decimal"/>
        <w:lvlText w:val="%3."/>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116DC44">
        <w:start w:val="1"/>
        <w:numFmt w:val="decimal"/>
        <w:lvlText w:val="%4."/>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CA746C5E">
        <w:start w:val="1"/>
        <w:numFmt w:val="decimal"/>
        <w:lvlText w:val="%5."/>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E294F044">
        <w:start w:val="1"/>
        <w:numFmt w:val="decimal"/>
        <w:lvlText w:val="%6."/>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E02ED7DE">
        <w:start w:val="1"/>
        <w:numFmt w:val="decimal"/>
        <w:lvlText w:val="%7."/>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6A8CA20">
        <w:start w:val="1"/>
        <w:numFmt w:val="decimal"/>
        <w:lvlText w:val="%8."/>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E9B8DE28">
        <w:start w:val="1"/>
        <w:numFmt w:val="decimal"/>
        <w:lvlText w:val="%9."/>
        <w:lvlJc w:val="left"/>
        <w:pPr>
          <w:tabs>
            <w:tab w:val="left" w:pos="56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06"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
    <w:abstractNumId w:val="6"/>
  </w:num>
  <w:num w:numId="9">
    <w:abstractNumId w:val="1"/>
  </w:num>
  <w:num w:numId="10">
    <w:abstractNumId w:val="1"/>
    <w:lvlOverride w:ilvl="0">
      <w:lvl w:ilvl="0" w:tplc="B1BAA91E">
        <w:start w:val="1"/>
        <w:numFmt w:val="decimal"/>
        <w:lvlText w:val="%1."/>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8654EDC6">
        <w:start w:val="1"/>
        <w:numFmt w:val="decimal"/>
        <w:lvlText w:val="%2."/>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10CB31C">
        <w:start w:val="1"/>
        <w:numFmt w:val="decimal"/>
        <w:lvlText w:val="%3."/>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95A146C">
        <w:start w:val="1"/>
        <w:numFmt w:val="decimal"/>
        <w:lvlText w:val="%4."/>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074A07C">
        <w:start w:val="1"/>
        <w:numFmt w:val="decimal"/>
        <w:lvlText w:val="%5."/>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F7CEB44">
        <w:start w:val="1"/>
        <w:numFmt w:val="decimal"/>
        <w:lvlText w:val="%6."/>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1B9CA6B0">
        <w:start w:val="1"/>
        <w:numFmt w:val="decimal"/>
        <w:lvlText w:val="%7."/>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77CAF84">
        <w:start w:val="1"/>
        <w:numFmt w:val="decimal"/>
        <w:lvlText w:val="%8."/>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C8805DD2">
        <w:start w:val="1"/>
        <w:numFmt w:val="decimal"/>
        <w:lvlText w:val="%9."/>
        <w:lvlJc w:val="left"/>
        <w:pPr>
          <w:tabs>
            <w:tab w:val="left" w:pos="37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74" w:hanging="3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1">
    <w:abstractNumId w:val="1"/>
    <w:lvlOverride w:ilvl="0">
      <w:startOverride w:val="1"/>
      <w:lvl w:ilvl="0" w:tplc="B1BAA91E">
        <w:start w:val="1"/>
        <w:numFmt w:val="decimal"/>
        <w:lvlText w:val="%1."/>
        <w:lvlJc w:val="left"/>
        <w:pPr>
          <w:ind w:left="1060" w:hanging="70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8654EDC6">
        <w:start w:val="1"/>
        <w:numFmt w:val="lowerLetter"/>
        <w:lvlText w:val="%2."/>
        <w:lvlJc w:val="left"/>
        <w:pPr>
          <w:ind w:left="1435" w:hanging="3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510CB31C">
        <w:start w:val="1"/>
        <w:numFmt w:val="lowerRoman"/>
        <w:lvlText w:val="%3."/>
        <w:lvlJc w:val="left"/>
        <w:pPr>
          <w:ind w:left="2155"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95A146C">
        <w:start w:val="1"/>
        <w:numFmt w:val="decimal"/>
        <w:lvlText w:val="%4."/>
        <w:lvlJc w:val="left"/>
        <w:pPr>
          <w:ind w:left="2875" w:hanging="3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D074A07C">
        <w:start w:val="1"/>
        <w:numFmt w:val="lowerLetter"/>
        <w:lvlText w:val="%5."/>
        <w:lvlJc w:val="left"/>
        <w:pPr>
          <w:ind w:left="3595" w:hanging="3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3F7CEB44">
        <w:start w:val="1"/>
        <w:numFmt w:val="lowerRoman"/>
        <w:lvlText w:val="%6."/>
        <w:lvlJc w:val="left"/>
        <w:pPr>
          <w:ind w:left="4315"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B9CA6B0">
        <w:start w:val="1"/>
        <w:numFmt w:val="decimal"/>
        <w:lvlText w:val="%7."/>
        <w:lvlJc w:val="left"/>
        <w:pPr>
          <w:ind w:left="5035" w:hanging="3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77CAF84">
        <w:start w:val="1"/>
        <w:numFmt w:val="lowerLetter"/>
        <w:lvlText w:val="%8."/>
        <w:lvlJc w:val="left"/>
        <w:pPr>
          <w:ind w:left="5755" w:hanging="3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8805DD2">
        <w:start w:val="1"/>
        <w:numFmt w:val="lowerRoman"/>
        <w:lvlText w:val="%9."/>
        <w:lvlJc w:val="left"/>
        <w:pPr>
          <w:ind w:left="6475" w:hanging="31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abstractNumId w:val="2"/>
    <w:lvlOverride w:ilvl="0">
      <w:lvl w:ilvl="0" w:tplc="6628A4E0">
        <w:start w:val="1"/>
        <w:numFmt w:val="decimal"/>
        <w:lvlText w:val="%1."/>
        <w:lvlJc w:val="left"/>
        <w:pPr>
          <w:tabs>
            <w:tab w:val="left" w:pos="5940"/>
          </w:tabs>
          <w:ind w:left="58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3EE593E">
        <w:start w:val="1"/>
        <w:numFmt w:val="lowerLetter"/>
        <w:lvlText w:val="%2."/>
        <w:lvlJc w:val="left"/>
        <w:pPr>
          <w:tabs>
            <w:tab w:val="left" w:pos="5940"/>
          </w:tabs>
          <w:ind w:left="130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2926C6A">
        <w:start w:val="1"/>
        <w:numFmt w:val="lowerRoman"/>
        <w:lvlText w:val="%3."/>
        <w:lvlJc w:val="left"/>
        <w:pPr>
          <w:tabs>
            <w:tab w:val="left" w:pos="5940"/>
          </w:tabs>
          <w:ind w:left="2025"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8D8F714">
        <w:start w:val="1"/>
        <w:numFmt w:val="decimal"/>
        <w:lvlText w:val="%4."/>
        <w:lvlJc w:val="left"/>
        <w:pPr>
          <w:tabs>
            <w:tab w:val="left" w:pos="5940"/>
          </w:tabs>
          <w:ind w:left="274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1D02FB6">
        <w:start w:val="1"/>
        <w:numFmt w:val="lowerLetter"/>
        <w:lvlText w:val="%5."/>
        <w:lvlJc w:val="left"/>
        <w:pPr>
          <w:tabs>
            <w:tab w:val="left" w:pos="5940"/>
          </w:tabs>
          <w:ind w:left="346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9FC49F66">
        <w:start w:val="1"/>
        <w:numFmt w:val="lowerRoman"/>
        <w:lvlText w:val="%6."/>
        <w:lvlJc w:val="left"/>
        <w:pPr>
          <w:tabs>
            <w:tab w:val="left" w:pos="5940"/>
          </w:tabs>
          <w:ind w:left="4185"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D5EDAAC">
        <w:start w:val="1"/>
        <w:numFmt w:val="decimal"/>
        <w:lvlText w:val="%7."/>
        <w:lvlJc w:val="left"/>
        <w:pPr>
          <w:tabs>
            <w:tab w:val="left" w:pos="5940"/>
          </w:tabs>
          <w:ind w:left="490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458B140">
        <w:start w:val="1"/>
        <w:numFmt w:val="lowerLetter"/>
        <w:lvlText w:val="%8."/>
        <w:lvlJc w:val="left"/>
        <w:pPr>
          <w:tabs>
            <w:tab w:val="left" w:pos="5940"/>
          </w:tabs>
          <w:ind w:left="5625"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9308CA8">
        <w:start w:val="1"/>
        <w:numFmt w:val="lowerRoman"/>
        <w:lvlText w:val="%9."/>
        <w:lvlJc w:val="left"/>
        <w:pPr>
          <w:tabs>
            <w:tab w:val="left" w:pos="5940"/>
          </w:tabs>
          <w:ind w:left="6345"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abstractNumId w:val="2"/>
    <w:lvlOverride w:ilvl="0">
      <w:lvl w:ilvl="0" w:tplc="6628A4E0">
        <w:start w:val="1"/>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3EE593E">
        <w:start w:val="1"/>
        <w:numFmt w:val="lowerLetter"/>
        <w:lvlText w:val="%2."/>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2926C6A">
        <w:start w:val="1"/>
        <w:numFmt w:val="lowerRoman"/>
        <w:lvlText w:val="%3."/>
        <w:lvlJc w:val="left"/>
        <w:pPr>
          <w:ind w:left="2154" w:hanging="31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8D8F714">
        <w:start w:val="1"/>
        <w:numFmt w:val="decimal"/>
        <w:lvlText w:val="%4."/>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1D02FB6">
        <w:start w:val="1"/>
        <w:numFmt w:val="lowerLetter"/>
        <w:lvlText w:val="%5."/>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9FC49F66">
        <w:start w:val="1"/>
        <w:numFmt w:val="lowerRoman"/>
        <w:lvlText w:val="%6."/>
        <w:lvlJc w:val="left"/>
        <w:pPr>
          <w:ind w:left="4314" w:hanging="31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D5EDAAC">
        <w:start w:val="1"/>
        <w:numFmt w:val="decimal"/>
        <w:lvlText w:val="%7."/>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458B140">
        <w:start w:val="1"/>
        <w:numFmt w:val="lowerLetter"/>
        <w:lvlText w:val="%8."/>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9308CA8">
        <w:start w:val="1"/>
        <w:numFmt w:val="lowerRoman"/>
        <w:lvlText w:val="%9."/>
        <w:lvlJc w:val="left"/>
        <w:pPr>
          <w:ind w:left="6474" w:hanging="31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2"/>
    <w:lvlOverride w:ilvl="0">
      <w:lvl w:ilvl="0" w:tplc="6628A4E0">
        <w:start w:val="1"/>
        <w:numFmt w:val="decimal"/>
        <w:lvlText w:val="%1."/>
        <w:lvlJc w:val="left"/>
        <w:pPr>
          <w:ind w:left="64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3EE593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2926C6A">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8D8F71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1D02FB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9FC49F66">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D5EDAA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458B14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9308CA8">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2"/>
    <w:lvlOverride w:ilvl="0">
      <w:lvl w:ilvl="0" w:tplc="6628A4E0">
        <w:start w:val="1"/>
        <w:numFmt w:val="decimal"/>
        <w:lvlText w:val="%1."/>
        <w:lvlJc w:val="left"/>
        <w:pPr>
          <w:tabs>
            <w:tab w:val="num" w:pos="720"/>
          </w:tabs>
          <w:ind w:left="128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3EE593E">
        <w:start w:val="1"/>
        <w:numFmt w:val="lowerLetter"/>
        <w:lvlText w:val="%2."/>
        <w:lvlJc w:val="left"/>
        <w:pPr>
          <w:tabs>
            <w:tab w:val="num" w:pos="1440"/>
          </w:tabs>
          <w:ind w:left="200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2926C6A">
        <w:start w:val="1"/>
        <w:numFmt w:val="lowerRoman"/>
        <w:lvlText w:val="%3."/>
        <w:lvlJc w:val="left"/>
        <w:pPr>
          <w:tabs>
            <w:tab w:val="num" w:pos="2160"/>
          </w:tabs>
          <w:ind w:left="2727" w:hanging="8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8D8F714">
        <w:start w:val="1"/>
        <w:numFmt w:val="decimal"/>
        <w:lvlText w:val="%4."/>
        <w:lvlJc w:val="left"/>
        <w:pPr>
          <w:tabs>
            <w:tab w:val="num" w:pos="2880"/>
          </w:tabs>
          <w:ind w:left="344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51D02FB6">
        <w:start w:val="1"/>
        <w:numFmt w:val="lowerLetter"/>
        <w:lvlText w:val="%5."/>
        <w:lvlJc w:val="left"/>
        <w:pPr>
          <w:tabs>
            <w:tab w:val="num" w:pos="3600"/>
          </w:tabs>
          <w:ind w:left="416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9FC49F66">
        <w:start w:val="1"/>
        <w:numFmt w:val="lowerRoman"/>
        <w:lvlText w:val="%6."/>
        <w:lvlJc w:val="left"/>
        <w:pPr>
          <w:tabs>
            <w:tab w:val="num" w:pos="4320"/>
          </w:tabs>
          <w:ind w:left="4887" w:hanging="88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D5EDAAC">
        <w:start w:val="1"/>
        <w:numFmt w:val="decimal"/>
        <w:lvlText w:val="%7."/>
        <w:lvlJc w:val="left"/>
        <w:pPr>
          <w:tabs>
            <w:tab w:val="num" w:pos="5040"/>
          </w:tabs>
          <w:ind w:left="560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458B140">
        <w:start w:val="1"/>
        <w:numFmt w:val="lowerLetter"/>
        <w:lvlText w:val="%8."/>
        <w:lvlJc w:val="left"/>
        <w:pPr>
          <w:tabs>
            <w:tab w:val="num" w:pos="5760"/>
          </w:tabs>
          <w:ind w:left="6327" w:hanging="92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9308CA8">
        <w:start w:val="1"/>
        <w:numFmt w:val="lowerRoman"/>
        <w:lvlText w:val="%9."/>
        <w:lvlJc w:val="left"/>
        <w:pPr>
          <w:tabs>
            <w:tab w:val="num" w:pos="6480"/>
          </w:tabs>
          <w:ind w:left="7047" w:hanging="887"/>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activeWritingStyle w:appName="MSWord" w:lang="ru-RU" w:vendorID="64" w:dllVersion="131078" w:nlCheck="1" w:checkStyle="0"/>
  <w:activeWritingStyle w:appName="MSWord" w:lang="en-US" w:vendorID="64" w:dllVersion="131078" w:nlCheck="1" w:checkStyle="1"/>
  <w:activeWritingStyle w:appName="MSWord" w:lang="de-DE" w:vendorID="64" w:dllVersion="131078" w:nlCheck="1" w:checkStyle="1"/>
  <w:defaultTabStop w:val="708"/>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CD7"/>
    <w:rsid w:val="000032D3"/>
    <w:rsid w:val="00043307"/>
    <w:rsid w:val="000A0E43"/>
    <w:rsid w:val="00126990"/>
    <w:rsid w:val="001466F9"/>
    <w:rsid w:val="001868A7"/>
    <w:rsid w:val="00254E50"/>
    <w:rsid w:val="0028696E"/>
    <w:rsid w:val="002E7930"/>
    <w:rsid w:val="002F5535"/>
    <w:rsid w:val="0030676C"/>
    <w:rsid w:val="003D4ADE"/>
    <w:rsid w:val="00562F41"/>
    <w:rsid w:val="005C0BFF"/>
    <w:rsid w:val="005F5E8A"/>
    <w:rsid w:val="006E10F7"/>
    <w:rsid w:val="007F25DD"/>
    <w:rsid w:val="00893753"/>
    <w:rsid w:val="008E16BB"/>
    <w:rsid w:val="009C6B0E"/>
    <w:rsid w:val="00AD4CD7"/>
    <w:rsid w:val="00B06130"/>
    <w:rsid w:val="00B14FFF"/>
    <w:rsid w:val="00B80C85"/>
    <w:rsid w:val="00C06EBC"/>
    <w:rsid w:val="00C54607"/>
    <w:rsid w:val="00D167E3"/>
    <w:rsid w:val="00E04F96"/>
    <w:rsid w:val="00E4721F"/>
    <w:rsid w:val="00E7317B"/>
    <w:rsid w:val="00E83DBF"/>
    <w:rsid w:val="00F33BAA"/>
    <w:rsid w:val="00F46CF5"/>
    <w:rsid w:val="00FE24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132009-BE7A-43BD-AD2E-9FD4856DD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sid w:val="000A0E43"/>
    <w:pPr>
      <w:ind w:firstLine="709"/>
    </w:pPr>
    <w:rPr>
      <w:rFonts w:ascii="Calibri" w:hAnsi="Calibri" w:cs="Arial Unicode MS"/>
      <w:color w:val="000000"/>
      <w:sz w:val="22"/>
      <w:szCs w:val="22"/>
      <w:u w:color="000000"/>
      <w14:textOutline w14:w="12700" w14:cap="flat" w14:cmpd="sng" w14:algn="ctr">
        <w14:noFill/>
        <w14:prstDash w14:val="solid"/>
        <w14:miter w14:lim="400000"/>
      </w14:textOutli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5">
    <w:name w:val="header"/>
    <w:pPr>
      <w:tabs>
        <w:tab w:val="center" w:pos="4677"/>
        <w:tab w:val="right" w:pos="9355"/>
      </w:tabs>
      <w:ind w:firstLine="709"/>
    </w:pPr>
    <w:rPr>
      <w:rFonts w:ascii="Calibri" w:hAnsi="Calibri" w:cs="Arial Unicode MS"/>
      <w:color w:val="000000"/>
      <w:sz w:val="22"/>
      <w:szCs w:val="22"/>
      <w:u w:color="000000"/>
    </w:rPr>
  </w:style>
  <w:style w:type="character" w:customStyle="1" w:styleId="A6">
    <w:name w:val="Нет A"/>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4">
    <w:name w:val="Обычный4"/>
    <w:pPr>
      <w:spacing w:after="200" w:line="276" w:lineRule="auto"/>
      <w:ind w:firstLine="709"/>
    </w:pPr>
    <w:rPr>
      <w:rFonts w:cs="Arial Unicode MS"/>
      <w:color w:val="000000"/>
      <w:sz w:val="22"/>
      <w:szCs w:val="22"/>
      <w:u w:color="000000"/>
    </w:rPr>
  </w:style>
  <w:style w:type="paragraph" w:customStyle="1" w:styleId="a8">
    <w:name w:val="Текстовый блок"/>
    <w:pPr>
      <w:ind w:firstLine="709"/>
    </w:pPr>
    <w:rPr>
      <w:rFonts w:ascii="Helvetica" w:hAnsi="Helvetica" w:cs="Arial Unicode MS"/>
      <w:color w:val="000000"/>
      <w:sz w:val="24"/>
      <w:szCs w:val="24"/>
      <w:u w:color="000000"/>
    </w:rPr>
  </w:style>
  <w:style w:type="character" w:customStyle="1" w:styleId="Hyperlink0">
    <w:name w:val="Hyperlink.0"/>
    <w:rPr>
      <w:rFonts w:ascii="Times New Roman" w:hAnsi="Times New Roman" w:hint="default"/>
      <w:outline w:val="0"/>
      <w:color w:val="000000"/>
      <w:sz w:val="28"/>
      <w:szCs w:val="28"/>
      <w:u w:color="000000"/>
      <w:lang w:val="ru-RU"/>
    </w:rPr>
  </w:style>
  <w:style w:type="paragraph" w:customStyle="1" w:styleId="Default">
    <w:name w:val="Default"/>
    <w:pPr>
      <w:ind w:firstLine="709"/>
    </w:pPr>
    <w:rPr>
      <w:rFonts w:cs="Arial Unicode MS"/>
      <w:color w:val="000000"/>
      <w:sz w:val="24"/>
      <w:szCs w:val="24"/>
      <w:u w:color="000000"/>
    </w:rPr>
  </w:style>
  <w:style w:type="paragraph" w:customStyle="1" w:styleId="A9">
    <w:name w:val="По умолчанию A"/>
    <w:pPr>
      <w:spacing w:before="160" w:line="288" w:lineRule="auto"/>
      <w:ind w:firstLine="709"/>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aa">
    <w:name w:val="Body Text"/>
    <w:pPr>
      <w:ind w:firstLine="709"/>
    </w:pPr>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paragraph" w:customStyle="1" w:styleId="ab">
    <w:name w:val="Основной."/>
    <w:pPr>
      <w:widowControl w:val="0"/>
      <w:spacing w:line="360" w:lineRule="auto"/>
      <w:ind w:firstLine="680"/>
      <w:jc w:val="both"/>
    </w:pPr>
    <w:rPr>
      <w:rFonts w:cs="Arial Unicode MS"/>
      <w:color w:val="000000"/>
      <w:sz w:val="28"/>
      <w:szCs w:val="28"/>
      <w:u w:color="000000"/>
    </w:rPr>
  </w:style>
  <w:style w:type="paragraph" w:styleId="ac">
    <w:name w:val="List Paragraph"/>
    <w:pPr>
      <w:spacing w:after="160" w:line="259" w:lineRule="auto"/>
      <w:ind w:left="720" w:firstLine="709"/>
    </w:pPr>
    <w:rPr>
      <w:rFonts w:ascii="Calibri" w:hAnsi="Calibri" w:cs="Arial Unicode MS"/>
      <w:color w:val="000000"/>
      <w:sz w:val="22"/>
      <w:szCs w:val="22"/>
      <w:u w:color="000000"/>
    </w:rPr>
  </w:style>
  <w:style w:type="numbering" w:customStyle="1" w:styleId="1">
    <w:name w:val="Импортированный стиль 1"/>
    <w:pPr>
      <w:numPr>
        <w:numId w:val="1"/>
      </w:numPr>
    </w:pPr>
  </w:style>
  <w:style w:type="paragraph" w:customStyle="1" w:styleId="B">
    <w:name w:val="По умолчанию B"/>
    <w:pPr>
      <w:spacing w:before="160" w:line="288" w:lineRule="auto"/>
      <w:ind w:firstLine="709"/>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numbering" w:customStyle="1" w:styleId="a">
    <w:name w:val="Пункты"/>
    <w:pPr>
      <w:numPr>
        <w:numId w:val="3"/>
      </w:numPr>
    </w:pPr>
  </w:style>
  <w:style w:type="paragraph" w:customStyle="1" w:styleId="C">
    <w:name w:val="По умолчанию C"/>
    <w:pPr>
      <w:spacing w:before="160" w:line="288" w:lineRule="auto"/>
      <w:ind w:firstLine="709"/>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Normal1">
    <w:name w:val="Normal1"/>
    <w:pPr>
      <w:widowControl w:val="0"/>
      <w:spacing w:after="200" w:line="276" w:lineRule="auto"/>
      <w:ind w:firstLine="709"/>
    </w:pPr>
    <w:rPr>
      <w:rFonts w:cs="Arial Unicode MS"/>
      <w:color w:val="000000"/>
      <w:u w:color="000000"/>
    </w:rPr>
  </w:style>
  <w:style w:type="numbering" w:customStyle="1" w:styleId="10">
    <w:name w:val="Импортированный стиль 1.0"/>
    <w:pPr>
      <w:numPr>
        <w:numId w:val="5"/>
      </w:numPr>
    </w:pPr>
  </w:style>
  <w:style w:type="numbering" w:customStyle="1" w:styleId="2">
    <w:name w:val="Импортированный стиль 2"/>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5435</Words>
  <Characters>30985</Characters>
  <Application>Microsoft Office Word</Application>
  <DocSecurity>0</DocSecurity>
  <Lines>258</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student</cp:lastModifiedBy>
  <cp:revision>2</cp:revision>
  <dcterms:created xsi:type="dcterms:W3CDTF">2023-04-21T07:38:00Z</dcterms:created>
  <dcterms:modified xsi:type="dcterms:W3CDTF">2023-04-21T07:38:00Z</dcterms:modified>
</cp:coreProperties>
</file>