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Інститут соціальних наук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(повне найменування інституту/факультету)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Кафедра політології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(повна назва кафедри)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b/>
          <w:spacing w:val="60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pacing w:val="60"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pacing w:val="60"/>
          <w:sz w:val="28"/>
          <w:szCs w:val="28"/>
        </w:rPr>
        <w:t>Дипломна робота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бакалавра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на тему</w:t>
      </w:r>
      <w:r w:rsidRPr="00E467DD">
        <w:rPr>
          <w:rFonts w:ascii="Times New Roman" w:eastAsia="Calibri" w:hAnsi="Times New Roman" w:cs="Times New Roman"/>
          <w:b/>
          <w:sz w:val="28"/>
          <w:szCs w:val="28"/>
        </w:rPr>
        <w:t xml:space="preserve"> Співвідношення понять «політична еліта» та «правляча група»: світовий досвід та українські реалії</w:t>
      </w:r>
    </w:p>
    <w:p w:rsidR="00E467DD" w:rsidRPr="00E467DD" w:rsidRDefault="00E467DD" w:rsidP="00E467DD">
      <w:pPr>
        <w:spacing w:after="0" w:line="240" w:lineRule="auto"/>
        <w:ind w:firstLine="567"/>
        <w:jc w:val="center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«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Correlation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of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concepts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political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elite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»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ruling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group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»: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the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world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experience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and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Ukrainian</w:t>
      </w:r>
      <w:proofErr w:type="spellEnd"/>
      <w:r w:rsidRPr="00E467DD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467DD">
        <w:rPr>
          <w:rFonts w:ascii="Times New Roman" w:eastAsia="Calibri" w:hAnsi="Times New Roman" w:cs="Times New Roman"/>
          <w:sz w:val="24"/>
          <w:szCs w:val="24"/>
        </w:rPr>
        <w:t>reality</w:t>
      </w:r>
      <w:proofErr w:type="spellEnd"/>
      <w:r w:rsidRPr="00E467DD">
        <w:rPr>
          <w:rFonts w:ascii="Times New Roman" w:eastAsia="Calibri" w:hAnsi="Times New Roman" w:cs="Times New Roman"/>
          <w:sz w:val="28"/>
          <w:szCs w:val="28"/>
        </w:rPr>
        <w:t>»</w:t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Виконав: студент </w:t>
      </w:r>
      <w:r w:rsidRPr="00E467DD">
        <w:rPr>
          <w:rFonts w:ascii="Times New Roman" w:eastAsia="Calibri" w:hAnsi="Times New Roman" w:cs="Times New Roman"/>
          <w:b/>
          <w:sz w:val="28"/>
          <w:szCs w:val="28"/>
        </w:rPr>
        <w:t>V</w:t>
      </w: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курсу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заочної форми навчання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спеціальності 6.030104 Політологія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</w:t>
      </w:r>
      <w:r w:rsidRPr="00E467DD">
        <w:rPr>
          <w:rFonts w:ascii="Times New Roman" w:eastAsia="Calibri" w:hAnsi="Times New Roman" w:cs="Times New Roman"/>
          <w:sz w:val="20"/>
          <w:szCs w:val="20"/>
        </w:rPr>
        <w:t>(шифр і назва напряму підготовки або спеціальності)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  <w:u w:val="single"/>
        </w:rPr>
      </w:pPr>
      <w:proofErr w:type="spellStart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>Шапіро</w:t>
      </w:r>
      <w:proofErr w:type="spellEnd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 О.М.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(прізвище, ім’я, по-батькові)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Керівник </w:t>
      </w:r>
      <w:proofErr w:type="spellStart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>к.політ.н</w:t>
      </w:r>
      <w:proofErr w:type="spellEnd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., доцент </w:t>
      </w:r>
      <w:proofErr w:type="spellStart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>Хорошилов</w:t>
      </w:r>
      <w:proofErr w:type="spellEnd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 О.Ю.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(науковий ступінь,  вчене звання, прізвище та ініціали, підпис)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Рецензент:</w:t>
      </w:r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. </w:t>
      </w:r>
      <w:proofErr w:type="spellStart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>к.політ.н</w:t>
      </w:r>
      <w:proofErr w:type="spellEnd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., викладач </w:t>
      </w:r>
      <w:proofErr w:type="spellStart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>Колотвін</w:t>
      </w:r>
      <w:proofErr w:type="spellEnd"/>
      <w:r w:rsidRPr="00E467DD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 П.О.</w:t>
      </w:r>
    </w:p>
    <w:p w:rsidR="00E467DD" w:rsidRPr="00E467DD" w:rsidRDefault="00E467DD" w:rsidP="00E467DD">
      <w:pPr>
        <w:spacing w:after="0"/>
        <w:ind w:firstLine="567"/>
        <w:jc w:val="right"/>
        <w:rPr>
          <w:rFonts w:ascii="Times New Roman" w:eastAsia="Calibri" w:hAnsi="Times New Roman" w:cs="Times New Roman"/>
          <w:sz w:val="20"/>
          <w:szCs w:val="20"/>
        </w:rPr>
      </w:pPr>
      <w:r w:rsidRPr="00E467DD">
        <w:rPr>
          <w:rFonts w:ascii="Times New Roman" w:eastAsia="Calibri" w:hAnsi="Times New Roman" w:cs="Times New Roman"/>
          <w:sz w:val="20"/>
          <w:szCs w:val="20"/>
        </w:rPr>
        <w:t>(науковий ступінь,  вчене звання, прізвище та ініціали)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E467DD" w:rsidRPr="00E467DD" w:rsidTr="000B7F82">
        <w:trPr>
          <w:jc w:val="center"/>
        </w:trPr>
        <w:tc>
          <w:tcPr>
            <w:tcW w:w="4967" w:type="dxa"/>
          </w:tcPr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№_____ від  ________________ р. 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Завідувач кафедри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 xml:space="preserve">                    </w:t>
            </w:r>
            <w:proofErr w:type="spellStart"/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Попков</w:t>
            </w:r>
            <w:proofErr w:type="spellEnd"/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В.В.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 xml:space="preserve">                  </w:t>
            </w:r>
            <w:r w:rsidRPr="00E467DD">
              <w:rPr>
                <w:rFonts w:ascii="Times New Roman" w:eastAsia="Calibri" w:hAnsi="Times New Roman" w:cs="Times New Roman"/>
                <w:sz w:val="20"/>
                <w:szCs w:val="20"/>
              </w:rPr>
              <w:t>(прізвище, ініціали)</w:t>
            </w:r>
          </w:p>
        </w:tc>
        <w:tc>
          <w:tcPr>
            <w:tcW w:w="4678" w:type="dxa"/>
          </w:tcPr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Захищено на засіданні ЕК №</w:t>
            </w: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протокол №____ від  ___________</w:t>
            </w: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р.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Оцінка______________/___</w:t>
            </w: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>___/_____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467DD">
              <w:rPr>
                <w:rFonts w:ascii="Times New Roman" w:eastAsia="Calibri" w:hAnsi="Times New Roman" w:cs="Times New Roman"/>
                <w:sz w:val="20"/>
                <w:szCs w:val="20"/>
              </w:rPr>
              <w:t>(за національною шкалою, шкалою ЕСТS, бали)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Голова ЕК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  <w:t xml:space="preserve">                           </w:t>
            </w:r>
            <w:proofErr w:type="spellStart"/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>Мілова</w:t>
            </w:r>
            <w:proofErr w:type="spellEnd"/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М.І.</w:t>
            </w:r>
          </w:p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E467DD">
              <w:rPr>
                <w:rFonts w:ascii="Times New Roman" w:eastAsia="Calibri" w:hAnsi="Times New Roman" w:cs="Times New Roman"/>
                <w:sz w:val="28"/>
                <w:szCs w:val="28"/>
              </w:rPr>
              <w:tab/>
            </w:r>
            <w:r w:rsidRPr="00E467DD">
              <w:rPr>
                <w:rFonts w:ascii="Times New Roman" w:eastAsia="Calibri" w:hAnsi="Times New Roman" w:cs="Times New Roman"/>
                <w:sz w:val="20"/>
                <w:szCs w:val="20"/>
              </w:rPr>
              <w:t>(підпис)</w:t>
            </w:r>
            <w:r w:rsidRPr="00E467DD">
              <w:rPr>
                <w:rFonts w:ascii="Times New Roman" w:eastAsia="Calibri" w:hAnsi="Times New Roman" w:cs="Times New Roman"/>
                <w:sz w:val="20"/>
                <w:szCs w:val="20"/>
              </w:rPr>
              <w:tab/>
              <w:t xml:space="preserve">                    (прізвище, ініціали)</w:t>
            </w:r>
          </w:p>
        </w:tc>
      </w:tr>
      <w:tr w:rsidR="00E467DD" w:rsidRPr="00E467DD" w:rsidTr="000B7F82">
        <w:trPr>
          <w:jc w:val="center"/>
        </w:trPr>
        <w:tc>
          <w:tcPr>
            <w:tcW w:w="4967" w:type="dxa"/>
          </w:tcPr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467DD" w:rsidRPr="00E467DD" w:rsidRDefault="00E467DD" w:rsidP="00E467DD">
            <w:pPr>
              <w:spacing w:after="0"/>
              <w:ind w:firstLine="567"/>
              <w:jc w:val="both"/>
              <w:rPr>
                <w:rFonts w:ascii="Times New Roman" w:eastAsia="Calibri" w:hAnsi="Times New Roman" w:cs="Times New Roman"/>
                <w:sz w:val="28"/>
                <w:szCs w:val="28"/>
              </w:rPr>
            </w:pPr>
          </w:p>
        </w:tc>
      </w:tr>
    </w:tbl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Одеса – 2017</w:t>
      </w:r>
    </w:p>
    <w:p w:rsidR="00E467DD" w:rsidRPr="00E467DD" w:rsidRDefault="00E467DD" w:rsidP="00E467DD">
      <w:pPr>
        <w:ind w:firstLine="567"/>
        <w:rPr>
          <w:rFonts w:eastAsia="Calibri"/>
          <w:b/>
          <w:sz w:val="28"/>
          <w:szCs w:val="28"/>
        </w:rPr>
      </w:pPr>
      <w:r w:rsidRPr="00E467DD">
        <w:rPr>
          <w:b/>
          <w:sz w:val="28"/>
          <w:szCs w:val="28"/>
        </w:rPr>
        <w:br w:type="page"/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Зміст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Вступ</w:t>
      </w:r>
      <w:r w:rsidRPr="00E467DD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………………………………………………………………….С.3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Розділ І «</w:t>
      </w:r>
      <w:r w:rsidRPr="00E467DD">
        <w:rPr>
          <w:rFonts w:ascii="Times New Roman" w:eastAsia="Calibri" w:hAnsi="Times New Roman" w:cs="Times New Roman"/>
          <w:b/>
          <w:bCs/>
          <w:sz w:val="28"/>
          <w:szCs w:val="28"/>
        </w:rPr>
        <w:t>Теоретичні засади групової парадигми політики</w:t>
      </w:r>
      <w:r w:rsidRPr="00E467DD">
        <w:rPr>
          <w:rFonts w:ascii="Times New Roman" w:eastAsia="Calibri" w:hAnsi="Times New Roman" w:cs="Times New Roman"/>
          <w:sz w:val="28"/>
          <w:szCs w:val="28"/>
        </w:rPr>
        <w:t>»…..С.8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i/>
          <w:sz w:val="28"/>
          <w:szCs w:val="28"/>
        </w:rPr>
        <w:t>Висновки до першого розділу</w:t>
      </w:r>
      <w:r w:rsidRPr="00E467DD">
        <w:rPr>
          <w:rFonts w:ascii="Times New Roman" w:eastAsia="Calibri" w:hAnsi="Times New Roman" w:cs="Times New Roman"/>
          <w:sz w:val="28"/>
          <w:szCs w:val="28"/>
        </w:rPr>
        <w:t>………………………………………..С.26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E467DD">
        <w:rPr>
          <w:rFonts w:ascii="Times New Roman" w:eastAsia="Calibri" w:hAnsi="Times New Roman" w:cs="Times New Roman"/>
          <w:sz w:val="28"/>
          <w:szCs w:val="28"/>
        </w:rPr>
        <w:t>Розділ ІІ «</w:t>
      </w:r>
      <w:r w:rsidRPr="00E467DD">
        <w:rPr>
          <w:rFonts w:ascii="Times New Roman" w:eastAsia="Calibri" w:hAnsi="Times New Roman" w:cs="Times New Roman"/>
          <w:b/>
          <w:bCs/>
          <w:sz w:val="28"/>
          <w:szCs w:val="28"/>
        </w:rPr>
        <w:t>Політичні групи в сучасній Україні: еволюція та стратегії</w:t>
      </w:r>
    </w:p>
    <w:p w:rsidR="00E467DD" w:rsidRPr="00E467DD" w:rsidRDefault="00E467DD" w:rsidP="00E467DD">
      <w:pPr>
        <w:spacing w:after="0"/>
        <w:ind w:left="141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     боротьби за владу</w:t>
      </w:r>
      <w:r w:rsidRPr="00E467DD">
        <w:rPr>
          <w:rFonts w:ascii="Times New Roman" w:eastAsia="Calibri" w:hAnsi="Times New Roman" w:cs="Times New Roman"/>
          <w:sz w:val="28"/>
          <w:szCs w:val="28"/>
        </w:rPr>
        <w:t>»……………………………………..С.28</w:t>
      </w:r>
    </w:p>
    <w:p w:rsidR="00E467DD" w:rsidRPr="00E467DD" w:rsidRDefault="00E467DD" w:rsidP="00E467DD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E467DD">
        <w:rPr>
          <w:rFonts w:ascii="Times New Roman" w:eastAsia="Calibri" w:hAnsi="Times New Roman" w:cs="Times New Roman"/>
          <w:i/>
          <w:sz w:val="28"/>
          <w:szCs w:val="28"/>
        </w:rPr>
        <w:t>Висновки до другого розділу</w:t>
      </w:r>
      <w:r w:rsidRPr="00E467DD">
        <w:rPr>
          <w:rFonts w:ascii="Times New Roman" w:eastAsia="Calibri" w:hAnsi="Times New Roman" w:cs="Times New Roman"/>
          <w:sz w:val="28"/>
          <w:szCs w:val="28"/>
        </w:rPr>
        <w:t>…………………………………………С.5</w:t>
      </w:r>
      <w:r w:rsidRPr="00E467DD">
        <w:rPr>
          <w:rFonts w:ascii="Times New Roman" w:eastAsia="Calibri" w:hAnsi="Times New Roman" w:cs="Times New Roman"/>
          <w:sz w:val="28"/>
          <w:szCs w:val="28"/>
          <w:lang w:val="ru-RU"/>
        </w:rPr>
        <w:t>4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Висновки</w:t>
      </w:r>
      <w:r w:rsidRPr="00E467DD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……………………………………………………………..С.55</w:t>
      </w: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E467DD" w:rsidRPr="00E467DD" w:rsidRDefault="00E467DD" w:rsidP="00E467DD">
      <w:pPr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t>Список використаних джерел</w:t>
      </w:r>
      <w:r w:rsidRPr="00E467DD">
        <w:rPr>
          <w:rFonts w:ascii="Times New Roman" w:eastAsia="Calibri" w:hAnsi="Times New Roman" w:cs="Times New Roman"/>
          <w:sz w:val="28"/>
          <w:szCs w:val="28"/>
        </w:rPr>
        <w:t>……………………………………..С.59</w:t>
      </w:r>
    </w:p>
    <w:p w:rsidR="00E467DD" w:rsidRPr="00E467DD" w:rsidRDefault="00E467DD" w:rsidP="00E467DD">
      <w:pPr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hAnsi="Times New Roman"/>
          <w:b/>
          <w:sz w:val="28"/>
          <w:szCs w:val="28"/>
        </w:rPr>
        <w:br w:type="page"/>
      </w:r>
    </w:p>
    <w:p w:rsidR="00E467DD" w:rsidRPr="00E467DD" w:rsidRDefault="00E467DD" w:rsidP="00E467DD">
      <w:pPr>
        <w:spacing w:after="0"/>
        <w:ind w:firstLine="567"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 w:rsidRPr="00E467DD">
        <w:rPr>
          <w:rFonts w:ascii="Times New Roman" w:eastAsia="Calibri" w:hAnsi="Times New Roman" w:cs="Times New Roman"/>
          <w:b/>
          <w:sz w:val="28"/>
          <w:szCs w:val="28"/>
        </w:rPr>
        <w:lastRenderedPageBreak/>
        <w:t>Вступ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b/>
          <w:sz w:val="28"/>
          <w:szCs w:val="28"/>
        </w:rPr>
        <w:t xml:space="preserve">Актуальність роботи. </w:t>
      </w:r>
      <w:r w:rsidRPr="00E467DD">
        <w:rPr>
          <w:rFonts w:ascii="Times New Roman" w:hAnsi="Times New Roman" w:cs="Times New Roman"/>
          <w:sz w:val="28"/>
          <w:szCs w:val="28"/>
        </w:rPr>
        <w:t xml:space="preserve">Розвиток суспільно-політичних процесів у складних соціумах сучасності призводить до плюралізації суб’єктів влади. Групова парадигма політики стає неодмінною складовою реальності і, внаслідок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поліваріантності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проявів політичної активності владних акціонерів, потребує у докладному науковому вивченні. Актуальність роботи бакалавра по відношенню до вітчизняних реалій підсилюється також і тою обставиною, що після кризових подій кінця 2013 – початку 2014 року в Україні був радикально порушений сценарій елітарної взаємодії, який вибудовувався та підтримувався різними групами політичного класу протягом більш, ніж двадцять років. На сьогоднішній день владу в країні контролюють декілька впливових та не завжди публічних «груп інтересів», які сполучають у своїй діяльності демократичну риторику (переважно для спілкування зі світовим співтовариством) та досить авторитарний інструментарій проведення внутрішньої політики. Виявлення цих правлячих груп, з’ясування їхнього владного потенціалу, прогнозування наслідків їхньої діяльності – складають значну дослідницьку проблему.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i/>
          <w:sz w:val="28"/>
          <w:szCs w:val="28"/>
        </w:rPr>
        <w:t xml:space="preserve">Об’єктом </w:t>
      </w:r>
      <w:r w:rsidRPr="00E467DD">
        <w:rPr>
          <w:rFonts w:ascii="Times New Roman" w:hAnsi="Times New Roman" w:cs="Times New Roman"/>
          <w:sz w:val="28"/>
          <w:szCs w:val="28"/>
        </w:rPr>
        <w:t>дипломної роботи бакалавра виступають групові суб’єкти політичних процесів, які позначаються концептами «правлячі групи» та «еліта».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i/>
          <w:sz w:val="28"/>
          <w:szCs w:val="28"/>
        </w:rPr>
        <w:t xml:space="preserve">Предметом </w:t>
      </w:r>
      <w:r w:rsidRPr="00E467DD">
        <w:rPr>
          <w:rFonts w:ascii="Times New Roman" w:hAnsi="Times New Roman" w:cs="Times New Roman"/>
          <w:sz w:val="28"/>
          <w:szCs w:val="28"/>
        </w:rPr>
        <w:t>роботи є особливості групової парадигми політики, які, в свою чергу, мають універсальні атрибути та національну специфіку.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i/>
          <w:sz w:val="28"/>
          <w:szCs w:val="28"/>
        </w:rPr>
        <w:t xml:space="preserve">Метою </w:t>
      </w:r>
      <w:r w:rsidRPr="00E467DD">
        <w:rPr>
          <w:rFonts w:ascii="Times New Roman" w:hAnsi="Times New Roman" w:cs="Times New Roman"/>
          <w:sz w:val="28"/>
          <w:szCs w:val="28"/>
        </w:rPr>
        <w:t>дипломної роботи бакалавра є виявлення закономірностей діяльності правлячих груп, як основних акторів владної взаємодії.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Досягнення зазначеної мети стає можливим завдяки реалізації наступних дослідницьких </w:t>
      </w:r>
      <w:r w:rsidRPr="00E467DD">
        <w:rPr>
          <w:rFonts w:ascii="Times New Roman" w:hAnsi="Times New Roman" w:cs="Times New Roman"/>
          <w:i/>
          <w:sz w:val="28"/>
          <w:szCs w:val="28"/>
        </w:rPr>
        <w:t>завдань</w:t>
      </w:r>
      <w:r w:rsidRPr="00E467DD">
        <w:rPr>
          <w:rFonts w:ascii="Times New Roman" w:hAnsi="Times New Roman" w:cs="Times New Roman"/>
          <w:sz w:val="28"/>
          <w:szCs w:val="28"/>
        </w:rPr>
        <w:t>:</w:t>
      </w:r>
    </w:p>
    <w:p w:rsidR="00E467DD" w:rsidRPr="00E467DD" w:rsidRDefault="00E467DD" w:rsidP="00E467DD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Вивченню основних етапів розвитку концепцій та теорій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елітології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>, як напряму наукових досліджень;</w:t>
      </w:r>
    </w:p>
    <w:p w:rsidR="00E467DD" w:rsidRPr="00E467DD" w:rsidRDefault="00E467DD" w:rsidP="00E467DD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lastRenderedPageBreak/>
        <w:t>Розкриттю основних теоретичних постулатів теорій «груп інтересу» та «груп тиску»;</w:t>
      </w:r>
    </w:p>
    <w:p w:rsidR="00E467DD" w:rsidRPr="00E467DD" w:rsidRDefault="00E467DD" w:rsidP="00E467DD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>Виявленню основних етапів розвитку українського правлячого класу;</w:t>
      </w:r>
    </w:p>
    <w:p w:rsidR="00E467DD" w:rsidRPr="00E467DD" w:rsidRDefault="00E467DD" w:rsidP="00E467DD">
      <w:pPr>
        <w:numPr>
          <w:ilvl w:val="0"/>
          <w:numId w:val="1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>Аналізу структури сучасного «політичного класу» України.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Характеризуючи </w:t>
      </w:r>
      <w:r w:rsidRPr="00E467DD">
        <w:rPr>
          <w:rFonts w:ascii="Times New Roman" w:hAnsi="Times New Roman" w:cs="Times New Roman"/>
          <w:i/>
          <w:sz w:val="28"/>
          <w:szCs w:val="28"/>
        </w:rPr>
        <w:t>ступінь наукової розробки проблеми</w:t>
      </w:r>
      <w:r w:rsidRPr="00E467DD">
        <w:rPr>
          <w:rFonts w:ascii="Times New Roman" w:hAnsi="Times New Roman" w:cs="Times New Roman"/>
          <w:sz w:val="28"/>
          <w:szCs w:val="28"/>
        </w:rPr>
        <w:t xml:space="preserve">, слід зазначити, що в сучасній політології склалося декілька великих наукових напрямів та шкіл, що звертаються до проблеми груп у політиці. В силу різних причин як об'єктивного, так і суб'єктивного характеру, своєрідна першість у розробці даної проблематики належить західним дослідникам і, в першу чергу, американцям. Саме західними науковими школами був накопичений багатий емпіричний матеріал і розроблені продуктивні пояснювальні моделі. В цьому відношенні, слід назвати такі прізвища, як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Дж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Медісон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– фундатор теорії груп в політиці,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Бентлі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Д. Трумен, М.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Олсон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Дюверже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тощо.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Поряд з цим, важливо зазначити той факт, що пострадянська політична наука також долучилася до вивчення групової парадигми політики і досягла в цьому напрямку помітних позитивних результатів. В цьому відношенні слід назвати праці таких дослідників, як В. Полохало, М.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Шаповаленко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Лісничук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Зоткін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В. Фесенко в Україні, В. Макаренко, С. Макєєв, С.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Перегудов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в Росії тощо.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Актуальність зазначеної тематики підтверджується численними дослідженнями зарубіжних вчених стосовно проблем формування та політичного виміру діяльності фінансово-промислових груп у державах перехідного типу. Йдеться, зокрема, про праці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Бруста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Круассан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Кузес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Ослунда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Д. Старка, Д.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Хеллмана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С. Холмса,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Шайо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>, Л. Шеллі. На теренах колишнього СРСР причини створення фінансово-промислових груп, особливості їх трансформації у фінансово-політичні угруповання, ступінь впливу на прийняття загальнодержавних рішень розглядаються у працях М. Афанасьєва, І. Бєляєвої, О. Гаман-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Голутвіної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Зудіна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Криштановської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Н.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Лапіної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Б. Нємцова, Я.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Паппе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Перегудова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Соловйова, М.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Урнова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>, Г. Явлінського, О. Яковлева. Проблемні аспекти функціонування фінансово-</w:t>
      </w:r>
      <w:r w:rsidRPr="00E467DD">
        <w:rPr>
          <w:rFonts w:ascii="Times New Roman" w:hAnsi="Times New Roman" w:cs="Times New Roman"/>
          <w:sz w:val="28"/>
          <w:szCs w:val="28"/>
        </w:rPr>
        <w:lastRenderedPageBreak/>
        <w:t xml:space="preserve">політичних груп в Україні, визначення їх характерних рис, ступеня впливу на політичні та соціально-економічні процеси, забезпечення політико-правового статусу знайшли відображення у працях Л.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Верховодової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Гальчинського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Двойних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В. Дементьєва, О. Дергачова, О.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Долженкова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А. Колодій, О. Куценко, О.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Лісничука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О. Пасхавера, Ю. Пахомова, О.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Полішкарової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Сіденка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І.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Стулової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Супліна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>, О. Сушка. Разом з тим, малодослідженими залишаються механізми впливу фінансово-політичних груп на керованість політичними і соціально-економічними процесами в державах перехідного типу та аналіз нових тенденцій взаємовідносин у трикутнику «влада – фінансово-політичні групи – суспільство» в контексті посткризового розвитку країни тощо.</w:t>
      </w:r>
    </w:p>
    <w:p w:rsidR="00E467DD" w:rsidRPr="00E467DD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467DD">
        <w:rPr>
          <w:rFonts w:ascii="Times New Roman" w:hAnsi="Times New Roman" w:cs="Times New Roman"/>
          <w:sz w:val="28"/>
          <w:szCs w:val="28"/>
        </w:rPr>
        <w:t xml:space="preserve">Незважаючи на досить велику кількість теоретичних праць з даної проблематики, важливо зазначити, що величезний сегмент інформації залишається закритим для дослідника. Мова йде, насамперед, про сучасну діяльність груп інтересів в Україні. З одного боку, це може бути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пояснено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тим, що більшість з нині діючих груп інтересів вважають за краще не афішувати свої функції. З іншого боку, як пояснення, можна прийняти і той факт, що багато груп інтересів ще тільки формуються і знаходяться в прихованому, латентному стані. Тим не менш, інформація, яка доступна для використання, дозволяє зробити ряд важливих висновків, як по проблемі груп в політиці в цілому, так і щодо груп правлячого класу в Україні зокрема.</w:t>
      </w:r>
      <w:r w:rsidRPr="00E467DD">
        <w:t xml:space="preserve"> </w:t>
      </w:r>
      <w:r w:rsidRPr="00E467DD">
        <w:rPr>
          <w:rFonts w:ascii="Times New Roman" w:hAnsi="Times New Roman" w:cs="Times New Roman"/>
          <w:sz w:val="28"/>
          <w:szCs w:val="28"/>
        </w:rPr>
        <w:t xml:space="preserve">Процеси боротьби регіональних еліт за Київ розглядалися в роботах Н. Шульги і в дослідженнях під його керівництвом, де був зроблений докладний аналіз персонального складу восьми Кабінетів Міністрів України в період з 1990-го по 1998 рік. З політологічної точки зору ці процеси аналізував, зокрема, В. Фесенко. Представляють інтерес порівняльні дослідження взаємовідносин між центром і регіонами в Росії та Україні. Про зростання ролі столиці у формуванні владної еліти України пише згаданий вище Н. Шульга, про це дають підстави говорити і результати досліджень В. </w:t>
      </w:r>
      <w:proofErr w:type="spellStart"/>
      <w:r w:rsidRPr="00E467DD">
        <w:rPr>
          <w:rFonts w:ascii="Times New Roman" w:hAnsi="Times New Roman" w:cs="Times New Roman"/>
          <w:sz w:val="28"/>
          <w:szCs w:val="28"/>
        </w:rPr>
        <w:t>Рожкової</w:t>
      </w:r>
      <w:proofErr w:type="spellEnd"/>
      <w:r w:rsidRPr="00E467DD">
        <w:rPr>
          <w:rFonts w:ascii="Times New Roman" w:hAnsi="Times New Roman" w:cs="Times New Roman"/>
          <w:sz w:val="28"/>
          <w:szCs w:val="28"/>
        </w:rPr>
        <w:t xml:space="preserve"> і колективу авторів Національного інституту стратегічних досліджень.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0"/>
          <w:lang w:eastAsia="ru-RU"/>
        </w:rPr>
        <w:lastRenderedPageBreak/>
        <w:t>Виходячи з наведених вище фактів, джерельна база роботи репрезентована надзвичайно різноплановими роботами. Першу групу джерел складають власне теоретичні дослідження як зарубіжних, так і вітчизняних авторів, присвячених проблемам функціонування політичних еліт, груп тиску в політиці.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0"/>
          <w:lang w:eastAsia="ru-RU"/>
        </w:rPr>
        <w:t>Друга група джерел – це відомості про діяльність конкретних груп інтересів в Україні. Тут були використані різні матеріали – довідкові видання, дані соціологічних опитувань, журналістські розслідування та аналітичні матеріали.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0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Серед </w:t>
      </w:r>
      <w:r w:rsidRPr="00E467D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методів</w:t>
      </w: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дипломної роботи бакалавра </w:t>
      </w:r>
      <w:r w:rsidRPr="00E467DD">
        <w:rPr>
          <w:rFonts w:ascii="Times New Roman" w:eastAsia="Times New Roman" w:hAnsi="Times New Roman" w:cs="Times New Roman"/>
          <w:sz w:val="28"/>
          <w:szCs w:val="20"/>
          <w:lang w:eastAsia="ru-RU"/>
        </w:rPr>
        <w:t>домінують два взаємопов'язаних – системний та структурно-функціональний. Сама політична діяльність у даній роботі представлена як система взаємодій і посередницьких акцій організованих груп інтересів, які впливають або намагаються чинити вплив на процес прийняття політичних рішень. Разом з тим, кожен з різновидів груп інтересів у політиці розглядається як її невід'ємна частина, з'ясовуються їх функціональні навантаження тощо.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7DD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Структура роботи</w:t>
      </w: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обумовлена логікою викладу матеріалу та розкриттям центральної проблеми дослідження. Робота представлена вступом, двома розділами, висновками та списком використаних джерел.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першому розділі аналізуються основні теоретичні постулати </w:t>
      </w:r>
      <w:proofErr w:type="spellStart"/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>елітології</w:t>
      </w:r>
      <w:proofErr w:type="spellEnd"/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 абсолютизує роль організованих груп інтересів в політичному процесі. Логічним елементом першого розділу є також і аналіз теорії «груп тиску», запропонованої американськими політологами.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Другий розділ роботи бакалавра присвячений українській політичній практиці. В ньому на основі теорії соціального капіталу та з використанням емпіричних і статистичних даних проаналізовані основні стратегії боротьби політичних груп за владу та етапи формування вітчизняного політичного класу.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>У висновках підбиваються підсумки дослідження в цілому.</w:t>
      </w:r>
    </w:p>
    <w:p w:rsidR="00E467DD" w:rsidRPr="00E467DD" w:rsidRDefault="00E467DD" w:rsidP="00E467D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467DD">
        <w:rPr>
          <w:rFonts w:ascii="Times New Roman" w:eastAsia="Times New Roman" w:hAnsi="Times New Roman" w:cs="Times New Roman"/>
          <w:sz w:val="28"/>
          <w:szCs w:val="28"/>
          <w:lang w:eastAsia="ru-RU"/>
        </w:rPr>
        <w:t>Список використаних джерел представлений 43 найменуваннями.</w:t>
      </w:r>
    </w:p>
    <w:p w:rsidR="004E4F83" w:rsidRDefault="004E4F83">
      <w:pPr>
        <w:rPr>
          <w:lang w:val="ru-RU"/>
        </w:rPr>
      </w:pPr>
    </w:p>
    <w:p w:rsidR="00E467DD" w:rsidRDefault="00E467DD">
      <w:pPr>
        <w:rPr>
          <w:lang w:val="ru-RU"/>
        </w:rPr>
      </w:pPr>
    </w:p>
    <w:p w:rsidR="00E467DD" w:rsidRDefault="00E467DD">
      <w:pPr>
        <w:rPr>
          <w:lang w:val="ru-RU"/>
        </w:rPr>
      </w:pPr>
    </w:p>
    <w:p w:rsidR="00E467DD" w:rsidRPr="004C46D5" w:rsidRDefault="00E467DD" w:rsidP="00E467DD">
      <w:pPr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C46D5">
        <w:rPr>
          <w:rFonts w:ascii="Times New Roman" w:hAnsi="Times New Roman" w:cs="Times New Roman"/>
          <w:b/>
          <w:sz w:val="28"/>
          <w:szCs w:val="28"/>
        </w:rPr>
        <w:lastRenderedPageBreak/>
        <w:t>Висновки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Результати дослідження проблеми дають нам підстави для ряду узагальнюючих висновків.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1. Групова парадигма політики є неодмінною складовою життя всіх без винятку сучасних суспільств. Поряд із констатацією цього факту, слід особливо підкреслити, що в політичних процесах беруть участь як цілком «модерні» групові суб’єкти політики (еліти, групи інтересів, групи тиску), так і «до-модерні» (правлячі династії, клани тощо). Універсальної моделі юридичного та інституційного оформлення участі цих групових суб’єктів в політичних процесах не існує: кожна країна виробляє свою, багато в чому унікальну, модель.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2. Можна визначити конкретні етапи у становленні групової парадигми політики в Україні. 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– 1990 – 1995. На хвилі «параду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суверенітетів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>» зростає роль регіональних еліт, які в процесі боротьби за Київ утворюють первинне «ядро» владної еліти;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– 1995 – 1998. Початок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інституціоналізації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 xml:space="preserve"> конкретних регіональних груп (насамперед «дніпропетровської сім'ї») як представників владної еліти державного рівня, їх поступова інтеграція в столичні структури. Ролі регіональних еліт та столичного істеблішменту зрівнюються;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– 1998 – 2002. Зростає значимість столичного капіталу. Столичний істеблішмент виступає як самостійний гравець на внутрішньополітичній арені і поширює свій вплив на Центр і Південь України.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– 2002 – 2010. В умовах політичної невизначеності зростає роль сильних регіональних еліт, які вдаються до засобів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трансрегіональних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 xml:space="preserve"> олігархій для нових «походів на Київ»;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– 2010 – 2016 рр. Монополізація політичного простору одними групами інтересу (</w:t>
      </w:r>
      <w:r w:rsidRPr="004C46D5">
        <w:rPr>
          <w:rFonts w:ascii="Times New Roman" w:hAnsi="Times New Roman" w:cs="Times New Roman"/>
          <w:i/>
          <w:sz w:val="28"/>
          <w:szCs w:val="28"/>
        </w:rPr>
        <w:t>донецький клан</w:t>
      </w:r>
      <w:r w:rsidRPr="004C46D5">
        <w:rPr>
          <w:rFonts w:ascii="Times New Roman" w:hAnsi="Times New Roman" w:cs="Times New Roman"/>
          <w:sz w:val="28"/>
          <w:szCs w:val="28"/>
        </w:rPr>
        <w:t xml:space="preserve">) викликає повстання інших групових суб’єктів владної взаємодії. Внутрішньо–елітарна взаємодія втрачає усталеність, </w:t>
      </w:r>
      <w:r w:rsidRPr="004C46D5">
        <w:rPr>
          <w:rFonts w:ascii="Times New Roman" w:hAnsi="Times New Roman" w:cs="Times New Roman"/>
          <w:sz w:val="28"/>
          <w:szCs w:val="28"/>
        </w:rPr>
        <w:lastRenderedPageBreak/>
        <w:t>переростає у конфлікт із залученням державних структур та суспільних організацій.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3. На сьогодні в Україні досить важко відокремити «чисту» столичну еліту від регіональної. Причини цього полягають у компактності країни і традиціях місництва. Процеси формування владної еліти загальнонаціонального, понад–регіонального характеру ще не завершені. Динаміка регіонального та столичного факторів у процесах формування владної еліти свідчить про те, що в Україні логічною закономірністю є превалювання столиці, ресурси якої дозволяють максимально ефективно використовувати всі види капіталів у будь-яких комбінаціях.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>4. Кожна регіональна група, що приходить до влади в Києві, приносить з собою свою регіональну специфіку, однак змушена інтегруватися в столичне життя, соціалізуватися, позбавлятися від регіональних коренів і власної провінційності. Саме в таких процесах формується столичний істеблішмент, який наближається до категорії «національна владна еліта». Підвищення ролі столиці як інтегратора регіонів в єдину політичну цілісність є нагальним завданням для українського суспільства і, насамперед, для владної еліти. Однак факти свідчать, що у процесах формування владної еліти регіональний фактор ще довго буде відігравати панівну роль.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5. У відносинах «центр–регіони» Україна стоїть перед дилемою двох основних моделей. 1. </w:t>
      </w:r>
      <w:r w:rsidRPr="004C46D5">
        <w:rPr>
          <w:rFonts w:ascii="Times New Roman" w:hAnsi="Times New Roman" w:cs="Times New Roman"/>
          <w:i/>
          <w:sz w:val="28"/>
          <w:szCs w:val="28"/>
        </w:rPr>
        <w:t>Жорстка централізаторська політика</w:t>
      </w:r>
      <w:r w:rsidRPr="004C46D5">
        <w:rPr>
          <w:rFonts w:ascii="Times New Roman" w:hAnsi="Times New Roman" w:cs="Times New Roman"/>
          <w:sz w:val="28"/>
          <w:szCs w:val="28"/>
        </w:rPr>
        <w:t xml:space="preserve"> яка перетворює регіони-суб’єкти на периферію, пасивність якої, в свою чергу, призводить до неефективності всього державного апарату та інституту влади. Стрімке зростання столиці не може компенсувати деградації регіонів та інших центрів країни. В остаточному підсумку, це негативно впливає як на столицю, так і на країну в цілому, оскільки занепад регіонів зменшує можливості продукування в них якісного соціального капіталу. 2. </w:t>
      </w:r>
      <w:r w:rsidRPr="004C46D5">
        <w:rPr>
          <w:rFonts w:ascii="Times New Roman" w:hAnsi="Times New Roman" w:cs="Times New Roman"/>
          <w:i/>
          <w:sz w:val="28"/>
          <w:szCs w:val="28"/>
        </w:rPr>
        <w:t>Послаблення контролю за регіонами</w:t>
      </w:r>
      <w:r w:rsidRPr="004C46D5">
        <w:rPr>
          <w:rFonts w:ascii="Times New Roman" w:hAnsi="Times New Roman" w:cs="Times New Roman"/>
          <w:sz w:val="28"/>
          <w:szCs w:val="28"/>
        </w:rPr>
        <w:t xml:space="preserve"> посилює їх автономність від центру, що розхитує каркас владних взаємин у цілому. Внаслідок крайнощів як першої, так і другої моделі держава рано чи пізно стає нежиттєздатною. Прихильники розширення повноважень </w:t>
      </w:r>
      <w:r w:rsidRPr="004C46D5">
        <w:rPr>
          <w:rFonts w:ascii="Times New Roman" w:hAnsi="Times New Roman" w:cs="Times New Roman"/>
          <w:sz w:val="28"/>
          <w:szCs w:val="28"/>
        </w:rPr>
        <w:lastRenderedPageBreak/>
        <w:t>регіональних еліт посилаються як на приклад на процеси регіоналізації в Європі, але не враховують історичної та регіональної специфіки України, на яку поки передчасно накладати «кальку» європейського регіоналізму. В Україні ще не завершені процеси становлення, оформлення регіональних еліт, а роль і місце столиці та столичного істеблішменту у внутрішній політиці поки вельми нестабільні. Регіональна політика України потребує пошуку компромісного рішення: регіональним елітам слід активно включитися до політичного процесу, але вони повинні бути «зав'язані» на центрі.</w:t>
      </w:r>
    </w:p>
    <w:p w:rsidR="00E467DD" w:rsidRPr="004C46D5" w:rsidRDefault="00E467DD" w:rsidP="00E467DD">
      <w:pPr>
        <w:spacing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t xml:space="preserve">6. В контексті співвідношення «центр–регіони» Україна фактично йде латиноамериканським шляхом розвитку: швидкий розвиток великих центрів досягається за рахунок стрімкого занепаду найближчій периферії. У числі таких центрів ми можемо назвати Київ, Дніпропетровськ, Донецьк, Харків, меншою мірою – Львів і Одесу. Категорії периферії більш всього відповідають слаборозвинені області Центру і Заходу України. «Викачування» центрами ресурсів і капіталів з периферії відбувається переважно з допомогою двох механізмів: а) логічне тяжіння найближчій периферії до центру; б) утворення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трансрегіональних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 xml:space="preserve"> олігархій. В майбутньому цей дисбаланс стане однією з найбільш складних проблем українського суспільства і держави. Прийняття парламентом пропорційної системи виборів на всіх рівнях влади за логікою спрямовано на вирішення кількох нагальних проблем українського суспільства, зокрема у площині взаємовідносин центру і регіонів. Пропорційна система виборів покликана посилити роль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надрегіональних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 xml:space="preserve"> політичних партій у суспільстві, що обмежить вплив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трансрегіональних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 xml:space="preserve"> олігархій: повноваження формування персонального складу органів влади переходять в руки партійних лідерів, які фактично стають суб'єктами рекрутування еліти. Все це повинно сприяти підвищенню значимості на внутрішньополітичній арені Києва та столичного істеблішменту як головного центру і основного суб'єкта </w:t>
      </w:r>
      <w:proofErr w:type="spellStart"/>
      <w:r w:rsidRPr="004C46D5">
        <w:rPr>
          <w:rFonts w:ascii="Times New Roman" w:hAnsi="Times New Roman" w:cs="Times New Roman"/>
          <w:sz w:val="28"/>
          <w:szCs w:val="28"/>
        </w:rPr>
        <w:t>елітоутворення</w:t>
      </w:r>
      <w:proofErr w:type="spellEnd"/>
      <w:r w:rsidRPr="004C46D5">
        <w:rPr>
          <w:rFonts w:ascii="Times New Roman" w:hAnsi="Times New Roman" w:cs="Times New Roman"/>
          <w:sz w:val="28"/>
          <w:szCs w:val="28"/>
        </w:rPr>
        <w:t>.</w:t>
      </w:r>
    </w:p>
    <w:p w:rsidR="00E467DD" w:rsidRPr="004C46D5" w:rsidRDefault="00E467DD" w:rsidP="00E467DD">
      <w:pPr>
        <w:ind w:firstLine="567"/>
        <w:rPr>
          <w:rFonts w:ascii="Times New Roman" w:hAnsi="Times New Roman" w:cs="Times New Roman"/>
          <w:sz w:val="28"/>
          <w:szCs w:val="28"/>
        </w:rPr>
      </w:pPr>
      <w:r w:rsidRPr="004C46D5">
        <w:rPr>
          <w:rFonts w:ascii="Times New Roman" w:hAnsi="Times New Roman" w:cs="Times New Roman"/>
          <w:sz w:val="28"/>
          <w:szCs w:val="28"/>
        </w:rPr>
        <w:br w:type="page"/>
      </w:r>
    </w:p>
    <w:p w:rsidR="00E467DD" w:rsidRPr="004C46D5" w:rsidRDefault="00E467DD" w:rsidP="00E467DD">
      <w:pPr>
        <w:pStyle w:val="a3"/>
        <w:spacing w:line="360" w:lineRule="auto"/>
        <w:ind w:left="0" w:firstLine="567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Список використаних джерел</w:t>
      </w:r>
    </w:p>
    <w:p w:rsidR="00E467DD" w:rsidRPr="00FC280B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Ашин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 xml:space="preserve"> А.Г. Дискуссии о структуре власти и структуре элит в США /А.Г. </w:t>
      </w: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Ашин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 xml:space="preserve"> //Общественные науки и современность. – 2001. - №1. – С.90 – 103.</w:t>
      </w:r>
    </w:p>
    <w:p w:rsidR="00E467DD" w:rsidRPr="00FC280B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Бердинских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 xml:space="preserve"> К. Большая родня /К. </w:t>
      </w: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Бердинских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 xml:space="preserve"> //Корреспондент. – 2010. – №23. – С.20 – 22.</w:t>
      </w:r>
    </w:p>
    <w:p w:rsidR="00E467DD" w:rsidRPr="00FC280B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280B">
        <w:rPr>
          <w:rFonts w:ascii="Times New Roman" w:hAnsi="Times New Roman" w:cs="Times New Roman"/>
          <w:sz w:val="28"/>
          <w:szCs w:val="28"/>
        </w:rPr>
        <w:t>Бронников В. Трансформация современной украинской политической элиты // Политический</w:t>
      </w:r>
      <w:r>
        <w:rPr>
          <w:rFonts w:ascii="Times New Roman" w:hAnsi="Times New Roman" w:cs="Times New Roman"/>
          <w:sz w:val="28"/>
          <w:szCs w:val="28"/>
        </w:rPr>
        <w:t xml:space="preserve"> анализ</w:t>
      </w:r>
      <w:r w:rsidRPr="00FC280B">
        <w:rPr>
          <w:rFonts w:ascii="Times New Roman" w:hAnsi="Times New Roman" w:cs="Times New Roman"/>
          <w:sz w:val="28"/>
          <w:szCs w:val="28"/>
        </w:rPr>
        <w:t>: Доклады центра эмпирических по</w:t>
      </w:r>
      <w:r>
        <w:rPr>
          <w:rFonts w:ascii="Times New Roman" w:hAnsi="Times New Roman" w:cs="Times New Roman"/>
          <w:sz w:val="28"/>
          <w:szCs w:val="28"/>
        </w:rPr>
        <w:t>литических исследований СПбГУ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/</w:t>
      </w:r>
      <w:r w:rsidRPr="00FC280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FC280B">
        <w:rPr>
          <w:rFonts w:ascii="Times New Roman" w:hAnsi="Times New Roman" w:cs="Times New Roman"/>
          <w:sz w:val="28"/>
          <w:szCs w:val="28"/>
        </w:rPr>
        <w:t xml:space="preserve">од ред. </w:t>
      </w: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Г.П.Артемова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>. –</w:t>
      </w:r>
      <w:r>
        <w:rPr>
          <w:rFonts w:ascii="Times New Roman" w:hAnsi="Times New Roman" w:cs="Times New Roman"/>
          <w:sz w:val="28"/>
          <w:szCs w:val="28"/>
        </w:rPr>
        <w:t xml:space="preserve"> СПб</w:t>
      </w:r>
      <w:proofErr w:type="gramStart"/>
      <w:r>
        <w:rPr>
          <w:rFonts w:ascii="Times New Roman" w:hAnsi="Times New Roman" w:cs="Times New Roman"/>
          <w:sz w:val="28"/>
          <w:szCs w:val="28"/>
        </w:rPr>
        <w:t>.: «</w:t>
      </w:r>
      <w:proofErr w:type="spellStart"/>
      <w:proofErr w:type="gramEnd"/>
      <w:r>
        <w:rPr>
          <w:rFonts w:ascii="Times New Roman" w:hAnsi="Times New Roman" w:cs="Times New Roman"/>
          <w:sz w:val="28"/>
          <w:szCs w:val="28"/>
        </w:rPr>
        <w:t>Петрополис</w:t>
      </w:r>
      <w:proofErr w:type="spellEnd"/>
      <w:r>
        <w:rPr>
          <w:rFonts w:ascii="Times New Roman" w:hAnsi="Times New Roman" w:cs="Times New Roman"/>
          <w:sz w:val="28"/>
          <w:szCs w:val="28"/>
        </w:rPr>
        <w:t>»,</w:t>
      </w:r>
      <w:r w:rsidRPr="00FC280B">
        <w:rPr>
          <w:rFonts w:ascii="Times New Roman" w:hAnsi="Times New Roman" w:cs="Times New Roman"/>
          <w:sz w:val="28"/>
          <w:szCs w:val="28"/>
        </w:rPr>
        <w:t xml:space="preserve"> 2000. – Вып.1. – </w:t>
      </w:r>
      <w:hyperlink r:id="rId6" w:history="1">
        <w:r w:rsidRPr="00FC280B">
          <w:rPr>
            <w:rStyle w:val="a6"/>
            <w:rFonts w:ascii="Times New Roman" w:hAnsi="Times New Roman" w:cs="Times New Roman"/>
            <w:sz w:val="28"/>
            <w:szCs w:val="28"/>
          </w:rPr>
          <w:t>www.politanalysis.narod.ru/bronnikovl.html</w:t>
        </w:r>
      </w:hyperlink>
      <w:r w:rsidRPr="00FC280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467DD" w:rsidRPr="00FC280B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C280B">
        <w:rPr>
          <w:rFonts w:ascii="Times New Roman" w:hAnsi="Times New Roman" w:cs="Times New Roman"/>
          <w:sz w:val="28"/>
          <w:szCs w:val="28"/>
        </w:rPr>
        <w:t>Бурдье</w:t>
      </w:r>
      <w:proofErr w:type="spellEnd"/>
      <w:r w:rsidRPr="00FC280B">
        <w:rPr>
          <w:rFonts w:ascii="Times New Roman" w:hAnsi="Times New Roman" w:cs="Times New Roman"/>
          <w:sz w:val="28"/>
          <w:szCs w:val="28"/>
        </w:rPr>
        <w:t xml:space="preserve"> П. Социология политики. </w:t>
      </w:r>
      <w:r>
        <w:rPr>
          <w:rFonts w:ascii="Times New Roman" w:hAnsi="Times New Roman" w:cs="Times New Roman"/>
          <w:sz w:val="28"/>
          <w:szCs w:val="28"/>
        </w:rPr>
        <w:t>/Б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>
        <w:rPr>
          <w:rFonts w:ascii="Times New Roman" w:hAnsi="Times New Roman" w:cs="Times New Roman"/>
          <w:sz w:val="28"/>
          <w:szCs w:val="28"/>
        </w:rPr>
        <w:t>рдье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П. </w:t>
      </w:r>
      <w:r w:rsidRPr="00FC280B">
        <w:rPr>
          <w:rFonts w:ascii="Times New Roman" w:hAnsi="Times New Roman" w:cs="Times New Roman"/>
          <w:sz w:val="28"/>
          <w:szCs w:val="28"/>
        </w:rPr>
        <w:t>– М.</w:t>
      </w:r>
      <w:r>
        <w:rPr>
          <w:rFonts w:ascii="Times New Roman" w:hAnsi="Times New Roman" w:cs="Times New Roman"/>
          <w:sz w:val="28"/>
          <w:szCs w:val="28"/>
        </w:rPr>
        <w:t xml:space="preserve">: Наука, 1993 </w:t>
      </w:r>
      <w:r w:rsidRPr="00FC280B">
        <w:rPr>
          <w:rFonts w:ascii="Times New Roman" w:hAnsi="Times New Roman" w:cs="Times New Roman"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400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Валевський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О. Регіон як суб’єкт політичного процесу: аналіз одної ілюзії перехідного суспільства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Валевський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 Контекст.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2002.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№3 (15).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14–19.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Волинський А. Ідеологічна структуризація суспільних політичних інтересів /</w:t>
      </w:r>
      <w:r>
        <w:rPr>
          <w:rFonts w:ascii="Times New Roman" w:hAnsi="Times New Roman" w:cs="Times New Roman"/>
          <w:sz w:val="28"/>
          <w:szCs w:val="28"/>
          <w:lang w:val="uk-UA"/>
        </w:rPr>
        <w:t>А. Волинський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/Політичний менеджмент. – 2004. </w:t>
      </w:r>
      <w:r w:rsidRPr="008662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№5. – С.72</w:t>
      </w:r>
      <w:r w:rsidRPr="0086627B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78.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Дацюк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Центральна, регіональна та міська еліти.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Дацюк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до ресурсу: </w:t>
      </w:r>
      <w:hyperlink r:id="rId7" w:history="1">
        <w:r w:rsidRPr="004C46D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www.dialogs.org.ua/ru/print/material/2/399</w:t>
        </w:r>
      </w:hyperlink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Доган М.,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Пеласси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Ср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авнительная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политическая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/Пер. с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Наука, 1994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124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Дубровский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В.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Реформы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инклюзивность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дилемма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Петра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Алексеевича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/В.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Дубровский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Зеркало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недели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– 2014. – №19. – 14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мая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С.4.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Зоткин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А.А. «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Львы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» и «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лисы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украинской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О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властвующей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элите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Зоткин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А.А. – К.: Наукова думка, 2010. – 341 с.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Коен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Д. Лобіювання у конгресі США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Коен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/Політологічні читання. – 1992. - №2.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С.14 – 24.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Козлов С.В.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Украинский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неопатримониальный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режим: от «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Оранжевой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революции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» к «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Евромайдану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» /С.В. Козлов //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Политическая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експертиза. – 2014. Том 10. №1. – С.31 – 43.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Кочетков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А.П. Власть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элиты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глобальном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информационном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обществе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/А.П.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Кочетков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Политические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2011. – №5. – С.8 – 20.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Макаренко В.П.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Групповые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интересы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властно-управленческий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аппарат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: 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методологии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>В.П. Макаренко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Социологические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– 1996.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№11.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С.24 – 34.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Мангейм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Идеология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утопия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Мангейм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. – М.</w:t>
      </w:r>
      <w:r>
        <w:rPr>
          <w:rFonts w:ascii="Times New Roman" w:hAnsi="Times New Roman" w:cs="Times New Roman"/>
          <w:sz w:val="28"/>
          <w:szCs w:val="28"/>
          <w:lang w:val="uk-UA"/>
        </w:rPr>
        <w:t>: Весь мир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, 1992. – Ч.1. – </w:t>
      </w:r>
      <w:r>
        <w:rPr>
          <w:rFonts w:ascii="Times New Roman" w:hAnsi="Times New Roman" w:cs="Times New Roman"/>
          <w:sz w:val="28"/>
          <w:szCs w:val="28"/>
          <w:lang w:val="uk-UA"/>
        </w:rPr>
        <w:t>544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Метельова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Т. Київ у контексті клановості українського суспільства.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Метельова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до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журн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.: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www.urr.org.ua./data/newsview/ 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Основи демократії: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посібник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ред.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А.Колодій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– К.: вид-во “Ай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Бі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”, 2002. – </w:t>
      </w:r>
      <w:r>
        <w:rPr>
          <w:rFonts w:ascii="Times New Roman" w:hAnsi="Times New Roman" w:cs="Times New Roman"/>
          <w:sz w:val="28"/>
          <w:szCs w:val="28"/>
          <w:lang w:val="uk-UA"/>
        </w:rPr>
        <w:t>400 с.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Паренти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М.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Демократия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немногих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/Пер. с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англ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М., 1990.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224 с.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Піховшек В.В. Корупція в Україні: Походження, джерела, сучасна ситуація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BB1A2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Піховшек В.В. – К</w:t>
      </w:r>
      <w:r>
        <w:rPr>
          <w:rFonts w:ascii="Times New Roman" w:hAnsi="Times New Roman" w:cs="Times New Roman"/>
          <w:sz w:val="28"/>
          <w:szCs w:val="28"/>
          <w:lang w:val="uk-UA"/>
        </w:rPr>
        <w:t>.: Арсенал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, 1998.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156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Покальчук О. Політична еліта сучасної України: регіональний вимір /</w:t>
      </w:r>
      <w:r>
        <w:rPr>
          <w:rFonts w:ascii="Times New Roman" w:hAnsi="Times New Roman" w:cs="Times New Roman"/>
          <w:sz w:val="28"/>
          <w:szCs w:val="28"/>
          <w:lang w:val="uk-UA"/>
        </w:rPr>
        <w:t>О. Покальчук //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Психологічні перспективи.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2003.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4.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54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59.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Політологія посткомунізму: Політологічний аналіз посткомуністичних суспільств /В. Полохало (керівник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авт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колективу);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ред.: Є. Бистрицький – К.: Політична думка, 1995. – 368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Політична та фінансова роль бізнесу в парламентських виборах в Україні 2002 року.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Інститут стратегічних досліджень при Президенті України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К.: Вид-во «Центр»,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2002.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260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Порошенко Петро Олексійович //Ліга. Досьє – Режим доступу до ресурсу: </w:t>
      </w:r>
      <w:hyperlink r:id="rId8" w:history="1">
        <w:r w:rsidRPr="004C46D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http://file.liga.net/person/404-petr-poroshenko.htm</w:t>
        </w:r>
      </w:hyperlink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Рожкова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Региональные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особенности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“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электорального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веса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”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капиталов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выборах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мажоритарной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системе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сравнительный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lastRenderedPageBreak/>
        <w:t>анализ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результатов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украинских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парламентских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кампаний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1998 и 2002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годов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мажоритарным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округам) //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Социология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теория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методы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, маркетинг.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2002.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№4.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63–80.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Руденко С. Вся Юлина Рать.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Окружение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Юлии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Тимошенко от «А» до «Я» /Руденко С. – К.: «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Саммит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-Книга», 2007. – 224 с.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Самар В.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Донецкий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Крым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? 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вопросу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практике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партийного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строительства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>В. Самар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Зеркало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недели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2004.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7–13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февраля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№5 (480).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3.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Сіденко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В. Пастки посткомуністичних економічних перетворень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Сіденко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/Політична думка. – 1997.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№4.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44 – 56.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Стріха М. Регіони в сьогоднішній Україні: консолідація чи дезінтеграція? </w:t>
      </w:r>
      <w:r>
        <w:rPr>
          <w:rFonts w:ascii="Times New Roman" w:hAnsi="Times New Roman" w:cs="Times New Roman"/>
          <w:sz w:val="28"/>
          <w:szCs w:val="28"/>
          <w:lang w:val="uk-UA"/>
        </w:rPr>
        <w:t>/М. Стріха 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Режим доступу до ресурсу: 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www.urr.org.ua./data/newsview/ 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Тезаурус: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Группы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интересов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Полис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– 1992. </w:t>
      </w:r>
      <w:r w:rsidRPr="00FC280B">
        <w:rPr>
          <w:rFonts w:ascii="Times New Roman" w:hAnsi="Times New Roman" w:cs="Times New Roman"/>
          <w:sz w:val="28"/>
          <w:szCs w:val="28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№5-6.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 20–23.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Style w:val="a6"/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Тимошенко Юлія Володимирівна //Ліга. Досьє – Режим доступу до ресурсу: </w:t>
      </w:r>
      <w:hyperlink r:id="rId9" w:history="1">
        <w:r w:rsidRPr="004C46D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http://file.liga.net/person/320-uliya-timoshenko.html</w:t>
        </w:r>
      </w:hyperlink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Топ 100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самых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влиятельных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людей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Корреспондент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Специальный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выпуск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– 2010. – № 31 (419). – 98 с. 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Трипольський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В.О. Політичні інтереси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В.О.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Типольський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/Політологічний енциклопедичний словник – К.: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, 2004. – С.519-520.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Туровский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Р.Ф.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Сравнительный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тенденций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регионального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России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Р.Ф.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Туровский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Полис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1999.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№6.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49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62.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Фесенко В.В. Групи інтересів /</w:t>
      </w:r>
      <w:r>
        <w:rPr>
          <w:rFonts w:ascii="Times New Roman" w:hAnsi="Times New Roman" w:cs="Times New Roman"/>
          <w:sz w:val="28"/>
          <w:szCs w:val="28"/>
          <w:lang w:val="uk-UA"/>
        </w:rPr>
        <w:t>В.В. Фесенко //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Політологічний енциклопедичний словник/ Упорядник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В.П.Горбатенко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К.: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, 2004. – С.123-125.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Фесенко В.В.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Политическая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элита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Украины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противоречия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>
        <w:rPr>
          <w:rFonts w:ascii="Times New Roman" w:hAnsi="Times New Roman" w:cs="Times New Roman"/>
          <w:sz w:val="28"/>
          <w:szCs w:val="28"/>
          <w:lang w:val="uk-UA"/>
        </w:rPr>
        <w:t>В.В. Фесенко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Полис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1995.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№6.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87–94.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Шаповаленко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М.В. Груп теорія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Шаповаленко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/Політологічний енциклопедичний словник/ Упорядник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В.П.Горбатенко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. – К.: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>, 2004. – С.123.</w:t>
      </w:r>
    </w:p>
    <w:p w:rsidR="00E467DD" w:rsidRPr="004C46D5" w:rsidRDefault="00E467DD" w:rsidP="00E467DD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Шляхтун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П.П. Політологія (теорія та історія політичної науки). – К.</w:t>
      </w:r>
      <w:r>
        <w:rPr>
          <w:rFonts w:ascii="Times New Roman" w:hAnsi="Times New Roman" w:cs="Times New Roman"/>
          <w:sz w:val="28"/>
          <w:szCs w:val="28"/>
          <w:lang w:val="uk-UA"/>
        </w:rPr>
        <w:t>: Либідь, 2002. – 486 с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Шмиттер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Ф.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Размышления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гражданском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обществе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консолидации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демократии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/Ф.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Шмиттер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//</w:t>
      </w:r>
      <w:proofErr w:type="spellStart"/>
      <w:r w:rsidRPr="004C46D5">
        <w:rPr>
          <w:rFonts w:ascii="Times New Roman" w:hAnsi="Times New Roman" w:cs="Times New Roman"/>
          <w:iCs/>
          <w:sz w:val="28"/>
          <w:szCs w:val="28"/>
          <w:lang w:val="uk-UA"/>
        </w:rPr>
        <w:t>Политические</w:t>
      </w:r>
      <w:proofErr w:type="spellEnd"/>
      <w:r w:rsidRPr="004C46D5"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proofErr w:type="spellStart"/>
      <w:r w:rsidRPr="004C46D5">
        <w:rPr>
          <w:rFonts w:ascii="Times New Roman" w:hAnsi="Times New Roman" w:cs="Times New Roman"/>
          <w:iCs/>
          <w:sz w:val="28"/>
          <w:szCs w:val="28"/>
          <w:lang w:val="uk-UA"/>
        </w:rPr>
        <w:t>исследования</w:t>
      </w:r>
      <w:proofErr w:type="spellEnd"/>
      <w:r w:rsidRPr="004C46D5">
        <w:rPr>
          <w:rFonts w:ascii="Times New Roman" w:hAnsi="Times New Roman" w:cs="Times New Roman"/>
          <w:iCs/>
          <w:sz w:val="28"/>
          <w:szCs w:val="28"/>
          <w:lang w:val="uk-UA"/>
        </w:rPr>
        <w:t>. – 1996. – № 5. – С. 16 – 27.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Шульга М.О. Особливості процесу зміни правлячих еліт у період системної трансформації суспільства /</w:t>
      </w:r>
      <w:r>
        <w:rPr>
          <w:rFonts w:ascii="Times New Roman" w:hAnsi="Times New Roman" w:cs="Times New Roman"/>
          <w:sz w:val="28"/>
          <w:szCs w:val="28"/>
          <w:lang w:val="uk-UA"/>
        </w:rPr>
        <w:t>М.О. Шульга //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Українське суспільство на порозі третього тисячоліття / За ред. </w:t>
      </w:r>
      <w:proofErr w:type="spellStart"/>
      <w:r w:rsidRPr="004C46D5">
        <w:rPr>
          <w:rFonts w:ascii="Times New Roman" w:hAnsi="Times New Roman" w:cs="Times New Roman"/>
          <w:sz w:val="28"/>
          <w:szCs w:val="28"/>
          <w:lang w:val="uk-UA"/>
        </w:rPr>
        <w:t>М.О.Шульги</w:t>
      </w:r>
      <w:proofErr w:type="spellEnd"/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К., 1999.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322–356.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Шульга М. Київ: утвердження у столичному статусі /</w:t>
      </w:r>
      <w:r>
        <w:rPr>
          <w:rFonts w:ascii="Times New Roman" w:hAnsi="Times New Roman" w:cs="Times New Roman"/>
          <w:sz w:val="28"/>
          <w:szCs w:val="28"/>
          <w:lang w:val="uk-UA"/>
        </w:rPr>
        <w:t>М. Шульга /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/Вісник Національної академії наук України.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2001.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№5.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С. 43–51. 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Ющенко Віктор Андрійович //Ліга. Досьє – Режим доступу до ресурсу: http://file.liga.net/person/1-viktor-ushenko.html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Янукович Віктор Федорович //Ліга. Досьє – Режим доступу до ресурсу: </w:t>
      </w:r>
      <w:hyperlink r:id="rId10" w:history="1">
        <w:r w:rsidRPr="004C46D5">
          <w:rPr>
            <w:rStyle w:val="a6"/>
            <w:rFonts w:ascii="Times New Roman" w:hAnsi="Times New Roman" w:cs="Times New Roman"/>
            <w:sz w:val="28"/>
            <w:szCs w:val="28"/>
            <w:lang w:val="uk-UA"/>
          </w:rPr>
          <w:t>http://file.liga.net/person/271-viktor-yanykovich.html</w:t>
        </w:r>
      </w:hyperlink>
      <w:r w:rsidRPr="004C46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467DD" w:rsidRPr="004C46D5" w:rsidRDefault="00E467DD" w:rsidP="00E467DD">
      <w:pPr>
        <w:pStyle w:val="a5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6D5">
        <w:rPr>
          <w:rFonts w:ascii="Times New Roman" w:hAnsi="Times New Roman" w:cs="Times New Roman"/>
          <w:sz w:val="28"/>
          <w:szCs w:val="28"/>
          <w:lang w:val="uk-UA"/>
        </w:rPr>
        <w:t>Яценюк Арсеній Петрович //Ліга. Досьє – Режим доступу до ресурсу: http://file.liga.net/person/728-arsenii-yacenuk.html</w:t>
      </w:r>
    </w:p>
    <w:p w:rsidR="00E467DD" w:rsidRPr="00E467DD" w:rsidRDefault="00E467DD">
      <w:bookmarkStart w:id="0" w:name="_GoBack"/>
      <w:bookmarkEnd w:id="0"/>
    </w:p>
    <w:sectPr w:rsidR="00E467DD" w:rsidRPr="00E467D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EB77850"/>
    <w:multiLevelType w:val="hybridMultilevel"/>
    <w:tmpl w:val="81E22E04"/>
    <w:lvl w:ilvl="0" w:tplc="5114E96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61195378"/>
    <w:multiLevelType w:val="hybridMultilevel"/>
    <w:tmpl w:val="425669F2"/>
    <w:lvl w:ilvl="0" w:tplc="B2061A60">
      <w:numFmt w:val="bullet"/>
      <w:lvlText w:val="-"/>
      <w:lvlJc w:val="left"/>
      <w:pPr>
        <w:ind w:left="1002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4045"/>
    <w:rsid w:val="004E4F83"/>
    <w:rsid w:val="00E24045"/>
    <w:rsid w:val="00E46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unhideWhenUsed/>
    <w:rsid w:val="00E467DD"/>
    <w:pPr>
      <w:spacing w:after="120"/>
      <w:ind w:left="283"/>
    </w:pPr>
    <w:rPr>
      <w:lang w:val="ru-RU"/>
    </w:rPr>
  </w:style>
  <w:style w:type="character" w:customStyle="1" w:styleId="a4">
    <w:name w:val="Основной текст с отступом Знак"/>
    <w:basedOn w:val="a0"/>
    <w:link w:val="a3"/>
    <w:uiPriority w:val="99"/>
    <w:rsid w:val="00E467DD"/>
    <w:rPr>
      <w:lang w:val="ru-RU"/>
    </w:rPr>
  </w:style>
  <w:style w:type="paragraph" w:styleId="a5">
    <w:name w:val="List Paragraph"/>
    <w:basedOn w:val="a"/>
    <w:uiPriority w:val="34"/>
    <w:qFormat/>
    <w:rsid w:val="00E467DD"/>
    <w:pPr>
      <w:ind w:left="720"/>
      <w:contextualSpacing/>
    </w:pPr>
    <w:rPr>
      <w:lang w:val="ru-RU"/>
    </w:rPr>
  </w:style>
  <w:style w:type="character" w:styleId="a6">
    <w:name w:val="Hyperlink"/>
    <w:basedOn w:val="a0"/>
    <w:uiPriority w:val="99"/>
    <w:unhideWhenUsed/>
    <w:rsid w:val="00E467D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uiPriority w:val="99"/>
    <w:unhideWhenUsed/>
    <w:rsid w:val="00E467DD"/>
    <w:pPr>
      <w:spacing w:after="120"/>
      <w:ind w:left="283"/>
    </w:pPr>
    <w:rPr>
      <w:lang w:val="ru-RU"/>
    </w:rPr>
  </w:style>
  <w:style w:type="character" w:customStyle="1" w:styleId="a4">
    <w:name w:val="Основной текст с отступом Знак"/>
    <w:basedOn w:val="a0"/>
    <w:link w:val="a3"/>
    <w:uiPriority w:val="99"/>
    <w:rsid w:val="00E467DD"/>
    <w:rPr>
      <w:lang w:val="ru-RU"/>
    </w:rPr>
  </w:style>
  <w:style w:type="paragraph" w:styleId="a5">
    <w:name w:val="List Paragraph"/>
    <w:basedOn w:val="a"/>
    <w:uiPriority w:val="34"/>
    <w:qFormat/>
    <w:rsid w:val="00E467DD"/>
    <w:pPr>
      <w:ind w:left="720"/>
      <w:contextualSpacing/>
    </w:pPr>
    <w:rPr>
      <w:lang w:val="ru-RU"/>
    </w:rPr>
  </w:style>
  <w:style w:type="character" w:styleId="a6">
    <w:name w:val="Hyperlink"/>
    <w:basedOn w:val="a0"/>
    <w:uiPriority w:val="99"/>
    <w:unhideWhenUsed/>
    <w:rsid w:val="00E467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ile.liga.net/person/404-petr-poroshenko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dialogs.org.ua/ru/print/material/2/399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litanalysis.narod.ru/bronnikovl.html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file.liga.net/person/271-viktor-yanykovich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file.liga.net/person/320-uliya-timoshenko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13585</Words>
  <Characters>7745</Characters>
  <Application>Microsoft Office Word</Application>
  <DocSecurity>0</DocSecurity>
  <Lines>64</Lines>
  <Paragraphs>42</Paragraphs>
  <ScaleCrop>false</ScaleCrop>
  <Company/>
  <LinksUpToDate>false</LinksUpToDate>
  <CharactersWithSpaces>21288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2018-04-24T08:46:00Z</dcterms:created>
  <dcterms:modified xsi:type="dcterms:W3CDTF">2018-04-24T08:48:00Z</dcterms:modified>
</cp:coreProperties>
</file>