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54C19" w:rsidRDefault="00054C19" w:rsidP="00054C19">
      <w:pPr>
        <w:pStyle w:val="a3"/>
        <w:spacing w:before="74" w:line="242" w:lineRule="auto"/>
        <w:ind w:left="1646" w:right="1931"/>
        <w:jc w:val="center"/>
      </w:pPr>
      <w:r>
        <w:t>ОДЕСЬКИЙ</w:t>
      </w:r>
      <w:r>
        <w:rPr>
          <w:spacing w:val="-18"/>
        </w:rPr>
        <w:t xml:space="preserve"> </w:t>
      </w:r>
      <w:r>
        <w:t>НАЦІОНАЛЬНИЙ</w:t>
      </w:r>
      <w:r>
        <w:rPr>
          <w:spacing w:val="-17"/>
        </w:rPr>
        <w:t xml:space="preserve"> </w:t>
      </w:r>
      <w:r>
        <w:t>УНІВЕРСИТЕТ імені І. І. МЕЧНИКОВА</w:t>
      </w:r>
    </w:p>
    <w:p w:rsidR="00054C19" w:rsidRDefault="00054C19" w:rsidP="00054C19">
      <w:pPr>
        <w:pStyle w:val="a3"/>
        <w:spacing w:line="317" w:lineRule="exact"/>
        <w:ind w:left="1" w:right="280"/>
        <w:jc w:val="center"/>
      </w:pPr>
      <w:r>
        <w:t>Біологічний</w:t>
      </w:r>
      <w:r>
        <w:rPr>
          <w:spacing w:val="-11"/>
        </w:rPr>
        <w:t xml:space="preserve"> </w:t>
      </w:r>
      <w:r>
        <w:rPr>
          <w:spacing w:val="-2"/>
        </w:rPr>
        <w:t>факультет</w:t>
      </w:r>
    </w:p>
    <w:p w:rsidR="00054C19" w:rsidRDefault="00054C19" w:rsidP="00054C19">
      <w:pPr>
        <w:pStyle w:val="a3"/>
        <w:ind w:left="1651" w:right="1931"/>
        <w:jc w:val="center"/>
      </w:pPr>
      <w:r>
        <w:t>Кафедра</w:t>
      </w:r>
      <w:r>
        <w:rPr>
          <w:spacing w:val="-20"/>
        </w:rPr>
        <w:t xml:space="preserve"> </w:t>
      </w:r>
      <w:r>
        <w:t>мікробіології,</w:t>
      </w:r>
      <w:r>
        <w:rPr>
          <w:spacing w:val="-11"/>
        </w:rPr>
        <w:t xml:space="preserve"> </w:t>
      </w:r>
      <w:r>
        <w:t>вірусології</w:t>
      </w:r>
      <w:r>
        <w:rPr>
          <w:spacing w:val="-6"/>
        </w:rPr>
        <w:t xml:space="preserve"> </w:t>
      </w:r>
      <w:r>
        <w:t>та</w:t>
      </w:r>
      <w:r>
        <w:rPr>
          <w:spacing w:val="-9"/>
        </w:rPr>
        <w:t xml:space="preserve"> </w:t>
      </w:r>
      <w:r>
        <w:rPr>
          <w:spacing w:val="-2"/>
        </w:rPr>
        <w:t>біотехнології</w:t>
      </w:r>
    </w:p>
    <w:p w:rsidR="00054C19" w:rsidRDefault="00054C19" w:rsidP="00054C19">
      <w:pPr>
        <w:pStyle w:val="a3"/>
        <w:spacing w:before="321"/>
        <w:ind w:left="0"/>
        <w:jc w:val="left"/>
      </w:pPr>
    </w:p>
    <w:p w:rsidR="00054C19" w:rsidRDefault="00054C19" w:rsidP="00054C19">
      <w:pPr>
        <w:pStyle w:val="2"/>
        <w:ind w:left="1650" w:right="1931"/>
        <w:jc w:val="center"/>
      </w:pPr>
      <w:r>
        <w:t>Кваліфікаційна</w:t>
      </w:r>
      <w:r>
        <w:rPr>
          <w:spacing w:val="-11"/>
        </w:rPr>
        <w:t xml:space="preserve"> </w:t>
      </w:r>
      <w:r>
        <w:rPr>
          <w:spacing w:val="-2"/>
        </w:rPr>
        <w:t>робота</w:t>
      </w:r>
    </w:p>
    <w:p w:rsidR="00054C19" w:rsidRDefault="00054C19" w:rsidP="00054C19">
      <w:pPr>
        <w:pStyle w:val="a3"/>
        <w:spacing w:before="50"/>
        <w:ind w:left="1650" w:right="1931"/>
        <w:jc w:val="center"/>
      </w:pPr>
      <w:r>
        <w:t>на</w:t>
      </w:r>
      <w:r>
        <w:rPr>
          <w:spacing w:val="-5"/>
        </w:rPr>
        <w:t xml:space="preserve"> </w:t>
      </w:r>
      <w:r>
        <w:t>здобуття</w:t>
      </w:r>
      <w:r>
        <w:rPr>
          <w:spacing w:val="-7"/>
        </w:rPr>
        <w:t xml:space="preserve"> </w:t>
      </w:r>
      <w:r>
        <w:t>ступеня</w:t>
      </w:r>
      <w:r>
        <w:rPr>
          <w:spacing w:val="-6"/>
        </w:rPr>
        <w:t xml:space="preserve"> </w:t>
      </w:r>
      <w:r>
        <w:t>вищої</w:t>
      </w:r>
      <w:r>
        <w:rPr>
          <w:spacing w:val="-3"/>
        </w:rPr>
        <w:t xml:space="preserve"> </w:t>
      </w:r>
      <w:r>
        <w:t>освіти</w:t>
      </w:r>
      <w:r>
        <w:rPr>
          <w:spacing w:val="-7"/>
        </w:rPr>
        <w:t xml:space="preserve"> </w:t>
      </w:r>
      <w:r>
        <w:rPr>
          <w:spacing w:val="-2"/>
        </w:rPr>
        <w:t>«бакалавр»</w:t>
      </w:r>
    </w:p>
    <w:p w:rsidR="00054C19" w:rsidRDefault="00054C19" w:rsidP="00054C19">
      <w:pPr>
        <w:pStyle w:val="2"/>
        <w:spacing w:before="48" w:line="276" w:lineRule="auto"/>
        <w:ind w:left="455" w:right="732"/>
        <w:jc w:val="center"/>
        <w:rPr>
          <w:i/>
        </w:rPr>
      </w:pPr>
      <w:r>
        <w:t>на</w:t>
      </w:r>
      <w:r>
        <w:rPr>
          <w:spacing w:val="-3"/>
        </w:rPr>
        <w:t xml:space="preserve"> </w:t>
      </w:r>
      <w:r>
        <w:t>тему:</w:t>
      </w:r>
      <w:r>
        <w:rPr>
          <w:spacing w:val="-5"/>
        </w:rPr>
        <w:t xml:space="preserve"> </w:t>
      </w:r>
      <w:r>
        <w:rPr>
          <w:i/>
        </w:rPr>
        <w:t>«</w:t>
      </w:r>
      <w:r>
        <w:t>Використання</w:t>
      </w:r>
      <w:r>
        <w:rPr>
          <w:spacing w:val="-6"/>
        </w:rPr>
        <w:t xml:space="preserve"> </w:t>
      </w:r>
      <w:r>
        <w:t>бактеріофагів</w:t>
      </w:r>
      <w:r>
        <w:rPr>
          <w:spacing w:val="-5"/>
        </w:rPr>
        <w:t xml:space="preserve"> </w:t>
      </w:r>
      <w:r>
        <w:t>як</w:t>
      </w:r>
      <w:r>
        <w:rPr>
          <w:spacing w:val="-6"/>
        </w:rPr>
        <w:t xml:space="preserve"> </w:t>
      </w:r>
      <w:r>
        <w:t>інструмент біоконтролю</w:t>
      </w:r>
      <w:r>
        <w:rPr>
          <w:spacing w:val="-4"/>
        </w:rPr>
        <w:t xml:space="preserve"> </w:t>
      </w:r>
      <w:r>
        <w:t>в харчовій промисловості</w:t>
      </w:r>
      <w:r>
        <w:rPr>
          <w:i/>
        </w:rPr>
        <w:t>»</w:t>
      </w:r>
    </w:p>
    <w:p w:rsidR="00054C19" w:rsidRDefault="00054C19" w:rsidP="00054C19">
      <w:pPr>
        <w:pStyle w:val="a3"/>
        <w:spacing w:before="1"/>
        <w:ind w:left="0" w:right="275"/>
        <w:jc w:val="center"/>
        <w:rPr>
          <w:i/>
        </w:rPr>
      </w:pPr>
      <w:r>
        <w:rPr>
          <w:i/>
        </w:rPr>
        <w:t>“</w:t>
      </w:r>
      <w:r>
        <w:t>The</w:t>
      </w:r>
      <w:r>
        <w:rPr>
          <w:spacing w:val="-4"/>
        </w:rPr>
        <w:t xml:space="preserve"> </w:t>
      </w:r>
      <w:r>
        <w:t>use</w:t>
      </w:r>
      <w:r>
        <w:rPr>
          <w:spacing w:val="-7"/>
        </w:rPr>
        <w:t xml:space="preserve"> </w:t>
      </w:r>
      <w:r>
        <w:t>of</w:t>
      </w:r>
      <w:r>
        <w:rPr>
          <w:spacing w:val="-3"/>
        </w:rPr>
        <w:t xml:space="preserve"> </w:t>
      </w:r>
      <w:r>
        <w:t>bacteriophages</w:t>
      </w:r>
      <w:r>
        <w:rPr>
          <w:spacing w:val="-3"/>
        </w:rPr>
        <w:t xml:space="preserve"> </w:t>
      </w:r>
      <w:r>
        <w:t>as</w:t>
      </w:r>
      <w:r>
        <w:rPr>
          <w:spacing w:val="-3"/>
        </w:rPr>
        <w:t xml:space="preserve"> </w:t>
      </w:r>
      <w:r>
        <w:t>a</w:t>
      </w:r>
      <w:r>
        <w:rPr>
          <w:spacing w:val="-7"/>
        </w:rPr>
        <w:t xml:space="preserve"> </w:t>
      </w:r>
      <w:r>
        <w:t>biocontrol</w:t>
      </w:r>
      <w:r>
        <w:rPr>
          <w:spacing w:val="-7"/>
        </w:rPr>
        <w:t xml:space="preserve"> </w:t>
      </w:r>
      <w:r>
        <w:t>tool</w:t>
      </w:r>
      <w:r>
        <w:rPr>
          <w:spacing w:val="-6"/>
        </w:rPr>
        <w:t xml:space="preserve"> </w:t>
      </w:r>
      <w:r>
        <w:t>in</w:t>
      </w:r>
      <w:r>
        <w:rPr>
          <w:spacing w:val="-3"/>
        </w:rPr>
        <w:t xml:space="preserve"> </w:t>
      </w:r>
      <w:r>
        <w:t>the</w:t>
      </w:r>
      <w:r>
        <w:rPr>
          <w:spacing w:val="-4"/>
        </w:rPr>
        <w:t xml:space="preserve"> </w:t>
      </w:r>
      <w:r>
        <w:t>food</w:t>
      </w:r>
      <w:r>
        <w:rPr>
          <w:spacing w:val="-2"/>
        </w:rPr>
        <w:t xml:space="preserve"> industry</w:t>
      </w:r>
      <w:r>
        <w:rPr>
          <w:i/>
          <w:spacing w:val="-2"/>
        </w:rPr>
        <w:t>”</w:t>
      </w:r>
    </w:p>
    <w:p w:rsidR="00054C19" w:rsidRDefault="00054C19" w:rsidP="00054C19">
      <w:pPr>
        <w:pStyle w:val="a3"/>
        <w:spacing w:before="95"/>
        <w:ind w:left="0"/>
        <w:jc w:val="left"/>
        <w:rPr>
          <w:i/>
        </w:rPr>
      </w:pPr>
    </w:p>
    <w:p w:rsidR="00054C19" w:rsidRDefault="00054C19" w:rsidP="00054C19">
      <w:pPr>
        <w:pStyle w:val="a3"/>
        <w:ind w:left="4979" w:right="419" w:firstLine="770"/>
        <w:jc w:val="right"/>
      </w:pPr>
      <w:r>
        <w:t>Виконала:</w:t>
      </w:r>
      <w:r>
        <w:rPr>
          <w:spacing w:val="-10"/>
        </w:rPr>
        <w:t xml:space="preserve"> </w:t>
      </w:r>
      <w:r>
        <w:t>здобувачка</w:t>
      </w:r>
      <w:r>
        <w:rPr>
          <w:spacing w:val="-11"/>
        </w:rPr>
        <w:t xml:space="preserve"> </w:t>
      </w:r>
      <w:r>
        <w:t>IV</w:t>
      </w:r>
      <w:r>
        <w:rPr>
          <w:spacing w:val="-11"/>
        </w:rPr>
        <w:t xml:space="preserve"> </w:t>
      </w:r>
      <w:r>
        <w:t>курсу денної</w:t>
      </w:r>
      <w:r>
        <w:rPr>
          <w:spacing w:val="-10"/>
        </w:rPr>
        <w:t xml:space="preserve"> </w:t>
      </w:r>
      <w:r>
        <w:t>форми</w:t>
      </w:r>
      <w:r>
        <w:rPr>
          <w:spacing w:val="-11"/>
        </w:rPr>
        <w:t xml:space="preserve"> </w:t>
      </w:r>
      <w:r>
        <w:t>навчання</w:t>
      </w:r>
      <w:r>
        <w:rPr>
          <w:spacing w:val="-8"/>
        </w:rPr>
        <w:t xml:space="preserve"> </w:t>
      </w:r>
      <w:r>
        <w:t>спеціальності 162 Біотехнології та біоінженерія</w:t>
      </w:r>
    </w:p>
    <w:p w:rsidR="00054C19" w:rsidRDefault="00054C19" w:rsidP="00054C19">
      <w:pPr>
        <w:pStyle w:val="a3"/>
        <w:spacing w:before="2" w:line="322" w:lineRule="exact"/>
        <w:ind w:left="0" w:right="421"/>
        <w:jc w:val="right"/>
      </w:pPr>
      <w:r>
        <w:t>Освітня</w:t>
      </w:r>
      <w:r>
        <w:rPr>
          <w:spacing w:val="-7"/>
        </w:rPr>
        <w:t xml:space="preserve"> </w:t>
      </w:r>
      <w:r>
        <w:t>програма:</w:t>
      </w:r>
      <w:r>
        <w:rPr>
          <w:spacing w:val="-5"/>
        </w:rPr>
        <w:t xml:space="preserve"> </w:t>
      </w:r>
      <w:r>
        <w:t>Біотехнології</w:t>
      </w:r>
      <w:r>
        <w:rPr>
          <w:spacing w:val="-6"/>
        </w:rPr>
        <w:t xml:space="preserve"> </w:t>
      </w:r>
      <w:r>
        <w:t>та</w:t>
      </w:r>
      <w:r>
        <w:rPr>
          <w:spacing w:val="-9"/>
        </w:rPr>
        <w:t xml:space="preserve"> </w:t>
      </w:r>
      <w:r>
        <w:rPr>
          <w:spacing w:val="-2"/>
        </w:rPr>
        <w:t>біоінженерія</w:t>
      </w:r>
    </w:p>
    <w:p w:rsidR="00054C19" w:rsidRDefault="00054C19" w:rsidP="00054C19">
      <w:pPr>
        <w:pStyle w:val="2"/>
        <w:ind w:right="422"/>
        <w:jc w:val="right"/>
      </w:pPr>
      <w:r>
        <w:t>Ткачова</w:t>
      </w:r>
      <w:r>
        <w:rPr>
          <w:spacing w:val="-6"/>
        </w:rPr>
        <w:t xml:space="preserve"> </w:t>
      </w:r>
      <w:r>
        <w:t>Аліна</w:t>
      </w:r>
      <w:r>
        <w:rPr>
          <w:spacing w:val="-2"/>
        </w:rPr>
        <w:t xml:space="preserve"> Євгенівна</w:t>
      </w:r>
    </w:p>
    <w:p w:rsidR="00054C19" w:rsidRDefault="00054C19" w:rsidP="00054C19">
      <w:pPr>
        <w:pStyle w:val="a3"/>
        <w:spacing w:before="95"/>
        <w:ind w:left="0"/>
        <w:jc w:val="left"/>
        <w:rPr>
          <w:b/>
        </w:rPr>
      </w:pPr>
    </w:p>
    <w:p w:rsidR="00054C19" w:rsidRDefault="00054C19" w:rsidP="00054C19">
      <w:pPr>
        <w:ind w:right="420"/>
        <w:jc w:val="right"/>
        <w:rPr>
          <w:b/>
          <w:sz w:val="28"/>
        </w:rPr>
      </w:pPr>
      <w:r>
        <w:rPr>
          <w:b/>
          <w:sz w:val="28"/>
        </w:rPr>
        <w:t>Науковий</w:t>
      </w:r>
      <w:r>
        <w:rPr>
          <w:b/>
          <w:spacing w:val="-7"/>
          <w:sz w:val="28"/>
        </w:rPr>
        <w:t xml:space="preserve"> </w:t>
      </w:r>
      <w:r>
        <w:rPr>
          <w:b/>
          <w:spacing w:val="-2"/>
          <w:sz w:val="28"/>
        </w:rPr>
        <w:t>керівник</w:t>
      </w:r>
    </w:p>
    <w:p w:rsidR="00054C19" w:rsidRDefault="00054C19" w:rsidP="00054C19">
      <w:pPr>
        <w:pStyle w:val="a3"/>
        <w:spacing w:before="50"/>
        <w:ind w:left="0" w:right="424"/>
        <w:jc w:val="right"/>
      </w:pPr>
      <w:r>
        <w:t>кандидат</w:t>
      </w:r>
      <w:r>
        <w:rPr>
          <w:spacing w:val="-9"/>
        </w:rPr>
        <w:t xml:space="preserve"> </w:t>
      </w:r>
      <w:r>
        <w:t>біологічних</w:t>
      </w:r>
      <w:r>
        <w:rPr>
          <w:spacing w:val="-5"/>
        </w:rPr>
        <w:t xml:space="preserve"> </w:t>
      </w:r>
      <w:r>
        <w:t>наук,</w:t>
      </w:r>
      <w:r>
        <w:rPr>
          <w:spacing w:val="-7"/>
        </w:rPr>
        <w:t xml:space="preserve"> </w:t>
      </w:r>
      <w:r>
        <w:rPr>
          <w:spacing w:val="-2"/>
        </w:rPr>
        <w:t>доцент</w:t>
      </w:r>
    </w:p>
    <w:p w:rsidR="00054C19" w:rsidRDefault="00054C19" w:rsidP="00054C19">
      <w:pPr>
        <w:pStyle w:val="a3"/>
        <w:spacing w:before="48"/>
        <w:ind w:left="0" w:right="420"/>
        <w:jc w:val="right"/>
      </w:pPr>
      <w:r>
        <w:t>Тетяна</w:t>
      </w:r>
      <w:r>
        <w:rPr>
          <w:spacing w:val="-3"/>
        </w:rPr>
        <w:t xml:space="preserve"> </w:t>
      </w:r>
      <w:r>
        <w:rPr>
          <w:spacing w:val="-2"/>
        </w:rPr>
        <w:t>ІВАНИЦЯ</w:t>
      </w:r>
    </w:p>
    <w:p w:rsidR="00054C19" w:rsidRDefault="00054C19" w:rsidP="00054C19">
      <w:pPr>
        <w:pStyle w:val="2"/>
        <w:spacing w:before="47"/>
        <w:ind w:right="421"/>
        <w:jc w:val="right"/>
      </w:pPr>
      <w:r>
        <w:rPr>
          <w:spacing w:val="-2"/>
        </w:rPr>
        <w:t>Рецензент:</w:t>
      </w:r>
    </w:p>
    <w:p w:rsidR="00054C19" w:rsidRDefault="00054C19" w:rsidP="00054C19">
      <w:pPr>
        <w:pStyle w:val="a3"/>
        <w:spacing w:before="48"/>
        <w:ind w:left="0" w:right="421"/>
        <w:jc w:val="right"/>
      </w:pPr>
      <w:r>
        <w:t>кандидат</w:t>
      </w:r>
      <w:r>
        <w:rPr>
          <w:spacing w:val="-11"/>
        </w:rPr>
        <w:t xml:space="preserve"> </w:t>
      </w:r>
      <w:r>
        <w:t>біологічних</w:t>
      </w:r>
      <w:r>
        <w:rPr>
          <w:spacing w:val="-6"/>
        </w:rPr>
        <w:t xml:space="preserve"> </w:t>
      </w:r>
      <w:r>
        <w:t>наук,</w:t>
      </w:r>
      <w:r>
        <w:rPr>
          <w:spacing w:val="-8"/>
        </w:rPr>
        <w:t xml:space="preserve"> </w:t>
      </w:r>
      <w:r>
        <w:rPr>
          <w:spacing w:val="-2"/>
        </w:rPr>
        <w:t>доцент</w:t>
      </w:r>
    </w:p>
    <w:p w:rsidR="00054C19" w:rsidRDefault="00054C19" w:rsidP="00054C19">
      <w:pPr>
        <w:pStyle w:val="a3"/>
        <w:spacing w:before="2"/>
        <w:ind w:left="0" w:right="419"/>
        <w:jc w:val="right"/>
      </w:pPr>
      <w:r>
        <w:t xml:space="preserve">Наталя </w:t>
      </w:r>
      <w:r>
        <w:rPr>
          <w:spacing w:val="-2"/>
        </w:rPr>
        <w:t>КИРИЛЕНКО</w:t>
      </w:r>
    </w:p>
    <w:p w:rsidR="00054C19" w:rsidRDefault="00054C19" w:rsidP="00054C19">
      <w:pPr>
        <w:pStyle w:val="a3"/>
        <w:ind w:left="0"/>
        <w:jc w:val="left"/>
      </w:pPr>
    </w:p>
    <w:p w:rsidR="00054C19" w:rsidRDefault="00054C19" w:rsidP="00054C19">
      <w:pPr>
        <w:pStyle w:val="a3"/>
        <w:ind w:left="0"/>
        <w:jc w:val="left"/>
      </w:pPr>
    </w:p>
    <w:p w:rsidR="00054C19" w:rsidRDefault="00054C19" w:rsidP="00054C19">
      <w:pPr>
        <w:pStyle w:val="a3"/>
        <w:ind w:left="0"/>
        <w:jc w:val="left"/>
      </w:pPr>
    </w:p>
    <w:p w:rsidR="00054C19" w:rsidRDefault="00054C19" w:rsidP="00054C19">
      <w:pPr>
        <w:pStyle w:val="a3"/>
        <w:spacing w:before="65"/>
        <w:ind w:left="0"/>
        <w:jc w:val="left"/>
      </w:pPr>
    </w:p>
    <w:p w:rsidR="00054C19" w:rsidRDefault="00054C19" w:rsidP="00054C19">
      <w:pPr>
        <w:pStyle w:val="a3"/>
        <w:tabs>
          <w:tab w:val="left" w:pos="5099"/>
          <w:tab w:val="left" w:pos="9519"/>
        </w:tabs>
        <w:spacing w:before="1"/>
        <w:jc w:val="left"/>
      </w:pPr>
      <w:r>
        <w:t>Рекомендовано</w:t>
      </w:r>
      <w:r>
        <w:rPr>
          <w:spacing w:val="-6"/>
        </w:rPr>
        <w:t xml:space="preserve"> </w:t>
      </w:r>
      <w:r>
        <w:t>до</w:t>
      </w:r>
      <w:r>
        <w:rPr>
          <w:spacing w:val="-5"/>
        </w:rPr>
        <w:t xml:space="preserve"> </w:t>
      </w:r>
      <w:r>
        <w:rPr>
          <w:spacing w:val="-2"/>
        </w:rPr>
        <w:t>захисту:</w:t>
      </w:r>
      <w:r>
        <w:tab/>
        <w:t>Захищено на засіданні ЕК №</w:t>
      </w:r>
      <w:r>
        <w:rPr>
          <w:spacing w:val="-1"/>
        </w:rPr>
        <w:t xml:space="preserve"> </w:t>
      </w:r>
      <w:r>
        <w:rPr>
          <w:u w:val="single"/>
        </w:rPr>
        <w:tab/>
      </w:r>
    </w:p>
    <w:p w:rsidR="00054C19" w:rsidRDefault="00054C19" w:rsidP="00054C19">
      <w:pPr>
        <w:pStyle w:val="a3"/>
        <w:tabs>
          <w:tab w:val="left" w:pos="5099"/>
          <w:tab w:val="left" w:pos="7298"/>
          <w:tab w:val="left" w:leader="dot" w:pos="8490"/>
          <w:tab w:val="left" w:pos="9189"/>
        </w:tabs>
        <w:spacing w:before="50" w:line="276" w:lineRule="auto"/>
        <w:ind w:right="519"/>
        <w:jc w:val="left"/>
      </w:pPr>
      <w:r>
        <w:t>Протокол засідання кафедри</w:t>
      </w:r>
      <w:r>
        <w:tab/>
        <w:t>Протокол №</w:t>
      </w:r>
      <w:r>
        <w:rPr>
          <w:u w:val="single"/>
        </w:rPr>
        <w:tab/>
      </w:r>
      <w:r>
        <w:rPr>
          <w:spacing w:val="-4"/>
        </w:rPr>
        <w:t>від</w:t>
      </w:r>
      <w:r>
        <w:tab/>
      </w:r>
      <w:r>
        <w:rPr>
          <w:spacing w:val="-6"/>
        </w:rPr>
        <w:t>20</w:t>
      </w:r>
      <w:r>
        <w:rPr>
          <w:u w:val="single"/>
        </w:rPr>
        <w:tab/>
      </w:r>
      <w:r>
        <w:rPr>
          <w:spacing w:val="-6"/>
        </w:rPr>
        <w:t xml:space="preserve">р. </w:t>
      </w:r>
      <w:r>
        <w:t>мікробіології, вірусології та</w:t>
      </w:r>
    </w:p>
    <w:p w:rsidR="00054C19" w:rsidRDefault="00054C19" w:rsidP="00054C19">
      <w:pPr>
        <w:pStyle w:val="a3"/>
        <w:tabs>
          <w:tab w:val="left" w:pos="5090"/>
          <w:tab w:val="left" w:pos="7401"/>
          <w:tab w:val="left" w:pos="8109"/>
          <w:tab w:val="left" w:pos="8952"/>
        </w:tabs>
        <w:spacing w:line="321" w:lineRule="exact"/>
        <w:ind w:left="212"/>
        <w:jc w:val="left"/>
      </w:pPr>
      <w:r>
        <w:rPr>
          <w:spacing w:val="-2"/>
        </w:rPr>
        <w:t>біотехнології.</w:t>
      </w:r>
      <w:r>
        <w:tab/>
        <w:t xml:space="preserve">Оцінка </w:t>
      </w:r>
      <w:r>
        <w:rPr>
          <w:u w:val="single"/>
        </w:rPr>
        <w:tab/>
      </w:r>
      <w:r>
        <w:t xml:space="preserve">/ </w:t>
      </w:r>
      <w:r>
        <w:rPr>
          <w:u w:val="single"/>
        </w:rPr>
        <w:tab/>
      </w:r>
      <w:r>
        <w:rPr>
          <w:spacing w:val="-10"/>
        </w:rPr>
        <w:t>/</w:t>
      </w:r>
      <w:r>
        <w:rPr>
          <w:u w:val="single"/>
        </w:rPr>
        <w:tab/>
      </w:r>
    </w:p>
    <w:p w:rsidR="00054C19" w:rsidRDefault="00054C19" w:rsidP="00054C19">
      <w:pPr>
        <w:pStyle w:val="a3"/>
        <w:tabs>
          <w:tab w:val="left" w:pos="1181"/>
          <w:tab w:val="left" w:pos="1885"/>
          <w:tab w:val="left" w:pos="2235"/>
          <w:tab w:val="left" w:pos="3073"/>
          <w:tab w:val="left" w:pos="5380"/>
        </w:tabs>
        <w:spacing w:before="47"/>
        <w:ind w:left="212"/>
        <w:jc w:val="left"/>
      </w:pPr>
      <w:r>
        <w:rPr>
          <w:spacing w:val="-10"/>
        </w:rPr>
        <w:t>№</w:t>
      </w:r>
      <w:r>
        <w:rPr>
          <w:u w:val="single"/>
        </w:rPr>
        <w:tab/>
      </w:r>
      <w:r>
        <w:t xml:space="preserve">від </w:t>
      </w:r>
      <w:r>
        <w:rPr>
          <w:u w:val="single"/>
        </w:rPr>
        <w:tab/>
      </w:r>
      <w:r>
        <w:rPr>
          <w:spacing w:val="-10"/>
        </w:rPr>
        <w:t>.</w:t>
      </w:r>
      <w:r>
        <w:rPr>
          <w:u w:val="single"/>
        </w:rPr>
        <w:tab/>
      </w:r>
      <w:r>
        <w:t>.</w:t>
      </w:r>
      <w:r>
        <w:rPr>
          <w:spacing w:val="-6"/>
        </w:rPr>
        <w:t xml:space="preserve"> </w:t>
      </w:r>
      <w:r>
        <w:rPr>
          <w:spacing w:val="-5"/>
        </w:rPr>
        <w:t>20</w:t>
      </w:r>
      <w:r>
        <w:rPr>
          <w:u w:val="single"/>
        </w:rPr>
        <w:tab/>
      </w:r>
      <w:r>
        <w:rPr>
          <w:spacing w:val="-5"/>
        </w:rPr>
        <w:t>р.</w:t>
      </w:r>
      <w:r>
        <w:tab/>
        <w:t>(за</w:t>
      </w:r>
      <w:r>
        <w:rPr>
          <w:spacing w:val="-4"/>
        </w:rPr>
        <w:t xml:space="preserve"> </w:t>
      </w:r>
      <w:r>
        <w:t>нац.</w:t>
      </w:r>
      <w:r>
        <w:rPr>
          <w:spacing w:val="-1"/>
        </w:rPr>
        <w:t xml:space="preserve"> </w:t>
      </w:r>
      <w:r>
        <w:rPr>
          <w:spacing w:val="-2"/>
        </w:rPr>
        <w:t>шкалою/ЕСТS/бали)</w:t>
      </w:r>
    </w:p>
    <w:p w:rsidR="00054C19" w:rsidRDefault="00054C19" w:rsidP="00054C19">
      <w:pPr>
        <w:pStyle w:val="a3"/>
        <w:spacing w:before="98"/>
        <w:ind w:left="0"/>
        <w:jc w:val="left"/>
      </w:pPr>
    </w:p>
    <w:p w:rsidR="00054C19" w:rsidRDefault="00054C19" w:rsidP="00054C19">
      <w:pPr>
        <w:pStyle w:val="a3"/>
        <w:tabs>
          <w:tab w:val="left" w:pos="5159"/>
        </w:tabs>
        <w:jc w:val="left"/>
      </w:pPr>
      <w:r>
        <w:t>Завідувач</w:t>
      </w:r>
      <w:r>
        <w:rPr>
          <w:spacing w:val="-4"/>
        </w:rPr>
        <w:t xml:space="preserve"> </w:t>
      </w:r>
      <w:r>
        <w:rPr>
          <w:spacing w:val="-2"/>
        </w:rPr>
        <w:t>кафедри</w:t>
      </w:r>
      <w:r>
        <w:tab/>
        <w:t>Голова</w:t>
      </w:r>
      <w:r>
        <w:rPr>
          <w:spacing w:val="-4"/>
        </w:rPr>
        <w:t xml:space="preserve"> </w:t>
      </w:r>
      <w:r>
        <w:rPr>
          <w:spacing w:val="-5"/>
        </w:rPr>
        <w:t>ЕК</w:t>
      </w:r>
    </w:p>
    <w:p w:rsidR="00054C19" w:rsidRDefault="00054C19" w:rsidP="00054C19">
      <w:pPr>
        <w:pStyle w:val="a3"/>
        <w:tabs>
          <w:tab w:val="left" w:pos="1045"/>
          <w:tab w:val="left" w:pos="1259"/>
          <w:tab w:val="left" w:pos="5110"/>
          <w:tab w:val="left" w:pos="6297"/>
          <w:tab w:val="left" w:pos="7080"/>
          <w:tab w:val="left" w:pos="9385"/>
        </w:tabs>
        <w:spacing w:before="48"/>
        <w:ind w:left="0" w:right="391"/>
        <w:jc w:val="right"/>
      </w:pPr>
      <w:r>
        <w:rPr>
          <w:u w:val="single"/>
        </w:rPr>
        <w:tab/>
      </w:r>
      <w:r>
        <w:tab/>
        <w:t>Оксана</w:t>
      </w:r>
      <w:r>
        <w:rPr>
          <w:spacing w:val="-5"/>
        </w:rPr>
        <w:t xml:space="preserve"> </w:t>
      </w:r>
      <w:r>
        <w:rPr>
          <w:spacing w:val="-2"/>
        </w:rPr>
        <w:t>ЗІНЧЕНКО</w:t>
      </w:r>
      <w:r>
        <w:tab/>
      </w:r>
      <w:r>
        <w:rPr>
          <w:u w:val="single"/>
        </w:rPr>
        <w:tab/>
      </w:r>
      <w:r>
        <w:tab/>
      </w:r>
      <w:r>
        <w:rPr>
          <w:u w:val="single"/>
        </w:rPr>
        <w:tab/>
      </w:r>
    </w:p>
    <w:p w:rsidR="00054C19" w:rsidRDefault="00054C19" w:rsidP="00054C19">
      <w:pPr>
        <w:pStyle w:val="a3"/>
        <w:ind w:left="0"/>
        <w:jc w:val="left"/>
      </w:pPr>
    </w:p>
    <w:p w:rsidR="00054C19" w:rsidRDefault="00054C19" w:rsidP="00054C19">
      <w:pPr>
        <w:pStyle w:val="a3"/>
        <w:ind w:left="0"/>
        <w:jc w:val="left"/>
      </w:pPr>
    </w:p>
    <w:p w:rsidR="00054C19" w:rsidRDefault="00054C19" w:rsidP="00054C19">
      <w:pPr>
        <w:pStyle w:val="a3"/>
        <w:spacing w:before="193"/>
        <w:ind w:left="0"/>
        <w:jc w:val="left"/>
      </w:pPr>
    </w:p>
    <w:p w:rsidR="00054C19" w:rsidRDefault="00054C19" w:rsidP="00054C19">
      <w:pPr>
        <w:pStyle w:val="a3"/>
        <w:ind w:left="0" w:right="280"/>
        <w:jc w:val="center"/>
      </w:pPr>
      <w:r>
        <w:t>Одеса</w:t>
      </w:r>
      <w:r>
        <w:rPr>
          <w:spacing w:val="-5"/>
        </w:rPr>
        <w:t xml:space="preserve"> </w:t>
      </w:r>
      <w:r>
        <w:t>–</w:t>
      </w:r>
      <w:r>
        <w:rPr>
          <w:spacing w:val="-1"/>
        </w:rPr>
        <w:t xml:space="preserve"> </w:t>
      </w:r>
      <w:r>
        <w:rPr>
          <w:spacing w:val="-4"/>
        </w:rPr>
        <w:t>2025</w:t>
      </w:r>
    </w:p>
    <w:p w:rsidR="00054C19" w:rsidRDefault="00054C19" w:rsidP="00054C19">
      <w:pPr>
        <w:pStyle w:val="a3"/>
        <w:jc w:val="center"/>
        <w:sectPr w:rsidR="00054C19" w:rsidSect="00054C19">
          <w:pgSz w:w="11910" w:h="16840"/>
          <w:pgMar w:top="1040" w:right="425" w:bottom="280" w:left="1559" w:header="720" w:footer="720" w:gutter="0"/>
          <w:cols w:space="720"/>
        </w:sectPr>
      </w:pPr>
    </w:p>
    <w:p w:rsidR="00054C19" w:rsidRDefault="00054C19" w:rsidP="00054C19">
      <w:pPr>
        <w:pStyle w:val="1"/>
        <w:spacing w:before="69"/>
        <w:ind w:left="1653"/>
      </w:pPr>
      <w:r>
        <w:rPr>
          <w:spacing w:val="-2"/>
        </w:rPr>
        <w:lastRenderedPageBreak/>
        <w:t>АНОТАЦІЯ</w:t>
      </w:r>
    </w:p>
    <w:p w:rsidR="00054C19" w:rsidRDefault="00054C19" w:rsidP="00054C19">
      <w:pPr>
        <w:pStyle w:val="a3"/>
        <w:spacing w:before="245" w:line="276" w:lineRule="auto"/>
        <w:ind w:right="420" w:firstLine="707"/>
      </w:pPr>
      <w:r>
        <w:t>Дослідження присвячено розробці та оцінці технології використання бактеріофагів</w:t>
      </w:r>
      <w:r>
        <w:rPr>
          <w:spacing w:val="-5"/>
        </w:rPr>
        <w:t xml:space="preserve"> </w:t>
      </w:r>
      <w:r>
        <w:t>як</w:t>
      </w:r>
      <w:r>
        <w:rPr>
          <w:spacing w:val="-4"/>
        </w:rPr>
        <w:t xml:space="preserve"> </w:t>
      </w:r>
      <w:r>
        <w:t>інструменту</w:t>
      </w:r>
      <w:r>
        <w:rPr>
          <w:spacing w:val="-3"/>
        </w:rPr>
        <w:t xml:space="preserve"> </w:t>
      </w:r>
      <w:r>
        <w:t>біоконтролю</w:t>
      </w:r>
      <w:r>
        <w:rPr>
          <w:spacing w:val="-5"/>
        </w:rPr>
        <w:t xml:space="preserve"> </w:t>
      </w:r>
      <w:r>
        <w:t>для</w:t>
      </w:r>
      <w:r>
        <w:rPr>
          <w:spacing w:val="-4"/>
        </w:rPr>
        <w:t xml:space="preserve"> </w:t>
      </w:r>
      <w:r>
        <w:t>зниження</w:t>
      </w:r>
      <w:r>
        <w:rPr>
          <w:spacing w:val="-4"/>
        </w:rPr>
        <w:t xml:space="preserve"> </w:t>
      </w:r>
      <w:r>
        <w:t>патогенних</w:t>
      </w:r>
      <w:r>
        <w:rPr>
          <w:spacing w:val="-3"/>
        </w:rPr>
        <w:t xml:space="preserve"> </w:t>
      </w:r>
      <w:r>
        <w:t xml:space="preserve">бактерій </w:t>
      </w:r>
      <w:r>
        <w:rPr>
          <w:i/>
        </w:rPr>
        <w:t xml:space="preserve">Listeria monocytogenes, Salmonella enterica </w:t>
      </w:r>
      <w:r>
        <w:t xml:space="preserve">та </w:t>
      </w:r>
      <w:r>
        <w:rPr>
          <w:i/>
        </w:rPr>
        <w:t xml:space="preserve">Escherichia coli </w:t>
      </w:r>
      <w:r>
        <w:t>у м’ясних, молочних і овочевих продуктах. На основі виділення фагів зі стічних вод м’ясопереробного підприємства проведено їхнє культивування, очищення, концентрацію та нанесення на зразки курячого філе, м’якого сиру та листового салату. Експерименти показали зниження бактеріального навантаження на 2.5–3.2 log за 48 годин при 4°C, з найвищою ефективністю на м’ясі.</w:t>
      </w:r>
    </w:p>
    <w:p w:rsidR="00054C19" w:rsidRDefault="00054C19" w:rsidP="00054C19">
      <w:pPr>
        <w:pStyle w:val="a3"/>
        <w:spacing w:before="1" w:line="276" w:lineRule="auto"/>
        <w:ind w:right="417" w:firstLine="707"/>
      </w:pPr>
      <w:r>
        <w:t>Порівняння підтвердило перевагу фагів у специфічності та безпеці. Розроблено практичні рекомендації для впровадження технології в харчову промисловість. Загальний обсяг роботи становить 41 сторінку, 50 джерел літератури (8 вітчизняних кирилицею, 42 зарубіжних латиницею).</w:t>
      </w:r>
    </w:p>
    <w:p w:rsidR="00054C19" w:rsidRDefault="00054C19" w:rsidP="00054C19">
      <w:pPr>
        <w:spacing w:line="276" w:lineRule="auto"/>
        <w:ind w:left="143" w:right="423" w:firstLine="566"/>
        <w:jc w:val="both"/>
        <w:rPr>
          <w:i/>
          <w:sz w:val="28"/>
        </w:rPr>
      </w:pPr>
      <w:r>
        <w:rPr>
          <w:b/>
          <w:sz w:val="28"/>
        </w:rPr>
        <w:t>Ключові слова</w:t>
      </w:r>
      <w:r>
        <w:rPr>
          <w:sz w:val="28"/>
        </w:rPr>
        <w:t xml:space="preserve">: </w:t>
      </w:r>
      <w:r>
        <w:rPr>
          <w:i/>
          <w:sz w:val="28"/>
        </w:rPr>
        <w:t xml:space="preserve">бактеріофаги, біоконтроль, харчова промисловість, Listeria monocytogenes, Salmonella enterica, Escherichia coli, мікробіологічна </w:t>
      </w:r>
      <w:r>
        <w:rPr>
          <w:i/>
          <w:spacing w:val="-2"/>
          <w:sz w:val="28"/>
        </w:rPr>
        <w:t>безпека.</w:t>
      </w:r>
    </w:p>
    <w:p w:rsidR="00054C19" w:rsidRDefault="00054C19" w:rsidP="00054C19">
      <w:pPr>
        <w:pStyle w:val="a3"/>
        <w:spacing w:before="48"/>
        <w:ind w:left="0"/>
        <w:jc w:val="left"/>
        <w:rPr>
          <w:i/>
        </w:rPr>
      </w:pPr>
    </w:p>
    <w:p w:rsidR="00054C19" w:rsidRDefault="00054C19" w:rsidP="00054C19">
      <w:pPr>
        <w:pStyle w:val="a3"/>
        <w:spacing w:line="276" w:lineRule="auto"/>
        <w:ind w:right="417" w:firstLine="707"/>
      </w:pPr>
      <w:r>
        <w:t xml:space="preserve">The study focuses on the development and evaluation of a technology for using bacteriophages as a biocontrol tool to reduce pathogenic bacteria </w:t>
      </w:r>
      <w:r>
        <w:rPr>
          <w:i/>
        </w:rPr>
        <w:t xml:space="preserve">Listeria monocytogenes, Salmonella enterica, </w:t>
      </w:r>
      <w:r>
        <w:t xml:space="preserve">and </w:t>
      </w:r>
      <w:r>
        <w:rPr>
          <w:i/>
        </w:rPr>
        <w:t xml:space="preserve">Escherichia coli </w:t>
      </w:r>
      <w:r>
        <w:t>in meat, dairy, and vegetable products. Phages were isolated from meat processing wastewater, cultivated, purified, concentrated, and applied to samples of chicken fillet, soft cheese,</w:t>
      </w:r>
      <w:r>
        <w:rPr>
          <w:spacing w:val="-6"/>
        </w:rPr>
        <w:t xml:space="preserve"> </w:t>
      </w:r>
      <w:r>
        <w:t>and</w:t>
      </w:r>
      <w:r>
        <w:rPr>
          <w:spacing w:val="-3"/>
        </w:rPr>
        <w:t xml:space="preserve"> </w:t>
      </w:r>
      <w:r>
        <w:t>lettuce.</w:t>
      </w:r>
      <w:r>
        <w:rPr>
          <w:spacing w:val="-6"/>
        </w:rPr>
        <w:t xml:space="preserve"> </w:t>
      </w:r>
      <w:r>
        <w:t>Experiments</w:t>
      </w:r>
      <w:r>
        <w:rPr>
          <w:spacing w:val="-3"/>
        </w:rPr>
        <w:t xml:space="preserve"> </w:t>
      </w:r>
      <w:r>
        <w:t>demonstrated</w:t>
      </w:r>
      <w:r>
        <w:rPr>
          <w:spacing w:val="-4"/>
        </w:rPr>
        <w:t xml:space="preserve"> </w:t>
      </w:r>
      <w:r>
        <w:t>a</w:t>
      </w:r>
      <w:r>
        <w:rPr>
          <w:spacing w:val="-5"/>
        </w:rPr>
        <w:t xml:space="preserve"> </w:t>
      </w:r>
      <w:r>
        <w:t>reduction</w:t>
      </w:r>
      <w:r>
        <w:rPr>
          <w:spacing w:val="-4"/>
        </w:rPr>
        <w:t xml:space="preserve"> </w:t>
      </w:r>
      <w:r>
        <w:t>in</w:t>
      </w:r>
      <w:r>
        <w:rPr>
          <w:spacing w:val="-3"/>
        </w:rPr>
        <w:t xml:space="preserve"> </w:t>
      </w:r>
      <w:r>
        <w:t>bacterial</w:t>
      </w:r>
      <w:r>
        <w:rPr>
          <w:spacing w:val="-4"/>
        </w:rPr>
        <w:t xml:space="preserve"> </w:t>
      </w:r>
      <w:r>
        <w:t>load</w:t>
      </w:r>
      <w:r>
        <w:rPr>
          <w:spacing w:val="-3"/>
        </w:rPr>
        <w:t xml:space="preserve"> </w:t>
      </w:r>
      <w:r>
        <w:t>by</w:t>
      </w:r>
      <w:r>
        <w:rPr>
          <w:spacing w:val="-3"/>
        </w:rPr>
        <w:t xml:space="preserve"> </w:t>
      </w:r>
      <w:r>
        <w:rPr>
          <w:spacing w:val="-4"/>
        </w:rPr>
        <w:t>2.5–</w:t>
      </w:r>
    </w:p>
    <w:p w:rsidR="00054C19" w:rsidRDefault="00054C19" w:rsidP="00054C19">
      <w:pPr>
        <w:pStyle w:val="a3"/>
        <w:spacing w:before="1" w:line="276" w:lineRule="auto"/>
        <w:ind w:right="420"/>
      </w:pPr>
      <w:r>
        <w:t>3.2 log after 48 hours at 4°C, with the highest efficiency on meat. Comparison confirmed</w:t>
      </w:r>
      <w:r>
        <w:rPr>
          <w:spacing w:val="-1"/>
        </w:rPr>
        <w:t xml:space="preserve"> </w:t>
      </w:r>
      <w:r>
        <w:t>the</w:t>
      </w:r>
      <w:r>
        <w:rPr>
          <w:spacing w:val="-2"/>
        </w:rPr>
        <w:t xml:space="preserve"> </w:t>
      </w:r>
      <w:r>
        <w:t>superior</w:t>
      </w:r>
      <w:r>
        <w:rPr>
          <w:spacing w:val="-2"/>
        </w:rPr>
        <w:t xml:space="preserve"> </w:t>
      </w:r>
      <w:r>
        <w:t>specificity</w:t>
      </w:r>
      <w:r>
        <w:rPr>
          <w:spacing w:val="-1"/>
        </w:rPr>
        <w:t xml:space="preserve"> </w:t>
      </w:r>
      <w:r>
        <w:t>and</w:t>
      </w:r>
      <w:r>
        <w:rPr>
          <w:spacing w:val="-1"/>
        </w:rPr>
        <w:t xml:space="preserve"> </w:t>
      </w:r>
      <w:r>
        <w:t>safety</w:t>
      </w:r>
      <w:r>
        <w:rPr>
          <w:spacing w:val="-2"/>
        </w:rPr>
        <w:t xml:space="preserve"> </w:t>
      </w:r>
      <w:r>
        <w:t>of</w:t>
      </w:r>
      <w:r>
        <w:rPr>
          <w:spacing w:val="-1"/>
        </w:rPr>
        <w:t xml:space="preserve"> </w:t>
      </w:r>
      <w:r>
        <w:t>phages.</w:t>
      </w:r>
      <w:r>
        <w:rPr>
          <w:spacing w:val="-2"/>
        </w:rPr>
        <w:t xml:space="preserve"> </w:t>
      </w:r>
      <w:r>
        <w:t>Practical</w:t>
      </w:r>
      <w:r>
        <w:rPr>
          <w:spacing w:val="-1"/>
        </w:rPr>
        <w:t xml:space="preserve"> </w:t>
      </w:r>
      <w:r>
        <w:t>recommendations for implementing the technology in the food industry were developed. The total volume</w:t>
      </w:r>
      <w:r>
        <w:rPr>
          <w:spacing w:val="-2"/>
        </w:rPr>
        <w:t xml:space="preserve"> </w:t>
      </w:r>
      <w:r>
        <w:t>of</w:t>
      </w:r>
      <w:r>
        <w:rPr>
          <w:spacing w:val="-5"/>
        </w:rPr>
        <w:t xml:space="preserve"> </w:t>
      </w:r>
      <w:r>
        <w:t>the</w:t>
      </w:r>
      <w:r>
        <w:rPr>
          <w:spacing w:val="-5"/>
        </w:rPr>
        <w:t xml:space="preserve"> </w:t>
      </w:r>
      <w:r>
        <w:t>work</w:t>
      </w:r>
      <w:r>
        <w:rPr>
          <w:spacing w:val="-1"/>
        </w:rPr>
        <w:t xml:space="preserve"> </w:t>
      </w:r>
      <w:r>
        <w:t>is 41</w:t>
      </w:r>
      <w:r>
        <w:rPr>
          <w:spacing w:val="-2"/>
        </w:rPr>
        <w:t xml:space="preserve"> </w:t>
      </w:r>
      <w:r>
        <w:t>pages</w:t>
      </w:r>
      <w:r>
        <w:rPr>
          <w:spacing w:val="-1"/>
        </w:rPr>
        <w:t xml:space="preserve"> </w:t>
      </w:r>
      <w:r>
        <w:t>and</w:t>
      </w:r>
      <w:r>
        <w:rPr>
          <w:spacing w:val="-1"/>
        </w:rPr>
        <w:t xml:space="preserve"> </w:t>
      </w:r>
      <w:r>
        <w:t>50</w:t>
      </w:r>
      <w:r>
        <w:rPr>
          <w:spacing w:val="-2"/>
        </w:rPr>
        <w:t xml:space="preserve"> </w:t>
      </w:r>
      <w:r>
        <w:t>literature</w:t>
      </w:r>
      <w:r>
        <w:rPr>
          <w:spacing w:val="-2"/>
        </w:rPr>
        <w:t xml:space="preserve"> </w:t>
      </w:r>
      <w:r>
        <w:t>sources</w:t>
      </w:r>
      <w:r>
        <w:rPr>
          <w:spacing w:val="-1"/>
        </w:rPr>
        <w:t xml:space="preserve"> </w:t>
      </w:r>
      <w:r>
        <w:t>(8 domestic</w:t>
      </w:r>
      <w:r>
        <w:rPr>
          <w:spacing w:val="-2"/>
        </w:rPr>
        <w:t xml:space="preserve"> </w:t>
      </w:r>
      <w:r>
        <w:t>in</w:t>
      </w:r>
      <w:r>
        <w:rPr>
          <w:spacing w:val="-1"/>
        </w:rPr>
        <w:t xml:space="preserve"> </w:t>
      </w:r>
      <w:r>
        <w:t>Cyrillic,</w:t>
      </w:r>
      <w:r>
        <w:rPr>
          <w:spacing w:val="-3"/>
        </w:rPr>
        <w:t xml:space="preserve"> </w:t>
      </w:r>
      <w:r>
        <w:t>42 foreign in Latin script).</w:t>
      </w:r>
    </w:p>
    <w:p w:rsidR="00054C19" w:rsidRDefault="00054C19" w:rsidP="00054C19">
      <w:pPr>
        <w:spacing w:line="276" w:lineRule="auto"/>
        <w:ind w:left="143" w:right="425" w:firstLine="707"/>
        <w:jc w:val="both"/>
        <w:rPr>
          <w:i/>
          <w:sz w:val="28"/>
        </w:rPr>
      </w:pPr>
      <w:r>
        <w:rPr>
          <w:b/>
          <w:sz w:val="28"/>
        </w:rPr>
        <w:t>Keywords</w:t>
      </w:r>
      <w:r>
        <w:rPr>
          <w:sz w:val="28"/>
        </w:rPr>
        <w:t xml:space="preserve">: </w:t>
      </w:r>
      <w:r>
        <w:rPr>
          <w:i/>
          <w:sz w:val="28"/>
        </w:rPr>
        <w:t>bacteriophages, biocontrol, food industry, Listeria monocytogenes, Salmonella enterica, Escherichia coli, microbiological safety.</w:t>
      </w:r>
    </w:p>
    <w:p w:rsidR="00054C19" w:rsidRDefault="00054C19" w:rsidP="00054C19">
      <w:pPr>
        <w:spacing w:line="276" w:lineRule="auto"/>
        <w:jc w:val="both"/>
        <w:rPr>
          <w:i/>
          <w:sz w:val="28"/>
        </w:rPr>
        <w:sectPr w:rsidR="00054C19">
          <w:pgSz w:w="11910" w:h="16840"/>
          <w:pgMar w:top="1420" w:right="425" w:bottom="280" w:left="1559" w:header="720" w:footer="720" w:gutter="0"/>
          <w:cols w:space="720"/>
        </w:sectPr>
      </w:pPr>
    </w:p>
    <w:sdt>
      <w:sdtPr>
        <w:id w:val="374823653"/>
        <w:docPartObj>
          <w:docPartGallery w:val="Table of Contents"/>
          <w:docPartUnique/>
        </w:docPartObj>
      </w:sdtPr>
      <w:sdtContent>
        <w:p w:rsidR="00054C19" w:rsidRDefault="00054C19" w:rsidP="00054C19">
          <w:pPr>
            <w:pStyle w:val="11"/>
            <w:tabs>
              <w:tab w:val="right" w:leader="dot" w:pos="9491"/>
            </w:tabs>
            <w:spacing w:before="645"/>
          </w:pPr>
          <w:hyperlink w:anchor="_bookmark0" w:history="1">
            <w:r>
              <w:rPr>
                <w:spacing w:val="-2"/>
              </w:rPr>
              <w:t>ВСТУП</w:t>
            </w:r>
            <w:r>
              <w:tab/>
            </w:r>
            <w:r>
              <w:rPr>
                <w:spacing w:val="-10"/>
              </w:rPr>
              <w:t>5</w:t>
            </w:r>
          </w:hyperlink>
        </w:p>
        <w:p w:rsidR="00054C19" w:rsidRDefault="00054C19" w:rsidP="00054C19">
          <w:pPr>
            <w:pStyle w:val="11"/>
            <w:tabs>
              <w:tab w:val="right" w:leader="dot" w:pos="9491"/>
            </w:tabs>
            <w:spacing w:before="161"/>
          </w:pPr>
          <w:hyperlink w:anchor="_bookmark1" w:history="1">
            <w:r>
              <w:t>РОЗДІЛ</w:t>
            </w:r>
            <w:r>
              <w:rPr>
                <w:spacing w:val="-4"/>
              </w:rPr>
              <w:t xml:space="preserve"> </w:t>
            </w:r>
            <w:r>
              <w:t>1.</w:t>
            </w:r>
            <w:r>
              <w:rPr>
                <w:spacing w:val="-6"/>
              </w:rPr>
              <w:t xml:space="preserve"> </w:t>
            </w:r>
            <w:r>
              <w:t>ОГЛЯД</w:t>
            </w:r>
            <w:r>
              <w:rPr>
                <w:spacing w:val="-5"/>
              </w:rPr>
              <w:t xml:space="preserve"> </w:t>
            </w:r>
            <w:r>
              <w:rPr>
                <w:spacing w:val="-2"/>
              </w:rPr>
              <w:t>ЛІТЕРАТУРИ</w:t>
            </w:r>
            <w:r>
              <w:tab/>
            </w:r>
            <w:r>
              <w:rPr>
                <w:spacing w:val="-10"/>
              </w:rPr>
              <w:t>7</w:t>
            </w:r>
          </w:hyperlink>
        </w:p>
        <w:p w:rsidR="00054C19" w:rsidRDefault="00054C19" w:rsidP="00054C19">
          <w:pPr>
            <w:pStyle w:val="3"/>
            <w:numPr>
              <w:ilvl w:val="1"/>
              <w:numId w:val="7"/>
            </w:numPr>
            <w:tabs>
              <w:tab w:val="left" w:pos="844"/>
              <w:tab w:val="right" w:leader="dot" w:pos="9491"/>
            </w:tabs>
            <w:ind w:left="844" w:hanging="421"/>
          </w:pPr>
          <w:hyperlink w:anchor="_bookmark2" w:history="1">
            <w:r>
              <w:t>Механізм</w:t>
            </w:r>
            <w:r>
              <w:rPr>
                <w:spacing w:val="-6"/>
              </w:rPr>
              <w:t xml:space="preserve"> </w:t>
            </w:r>
            <w:r>
              <w:t>дії</w:t>
            </w:r>
            <w:r>
              <w:rPr>
                <w:spacing w:val="-7"/>
              </w:rPr>
              <w:t xml:space="preserve"> </w:t>
            </w:r>
            <w:r>
              <w:rPr>
                <w:spacing w:val="-2"/>
              </w:rPr>
              <w:t>бактеріофагів</w:t>
            </w:r>
            <w:r>
              <w:tab/>
            </w:r>
            <w:r>
              <w:rPr>
                <w:spacing w:val="-10"/>
              </w:rPr>
              <w:t>7</w:t>
            </w:r>
          </w:hyperlink>
        </w:p>
        <w:p w:rsidR="00054C19" w:rsidRDefault="00054C19" w:rsidP="00054C19">
          <w:pPr>
            <w:pStyle w:val="3"/>
            <w:numPr>
              <w:ilvl w:val="1"/>
              <w:numId w:val="6"/>
            </w:numPr>
            <w:tabs>
              <w:tab w:val="left" w:pos="911"/>
            </w:tabs>
            <w:spacing w:before="163"/>
            <w:ind w:left="911" w:hanging="488"/>
          </w:pPr>
          <w:hyperlink w:anchor="_bookmark3" w:history="1">
            <w:r>
              <w:t>Порівняння</w:t>
            </w:r>
            <w:r>
              <w:rPr>
                <w:spacing w:val="-11"/>
              </w:rPr>
              <w:t xml:space="preserve"> </w:t>
            </w:r>
            <w:r>
              <w:t>бактеріофагів</w:t>
            </w:r>
            <w:r>
              <w:rPr>
                <w:spacing w:val="-9"/>
              </w:rPr>
              <w:t xml:space="preserve"> </w:t>
            </w:r>
            <w:r>
              <w:t>з</w:t>
            </w:r>
            <w:r>
              <w:rPr>
                <w:spacing w:val="-10"/>
              </w:rPr>
              <w:t xml:space="preserve"> </w:t>
            </w:r>
            <w:r>
              <w:t>традиційними</w:t>
            </w:r>
            <w:r>
              <w:rPr>
                <w:spacing w:val="-8"/>
              </w:rPr>
              <w:t xml:space="preserve"> </w:t>
            </w:r>
            <w:r>
              <w:t>антимікробними</w:t>
            </w:r>
            <w:r>
              <w:rPr>
                <w:spacing w:val="-8"/>
              </w:rPr>
              <w:t xml:space="preserve"> </w:t>
            </w:r>
            <w:r>
              <w:rPr>
                <w:spacing w:val="-2"/>
              </w:rPr>
              <w:t>засобами…</w:t>
            </w:r>
          </w:hyperlink>
        </w:p>
        <w:p w:rsidR="00054C19" w:rsidRDefault="00054C19" w:rsidP="00054C19">
          <w:pPr>
            <w:pStyle w:val="3"/>
            <w:tabs>
              <w:tab w:val="right" w:leader="dot" w:pos="9491"/>
            </w:tabs>
            <w:ind w:left="459" w:firstLine="0"/>
          </w:pPr>
          <w:hyperlink w:anchor="_bookmark3" w:history="1">
            <w:r>
              <w:rPr>
                <w:spacing w:val="-10"/>
              </w:rPr>
              <w:t>.</w:t>
            </w:r>
            <w:r>
              <w:tab/>
            </w:r>
            <w:r>
              <w:rPr>
                <w:spacing w:val="-10"/>
              </w:rPr>
              <w:t>8</w:t>
            </w:r>
          </w:hyperlink>
        </w:p>
        <w:p w:rsidR="00054C19" w:rsidRDefault="00054C19" w:rsidP="00054C19">
          <w:pPr>
            <w:pStyle w:val="3"/>
            <w:numPr>
              <w:ilvl w:val="1"/>
              <w:numId w:val="6"/>
            </w:numPr>
            <w:tabs>
              <w:tab w:val="left" w:pos="911"/>
              <w:tab w:val="right" w:leader="dot" w:pos="9492"/>
            </w:tabs>
            <w:spacing w:before="161"/>
            <w:ind w:left="911" w:hanging="488"/>
          </w:pPr>
          <w:hyperlink w:anchor="_bookmark4" w:history="1">
            <w:r>
              <w:t>Проблема</w:t>
            </w:r>
            <w:r>
              <w:rPr>
                <w:spacing w:val="-9"/>
              </w:rPr>
              <w:t xml:space="preserve"> </w:t>
            </w:r>
            <w:r>
              <w:t>мікробного</w:t>
            </w:r>
            <w:r>
              <w:rPr>
                <w:spacing w:val="-5"/>
              </w:rPr>
              <w:t xml:space="preserve"> </w:t>
            </w:r>
            <w:r>
              <w:t>забруднення</w:t>
            </w:r>
            <w:r>
              <w:rPr>
                <w:spacing w:val="-9"/>
              </w:rPr>
              <w:t xml:space="preserve"> </w:t>
            </w:r>
            <w:r>
              <w:t>в</w:t>
            </w:r>
            <w:r>
              <w:rPr>
                <w:spacing w:val="-7"/>
              </w:rPr>
              <w:t xml:space="preserve"> </w:t>
            </w:r>
            <w:r>
              <w:t>харчовій</w:t>
            </w:r>
            <w:r>
              <w:rPr>
                <w:spacing w:val="-8"/>
              </w:rPr>
              <w:t xml:space="preserve"> </w:t>
            </w:r>
            <w:r>
              <w:rPr>
                <w:spacing w:val="-2"/>
              </w:rPr>
              <w:t>промисловості</w:t>
            </w:r>
            <w:r>
              <w:tab/>
            </w:r>
            <w:r>
              <w:rPr>
                <w:spacing w:val="-5"/>
              </w:rPr>
              <w:t>10</w:t>
            </w:r>
          </w:hyperlink>
        </w:p>
        <w:p w:rsidR="00054C19" w:rsidRDefault="00054C19" w:rsidP="00054C19">
          <w:pPr>
            <w:pStyle w:val="3"/>
            <w:numPr>
              <w:ilvl w:val="1"/>
              <w:numId w:val="6"/>
            </w:numPr>
            <w:tabs>
              <w:tab w:val="left" w:pos="914"/>
              <w:tab w:val="right" w:leader="dot" w:pos="9492"/>
            </w:tabs>
            <w:ind w:left="914" w:hanging="491"/>
          </w:pPr>
          <w:hyperlink w:anchor="_bookmark5" w:history="1">
            <w:r>
              <w:t>Комерційні</w:t>
            </w:r>
            <w:r>
              <w:rPr>
                <w:spacing w:val="-10"/>
              </w:rPr>
              <w:t xml:space="preserve"> </w:t>
            </w:r>
            <w:r>
              <w:t>фагопрепарати:</w:t>
            </w:r>
            <w:r>
              <w:rPr>
                <w:spacing w:val="-7"/>
              </w:rPr>
              <w:t xml:space="preserve"> </w:t>
            </w:r>
            <w:r>
              <w:t>сучасний</w:t>
            </w:r>
            <w:r>
              <w:rPr>
                <w:spacing w:val="-11"/>
              </w:rPr>
              <w:t xml:space="preserve"> </w:t>
            </w:r>
            <w:r>
              <w:t>ринок</w:t>
            </w:r>
            <w:r>
              <w:rPr>
                <w:spacing w:val="-9"/>
              </w:rPr>
              <w:t xml:space="preserve"> </w:t>
            </w:r>
            <w:r>
              <w:t>і</w:t>
            </w:r>
            <w:r>
              <w:rPr>
                <w:spacing w:val="-10"/>
              </w:rPr>
              <w:t xml:space="preserve"> </w:t>
            </w:r>
            <w:r>
              <w:rPr>
                <w:spacing w:val="-2"/>
              </w:rPr>
              <w:t>приклади</w:t>
            </w:r>
            <w:r>
              <w:tab/>
            </w:r>
            <w:r>
              <w:rPr>
                <w:spacing w:val="-5"/>
              </w:rPr>
              <w:t>10</w:t>
            </w:r>
          </w:hyperlink>
        </w:p>
        <w:p w:rsidR="00054C19" w:rsidRDefault="00054C19" w:rsidP="00054C19">
          <w:pPr>
            <w:pStyle w:val="21"/>
            <w:tabs>
              <w:tab w:val="right" w:leader="dot" w:pos="9492"/>
            </w:tabs>
            <w:spacing w:before="164"/>
          </w:pPr>
          <w:hyperlink w:anchor="_bookmark6" w:history="1">
            <w:r>
              <w:t>РОЗДІЛ</w:t>
            </w:r>
            <w:r>
              <w:rPr>
                <w:spacing w:val="-8"/>
              </w:rPr>
              <w:t xml:space="preserve"> </w:t>
            </w:r>
            <w:r>
              <w:t>2.</w:t>
            </w:r>
            <w:r>
              <w:rPr>
                <w:spacing w:val="-5"/>
              </w:rPr>
              <w:t xml:space="preserve"> </w:t>
            </w:r>
            <w:r>
              <w:t>МАТЕРІАЛИ,</w:t>
            </w:r>
            <w:r>
              <w:rPr>
                <w:spacing w:val="-7"/>
              </w:rPr>
              <w:t xml:space="preserve"> </w:t>
            </w:r>
            <w:r>
              <w:t>ОБʼЄКТИ</w:t>
            </w:r>
            <w:r>
              <w:rPr>
                <w:spacing w:val="-5"/>
              </w:rPr>
              <w:t xml:space="preserve"> </w:t>
            </w:r>
            <w:r>
              <w:t>ТА</w:t>
            </w:r>
            <w:r>
              <w:rPr>
                <w:spacing w:val="-7"/>
              </w:rPr>
              <w:t xml:space="preserve"> </w:t>
            </w:r>
            <w:r>
              <w:t>МЕТОДИ</w:t>
            </w:r>
            <w:r>
              <w:rPr>
                <w:spacing w:val="-4"/>
              </w:rPr>
              <w:t xml:space="preserve"> </w:t>
            </w:r>
            <w:r>
              <w:rPr>
                <w:spacing w:val="-2"/>
              </w:rPr>
              <w:t>ДОСЛІДЖЕННЯ</w:t>
            </w:r>
            <w:r>
              <w:tab/>
            </w:r>
            <w:r>
              <w:rPr>
                <w:spacing w:val="-5"/>
              </w:rPr>
              <w:t>14</w:t>
            </w:r>
          </w:hyperlink>
        </w:p>
        <w:p w:rsidR="00054C19" w:rsidRDefault="00054C19" w:rsidP="00054C19">
          <w:pPr>
            <w:pStyle w:val="3"/>
            <w:numPr>
              <w:ilvl w:val="1"/>
              <w:numId w:val="5"/>
            </w:numPr>
            <w:tabs>
              <w:tab w:val="left" w:pos="913"/>
              <w:tab w:val="right" w:leader="dot" w:pos="9492"/>
            </w:tabs>
            <w:ind w:left="913" w:hanging="490"/>
          </w:pPr>
          <w:hyperlink w:anchor="_bookmark7" w:history="1">
            <w:r>
              <w:t>Середовище,</w:t>
            </w:r>
            <w:r>
              <w:rPr>
                <w:spacing w:val="-8"/>
              </w:rPr>
              <w:t xml:space="preserve"> </w:t>
            </w:r>
            <w:r>
              <w:t>зразки,</w:t>
            </w:r>
            <w:r>
              <w:rPr>
                <w:spacing w:val="-7"/>
              </w:rPr>
              <w:t xml:space="preserve"> </w:t>
            </w:r>
            <w:r>
              <w:t>штами</w:t>
            </w:r>
            <w:r>
              <w:rPr>
                <w:spacing w:val="-5"/>
              </w:rPr>
              <w:t xml:space="preserve"> </w:t>
            </w:r>
            <w:r>
              <w:rPr>
                <w:spacing w:val="-2"/>
              </w:rPr>
              <w:t>мікроорганізмів</w:t>
            </w:r>
            <w:r>
              <w:tab/>
            </w:r>
            <w:r>
              <w:rPr>
                <w:spacing w:val="-5"/>
              </w:rPr>
              <w:t>14</w:t>
            </w:r>
          </w:hyperlink>
        </w:p>
        <w:p w:rsidR="00054C19" w:rsidRDefault="00054C19" w:rsidP="00054C19">
          <w:pPr>
            <w:pStyle w:val="21"/>
            <w:numPr>
              <w:ilvl w:val="2"/>
              <w:numId w:val="5"/>
            </w:numPr>
            <w:tabs>
              <w:tab w:val="left" w:pos="840"/>
              <w:tab w:val="right" w:leader="dot" w:pos="9485"/>
            </w:tabs>
            <w:ind w:left="840" w:hanging="697"/>
          </w:pPr>
          <w:hyperlink w:anchor="_TOC_250006" w:history="1">
            <w:r>
              <w:t>Харчові</w:t>
            </w:r>
            <w:r>
              <w:rPr>
                <w:spacing w:val="-8"/>
              </w:rPr>
              <w:t xml:space="preserve"> </w:t>
            </w:r>
            <w:r>
              <w:t>групи</w:t>
            </w:r>
            <w:r>
              <w:rPr>
                <w:spacing w:val="-8"/>
              </w:rPr>
              <w:t xml:space="preserve"> </w:t>
            </w:r>
            <w:r>
              <w:t>та</w:t>
            </w:r>
            <w:r>
              <w:rPr>
                <w:spacing w:val="-6"/>
              </w:rPr>
              <w:t xml:space="preserve"> </w:t>
            </w:r>
            <w:r>
              <w:t>патогенні</w:t>
            </w:r>
            <w:r>
              <w:rPr>
                <w:spacing w:val="-5"/>
              </w:rPr>
              <w:t xml:space="preserve"> </w:t>
            </w:r>
            <w:r>
              <w:t>мікроорганізми</w:t>
            </w:r>
            <w:r>
              <w:rPr>
                <w:spacing w:val="-6"/>
              </w:rPr>
              <w:t xml:space="preserve"> </w:t>
            </w:r>
            <w:r>
              <w:t>як</w:t>
            </w:r>
            <w:r>
              <w:rPr>
                <w:spacing w:val="-9"/>
              </w:rPr>
              <w:t xml:space="preserve"> </w:t>
            </w:r>
            <w:r>
              <w:t>об’єкти</w:t>
            </w:r>
            <w:r>
              <w:rPr>
                <w:spacing w:val="-8"/>
              </w:rPr>
              <w:t xml:space="preserve"> </w:t>
            </w:r>
            <w:r>
              <w:rPr>
                <w:spacing w:val="-2"/>
              </w:rPr>
              <w:t>дослідження</w:t>
            </w:r>
            <w:r>
              <w:tab/>
            </w:r>
            <w:r>
              <w:rPr>
                <w:spacing w:val="-5"/>
              </w:rPr>
              <w:t>15</w:t>
            </w:r>
          </w:hyperlink>
        </w:p>
        <w:p w:rsidR="00054C19" w:rsidRDefault="00054C19" w:rsidP="00054C19">
          <w:pPr>
            <w:pStyle w:val="3"/>
            <w:numPr>
              <w:ilvl w:val="1"/>
              <w:numId w:val="5"/>
            </w:numPr>
            <w:tabs>
              <w:tab w:val="left" w:pos="914"/>
              <w:tab w:val="right" w:leader="dot" w:pos="9488"/>
            </w:tabs>
            <w:spacing w:before="247"/>
            <w:ind w:left="914" w:hanging="491"/>
          </w:pPr>
          <w:hyperlink w:anchor="_TOC_250005" w:history="1">
            <w:r>
              <w:t>Методи</w:t>
            </w:r>
            <w:r>
              <w:rPr>
                <w:spacing w:val="-10"/>
              </w:rPr>
              <w:t xml:space="preserve"> </w:t>
            </w:r>
            <w:r>
              <w:t>біоконтролю</w:t>
            </w:r>
            <w:r>
              <w:rPr>
                <w:spacing w:val="-6"/>
              </w:rPr>
              <w:t xml:space="preserve"> </w:t>
            </w:r>
            <w:r>
              <w:t>в</w:t>
            </w:r>
            <w:r>
              <w:rPr>
                <w:spacing w:val="-6"/>
              </w:rPr>
              <w:t xml:space="preserve"> </w:t>
            </w:r>
            <w:r>
              <w:t>харчовій</w:t>
            </w:r>
            <w:r>
              <w:rPr>
                <w:spacing w:val="-5"/>
              </w:rPr>
              <w:t xml:space="preserve"> </w:t>
            </w:r>
            <w:r>
              <w:rPr>
                <w:spacing w:val="-2"/>
              </w:rPr>
              <w:t>промисловості</w:t>
            </w:r>
            <w:r>
              <w:tab/>
            </w:r>
            <w:r>
              <w:rPr>
                <w:spacing w:val="-5"/>
              </w:rPr>
              <w:t>16</w:t>
            </w:r>
          </w:hyperlink>
        </w:p>
        <w:p w:rsidR="00054C19" w:rsidRDefault="00054C19" w:rsidP="00054C19">
          <w:pPr>
            <w:pStyle w:val="21"/>
            <w:numPr>
              <w:ilvl w:val="2"/>
              <w:numId w:val="5"/>
            </w:numPr>
            <w:tabs>
              <w:tab w:val="left" w:pos="841"/>
              <w:tab w:val="right" w:leader="dot" w:pos="9462"/>
            </w:tabs>
            <w:spacing w:before="162"/>
            <w:ind w:left="841" w:hanging="698"/>
          </w:pPr>
          <w:r>
            <w:t>Вивчення</w:t>
          </w:r>
          <w:r>
            <w:rPr>
              <w:spacing w:val="-12"/>
            </w:rPr>
            <w:t xml:space="preserve"> </w:t>
          </w:r>
          <w:r>
            <w:t>антимікробної</w:t>
          </w:r>
          <w:r>
            <w:rPr>
              <w:spacing w:val="-9"/>
            </w:rPr>
            <w:t xml:space="preserve"> </w:t>
          </w:r>
          <w:r>
            <w:t>ефективності</w:t>
          </w:r>
          <w:r>
            <w:rPr>
              <w:spacing w:val="-9"/>
            </w:rPr>
            <w:t xml:space="preserve"> </w:t>
          </w:r>
          <w:r>
            <w:rPr>
              <w:spacing w:val="-2"/>
            </w:rPr>
            <w:t>бактеріофага</w:t>
          </w:r>
          <w:r>
            <w:tab/>
          </w:r>
          <w:r>
            <w:rPr>
              <w:spacing w:val="-5"/>
            </w:rPr>
            <w:t>16</w:t>
          </w:r>
        </w:p>
        <w:p w:rsidR="00054C19" w:rsidRDefault="00054C19" w:rsidP="00054C19">
          <w:pPr>
            <w:pStyle w:val="21"/>
            <w:numPr>
              <w:ilvl w:val="2"/>
              <w:numId w:val="5"/>
            </w:numPr>
            <w:tabs>
              <w:tab w:val="left" w:pos="840"/>
              <w:tab w:val="right" w:leader="dot" w:pos="9486"/>
            </w:tabs>
            <w:spacing w:before="250"/>
            <w:ind w:left="840" w:hanging="697"/>
          </w:pPr>
          <w:r>
            <w:t>Конроль</w:t>
          </w:r>
          <w:r>
            <w:rPr>
              <w:spacing w:val="-9"/>
            </w:rPr>
            <w:t xml:space="preserve"> </w:t>
          </w:r>
          <w:r>
            <w:t>залишкової</w:t>
          </w:r>
          <w:r>
            <w:rPr>
              <w:spacing w:val="-7"/>
            </w:rPr>
            <w:t xml:space="preserve"> </w:t>
          </w:r>
          <w:r>
            <w:t>активності</w:t>
          </w:r>
          <w:r>
            <w:rPr>
              <w:spacing w:val="-8"/>
            </w:rPr>
            <w:t xml:space="preserve"> </w:t>
          </w:r>
          <w:r>
            <w:rPr>
              <w:spacing w:val="-2"/>
            </w:rPr>
            <w:t>фагів…</w:t>
          </w:r>
          <w:r>
            <w:tab/>
          </w:r>
          <w:r>
            <w:rPr>
              <w:spacing w:val="-5"/>
            </w:rPr>
            <w:t>17</w:t>
          </w:r>
        </w:p>
        <w:p w:rsidR="00054C19" w:rsidRDefault="00054C19" w:rsidP="00054C19">
          <w:pPr>
            <w:pStyle w:val="3"/>
            <w:numPr>
              <w:ilvl w:val="1"/>
              <w:numId w:val="5"/>
            </w:numPr>
            <w:tabs>
              <w:tab w:val="left" w:pos="916"/>
              <w:tab w:val="right" w:leader="dot" w:pos="9445"/>
            </w:tabs>
            <w:spacing w:before="247"/>
            <w:ind w:left="916" w:hanging="490"/>
          </w:pPr>
          <w:hyperlink w:anchor="_TOC_250004" w:history="1">
            <w:r>
              <w:t>Методика</w:t>
            </w:r>
            <w:r>
              <w:rPr>
                <w:spacing w:val="-9"/>
              </w:rPr>
              <w:t xml:space="preserve"> </w:t>
            </w:r>
            <w:r>
              <w:t>застосування</w:t>
            </w:r>
            <w:r>
              <w:rPr>
                <w:spacing w:val="-10"/>
              </w:rPr>
              <w:t xml:space="preserve"> </w:t>
            </w:r>
            <w:r>
              <w:rPr>
                <w:spacing w:val="-2"/>
              </w:rPr>
              <w:t>бактеріофагів</w:t>
            </w:r>
            <w:r>
              <w:tab/>
            </w:r>
            <w:r>
              <w:rPr>
                <w:spacing w:val="-5"/>
              </w:rPr>
              <w:t>18</w:t>
            </w:r>
          </w:hyperlink>
        </w:p>
        <w:p w:rsidR="00054C19" w:rsidRDefault="00054C19" w:rsidP="00054C19">
          <w:pPr>
            <w:pStyle w:val="3"/>
            <w:numPr>
              <w:ilvl w:val="1"/>
              <w:numId w:val="4"/>
            </w:numPr>
            <w:tabs>
              <w:tab w:val="left" w:pos="847"/>
              <w:tab w:val="right" w:leader="dot" w:pos="9338"/>
            </w:tabs>
            <w:spacing w:before="249"/>
            <w:ind w:left="847" w:hanging="421"/>
          </w:pPr>
          <w:hyperlink w:anchor="_TOC_250003" w:history="1">
            <w:r>
              <w:rPr>
                <w:spacing w:val="-2"/>
              </w:rPr>
              <w:t>Мікробіологічний</w:t>
            </w:r>
            <w:r>
              <w:rPr>
                <w:spacing w:val="12"/>
              </w:rPr>
              <w:t xml:space="preserve"> </w:t>
            </w:r>
            <w:r>
              <w:rPr>
                <w:spacing w:val="-2"/>
              </w:rPr>
              <w:t>аналіз</w:t>
            </w:r>
            <w:r>
              <w:tab/>
            </w:r>
            <w:r>
              <w:rPr>
                <w:spacing w:val="-5"/>
              </w:rPr>
              <w:t>21</w:t>
            </w:r>
          </w:hyperlink>
        </w:p>
        <w:p w:rsidR="00054C19" w:rsidRDefault="00054C19" w:rsidP="00054C19">
          <w:pPr>
            <w:pStyle w:val="11"/>
            <w:tabs>
              <w:tab w:val="right" w:leader="dot" w:pos="9491"/>
            </w:tabs>
          </w:pPr>
          <w:hyperlink w:anchor="_TOC_250002" w:history="1">
            <w:r>
              <w:t>РОЗДІЛ</w:t>
            </w:r>
            <w:r>
              <w:rPr>
                <w:spacing w:val="-7"/>
              </w:rPr>
              <w:t xml:space="preserve"> </w:t>
            </w:r>
            <w:r>
              <w:t>3.</w:t>
            </w:r>
            <w:r>
              <w:rPr>
                <w:spacing w:val="-5"/>
              </w:rPr>
              <w:t xml:space="preserve"> </w:t>
            </w:r>
            <w:r>
              <w:t>РЕЗУЛЬТАТИ</w:t>
            </w:r>
            <w:r>
              <w:rPr>
                <w:spacing w:val="-6"/>
              </w:rPr>
              <w:t xml:space="preserve"> </w:t>
            </w:r>
            <w:r>
              <w:t>ТА</w:t>
            </w:r>
            <w:r>
              <w:rPr>
                <w:spacing w:val="-4"/>
              </w:rPr>
              <w:t xml:space="preserve"> </w:t>
            </w:r>
            <w:r>
              <w:t>ЇХ</w:t>
            </w:r>
            <w:r>
              <w:rPr>
                <w:spacing w:val="-7"/>
              </w:rPr>
              <w:t xml:space="preserve"> </w:t>
            </w:r>
            <w:r>
              <w:rPr>
                <w:spacing w:val="-2"/>
              </w:rPr>
              <w:t>ОБГОВОРЕННЯ</w:t>
            </w:r>
            <w:r>
              <w:tab/>
            </w:r>
            <w:r>
              <w:rPr>
                <w:spacing w:val="-5"/>
              </w:rPr>
              <w:t>25</w:t>
            </w:r>
          </w:hyperlink>
        </w:p>
        <w:p w:rsidR="00054C19" w:rsidRDefault="00054C19" w:rsidP="00054C19">
          <w:pPr>
            <w:pStyle w:val="3"/>
            <w:numPr>
              <w:ilvl w:val="1"/>
              <w:numId w:val="3"/>
            </w:numPr>
            <w:tabs>
              <w:tab w:val="left" w:pos="913"/>
            </w:tabs>
            <w:spacing w:before="162"/>
            <w:ind w:left="913" w:hanging="487"/>
          </w:pPr>
          <w:r>
            <w:t>Аналіз</w:t>
          </w:r>
          <w:r>
            <w:rPr>
              <w:spacing w:val="-10"/>
            </w:rPr>
            <w:t xml:space="preserve"> </w:t>
          </w:r>
          <w:r>
            <w:t>фонової</w:t>
          </w:r>
          <w:r>
            <w:rPr>
              <w:spacing w:val="-8"/>
            </w:rPr>
            <w:t xml:space="preserve"> </w:t>
          </w:r>
          <w:r>
            <w:t>мікробіоти</w:t>
          </w:r>
          <w:r>
            <w:rPr>
              <w:spacing w:val="-7"/>
            </w:rPr>
            <w:t xml:space="preserve"> </w:t>
          </w:r>
          <w:r>
            <w:t>харчових</w:t>
          </w:r>
          <w:r>
            <w:rPr>
              <w:spacing w:val="-5"/>
            </w:rPr>
            <w:t xml:space="preserve"> </w:t>
          </w:r>
          <w:r>
            <w:t>продуктів</w:t>
          </w:r>
          <w:r>
            <w:rPr>
              <w:spacing w:val="-8"/>
            </w:rPr>
            <w:t xml:space="preserve"> </w:t>
          </w:r>
          <w:r>
            <w:t>до</w:t>
          </w:r>
          <w:r>
            <w:rPr>
              <w:spacing w:val="-5"/>
            </w:rPr>
            <w:t xml:space="preserve"> </w:t>
          </w:r>
          <w:r>
            <w:rPr>
              <w:spacing w:val="-2"/>
            </w:rPr>
            <w:t>аплікації</w:t>
          </w:r>
        </w:p>
        <w:p w:rsidR="00054C19" w:rsidRDefault="00054C19" w:rsidP="00054C19">
          <w:pPr>
            <w:pStyle w:val="21"/>
            <w:tabs>
              <w:tab w:val="right" w:leader="dot" w:pos="9484"/>
            </w:tabs>
            <w:spacing w:before="50"/>
          </w:pPr>
          <w:r>
            <w:rPr>
              <w:spacing w:val="-2"/>
            </w:rPr>
            <w:t>бактеріофагів</w:t>
          </w:r>
          <w:r>
            <w:tab/>
          </w:r>
          <w:r>
            <w:rPr>
              <w:spacing w:val="-5"/>
            </w:rPr>
            <w:t>25</w:t>
          </w:r>
        </w:p>
        <w:p w:rsidR="00054C19" w:rsidRDefault="00054C19" w:rsidP="00054C19">
          <w:pPr>
            <w:pStyle w:val="3"/>
            <w:numPr>
              <w:ilvl w:val="1"/>
              <w:numId w:val="3"/>
            </w:numPr>
            <w:tabs>
              <w:tab w:val="left" w:pos="916"/>
            </w:tabs>
            <w:spacing w:before="245"/>
            <w:ind w:left="916"/>
          </w:pPr>
          <w:r>
            <w:t>Результат</w:t>
          </w:r>
          <w:r>
            <w:rPr>
              <w:spacing w:val="-9"/>
            </w:rPr>
            <w:t xml:space="preserve"> </w:t>
          </w:r>
          <w:r>
            <w:t>впливу</w:t>
          </w:r>
          <w:r>
            <w:rPr>
              <w:spacing w:val="-6"/>
            </w:rPr>
            <w:t xml:space="preserve"> </w:t>
          </w:r>
          <w:r>
            <w:t>бактеріофагів</w:t>
          </w:r>
          <w:r>
            <w:rPr>
              <w:spacing w:val="-7"/>
            </w:rPr>
            <w:t xml:space="preserve"> </w:t>
          </w:r>
          <w:r>
            <w:t>на</w:t>
          </w:r>
          <w:r>
            <w:rPr>
              <w:spacing w:val="-6"/>
            </w:rPr>
            <w:t xml:space="preserve"> </w:t>
          </w:r>
          <w:r>
            <w:t>кількість</w:t>
          </w:r>
          <w:r>
            <w:rPr>
              <w:spacing w:val="-6"/>
            </w:rPr>
            <w:t xml:space="preserve"> </w:t>
          </w:r>
          <w:r>
            <w:rPr>
              <w:spacing w:val="-2"/>
            </w:rPr>
            <w:t>патогенних</w:t>
          </w:r>
        </w:p>
        <w:p w:rsidR="00054C19" w:rsidRDefault="00054C19" w:rsidP="00054C19">
          <w:pPr>
            <w:pStyle w:val="21"/>
            <w:tabs>
              <w:tab w:val="right" w:leader="dot" w:pos="9408"/>
            </w:tabs>
          </w:pPr>
          <w:r>
            <w:rPr>
              <w:spacing w:val="-2"/>
            </w:rPr>
            <w:t>мікроорганізмів</w:t>
          </w:r>
          <w:r>
            <w:tab/>
          </w:r>
          <w:r>
            <w:rPr>
              <w:spacing w:val="-5"/>
            </w:rPr>
            <w:t>27</w:t>
          </w:r>
        </w:p>
        <w:p w:rsidR="00054C19" w:rsidRDefault="00054C19" w:rsidP="00054C19">
          <w:pPr>
            <w:pStyle w:val="3"/>
            <w:numPr>
              <w:ilvl w:val="1"/>
              <w:numId w:val="2"/>
            </w:numPr>
            <w:tabs>
              <w:tab w:val="left" w:pos="917"/>
              <w:tab w:val="right" w:leader="dot" w:pos="9478"/>
            </w:tabs>
            <w:spacing w:before="163"/>
            <w:ind w:left="917" w:hanging="491"/>
          </w:pPr>
          <w:hyperlink w:anchor="_TOC_250001" w:history="1">
            <w:r>
              <w:t>Результат</w:t>
            </w:r>
            <w:r>
              <w:rPr>
                <w:spacing w:val="-9"/>
              </w:rPr>
              <w:t xml:space="preserve"> </w:t>
            </w:r>
            <w:r>
              <w:t>ефективності</w:t>
            </w:r>
            <w:r>
              <w:rPr>
                <w:spacing w:val="-6"/>
              </w:rPr>
              <w:t xml:space="preserve"> </w:t>
            </w:r>
            <w:r>
              <w:rPr>
                <w:spacing w:val="-2"/>
              </w:rPr>
              <w:t>біоконтролю</w:t>
            </w:r>
            <w:r>
              <w:tab/>
            </w:r>
            <w:r>
              <w:rPr>
                <w:spacing w:val="-5"/>
              </w:rPr>
              <w:t>30</w:t>
            </w:r>
          </w:hyperlink>
        </w:p>
        <w:p w:rsidR="00054C19" w:rsidRDefault="00054C19" w:rsidP="00054C19">
          <w:pPr>
            <w:pStyle w:val="11"/>
            <w:tabs>
              <w:tab w:val="right" w:leader="dot" w:pos="9429"/>
            </w:tabs>
            <w:spacing w:before="249"/>
          </w:pPr>
          <w:hyperlink w:anchor="_TOC_250000" w:history="1">
            <w:r>
              <w:rPr>
                <w:spacing w:val="-2"/>
              </w:rPr>
              <w:t>УЗАГАЛЬНЕННЯ</w:t>
            </w:r>
            <w:r>
              <w:tab/>
            </w:r>
            <w:r>
              <w:rPr>
                <w:spacing w:val="-5"/>
              </w:rPr>
              <w:t>35</w:t>
            </w:r>
          </w:hyperlink>
        </w:p>
        <w:p w:rsidR="00054C19" w:rsidRDefault="00054C19" w:rsidP="00054C19">
          <w:pPr>
            <w:pStyle w:val="11"/>
            <w:tabs>
              <w:tab w:val="right" w:leader="dot" w:pos="9491"/>
            </w:tabs>
          </w:pPr>
          <w:hyperlink w:anchor="_bookmark8" w:history="1">
            <w:r>
              <w:rPr>
                <w:spacing w:val="-2"/>
              </w:rPr>
              <w:t>ВИСНОВКИ</w:t>
            </w:r>
            <w:r>
              <w:tab/>
            </w:r>
            <w:r>
              <w:rPr>
                <w:spacing w:val="-5"/>
              </w:rPr>
              <w:t>37</w:t>
            </w:r>
          </w:hyperlink>
        </w:p>
        <w:p w:rsidR="00054C19" w:rsidRDefault="00054C19" w:rsidP="00054C19">
          <w:pPr>
            <w:pStyle w:val="11"/>
            <w:tabs>
              <w:tab w:val="right" w:leader="dot" w:pos="9491"/>
            </w:tabs>
            <w:spacing w:before="160"/>
          </w:pPr>
          <w:hyperlink w:anchor="_bookmark9" w:history="1">
            <w:r>
              <w:t>СПИСОК</w:t>
            </w:r>
            <w:r>
              <w:rPr>
                <w:spacing w:val="-11"/>
              </w:rPr>
              <w:t xml:space="preserve"> </w:t>
            </w:r>
            <w:r>
              <w:t>ВИКОРИСТАНИХ</w:t>
            </w:r>
            <w:r>
              <w:rPr>
                <w:spacing w:val="-10"/>
              </w:rPr>
              <w:t xml:space="preserve"> </w:t>
            </w:r>
            <w:r>
              <w:rPr>
                <w:spacing w:val="-2"/>
              </w:rPr>
              <w:t>ДЖЕРЕЛ</w:t>
            </w:r>
            <w:r>
              <w:tab/>
            </w:r>
            <w:r>
              <w:rPr>
                <w:spacing w:val="-5"/>
              </w:rPr>
              <w:t>38</w:t>
            </w:r>
          </w:hyperlink>
        </w:p>
      </w:sdtContent>
    </w:sdt>
    <w:p w:rsidR="00054C19" w:rsidRDefault="00054C19" w:rsidP="00054C19">
      <w:pPr>
        <w:pStyle w:val="11"/>
        <w:sectPr w:rsidR="00054C19">
          <w:headerReference w:type="default" r:id="rId5"/>
          <w:pgSz w:w="11910" w:h="16840"/>
          <w:pgMar w:top="1440" w:right="425" w:bottom="280" w:left="1559" w:header="1144" w:footer="0" w:gutter="0"/>
          <w:cols w:space="720"/>
        </w:sectPr>
      </w:pPr>
    </w:p>
    <w:p w:rsidR="00054C19" w:rsidRDefault="00054C19" w:rsidP="00054C19">
      <w:pPr>
        <w:pStyle w:val="a3"/>
        <w:ind w:left="0"/>
        <w:jc w:val="left"/>
      </w:pPr>
    </w:p>
    <w:p w:rsidR="00054C19" w:rsidRDefault="00054C19" w:rsidP="00054C19">
      <w:pPr>
        <w:pStyle w:val="a3"/>
        <w:spacing w:before="56"/>
        <w:ind w:left="0"/>
        <w:jc w:val="left"/>
      </w:pPr>
    </w:p>
    <w:p w:rsidR="00054C19" w:rsidRDefault="00054C19" w:rsidP="00054C19">
      <w:pPr>
        <w:pStyle w:val="a3"/>
        <w:spacing w:line="568" w:lineRule="auto"/>
        <w:ind w:left="502" w:right="4600"/>
        <w:jc w:val="left"/>
      </w:pPr>
      <w:bookmarkStart w:id="0" w:name="_bookmark0"/>
      <w:bookmarkEnd w:id="0"/>
      <w:r>
        <w:t>БУО</w:t>
      </w:r>
      <w:r>
        <w:rPr>
          <w:spacing w:val="-12"/>
        </w:rPr>
        <w:t xml:space="preserve"> </w:t>
      </w:r>
      <w:r>
        <w:t>–</w:t>
      </w:r>
      <w:r>
        <w:rPr>
          <w:spacing w:val="-10"/>
        </w:rPr>
        <w:t xml:space="preserve"> </w:t>
      </w:r>
      <w:r>
        <w:t>бляшкоутворювальні</w:t>
      </w:r>
      <w:r>
        <w:rPr>
          <w:spacing w:val="-9"/>
        </w:rPr>
        <w:t xml:space="preserve"> </w:t>
      </w:r>
      <w:r>
        <w:t>одиниці; КУО – колонієутворюючі одиниці; МПА – м’ясо-пептонний агар;</w:t>
      </w:r>
    </w:p>
    <w:p w:rsidR="00054C19" w:rsidRDefault="00054C19" w:rsidP="00054C19">
      <w:pPr>
        <w:pStyle w:val="a3"/>
        <w:spacing w:line="320" w:lineRule="exact"/>
        <w:ind w:left="502"/>
        <w:jc w:val="left"/>
      </w:pPr>
      <w:r>
        <w:t>ІCTV</w:t>
      </w:r>
      <w:r>
        <w:rPr>
          <w:spacing w:val="-7"/>
        </w:rPr>
        <w:t xml:space="preserve"> </w:t>
      </w:r>
      <w:r>
        <w:t>–</w:t>
      </w:r>
      <w:r>
        <w:rPr>
          <w:spacing w:val="-5"/>
        </w:rPr>
        <w:t xml:space="preserve"> </w:t>
      </w:r>
      <w:r>
        <w:t>міжнародний</w:t>
      </w:r>
      <w:r>
        <w:rPr>
          <w:spacing w:val="-4"/>
        </w:rPr>
        <w:t xml:space="preserve"> </w:t>
      </w:r>
      <w:r>
        <w:t>комітет</w:t>
      </w:r>
      <w:r>
        <w:rPr>
          <w:spacing w:val="-5"/>
        </w:rPr>
        <w:t xml:space="preserve"> </w:t>
      </w:r>
      <w:r>
        <w:t>з</w:t>
      </w:r>
      <w:r>
        <w:rPr>
          <w:spacing w:val="-6"/>
        </w:rPr>
        <w:t xml:space="preserve"> </w:t>
      </w:r>
      <w:r>
        <w:t>таксономії</w:t>
      </w:r>
      <w:r>
        <w:rPr>
          <w:spacing w:val="-3"/>
        </w:rPr>
        <w:t xml:space="preserve"> </w:t>
      </w:r>
      <w:r>
        <w:rPr>
          <w:spacing w:val="-2"/>
        </w:rPr>
        <w:t>вірусів;</w:t>
      </w:r>
    </w:p>
    <w:p w:rsidR="00054C19" w:rsidRDefault="00054C19" w:rsidP="00054C19">
      <w:pPr>
        <w:pStyle w:val="a3"/>
        <w:spacing w:before="120"/>
        <w:ind w:left="0"/>
        <w:jc w:val="left"/>
      </w:pPr>
    </w:p>
    <w:p w:rsidR="00054C19" w:rsidRDefault="00054C19" w:rsidP="00054C19">
      <w:pPr>
        <w:pStyle w:val="a3"/>
        <w:spacing w:line="360" w:lineRule="auto"/>
        <w:ind w:left="502"/>
        <w:jc w:val="left"/>
      </w:pPr>
      <w:r>
        <w:t>HACCP</w:t>
      </w:r>
      <w:r>
        <w:rPr>
          <w:spacing w:val="-5"/>
        </w:rPr>
        <w:t xml:space="preserve"> </w:t>
      </w:r>
      <w:r>
        <w:t>–</w:t>
      </w:r>
      <w:r>
        <w:rPr>
          <w:spacing w:val="-6"/>
        </w:rPr>
        <w:t xml:space="preserve"> </w:t>
      </w:r>
      <w:r>
        <w:t>це</w:t>
      </w:r>
      <w:r>
        <w:rPr>
          <w:spacing w:val="-4"/>
        </w:rPr>
        <w:t xml:space="preserve"> </w:t>
      </w:r>
      <w:r>
        <w:t>система</w:t>
      </w:r>
      <w:r>
        <w:rPr>
          <w:spacing w:val="-4"/>
        </w:rPr>
        <w:t xml:space="preserve"> </w:t>
      </w:r>
      <w:r>
        <w:t>аналізу</w:t>
      </w:r>
      <w:r>
        <w:rPr>
          <w:spacing w:val="-3"/>
        </w:rPr>
        <w:t xml:space="preserve"> </w:t>
      </w:r>
      <w:r>
        <w:t>небезпечних</w:t>
      </w:r>
      <w:r>
        <w:rPr>
          <w:spacing w:val="-3"/>
        </w:rPr>
        <w:t xml:space="preserve"> </w:t>
      </w:r>
      <w:r>
        <w:t>факторів</w:t>
      </w:r>
      <w:r>
        <w:rPr>
          <w:spacing w:val="-5"/>
        </w:rPr>
        <w:t xml:space="preserve"> </w:t>
      </w:r>
      <w:r>
        <w:t>і</w:t>
      </w:r>
      <w:r>
        <w:rPr>
          <w:spacing w:val="-3"/>
        </w:rPr>
        <w:t xml:space="preserve"> </w:t>
      </w:r>
      <w:r>
        <w:t>контролю</w:t>
      </w:r>
      <w:r>
        <w:rPr>
          <w:spacing w:val="-5"/>
        </w:rPr>
        <w:t xml:space="preserve"> </w:t>
      </w:r>
      <w:r>
        <w:t xml:space="preserve">критичних </w:t>
      </w:r>
      <w:r>
        <w:rPr>
          <w:spacing w:val="-2"/>
        </w:rPr>
        <w:t>точок;</w:t>
      </w:r>
    </w:p>
    <w:p w:rsidR="00054C19" w:rsidRDefault="00054C19" w:rsidP="00054C19">
      <w:pPr>
        <w:pStyle w:val="a3"/>
        <w:spacing w:before="280" w:line="568" w:lineRule="auto"/>
        <w:ind w:left="502" w:right="5162"/>
        <w:jc w:val="left"/>
      </w:pPr>
      <w:r>
        <w:t>TSA – трипсиново-соєвий агар; TSB</w:t>
      </w:r>
      <w:r>
        <w:rPr>
          <w:spacing w:val="-12"/>
        </w:rPr>
        <w:t xml:space="preserve"> </w:t>
      </w:r>
      <w:r>
        <w:t>–</w:t>
      </w:r>
      <w:r>
        <w:rPr>
          <w:spacing w:val="-9"/>
        </w:rPr>
        <w:t xml:space="preserve"> </w:t>
      </w:r>
      <w:r>
        <w:t>трипсиново-соєвий</w:t>
      </w:r>
      <w:r>
        <w:rPr>
          <w:spacing w:val="-9"/>
        </w:rPr>
        <w:t xml:space="preserve"> </w:t>
      </w:r>
      <w:r>
        <w:t>бульйон.</w:t>
      </w:r>
    </w:p>
    <w:p w:rsidR="00054C19" w:rsidRDefault="00054C19" w:rsidP="00054C19">
      <w:pPr>
        <w:pStyle w:val="a3"/>
        <w:spacing w:line="568" w:lineRule="auto"/>
        <w:jc w:val="left"/>
        <w:sectPr w:rsidR="00054C19">
          <w:headerReference w:type="default" r:id="rId6"/>
          <w:pgSz w:w="11910" w:h="16840"/>
          <w:pgMar w:top="2020" w:right="425" w:bottom="280" w:left="1559" w:header="1716" w:footer="0" w:gutter="0"/>
          <w:cols w:space="720"/>
        </w:sectPr>
      </w:pPr>
    </w:p>
    <w:p w:rsidR="00054C19" w:rsidRDefault="00054C19" w:rsidP="00054C19">
      <w:pPr>
        <w:pStyle w:val="1"/>
        <w:spacing w:before="105"/>
        <w:ind w:left="1655"/>
      </w:pPr>
      <w:r>
        <w:rPr>
          <w:spacing w:val="-2"/>
        </w:rPr>
        <w:lastRenderedPageBreak/>
        <w:t>ВСТУП</w:t>
      </w:r>
    </w:p>
    <w:p w:rsidR="00054C19" w:rsidRDefault="00054C19" w:rsidP="00054C19">
      <w:pPr>
        <w:pStyle w:val="a3"/>
        <w:ind w:left="0"/>
        <w:jc w:val="left"/>
        <w:rPr>
          <w:b/>
        </w:rPr>
      </w:pPr>
    </w:p>
    <w:p w:rsidR="00054C19" w:rsidRDefault="00054C19" w:rsidP="00054C19">
      <w:pPr>
        <w:pStyle w:val="a3"/>
        <w:spacing w:before="85"/>
        <w:ind w:left="0"/>
        <w:jc w:val="left"/>
        <w:rPr>
          <w:b/>
        </w:rPr>
      </w:pPr>
    </w:p>
    <w:p w:rsidR="00054C19" w:rsidRDefault="00054C19" w:rsidP="00054C19">
      <w:pPr>
        <w:pStyle w:val="a3"/>
        <w:spacing w:line="360" w:lineRule="auto"/>
        <w:ind w:right="417" w:firstLine="707"/>
      </w:pPr>
      <w:r>
        <w:t>Сучасна харчова промисловість стикається з численними викликами, пов’язаними із забезпеченням безпеки та якості продуктів харчування.</w:t>
      </w:r>
      <w:r>
        <w:rPr>
          <w:spacing w:val="40"/>
        </w:rPr>
        <w:t xml:space="preserve"> </w:t>
      </w:r>
      <w:r>
        <w:t>Одним із ключових завдань є контроль патогенних мікроорганізмів, які можуть спричиняти псування продуктів або становити загрозу здоров’ю споживачів. Традиційні методи біоконтролю, такі як використання хімічних консервантів та антибіотиків, втрачають ефективність через зростання резистентності бактерій та екологічні обмеження. У цьому контексті бактеріофаги – віруси, що специфічно атакують бактерії – набувають дедалі більшої уваги як перспективний інструмент біологічного контролю.</w:t>
      </w:r>
    </w:p>
    <w:p w:rsidR="00054C19" w:rsidRDefault="00054C19" w:rsidP="00054C19">
      <w:pPr>
        <w:pStyle w:val="a3"/>
        <w:spacing w:before="1" w:line="360" w:lineRule="auto"/>
        <w:ind w:right="426" w:firstLine="707"/>
      </w:pPr>
      <w:r>
        <w:t>Їхня</w:t>
      </w:r>
      <w:r>
        <w:rPr>
          <w:spacing w:val="-1"/>
        </w:rPr>
        <w:t xml:space="preserve"> </w:t>
      </w:r>
      <w:r>
        <w:t>здатність</w:t>
      </w:r>
      <w:r>
        <w:rPr>
          <w:spacing w:val="-2"/>
        </w:rPr>
        <w:t xml:space="preserve"> </w:t>
      </w:r>
      <w:r>
        <w:t>цілеспрямовано</w:t>
      </w:r>
      <w:r>
        <w:rPr>
          <w:spacing w:val="-1"/>
        </w:rPr>
        <w:t xml:space="preserve"> </w:t>
      </w:r>
      <w:r>
        <w:t>знищувати</w:t>
      </w:r>
      <w:r>
        <w:rPr>
          <w:spacing w:val="-1"/>
        </w:rPr>
        <w:t xml:space="preserve"> </w:t>
      </w:r>
      <w:r>
        <w:t>патогенні мікроорганізми</w:t>
      </w:r>
      <w:r>
        <w:rPr>
          <w:spacing w:val="-1"/>
        </w:rPr>
        <w:t xml:space="preserve"> </w:t>
      </w:r>
      <w:r>
        <w:t>без шкоди для корисної мікрофлори та навколишнього середовища робить їх актуальним об’єктом досліджень у харчовій промисловості. Таким чином, використання бактеріофагів є важливим як з теоретичної, так і з прикладної точки</w:t>
      </w:r>
      <w:r>
        <w:rPr>
          <w:spacing w:val="-1"/>
        </w:rPr>
        <w:t xml:space="preserve"> </w:t>
      </w:r>
      <w:r>
        <w:t>зору,</w:t>
      </w:r>
      <w:r>
        <w:rPr>
          <w:spacing w:val="-4"/>
        </w:rPr>
        <w:t xml:space="preserve"> </w:t>
      </w:r>
      <w:r>
        <w:t>оскільки</w:t>
      </w:r>
      <w:r>
        <w:rPr>
          <w:spacing w:val="-1"/>
        </w:rPr>
        <w:t xml:space="preserve"> </w:t>
      </w:r>
      <w:r>
        <w:t>сприяє</w:t>
      </w:r>
      <w:r>
        <w:rPr>
          <w:spacing w:val="-2"/>
        </w:rPr>
        <w:t xml:space="preserve"> </w:t>
      </w:r>
      <w:r>
        <w:t>розробці</w:t>
      </w:r>
      <w:r>
        <w:rPr>
          <w:spacing w:val="-1"/>
        </w:rPr>
        <w:t xml:space="preserve"> </w:t>
      </w:r>
      <w:r>
        <w:t>безпечних</w:t>
      </w:r>
      <w:r>
        <w:rPr>
          <w:spacing w:val="-1"/>
        </w:rPr>
        <w:t xml:space="preserve"> </w:t>
      </w:r>
      <w:r>
        <w:t>та</w:t>
      </w:r>
      <w:r>
        <w:rPr>
          <w:spacing w:val="-2"/>
        </w:rPr>
        <w:t xml:space="preserve"> </w:t>
      </w:r>
      <w:r>
        <w:t>екологічно</w:t>
      </w:r>
      <w:r>
        <w:rPr>
          <w:spacing w:val="-1"/>
        </w:rPr>
        <w:t xml:space="preserve"> </w:t>
      </w:r>
      <w:r>
        <w:t>чистих</w:t>
      </w:r>
      <w:r>
        <w:rPr>
          <w:spacing w:val="-1"/>
        </w:rPr>
        <w:t xml:space="preserve"> </w:t>
      </w:r>
      <w:r>
        <w:t>методів забезпечення якості продуктів.</w:t>
      </w:r>
    </w:p>
    <w:p w:rsidR="00054C19" w:rsidRDefault="00054C19" w:rsidP="00054C19">
      <w:pPr>
        <w:pStyle w:val="a3"/>
        <w:spacing w:before="2" w:line="360" w:lineRule="auto"/>
        <w:ind w:right="420" w:firstLine="707"/>
      </w:pPr>
      <w:r>
        <w:t xml:space="preserve">Питання застосування бактеріофагів у харчовій промисловості активно вивчається у світовій науковій практиці. Зокрема, дослідження [Grygorcewicz et al., 2020], підкреслюється потенціал фагів у боротьбі з такими патогенами, як </w:t>
      </w:r>
      <w:r>
        <w:rPr>
          <w:i/>
        </w:rPr>
        <w:t>Listeria monocytogenes</w:t>
      </w:r>
      <w:r>
        <w:t xml:space="preserve">, </w:t>
      </w:r>
      <w:r>
        <w:rPr>
          <w:i/>
        </w:rPr>
        <w:t xml:space="preserve">Salmonella spp. </w:t>
      </w:r>
      <w:r>
        <w:t xml:space="preserve">та </w:t>
      </w:r>
      <w:r>
        <w:rPr>
          <w:i/>
        </w:rPr>
        <w:t>Escherichia coli</w:t>
      </w:r>
      <w:r>
        <w:t>. Огляд</w:t>
      </w:r>
      <w:r>
        <w:rPr>
          <w:spacing w:val="40"/>
        </w:rPr>
        <w:t xml:space="preserve"> </w:t>
      </w:r>
      <w:r>
        <w:t>літератури свідчить про успішне впровадження фагових препаратів у переробці м’яса, молочних продуктів та готових до вживання продуктів. Проте, незважаючи на значний прогрес, залишаються невирішені питання, пов’язані з оптимізацією фагових препаратів, їхньою стабільністю в різних умовах зберігання. Недостатня вивченість цих аспектів підкреслює актуальність і наукову новизну досліджень, спрямованих на вдосконалення технологій використання бактеріофагів у харчовій промисловості.</w:t>
      </w:r>
    </w:p>
    <w:p w:rsidR="00054C19" w:rsidRDefault="00054C19" w:rsidP="00054C19">
      <w:pPr>
        <w:pStyle w:val="a3"/>
        <w:spacing w:line="360" w:lineRule="auto"/>
        <w:sectPr w:rsidR="00054C19">
          <w:headerReference w:type="default" r:id="rId7"/>
          <w:pgSz w:w="11910" w:h="16840"/>
          <w:pgMar w:top="1020" w:right="425" w:bottom="280" w:left="1559" w:header="719" w:footer="0" w:gutter="0"/>
          <w:pgNumType w:start="5"/>
          <w:cols w:space="720"/>
        </w:sectPr>
      </w:pPr>
    </w:p>
    <w:p w:rsidR="00054C19" w:rsidRDefault="00054C19" w:rsidP="00054C19">
      <w:pPr>
        <w:pStyle w:val="a3"/>
        <w:spacing w:before="102" w:line="362" w:lineRule="auto"/>
        <w:ind w:right="423" w:firstLine="707"/>
      </w:pPr>
      <w:r>
        <w:rPr>
          <w:b/>
        </w:rPr>
        <w:lastRenderedPageBreak/>
        <w:t xml:space="preserve">Мета дослідження </w:t>
      </w:r>
      <w:r>
        <w:t>розробити та апробувати модель біоконтролю патогенних мікроорганізмів.</w:t>
      </w:r>
    </w:p>
    <w:p w:rsidR="00054C19" w:rsidRDefault="00054C19" w:rsidP="00054C19">
      <w:pPr>
        <w:pStyle w:val="2"/>
        <w:spacing w:line="317" w:lineRule="exact"/>
        <w:ind w:left="851"/>
        <w:rPr>
          <w:b w:val="0"/>
        </w:rPr>
      </w:pPr>
      <w:r>
        <w:t>Завдання</w:t>
      </w:r>
      <w:r>
        <w:rPr>
          <w:spacing w:val="-7"/>
        </w:rPr>
        <w:t xml:space="preserve"> </w:t>
      </w:r>
      <w:r>
        <w:rPr>
          <w:spacing w:val="-2"/>
        </w:rPr>
        <w:t>дослідження</w:t>
      </w:r>
      <w:r>
        <w:rPr>
          <w:b w:val="0"/>
          <w:spacing w:val="-2"/>
        </w:rPr>
        <w:t>:</w:t>
      </w:r>
    </w:p>
    <w:p w:rsidR="00054C19" w:rsidRDefault="00054C19" w:rsidP="00054C19">
      <w:pPr>
        <w:pStyle w:val="a5"/>
        <w:numPr>
          <w:ilvl w:val="0"/>
          <w:numId w:val="1"/>
        </w:numPr>
        <w:tabs>
          <w:tab w:val="left" w:pos="644"/>
        </w:tabs>
        <w:spacing w:before="161" w:line="360" w:lineRule="auto"/>
        <w:ind w:right="417"/>
        <w:jc w:val="both"/>
        <w:rPr>
          <w:sz w:val="28"/>
        </w:rPr>
      </w:pPr>
      <w:r>
        <w:rPr>
          <w:sz w:val="28"/>
        </w:rPr>
        <w:t>Вивчити видовий склад патогенних бактерій (</w:t>
      </w:r>
      <w:r>
        <w:rPr>
          <w:i/>
          <w:sz w:val="28"/>
        </w:rPr>
        <w:t xml:space="preserve">Listeria monocytogenes, Salmonella enterica </w:t>
      </w:r>
      <w:r>
        <w:rPr>
          <w:sz w:val="28"/>
        </w:rPr>
        <w:t xml:space="preserve">та </w:t>
      </w:r>
      <w:r>
        <w:rPr>
          <w:i/>
          <w:sz w:val="28"/>
        </w:rPr>
        <w:t>Escherichia coli)</w:t>
      </w:r>
      <w:r>
        <w:rPr>
          <w:sz w:val="28"/>
        </w:rPr>
        <w:t>, характерних для певних груп харчових продуктів.</w:t>
      </w:r>
    </w:p>
    <w:p w:rsidR="00054C19" w:rsidRDefault="00054C19" w:rsidP="00054C19">
      <w:pPr>
        <w:pStyle w:val="a5"/>
        <w:numPr>
          <w:ilvl w:val="0"/>
          <w:numId w:val="1"/>
        </w:numPr>
        <w:tabs>
          <w:tab w:val="left" w:pos="644"/>
        </w:tabs>
        <w:spacing w:before="1" w:line="360" w:lineRule="auto"/>
        <w:ind w:right="419"/>
        <w:jc w:val="both"/>
        <w:rPr>
          <w:sz w:val="28"/>
        </w:rPr>
      </w:pPr>
      <w:r>
        <w:rPr>
          <w:sz w:val="28"/>
        </w:rPr>
        <w:t>Оцінити специфічність і ефективність дії бактеріофагів родин</w:t>
      </w:r>
      <w:r>
        <w:rPr>
          <w:spacing w:val="80"/>
          <w:sz w:val="28"/>
        </w:rPr>
        <w:t xml:space="preserve"> </w:t>
      </w:r>
      <w:r>
        <w:rPr>
          <w:i/>
          <w:sz w:val="28"/>
        </w:rPr>
        <w:t xml:space="preserve">Myoviridae, Siphoviridae, Podoviridae </w:t>
      </w:r>
      <w:r>
        <w:rPr>
          <w:sz w:val="28"/>
        </w:rPr>
        <w:t>на цільові патогени в модельних харчових системах.</w:t>
      </w:r>
    </w:p>
    <w:p w:rsidR="00054C19" w:rsidRDefault="00054C19" w:rsidP="00054C19">
      <w:pPr>
        <w:pStyle w:val="a5"/>
        <w:numPr>
          <w:ilvl w:val="0"/>
          <w:numId w:val="1"/>
        </w:numPr>
        <w:tabs>
          <w:tab w:val="left" w:pos="643"/>
        </w:tabs>
        <w:spacing w:before="1"/>
        <w:ind w:left="643" w:hanging="359"/>
        <w:jc w:val="both"/>
        <w:rPr>
          <w:sz w:val="28"/>
        </w:rPr>
      </w:pPr>
      <w:r>
        <w:rPr>
          <w:sz w:val="28"/>
        </w:rPr>
        <w:t>Дослідити</w:t>
      </w:r>
      <w:r>
        <w:rPr>
          <w:spacing w:val="-7"/>
          <w:sz w:val="28"/>
        </w:rPr>
        <w:t xml:space="preserve"> </w:t>
      </w:r>
      <w:r>
        <w:rPr>
          <w:sz w:val="28"/>
        </w:rPr>
        <w:t>вплив</w:t>
      </w:r>
      <w:r>
        <w:rPr>
          <w:spacing w:val="-6"/>
          <w:sz w:val="28"/>
        </w:rPr>
        <w:t xml:space="preserve"> </w:t>
      </w:r>
      <w:r>
        <w:rPr>
          <w:sz w:val="28"/>
        </w:rPr>
        <w:t>умов</w:t>
      </w:r>
      <w:r>
        <w:rPr>
          <w:spacing w:val="-6"/>
          <w:sz w:val="28"/>
        </w:rPr>
        <w:t xml:space="preserve"> </w:t>
      </w:r>
      <w:r>
        <w:rPr>
          <w:sz w:val="28"/>
        </w:rPr>
        <w:t>фагових</w:t>
      </w:r>
      <w:r>
        <w:rPr>
          <w:spacing w:val="-4"/>
          <w:sz w:val="28"/>
        </w:rPr>
        <w:t xml:space="preserve"> </w:t>
      </w:r>
      <w:r>
        <w:rPr>
          <w:sz w:val="28"/>
        </w:rPr>
        <w:t>препаратів</w:t>
      </w:r>
      <w:r>
        <w:rPr>
          <w:spacing w:val="-2"/>
          <w:sz w:val="28"/>
        </w:rPr>
        <w:t xml:space="preserve"> </w:t>
      </w:r>
      <w:r>
        <w:rPr>
          <w:sz w:val="28"/>
        </w:rPr>
        <w:t>на</w:t>
      </w:r>
      <w:r>
        <w:rPr>
          <w:spacing w:val="-7"/>
          <w:sz w:val="28"/>
        </w:rPr>
        <w:t xml:space="preserve"> </w:t>
      </w:r>
      <w:r>
        <w:rPr>
          <w:sz w:val="28"/>
        </w:rPr>
        <w:t>їх</w:t>
      </w:r>
      <w:r>
        <w:rPr>
          <w:spacing w:val="-4"/>
          <w:sz w:val="28"/>
        </w:rPr>
        <w:t xml:space="preserve"> </w:t>
      </w:r>
      <w:r>
        <w:rPr>
          <w:spacing w:val="-2"/>
          <w:sz w:val="28"/>
        </w:rPr>
        <w:t>ефективність.</w:t>
      </w:r>
    </w:p>
    <w:p w:rsidR="00054C19" w:rsidRDefault="00054C19" w:rsidP="00054C19">
      <w:pPr>
        <w:spacing w:before="160"/>
        <w:ind w:left="644"/>
        <w:jc w:val="both"/>
        <w:rPr>
          <w:sz w:val="28"/>
        </w:rPr>
      </w:pPr>
      <w:r>
        <w:rPr>
          <w:b/>
          <w:sz w:val="28"/>
        </w:rPr>
        <w:t>Об’єкт</w:t>
      </w:r>
      <w:r>
        <w:rPr>
          <w:b/>
          <w:spacing w:val="-7"/>
          <w:sz w:val="28"/>
        </w:rPr>
        <w:t xml:space="preserve"> </w:t>
      </w:r>
      <w:r>
        <w:rPr>
          <w:b/>
          <w:sz w:val="28"/>
        </w:rPr>
        <w:t>дослідження</w:t>
      </w:r>
      <w:r>
        <w:rPr>
          <w:b/>
          <w:spacing w:val="-6"/>
          <w:sz w:val="28"/>
        </w:rPr>
        <w:t xml:space="preserve"> </w:t>
      </w:r>
      <w:r>
        <w:rPr>
          <w:b/>
          <w:sz w:val="28"/>
        </w:rPr>
        <w:t>–</w:t>
      </w:r>
      <w:r>
        <w:rPr>
          <w:b/>
          <w:spacing w:val="-6"/>
          <w:sz w:val="28"/>
        </w:rPr>
        <w:t xml:space="preserve"> </w:t>
      </w:r>
      <w:r>
        <w:rPr>
          <w:sz w:val="28"/>
        </w:rPr>
        <w:t>ефективність</w:t>
      </w:r>
      <w:r>
        <w:rPr>
          <w:spacing w:val="-6"/>
          <w:sz w:val="28"/>
        </w:rPr>
        <w:t xml:space="preserve"> </w:t>
      </w:r>
      <w:r>
        <w:rPr>
          <w:sz w:val="28"/>
        </w:rPr>
        <w:t>і</w:t>
      </w:r>
      <w:r>
        <w:rPr>
          <w:spacing w:val="-6"/>
          <w:sz w:val="28"/>
        </w:rPr>
        <w:t xml:space="preserve"> </w:t>
      </w:r>
      <w:r>
        <w:rPr>
          <w:sz w:val="28"/>
        </w:rPr>
        <w:t>специфічність</w:t>
      </w:r>
      <w:r>
        <w:rPr>
          <w:spacing w:val="-7"/>
          <w:sz w:val="28"/>
        </w:rPr>
        <w:t xml:space="preserve"> </w:t>
      </w:r>
      <w:r>
        <w:rPr>
          <w:sz w:val="28"/>
        </w:rPr>
        <w:t>дії</w:t>
      </w:r>
      <w:r>
        <w:rPr>
          <w:spacing w:val="-5"/>
          <w:sz w:val="28"/>
        </w:rPr>
        <w:t xml:space="preserve"> </w:t>
      </w:r>
      <w:r>
        <w:rPr>
          <w:spacing w:val="-2"/>
          <w:sz w:val="28"/>
        </w:rPr>
        <w:t>бактеріофагів</w:t>
      </w:r>
    </w:p>
    <w:p w:rsidR="00054C19" w:rsidRDefault="00054C19" w:rsidP="00054C19">
      <w:pPr>
        <w:pStyle w:val="a3"/>
        <w:spacing w:before="161" w:line="360" w:lineRule="auto"/>
        <w:ind w:left="644" w:right="432"/>
      </w:pPr>
      <w:r>
        <w:t xml:space="preserve">на патогенні бактерії в умовах виробництва та зберігання харчових </w:t>
      </w:r>
      <w:r>
        <w:rPr>
          <w:spacing w:val="-2"/>
        </w:rPr>
        <w:t>продуктів.</w:t>
      </w:r>
    </w:p>
    <w:p w:rsidR="00054C19" w:rsidRDefault="00054C19" w:rsidP="00054C19">
      <w:pPr>
        <w:pStyle w:val="a3"/>
        <w:spacing w:before="1" w:line="360" w:lineRule="auto"/>
        <w:ind w:left="644" w:right="425"/>
      </w:pPr>
      <w:r>
        <w:rPr>
          <w:b/>
        </w:rPr>
        <w:t xml:space="preserve">Предмет дослідження </w:t>
      </w:r>
      <w:r>
        <w:t xml:space="preserve">– патогенні мікроорганізми, що є збудниками харчових отруєнь і здатні до утворення біоплівок у харчовому </w:t>
      </w:r>
      <w:r>
        <w:rPr>
          <w:spacing w:val="-2"/>
        </w:rPr>
        <w:t>виробництві.</w:t>
      </w:r>
    </w:p>
    <w:p w:rsidR="00054C19" w:rsidRDefault="00054C19" w:rsidP="00054C19">
      <w:pPr>
        <w:pStyle w:val="a3"/>
        <w:spacing w:line="360" w:lineRule="auto"/>
        <w:sectPr w:rsidR="00054C19">
          <w:pgSz w:w="11910" w:h="16840"/>
          <w:pgMar w:top="1020" w:right="425" w:bottom="280" w:left="1559" w:header="719" w:footer="0" w:gutter="0"/>
          <w:cols w:space="720"/>
        </w:sectPr>
      </w:pPr>
    </w:p>
    <w:p w:rsidR="00F71913" w:rsidRDefault="00F71913" w:rsidP="00F71913">
      <w:pPr>
        <w:pStyle w:val="1"/>
        <w:ind w:left="1654"/>
      </w:pPr>
      <w:r>
        <w:rPr>
          <w:spacing w:val="-2"/>
        </w:rPr>
        <w:lastRenderedPageBreak/>
        <w:t>ВИСНОВКИ</w:t>
      </w:r>
    </w:p>
    <w:p w:rsidR="00F71913" w:rsidRDefault="00F71913" w:rsidP="00F71913">
      <w:pPr>
        <w:pStyle w:val="a5"/>
        <w:numPr>
          <w:ilvl w:val="0"/>
          <w:numId w:val="8"/>
        </w:numPr>
        <w:tabs>
          <w:tab w:val="left" w:pos="1557"/>
        </w:tabs>
        <w:spacing w:before="163" w:line="360" w:lineRule="auto"/>
        <w:ind w:right="420" w:firstLine="566"/>
        <w:jc w:val="both"/>
        <w:rPr>
          <w:sz w:val="28"/>
        </w:rPr>
      </w:pPr>
      <w:r>
        <w:rPr>
          <w:sz w:val="28"/>
        </w:rPr>
        <w:t xml:space="preserve">Було встановлено, що найчастіше джерелами мікробіологічної небезпеки у продуктах тваринного та рослинного походження є </w:t>
      </w:r>
      <w:r>
        <w:rPr>
          <w:i/>
          <w:sz w:val="28"/>
        </w:rPr>
        <w:t xml:space="preserve">Listeria monocytogenes, Salmonella enterica </w:t>
      </w:r>
      <w:r>
        <w:rPr>
          <w:sz w:val="28"/>
        </w:rPr>
        <w:t xml:space="preserve">(зокрема штам ST-19) та </w:t>
      </w:r>
      <w:r>
        <w:rPr>
          <w:i/>
          <w:sz w:val="28"/>
        </w:rPr>
        <w:t xml:space="preserve">Escherichia coli </w:t>
      </w:r>
      <w:r>
        <w:rPr>
          <w:sz w:val="28"/>
        </w:rPr>
        <w:t>O157:H7. Їх наявність підтверджено як у лабораторних штамах (ATCC), так і у польових ізолятах. Особливо стійкими до класичних методів обробки виявилися патогени, здатні формувати біоплівки, адаптуватися до антисептиків та виживати при сублетальних температурах.</w:t>
      </w:r>
    </w:p>
    <w:p w:rsidR="00F71913" w:rsidRDefault="00F71913" w:rsidP="00F71913">
      <w:pPr>
        <w:pStyle w:val="a5"/>
        <w:numPr>
          <w:ilvl w:val="0"/>
          <w:numId w:val="8"/>
        </w:numPr>
        <w:tabs>
          <w:tab w:val="left" w:pos="1557"/>
        </w:tabs>
        <w:spacing w:line="360" w:lineRule="auto"/>
        <w:ind w:right="419" w:firstLine="566"/>
        <w:jc w:val="both"/>
        <w:rPr>
          <w:sz w:val="28"/>
        </w:rPr>
      </w:pPr>
      <w:r>
        <w:rPr>
          <w:sz w:val="28"/>
        </w:rPr>
        <w:t>Бактеріофаги продемонстрували високу специфічність до цільових мікроорганізмів із редукцією титру патогенів у межах 2.8-4.6 log</w:t>
      </w:r>
      <w:r>
        <w:rPr>
          <w:rFonts w:ascii="Cambria Math" w:hAnsi="Cambria Math"/>
          <w:sz w:val="28"/>
        </w:rPr>
        <w:t xml:space="preserve">₁₀ </w:t>
      </w:r>
      <w:r>
        <w:rPr>
          <w:sz w:val="28"/>
        </w:rPr>
        <w:t xml:space="preserve">КУО/г залежно від матриці продукту. У м’ясній продукції рівень зниження </w:t>
      </w:r>
      <w:r>
        <w:rPr>
          <w:i/>
          <w:sz w:val="28"/>
        </w:rPr>
        <w:t xml:space="preserve">Salmonella </w:t>
      </w:r>
      <w:r>
        <w:rPr>
          <w:sz w:val="28"/>
        </w:rPr>
        <w:t>досягав 4.1 log</w:t>
      </w:r>
      <w:r>
        <w:rPr>
          <w:rFonts w:ascii="Cambria Math" w:hAnsi="Cambria Math"/>
          <w:sz w:val="28"/>
        </w:rPr>
        <w:t>₁₀</w:t>
      </w:r>
      <w:r>
        <w:rPr>
          <w:sz w:val="28"/>
        </w:rPr>
        <w:t xml:space="preserve">, у молочних зразках фаги знижували чисельність </w:t>
      </w:r>
      <w:r>
        <w:rPr>
          <w:i/>
          <w:sz w:val="28"/>
        </w:rPr>
        <w:t xml:space="preserve">Listeria </w:t>
      </w:r>
      <w:r>
        <w:rPr>
          <w:sz w:val="28"/>
        </w:rPr>
        <w:t>на 3.1-4.2 log</w:t>
      </w:r>
      <w:r>
        <w:rPr>
          <w:rFonts w:ascii="Cambria Math" w:hAnsi="Cambria Math"/>
          <w:sz w:val="28"/>
        </w:rPr>
        <w:t>₁₀</w:t>
      </w:r>
      <w:r>
        <w:rPr>
          <w:sz w:val="28"/>
        </w:rPr>
        <w:t xml:space="preserve">, а в овочах (листова зелень) зниження </w:t>
      </w:r>
      <w:r>
        <w:rPr>
          <w:i/>
          <w:sz w:val="28"/>
        </w:rPr>
        <w:t xml:space="preserve">E. coli </w:t>
      </w:r>
      <w:r>
        <w:rPr>
          <w:sz w:val="28"/>
        </w:rPr>
        <w:t>O157:H7 становило до 3.8 log</w:t>
      </w:r>
      <w:r>
        <w:rPr>
          <w:rFonts w:ascii="Cambria Math" w:hAnsi="Cambria Math"/>
          <w:sz w:val="28"/>
        </w:rPr>
        <w:t xml:space="preserve">₁₀ </w:t>
      </w:r>
      <w:r>
        <w:rPr>
          <w:sz w:val="28"/>
        </w:rPr>
        <w:t>через 72 години. Встановлено, що фаги не змінюють сенсорні характеристики продукту, не залишають токсичних залишків, зберігають активність при холодильному зберіганні і не потребують повторної аплікації, на відміну від хімічних і термічних методів.</w:t>
      </w:r>
    </w:p>
    <w:p w:rsidR="00F71913" w:rsidRDefault="00F71913" w:rsidP="00F71913">
      <w:pPr>
        <w:pStyle w:val="a5"/>
        <w:numPr>
          <w:ilvl w:val="0"/>
          <w:numId w:val="8"/>
        </w:numPr>
        <w:tabs>
          <w:tab w:val="left" w:pos="1557"/>
        </w:tabs>
        <w:spacing w:before="1" w:line="360" w:lineRule="auto"/>
        <w:ind w:right="425" w:firstLine="566"/>
        <w:jc w:val="both"/>
        <w:rPr>
          <w:sz w:val="28"/>
        </w:rPr>
      </w:pPr>
      <w:r>
        <w:rPr>
          <w:sz w:val="28"/>
        </w:rPr>
        <w:t>Було підтверджено, що ефективність фаготерапії залежить від низки чинників: титру аплікації, типу поверхні, вологості середовища та рівномірності нанесення. Виявлено, що збереження активності фагів у продукті протягом 72 годин і більше є можливим за умови правильного вибору носія (аерозольна форма), температури зберігання (4°C) та концентрації (≥10</w:t>
      </w:r>
      <w:r>
        <w:rPr>
          <w:rFonts w:ascii="Cambria Math" w:hAnsi="Cambria Math"/>
          <w:sz w:val="28"/>
        </w:rPr>
        <w:t xml:space="preserve">⁷ </w:t>
      </w:r>
      <w:r>
        <w:rPr>
          <w:sz w:val="28"/>
        </w:rPr>
        <w:t xml:space="preserve">PFU/г). У серіях, де використовували змішані фагові коктейлі, спостерігали вищу ефективність у подоланні бактеріальної </w:t>
      </w:r>
      <w:r>
        <w:rPr>
          <w:spacing w:val="-2"/>
          <w:sz w:val="28"/>
        </w:rPr>
        <w:t>резистентності.</w:t>
      </w:r>
    </w:p>
    <w:p w:rsidR="00F71913" w:rsidRDefault="00F71913" w:rsidP="00F71913">
      <w:pPr>
        <w:pStyle w:val="a5"/>
        <w:spacing w:line="360" w:lineRule="auto"/>
        <w:rPr>
          <w:sz w:val="28"/>
        </w:rPr>
        <w:sectPr w:rsidR="00F71913">
          <w:pgSz w:w="11910" w:h="16840"/>
          <w:pgMar w:top="1020" w:right="425" w:bottom="280" w:left="1559" w:header="719" w:footer="0" w:gutter="0"/>
          <w:cols w:space="720"/>
        </w:sectPr>
      </w:pPr>
    </w:p>
    <w:p w:rsidR="00F71913" w:rsidRDefault="00F71913" w:rsidP="00F71913">
      <w:pPr>
        <w:pStyle w:val="1"/>
        <w:ind w:left="1650"/>
      </w:pPr>
      <w:bookmarkStart w:id="1" w:name="_bookmark9"/>
      <w:bookmarkEnd w:id="1"/>
      <w:r>
        <w:lastRenderedPageBreak/>
        <w:t>СПИСОК</w:t>
      </w:r>
      <w:r>
        <w:rPr>
          <w:spacing w:val="-11"/>
        </w:rPr>
        <w:t xml:space="preserve"> </w:t>
      </w:r>
      <w:r>
        <w:t>ВИКОРИСТАНИХ</w:t>
      </w:r>
      <w:r>
        <w:rPr>
          <w:spacing w:val="-12"/>
        </w:rPr>
        <w:t xml:space="preserve"> </w:t>
      </w:r>
      <w:r>
        <w:rPr>
          <w:spacing w:val="-2"/>
        </w:rPr>
        <w:t>ДЖЕРЕЛ</w:t>
      </w:r>
    </w:p>
    <w:p w:rsidR="00F71913" w:rsidRDefault="00F71913" w:rsidP="00F71913">
      <w:pPr>
        <w:pStyle w:val="a3"/>
        <w:ind w:left="0"/>
        <w:jc w:val="left"/>
        <w:rPr>
          <w:b/>
        </w:rPr>
      </w:pPr>
    </w:p>
    <w:p w:rsidR="00F71913" w:rsidRDefault="00F71913" w:rsidP="00F71913">
      <w:pPr>
        <w:pStyle w:val="a3"/>
        <w:spacing w:before="2"/>
        <w:ind w:left="0"/>
        <w:jc w:val="left"/>
        <w:rPr>
          <w:b/>
        </w:rPr>
      </w:pPr>
    </w:p>
    <w:p w:rsidR="00F71913" w:rsidRDefault="00F71913" w:rsidP="00F71913">
      <w:pPr>
        <w:pStyle w:val="a5"/>
        <w:numPr>
          <w:ilvl w:val="1"/>
          <w:numId w:val="8"/>
        </w:numPr>
        <w:tabs>
          <w:tab w:val="left" w:pos="1557"/>
        </w:tabs>
        <w:spacing w:line="360" w:lineRule="auto"/>
        <w:ind w:right="427" w:firstLine="707"/>
        <w:jc w:val="both"/>
        <w:rPr>
          <w:sz w:val="28"/>
        </w:rPr>
      </w:pPr>
      <w:r>
        <w:rPr>
          <w:sz w:val="28"/>
        </w:rPr>
        <w:t>Васильків О.Б. Перспективність використання бактеріофагів для забезпечення безпечності харчових продуктів. // Матеріали Міжнародної науково-технічної конференції. 2023. С. 52–53.</w:t>
      </w:r>
    </w:p>
    <w:p w:rsidR="00F71913" w:rsidRDefault="00F71913" w:rsidP="00F71913">
      <w:pPr>
        <w:pStyle w:val="a5"/>
        <w:numPr>
          <w:ilvl w:val="1"/>
          <w:numId w:val="8"/>
        </w:numPr>
        <w:tabs>
          <w:tab w:val="left" w:pos="1557"/>
        </w:tabs>
        <w:spacing w:before="1" w:line="360" w:lineRule="auto"/>
        <w:ind w:right="418" w:firstLine="707"/>
        <w:jc w:val="both"/>
        <w:rPr>
          <w:sz w:val="28"/>
        </w:rPr>
      </w:pPr>
      <w:r>
        <w:rPr>
          <w:sz w:val="28"/>
        </w:rPr>
        <w:t>Горюк Ю.В. Взаємодія бактеріофагу Phage SAvB14 та чутливої</w:t>
      </w:r>
      <w:r>
        <w:rPr>
          <w:spacing w:val="40"/>
          <w:sz w:val="28"/>
        </w:rPr>
        <w:t xml:space="preserve"> </w:t>
      </w:r>
      <w:r>
        <w:rPr>
          <w:sz w:val="28"/>
        </w:rPr>
        <w:t>до нього культури S. aureus var. bovis. // Матеріали щорічної науково- практичної конференції молодих вчених. 2021. С. 6–7.</w:t>
      </w:r>
    </w:p>
    <w:p w:rsidR="00F71913" w:rsidRDefault="00F71913" w:rsidP="00F71913">
      <w:pPr>
        <w:pStyle w:val="a5"/>
        <w:numPr>
          <w:ilvl w:val="1"/>
          <w:numId w:val="8"/>
        </w:numPr>
        <w:tabs>
          <w:tab w:val="left" w:pos="1557"/>
        </w:tabs>
        <w:spacing w:line="360" w:lineRule="auto"/>
        <w:ind w:right="423" w:firstLine="707"/>
        <w:jc w:val="both"/>
        <w:rPr>
          <w:sz w:val="28"/>
        </w:rPr>
      </w:pPr>
      <w:r>
        <w:rPr>
          <w:sz w:val="28"/>
        </w:rPr>
        <w:t>Горюк Ю.В., Горюк В.В. Перспективи використання бактеріофагів в якості біоконтролю золотистого стафілококу в молоці // V Міжнародна науково-технічна конференція «Стан і перспективи харчової науки та промисловості». 2019. С. 70–71.</w:t>
      </w:r>
    </w:p>
    <w:p w:rsidR="00F71913" w:rsidRDefault="00F71913" w:rsidP="00F71913">
      <w:pPr>
        <w:pStyle w:val="a5"/>
        <w:numPr>
          <w:ilvl w:val="1"/>
          <w:numId w:val="8"/>
        </w:numPr>
        <w:tabs>
          <w:tab w:val="left" w:pos="1557"/>
        </w:tabs>
        <w:spacing w:line="360" w:lineRule="auto"/>
        <w:ind w:right="425" w:firstLine="707"/>
        <w:jc w:val="both"/>
        <w:rPr>
          <w:sz w:val="28"/>
        </w:rPr>
      </w:pPr>
      <w:r>
        <w:rPr>
          <w:sz w:val="28"/>
        </w:rPr>
        <w:t>Горюк</w:t>
      </w:r>
      <w:r>
        <w:rPr>
          <w:spacing w:val="-5"/>
          <w:sz w:val="28"/>
        </w:rPr>
        <w:t xml:space="preserve"> </w:t>
      </w:r>
      <w:r>
        <w:rPr>
          <w:sz w:val="28"/>
        </w:rPr>
        <w:t>Ю.В.,</w:t>
      </w:r>
      <w:r>
        <w:rPr>
          <w:spacing w:val="-6"/>
          <w:sz w:val="28"/>
        </w:rPr>
        <w:t xml:space="preserve"> </w:t>
      </w:r>
      <w:r>
        <w:rPr>
          <w:sz w:val="28"/>
        </w:rPr>
        <w:t>Кухтин</w:t>
      </w:r>
      <w:r>
        <w:rPr>
          <w:spacing w:val="-5"/>
          <w:sz w:val="28"/>
        </w:rPr>
        <w:t xml:space="preserve"> </w:t>
      </w:r>
      <w:r>
        <w:rPr>
          <w:sz w:val="28"/>
        </w:rPr>
        <w:t>М.Д.</w:t>
      </w:r>
      <w:r>
        <w:rPr>
          <w:spacing w:val="-5"/>
          <w:sz w:val="28"/>
        </w:rPr>
        <w:t xml:space="preserve"> </w:t>
      </w:r>
      <w:r>
        <w:rPr>
          <w:sz w:val="28"/>
        </w:rPr>
        <w:t>Біоконтроль</w:t>
      </w:r>
      <w:r>
        <w:rPr>
          <w:spacing w:val="-6"/>
          <w:sz w:val="28"/>
        </w:rPr>
        <w:t xml:space="preserve"> </w:t>
      </w:r>
      <w:r>
        <w:rPr>
          <w:sz w:val="28"/>
        </w:rPr>
        <w:t>золотистого</w:t>
      </w:r>
      <w:r>
        <w:rPr>
          <w:spacing w:val="-4"/>
          <w:sz w:val="28"/>
        </w:rPr>
        <w:t xml:space="preserve"> </w:t>
      </w:r>
      <w:r>
        <w:rPr>
          <w:sz w:val="28"/>
        </w:rPr>
        <w:t>стафілокока</w:t>
      </w:r>
      <w:r>
        <w:rPr>
          <w:spacing w:val="-5"/>
          <w:sz w:val="28"/>
        </w:rPr>
        <w:t xml:space="preserve"> </w:t>
      </w:r>
      <w:r>
        <w:rPr>
          <w:sz w:val="28"/>
        </w:rPr>
        <w:t>у стічних водах молокопереробних підприємств. // Якість води: біомедичні, технологічні, агропромислові і екологічні аспекти. Тези доповідей І Міжнародної науково-технічної конференції. 2021. С. 81–82.</w:t>
      </w:r>
    </w:p>
    <w:p w:rsidR="00F71913" w:rsidRDefault="00F71913" w:rsidP="00F71913">
      <w:pPr>
        <w:pStyle w:val="a5"/>
        <w:numPr>
          <w:ilvl w:val="1"/>
          <w:numId w:val="8"/>
        </w:numPr>
        <w:tabs>
          <w:tab w:val="left" w:pos="1557"/>
        </w:tabs>
        <w:spacing w:line="360" w:lineRule="auto"/>
        <w:ind w:right="428" w:firstLine="707"/>
        <w:jc w:val="both"/>
        <w:rPr>
          <w:sz w:val="28"/>
        </w:rPr>
      </w:pPr>
      <w:r>
        <w:rPr>
          <w:sz w:val="28"/>
        </w:rPr>
        <w:t>Дуда О. К. Бойко В. О. Коцюбайло Л. П. Сучасні можливості запобігання антибіотикорезистентності. Бактеріофаги як антимікробні</w:t>
      </w:r>
      <w:r>
        <w:rPr>
          <w:spacing w:val="40"/>
          <w:sz w:val="28"/>
        </w:rPr>
        <w:t xml:space="preserve"> </w:t>
      </w:r>
      <w:r>
        <w:rPr>
          <w:sz w:val="28"/>
        </w:rPr>
        <w:t>агенти. Сімейна медицина. 2017. № 4(72). С. 16-21.</w:t>
      </w:r>
    </w:p>
    <w:p w:rsidR="00F71913" w:rsidRDefault="00F71913" w:rsidP="00F71913">
      <w:pPr>
        <w:pStyle w:val="a5"/>
        <w:numPr>
          <w:ilvl w:val="1"/>
          <w:numId w:val="8"/>
        </w:numPr>
        <w:tabs>
          <w:tab w:val="left" w:pos="1557"/>
        </w:tabs>
        <w:spacing w:line="360" w:lineRule="auto"/>
        <w:ind w:right="425" w:firstLine="707"/>
        <w:jc w:val="both"/>
        <w:rPr>
          <w:sz w:val="28"/>
        </w:rPr>
      </w:pPr>
      <w:r>
        <w:rPr>
          <w:sz w:val="28"/>
        </w:rPr>
        <w:t>Заїка С.А. Літичні бактеріофаги агроценозів України: біологічні властивості та ефективність у фаготерапії фітобактеріозів. Дис. канд. біол. наук. Київський національний університет імені Тараса Шевченка, 2015.</w:t>
      </w:r>
    </w:p>
    <w:p w:rsidR="00F71913" w:rsidRDefault="00F71913" w:rsidP="00F71913">
      <w:pPr>
        <w:pStyle w:val="a5"/>
        <w:numPr>
          <w:ilvl w:val="1"/>
          <w:numId w:val="8"/>
        </w:numPr>
        <w:tabs>
          <w:tab w:val="left" w:pos="1557"/>
        </w:tabs>
        <w:spacing w:before="1" w:line="360" w:lineRule="auto"/>
        <w:ind w:right="425" w:firstLine="707"/>
        <w:jc w:val="both"/>
        <w:rPr>
          <w:sz w:val="28"/>
        </w:rPr>
      </w:pPr>
      <w:r>
        <w:rPr>
          <w:sz w:val="28"/>
        </w:rPr>
        <w:t>Підгорський В.С., Левченко Л.В. Бактеріофаги: механізми взаємодії з бактеріями та перспективи використання. // Тези доповідей Міжнародної наукової конференції. 2017.</w:t>
      </w:r>
    </w:p>
    <w:p w:rsidR="00F71913" w:rsidRDefault="00F71913" w:rsidP="00F71913">
      <w:pPr>
        <w:pStyle w:val="a5"/>
        <w:numPr>
          <w:ilvl w:val="1"/>
          <w:numId w:val="8"/>
        </w:numPr>
        <w:tabs>
          <w:tab w:val="left" w:pos="1557"/>
        </w:tabs>
        <w:spacing w:line="360" w:lineRule="auto"/>
        <w:ind w:right="424" w:firstLine="707"/>
        <w:jc w:val="both"/>
        <w:rPr>
          <w:sz w:val="28"/>
        </w:rPr>
      </w:pPr>
      <w:r>
        <w:rPr>
          <w:sz w:val="28"/>
        </w:rPr>
        <w:t>Хмельницька С., Шидловська І. Дослідження властивостей бактеріофагів, виділених з харчових продуктів та ґрунту. // Київський національний університет технологій та дизайну. 2021.</w:t>
      </w:r>
    </w:p>
    <w:p w:rsidR="00F71913" w:rsidRDefault="00F71913" w:rsidP="00F71913">
      <w:pPr>
        <w:pStyle w:val="a5"/>
        <w:numPr>
          <w:ilvl w:val="1"/>
          <w:numId w:val="8"/>
        </w:numPr>
        <w:tabs>
          <w:tab w:val="left" w:pos="1557"/>
        </w:tabs>
        <w:spacing w:line="360" w:lineRule="auto"/>
        <w:ind w:right="427" w:firstLine="707"/>
        <w:jc w:val="both"/>
        <w:rPr>
          <w:sz w:val="28"/>
        </w:rPr>
      </w:pPr>
      <w:r>
        <w:rPr>
          <w:sz w:val="28"/>
        </w:rPr>
        <w:t xml:space="preserve">Abedon S.T., Kuhl S.J., Blasdel B.G., Kutter E.M. Phage treatment of human infections. </w:t>
      </w:r>
      <w:r>
        <w:rPr>
          <w:i/>
          <w:sz w:val="28"/>
        </w:rPr>
        <w:t>Bacteriophage</w:t>
      </w:r>
      <w:r>
        <w:rPr>
          <w:sz w:val="28"/>
        </w:rPr>
        <w:t>. 2011;1(2):66–85.</w:t>
      </w:r>
    </w:p>
    <w:p w:rsidR="00F71913" w:rsidRDefault="00F71913" w:rsidP="00F71913">
      <w:pPr>
        <w:pStyle w:val="a5"/>
        <w:spacing w:line="360" w:lineRule="auto"/>
        <w:rPr>
          <w:sz w:val="28"/>
        </w:rPr>
        <w:sectPr w:rsidR="00F71913">
          <w:pgSz w:w="11910" w:h="16840"/>
          <w:pgMar w:top="1020" w:right="425" w:bottom="280" w:left="1559" w:header="719" w:footer="0" w:gutter="0"/>
          <w:cols w:space="720"/>
        </w:sectPr>
      </w:pPr>
    </w:p>
    <w:p w:rsidR="00F71913" w:rsidRDefault="00F71913" w:rsidP="00F71913">
      <w:pPr>
        <w:pStyle w:val="a5"/>
        <w:numPr>
          <w:ilvl w:val="1"/>
          <w:numId w:val="8"/>
        </w:numPr>
        <w:tabs>
          <w:tab w:val="left" w:pos="1557"/>
        </w:tabs>
        <w:spacing w:before="102" w:line="362" w:lineRule="auto"/>
        <w:ind w:right="426" w:firstLine="707"/>
        <w:jc w:val="both"/>
        <w:rPr>
          <w:sz w:val="28"/>
        </w:rPr>
      </w:pPr>
      <w:r>
        <w:rPr>
          <w:sz w:val="28"/>
        </w:rPr>
        <w:lastRenderedPageBreak/>
        <w:t xml:space="preserve">Adriaenssens E.M., Brister J.R. How to Name and Classify Your Phage: An Informal Guide. </w:t>
      </w:r>
      <w:r>
        <w:rPr>
          <w:i/>
          <w:sz w:val="28"/>
        </w:rPr>
        <w:t>Viruses</w:t>
      </w:r>
      <w:r>
        <w:rPr>
          <w:sz w:val="28"/>
        </w:rPr>
        <w:t>. 2017;9(4):70.</w:t>
      </w:r>
    </w:p>
    <w:p w:rsidR="00F71913" w:rsidRDefault="00F71913" w:rsidP="00F71913">
      <w:pPr>
        <w:pStyle w:val="a5"/>
        <w:numPr>
          <w:ilvl w:val="1"/>
          <w:numId w:val="8"/>
        </w:numPr>
        <w:tabs>
          <w:tab w:val="left" w:pos="1557"/>
        </w:tabs>
        <w:spacing w:line="360" w:lineRule="auto"/>
        <w:ind w:right="428" w:firstLine="707"/>
        <w:jc w:val="both"/>
        <w:rPr>
          <w:sz w:val="28"/>
        </w:rPr>
      </w:pPr>
      <w:r>
        <w:rPr>
          <w:sz w:val="28"/>
        </w:rPr>
        <w:t>Aspen T. Orynbayev. Fevzi S. U. Dzhalilov. Alexander N. Ignatov. Improved efficacy of formulated bacteriophage. Archives of Phytopathology and Plant Protection. 2020. doi.org/10.1080/03235408.2020.1745487.</w:t>
      </w:r>
    </w:p>
    <w:p w:rsidR="00F71913" w:rsidRDefault="00F71913" w:rsidP="00F71913">
      <w:pPr>
        <w:pStyle w:val="a5"/>
        <w:numPr>
          <w:ilvl w:val="1"/>
          <w:numId w:val="8"/>
        </w:numPr>
        <w:tabs>
          <w:tab w:val="left" w:pos="1557"/>
        </w:tabs>
        <w:spacing w:line="360" w:lineRule="auto"/>
        <w:ind w:right="418" w:firstLine="707"/>
        <w:jc w:val="both"/>
        <w:rPr>
          <w:sz w:val="28"/>
        </w:rPr>
      </w:pPr>
      <w:r>
        <w:rPr>
          <w:sz w:val="28"/>
        </w:rPr>
        <w:t xml:space="preserve">Bigwood T., Hudson J.A., Billington C., Carey-Smith G.V., Heinemann J.A. Phage inactivation of foodborne pathogens on cooked and raw meat. </w:t>
      </w:r>
      <w:r>
        <w:rPr>
          <w:i/>
          <w:sz w:val="28"/>
        </w:rPr>
        <w:t>Food Microbiol</w:t>
      </w:r>
      <w:r>
        <w:rPr>
          <w:sz w:val="28"/>
        </w:rPr>
        <w:t>. 2008;25(2):400–406.</w:t>
      </w:r>
    </w:p>
    <w:p w:rsidR="00F71913" w:rsidRDefault="00F71913" w:rsidP="00F71913">
      <w:pPr>
        <w:pStyle w:val="a5"/>
        <w:numPr>
          <w:ilvl w:val="1"/>
          <w:numId w:val="8"/>
        </w:numPr>
        <w:tabs>
          <w:tab w:val="left" w:pos="1557"/>
          <w:tab w:val="left" w:pos="1939"/>
          <w:tab w:val="left" w:pos="3769"/>
          <w:tab w:val="left" w:pos="4808"/>
          <w:tab w:val="left" w:pos="7240"/>
          <w:tab w:val="left" w:pos="8693"/>
        </w:tabs>
        <w:spacing w:line="360" w:lineRule="auto"/>
        <w:ind w:right="417" w:firstLine="707"/>
        <w:jc w:val="both"/>
        <w:rPr>
          <w:sz w:val="28"/>
        </w:rPr>
      </w:pPr>
      <w:r>
        <w:rPr>
          <w:sz w:val="28"/>
        </w:rPr>
        <w:t xml:space="preserve">Botond B. Nguyen T. T. N. Jeffrey B. J. Relative level of bacteriophage multiplication in vitro or in phyllosphere may not predict in planta </w:t>
      </w:r>
      <w:r>
        <w:rPr>
          <w:spacing w:val="-2"/>
          <w:sz w:val="28"/>
        </w:rPr>
        <w:t>efficacy.</w:t>
      </w:r>
      <w:r>
        <w:rPr>
          <w:sz w:val="28"/>
        </w:rPr>
        <w:tab/>
      </w:r>
      <w:r>
        <w:rPr>
          <w:sz w:val="28"/>
        </w:rPr>
        <w:tab/>
      </w:r>
      <w:r>
        <w:rPr>
          <w:spacing w:val="-2"/>
          <w:sz w:val="28"/>
        </w:rPr>
        <w:t>Frontiers</w:t>
      </w:r>
      <w:r>
        <w:rPr>
          <w:sz w:val="28"/>
        </w:rPr>
        <w:tab/>
      </w:r>
      <w:r>
        <w:rPr>
          <w:spacing w:val="-6"/>
          <w:sz w:val="28"/>
        </w:rPr>
        <w:t>in</w:t>
      </w:r>
      <w:r>
        <w:rPr>
          <w:sz w:val="28"/>
        </w:rPr>
        <w:tab/>
      </w:r>
      <w:r>
        <w:rPr>
          <w:spacing w:val="-2"/>
          <w:sz w:val="28"/>
        </w:rPr>
        <w:t>Microbiology.</w:t>
      </w:r>
      <w:r>
        <w:rPr>
          <w:sz w:val="28"/>
        </w:rPr>
        <w:tab/>
      </w:r>
      <w:r>
        <w:rPr>
          <w:spacing w:val="-2"/>
          <w:sz w:val="28"/>
        </w:rPr>
        <w:t>2018.</w:t>
      </w:r>
      <w:r>
        <w:rPr>
          <w:sz w:val="28"/>
        </w:rPr>
        <w:tab/>
      </w:r>
      <w:r>
        <w:rPr>
          <w:spacing w:val="-2"/>
          <w:sz w:val="28"/>
        </w:rPr>
        <w:t>9:1-10. doi.org/10.3389/fmicb.2018.02176.</w:t>
      </w:r>
    </w:p>
    <w:p w:rsidR="00F71913" w:rsidRDefault="00F71913" w:rsidP="00F71913">
      <w:pPr>
        <w:pStyle w:val="a5"/>
        <w:numPr>
          <w:ilvl w:val="1"/>
          <w:numId w:val="8"/>
        </w:numPr>
        <w:tabs>
          <w:tab w:val="left" w:pos="1557"/>
        </w:tabs>
        <w:spacing w:line="362" w:lineRule="auto"/>
        <w:ind w:right="428" w:firstLine="707"/>
        <w:jc w:val="both"/>
        <w:rPr>
          <w:sz w:val="28"/>
        </w:rPr>
      </w:pPr>
      <w:r>
        <w:rPr>
          <w:sz w:val="28"/>
        </w:rPr>
        <w:t>Centers for Disease Control and Prevention (CDC). Surveillance for foodborne disease outbreaks-United States, 2016: Annual Report.</w:t>
      </w:r>
    </w:p>
    <w:p w:rsidR="00F71913" w:rsidRDefault="00F71913" w:rsidP="00F71913">
      <w:pPr>
        <w:pStyle w:val="a5"/>
        <w:numPr>
          <w:ilvl w:val="1"/>
          <w:numId w:val="8"/>
        </w:numPr>
        <w:tabs>
          <w:tab w:val="left" w:pos="1557"/>
        </w:tabs>
        <w:spacing w:line="360" w:lineRule="auto"/>
        <w:ind w:right="423" w:firstLine="707"/>
        <w:jc w:val="both"/>
        <w:rPr>
          <w:sz w:val="28"/>
        </w:rPr>
      </w:pPr>
      <w:r>
        <w:rPr>
          <w:sz w:val="28"/>
        </w:rPr>
        <w:t xml:space="preserve">Chan B.K., Abedon S.T., Loc-Carrillo C. Phage cocktails and the future of phage therapy. </w:t>
      </w:r>
      <w:r>
        <w:rPr>
          <w:i/>
          <w:sz w:val="28"/>
        </w:rPr>
        <w:t>Future Microbiol</w:t>
      </w:r>
      <w:r>
        <w:rPr>
          <w:sz w:val="28"/>
        </w:rPr>
        <w:t>. 2013;8(6):769–783.</w:t>
      </w:r>
    </w:p>
    <w:p w:rsidR="00F71913" w:rsidRDefault="00F71913" w:rsidP="00F71913">
      <w:pPr>
        <w:pStyle w:val="a5"/>
        <w:numPr>
          <w:ilvl w:val="1"/>
          <w:numId w:val="8"/>
        </w:numPr>
        <w:tabs>
          <w:tab w:val="left" w:pos="1557"/>
        </w:tabs>
        <w:spacing w:line="360" w:lineRule="auto"/>
        <w:ind w:right="421" w:firstLine="707"/>
        <w:jc w:val="both"/>
        <w:rPr>
          <w:sz w:val="28"/>
        </w:rPr>
      </w:pPr>
      <w:r>
        <w:rPr>
          <w:sz w:val="28"/>
        </w:rPr>
        <w:t xml:space="preserve">Chanishvili N. Phage therapy-history from Twort and d’Herelle through Soviet experience to current approaches. </w:t>
      </w:r>
      <w:r>
        <w:rPr>
          <w:i/>
          <w:sz w:val="28"/>
        </w:rPr>
        <w:t>Adv Virus Res</w:t>
      </w:r>
      <w:r>
        <w:rPr>
          <w:sz w:val="28"/>
        </w:rPr>
        <w:t>. 2012;83:3–40.</w:t>
      </w:r>
    </w:p>
    <w:p w:rsidR="00F71913" w:rsidRDefault="00F71913" w:rsidP="00F71913">
      <w:pPr>
        <w:pStyle w:val="a5"/>
        <w:numPr>
          <w:ilvl w:val="1"/>
          <w:numId w:val="8"/>
        </w:numPr>
        <w:tabs>
          <w:tab w:val="left" w:pos="1557"/>
        </w:tabs>
        <w:spacing w:line="360" w:lineRule="auto"/>
        <w:ind w:right="427" w:firstLine="707"/>
        <w:jc w:val="both"/>
        <w:rPr>
          <w:sz w:val="28"/>
        </w:rPr>
      </w:pPr>
      <w:r>
        <w:rPr>
          <w:sz w:val="28"/>
        </w:rPr>
        <w:t xml:space="preserve">Endersen L., O’Mahony J., Hill C., et al. Phage therapy in the food industry. </w:t>
      </w:r>
      <w:r>
        <w:rPr>
          <w:i/>
          <w:sz w:val="28"/>
        </w:rPr>
        <w:t>Annu Rev Food Sci Technol</w:t>
      </w:r>
      <w:r>
        <w:rPr>
          <w:sz w:val="28"/>
        </w:rPr>
        <w:t>. 2014;5:327–349.</w:t>
      </w:r>
    </w:p>
    <w:p w:rsidR="00F71913" w:rsidRDefault="00F71913" w:rsidP="00F71913">
      <w:pPr>
        <w:pStyle w:val="a5"/>
        <w:numPr>
          <w:ilvl w:val="1"/>
          <w:numId w:val="8"/>
        </w:numPr>
        <w:tabs>
          <w:tab w:val="left" w:pos="1557"/>
        </w:tabs>
        <w:spacing w:line="360" w:lineRule="auto"/>
        <w:ind w:right="429" w:firstLine="707"/>
        <w:jc w:val="both"/>
        <w:rPr>
          <w:sz w:val="28"/>
        </w:rPr>
      </w:pPr>
      <w:r>
        <w:rPr>
          <w:sz w:val="28"/>
        </w:rPr>
        <w:t xml:space="preserve">European Food Safety Authority (EFSA). Scientific Opinion on the safety and efficacy of Listex P100 for reduction of Listeria monocytogenes in ready-to-eat foods. </w:t>
      </w:r>
      <w:r>
        <w:rPr>
          <w:i/>
          <w:sz w:val="28"/>
        </w:rPr>
        <w:t>EFSA Journal</w:t>
      </w:r>
      <w:r>
        <w:rPr>
          <w:sz w:val="28"/>
        </w:rPr>
        <w:t>. 2012;10(3):2615.</w:t>
      </w:r>
    </w:p>
    <w:p w:rsidR="00F71913" w:rsidRDefault="00F71913" w:rsidP="00F71913">
      <w:pPr>
        <w:pStyle w:val="a5"/>
        <w:numPr>
          <w:ilvl w:val="1"/>
          <w:numId w:val="8"/>
        </w:numPr>
        <w:tabs>
          <w:tab w:val="left" w:pos="1557"/>
        </w:tabs>
        <w:spacing w:line="360" w:lineRule="auto"/>
        <w:ind w:right="427" w:firstLine="707"/>
        <w:jc w:val="both"/>
        <w:rPr>
          <w:sz w:val="28"/>
        </w:rPr>
      </w:pPr>
      <w:r>
        <w:rPr>
          <w:sz w:val="28"/>
        </w:rPr>
        <w:t>Fernanda P. da Silva. André da S. Xavier. Fernanda P. Bruckner. Biological and molecular characterization of a bacteriophage infecting Xanthomonas campestris pv. campestris. Archives of Virology. 2019. 164. С. 1857–1862. doi.org/10.1007/s00705-019-04263-4.</w:t>
      </w:r>
    </w:p>
    <w:p w:rsidR="00F71913" w:rsidRDefault="00F71913" w:rsidP="00F71913">
      <w:pPr>
        <w:pStyle w:val="a5"/>
        <w:numPr>
          <w:ilvl w:val="1"/>
          <w:numId w:val="8"/>
        </w:numPr>
        <w:tabs>
          <w:tab w:val="left" w:pos="1557"/>
        </w:tabs>
        <w:spacing w:line="360" w:lineRule="auto"/>
        <w:ind w:right="419" w:firstLine="707"/>
        <w:jc w:val="both"/>
        <w:rPr>
          <w:sz w:val="28"/>
        </w:rPr>
      </w:pPr>
      <w:r>
        <w:rPr>
          <w:sz w:val="28"/>
        </w:rPr>
        <w:t xml:space="preserve">Fischetti V.A. Bacteriophage lysins as effective antibacterials. </w:t>
      </w:r>
      <w:r>
        <w:rPr>
          <w:i/>
          <w:sz w:val="28"/>
        </w:rPr>
        <w:t>Curr Opin Microbiol</w:t>
      </w:r>
      <w:r>
        <w:rPr>
          <w:sz w:val="28"/>
        </w:rPr>
        <w:t>. 2008;11(5):393–400.</w:t>
      </w:r>
    </w:p>
    <w:p w:rsidR="00F71913" w:rsidRDefault="00F71913" w:rsidP="00F71913">
      <w:pPr>
        <w:pStyle w:val="a5"/>
        <w:spacing w:line="360" w:lineRule="auto"/>
        <w:rPr>
          <w:sz w:val="28"/>
        </w:rPr>
        <w:sectPr w:rsidR="00F71913">
          <w:pgSz w:w="11910" w:h="16840"/>
          <w:pgMar w:top="1020" w:right="425" w:bottom="280" w:left="1559" w:header="719" w:footer="0" w:gutter="0"/>
          <w:cols w:space="720"/>
        </w:sectPr>
      </w:pPr>
    </w:p>
    <w:p w:rsidR="00F71913" w:rsidRDefault="00F71913" w:rsidP="00F71913">
      <w:pPr>
        <w:pStyle w:val="a5"/>
        <w:numPr>
          <w:ilvl w:val="1"/>
          <w:numId w:val="8"/>
        </w:numPr>
        <w:tabs>
          <w:tab w:val="left" w:pos="1557"/>
        </w:tabs>
        <w:spacing w:before="102" w:line="360" w:lineRule="auto"/>
        <w:ind w:right="426" w:firstLine="707"/>
        <w:jc w:val="both"/>
        <w:rPr>
          <w:sz w:val="28"/>
        </w:rPr>
      </w:pPr>
      <w:r>
        <w:rPr>
          <w:sz w:val="28"/>
        </w:rPr>
        <w:lastRenderedPageBreak/>
        <w:t xml:space="preserve">Garcia P., Rodriguez L., Rodriguez A., Martinez B. Food biopreservation: promising strategies using bacteriocins, bacteriophages and endolysins. </w:t>
      </w:r>
      <w:r>
        <w:rPr>
          <w:i/>
          <w:sz w:val="28"/>
        </w:rPr>
        <w:t>Trends Food Sci Technol</w:t>
      </w:r>
      <w:r>
        <w:rPr>
          <w:sz w:val="28"/>
        </w:rPr>
        <w:t>. 2010;21(8):373–382.</w:t>
      </w:r>
    </w:p>
    <w:p w:rsidR="00F71913" w:rsidRDefault="00F71913" w:rsidP="00F71913">
      <w:pPr>
        <w:pStyle w:val="a5"/>
        <w:numPr>
          <w:ilvl w:val="1"/>
          <w:numId w:val="8"/>
        </w:numPr>
        <w:tabs>
          <w:tab w:val="left" w:pos="1557"/>
        </w:tabs>
        <w:spacing w:before="1" w:line="360" w:lineRule="auto"/>
        <w:ind w:right="417" w:firstLine="707"/>
        <w:jc w:val="both"/>
        <w:rPr>
          <w:sz w:val="28"/>
        </w:rPr>
      </w:pPr>
      <w:r>
        <w:rPr>
          <w:sz w:val="28"/>
        </w:rPr>
        <w:t xml:space="preserve">Greer G.G. Bacteriophage control of foodborne bacteria. </w:t>
      </w:r>
      <w:r>
        <w:rPr>
          <w:i/>
          <w:sz w:val="28"/>
        </w:rPr>
        <w:t>J Food Prot</w:t>
      </w:r>
      <w:r>
        <w:rPr>
          <w:sz w:val="28"/>
        </w:rPr>
        <w:t xml:space="preserve">. </w:t>
      </w:r>
      <w:r>
        <w:rPr>
          <w:spacing w:val="-2"/>
          <w:sz w:val="28"/>
        </w:rPr>
        <w:t>2005;68(5):1102–1111.</w:t>
      </w:r>
    </w:p>
    <w:p w:rsidR="00F71913" w:rsidRDefault="00F71913" w:rsidP="00F71913">
      <w:pPr>
        <w:pStyle w:val="a5"/>
        <w:numPr>
          <w:ilvl w:val="1"/>
          <w:numId w:val="8"/>
        </w:numPr>
        <w:tabs>
          <w:tab w:val="left" w:pos="1557"/>
        </w:tabs>
        <w:spacing w:before="2" w:line="360" w:lineRule="auto"/>
        <w:ind w:right="419" w:firstLine="707"/>
        <w:jc w:val="both"/>
        <w:rPr>
          <w:sz w:val="28"/>
        </w:rPr>
      </w:pPr>
      <w:r>
        <w:rPr>
          <w:sz w:val="28"/>
        </w:rPr>
        <w:t xml:space="preserve">Guenther S., Huwyler D., Richard S., Loessner M.J. Virulent bacteriophage for efficient biocontrol of Listeria monocytogenes in ready-to-eat foods. </w:t>
      </w:r>
      <w:r>
        <w:rPr>
          <w:i/>
          <w:sz w:val="28"/>
        </w:rPr>
        <w:t>Appl Environ Microbiol</w:t>
      </w:r>
      <w:r>
        <w:rPr>
          <w:sz w:val="28"/>
        </w:rPr>
        <w:t>. 2009;75(1):93–100.</w:t>
      </w:r>
    </w:p>
    <w:p w:rsidR="00F71913" w:rsidRDefault="00F71913" w:rsidP="00F71913">
      <w:pPr>
        <w:pStyle w:val="a5"/>
        <w:numPr>
          <w:ilvl w:val="1"/>
          <w:numId w:val="8"/>
        </w:numPr>
        <w:tabs>
          <w:tab w:val="left" w:pos="1557"/>
        </w:tabs>
        <w:spacing w:line="360" w:lineRule="auto"/>
        <w:ind w:right="419" w:firstLine="707"/>
        <w:jc w:val="both"/>
        <w:rPr>
          <w:sz w:val="28"/>
        </w:rPr>
      </w:pPr>
      <w:r>
        <w:rPr>
          <w:sz w:val="28"/>
        </w:rPr>
        <w:t xml:space="preserve">Hagens S., Loessner M.J. Application of bacteriophages for detection and control of foodborne pathogens. </w:t>
      </w:r>
      <w:r>
        <w:rPr>
          <w:i/>
          <w:sz w:val="28"/>
        </w:rPr>
        <w:t>Appl Microbiol Biotechnol</w:t>
      </w:r>
      <w:r>
        <w:rPr>
          <w:sz w:val="28"/>
        </w:rPr>
        <w:t xml:space="preserve">. 2007;76(3):513– </w:t>
      </w:r>
      <w:r>
        <w:rPr>
          <w:spacing w:val="-4"/>
          <w:sz w:val="28"/>
        </w:rPr>
        <w:t>519.</w:t>
      </w:r>
    </w:p>
    <w:p w:rsidR="00F71913" w:rsidRDefault="00F71913" w:rsidP="00F71913">
      <w:pPr>
        <w:pStyle w:val="a5"/>
        <w:numPr>
          <w:ilvl w:val="1"/>
          <w:numId w:val="8"/>
        </w:numPr>
        <w:tabs>
          <w:tab w:val="left" w:pos="1557"/>
        </w:tabs>
        <w:spacing w:line="360" w:lineRule="auto"/>
        <w:ind w:right="417" w:firstLine="707"/>
        <w:jc w:val="both"/>
        <w:rPr>
          <w:sz w:val="28"/>
        </w:rPr>
      </w:pPr>
      <w:r>
        <w:rPr>
          <w:sz w:val="28"/>
        </w:rPr>
        <w:t xml:space="preserve">Hagens S., Loessner M.J. Bacteriophage for biocontrol of foodborne pathogens: calculations and considerations. </w:t>
      </w:r>
      <w:r>
        <w:rPr>
          <w:i/>
          <w:sz w:val="28"/>
        </w:rPr>
        <w:t>Curr Pharm Biotechnol</w:t>
      </w:r>
      <w:r>
        <w:rPr>
          <w:sz w:val="28"/>
        </w:rPr>
        <w:t xml:space="preserve">. </w:t>
      </w:r>
      <w:r>
        <w:rPr>
          <w:spacing w:val="-2"/>
          <w:sz w:val="28"/>
        </w:rPr>
        <w:t>2010;11(1):58–68.</w:t>
      </w:r>
    </w:p>
    <w:p w:rsidR="00F71913" w:rsidRDefault="00F71913" w:rsidP="00F71913">
      <w:pPr>
        <w:pStyle w:val="a5"/>
        <w:numPr>
          <w:ilvl w:val="1"/>
          <w:numId w:val="8"/>
        </w:numPr>
        <w:tabs>
          <w:tab w:val="left" w:pos="1557"/>
        </w:tabs>
        <w:spacing w:line="360" w:lineRule="auto"/>
        <w:ind w:right="430" w:firstLine="707"/>
        <w:jc w:val="both"/>
        <w:rPr>
          <w:sz w:val="28"/>
        </w:rPr>
      </w:pPr>
      <w:r>
        <w:rPr>
          <w:sz w:val="28"/>
        </w:rPr>
        <w:t>Hirofumi N. Noriyuki M. Shinro K. Improved control of black rot of broccoli using a bacteriophage and nonpathogenic Xanthomonas sp. J. Gen. Plant Pathol. 2017. 83:373–381. doi.org/10.1007/s10327-017-0745-4.</w:t>
      </w:r>
    </w:p>
    <w:p w:rsidR="00F71913" w:rsidRDefault="00F71913" w:rsidP="00F71913">
      <w:pPr>
        <w:pStyle w:val="a5"/>
        <w:numPr>
          <w:ilvl w:val="1"/>
          <w:numId w:val="8"/>
        </w:numPr>
        <w:tabs>
          <w:tab w:val="left" w:pos="1557"/>
        </w:tabs>
        <w:spacing w:line="362" w:lineRule="auto"/>
        <w:ind w:right="432" w:firstLine="707"/>
        <w:jc w:val="both"/>
        <w:rPr>
          <w:sz w:val="28"/>
        </w:rPr>
      </w:pPr>
      <w:r>
        <w:rPr>
          <w:sz w:val="28"/>
        </w:rPr>
        <w:t xml:space="preserve">Hyman P., Abedon S.T. Bacteriophage host range and bacterial resistance. </w:t>
      </w:r>
      <w:r>
        <w:rPr>
          <w:i/>
          <w:sz w:val="28"/>
        </w:rPr>
        <w:t>Adv Appl Microbiol</w:t>
      </w:r>
      <w:r>
        <w:rPr>
          <w:sz w:val="28"/>
        </w:rPr>
        <w:t>. 2010;70:217–248.</w:t>
      </w:r>
    </w:p>
    <w:p w:rsidR="00F71913" w:rsidRDefault="00F71913" w:rsidP="00F71913">
      <w:pPr>
        <w:pStyle w:val="a5"/>
        <w:numPr>
          <w:ilvl w:val="1"/>
          <w:numId w:val="8"/>
        </w:numPr>
        <w:tabs>
          <w:tab w:val="left" w:pos="1557"/>
        </w:tabs>
        <w:spacing w:line="360" w:lineRule="auto"/>
        <w:ind w:right="429" w:firstLine="707"/>
        <w:jc w:val="both"/>
        <w:rPr>
          <w:sz w:val="28"/>
        </w:rPr>
      </w:pPr>
      <w:r>
        <w:rPr>
          <w:sz w:val="28"/>
        </w:rPr>
        <w:t>Katarina G. Nemanja K. Milan I. Complete genome of the Xanthomonas campestris pv. campestris specific bacteriophage K81. Frontiers in Microbiology. 2018. 9:1-15.</w:t>
      </w:r>
    </w:p>
    <w:p w:rsidR="00F71913" w:rsidRDefault="00F71913" w:rsidP="00F71913">
      <w:pPr>
        <w:pStyle w:val="a5"/>
        <w:numPr>
          <w:ilvl w:val="1"/>
          <w:numId w:val="8"/>
        </w:numPr>
        <w:tabs>
          <w:tab w:val="left" w:pos="1557"/>
        </w:tabs>
        <w:spacing w:line="360" w:lineRule="auto"/>
        <w:ind w:right="429" w:firstLine="707"/>
        <w:jc w:val="both"/>
        <w:rPr>
          <w:sz w:val="28"/>
        </w:rPr>
      </w:pPr>
      <w:r>
        <w:rPr>
          <w:sz w:val="28"/>
        </w:rPr>
        <w:t>Kolomiiets Y. V. Hryhoriuk I. P. Butsenko L. M. Systemic action of microbial preparations on tomato pathogens. Agroekologichnyi zhurnal. 2016. №</w:t>
      </w:r>
    </w:p>
    <w:p w:rsidR="00F71913" w:rsidRDefault="00F71913" w:rsidP="00F71913">
      <w:pPr>
        <w:pStyle w:val="a3"/>
        <w:spacing w:line="321" w:lineRule="exact"/>
      </w:pPr>
      <w:r>
        <w:t>3.</w:t>
      </w:r>
      <w:r>
        <w:rPr>
          <w:spacing w:val="-2"/>
        </w:rPr>
        <w:t xml:space="preserve"> </w:t>
      </w:r>
      <w:r>
        <w:t>С.</w:t>
      </w:r>
      <w:r>
        <w:rPr>
          <w:spacing w:val="-2"/>
        </w:rPr>
        <w:t xml:space="preserve"> </w:t>
      </w:r>
      <w:r>
        <w:t>83-</w:t>
      </w:r>
      <w:r>
        <w:rPr>
          <w:spacing w:val="-5"/>
        </w:rPr>
        <w:t>88.</w:t>
      </w:r>
    </w:p>
    <w:p w:rsidR="00F71913" w:rsidRDefault="00F71913" w:rsidP="00F71913">
      <w:pPr>
        <w:pStyle w:val="a5"/>
        <w:numPr>
          <w:ilvl w:val="1"/>
          <w:numId w:val="8"/>
        </w:numPr>
        <w:tabs>
          <w:tab w:val="left" w:pos="1557"/>
        </w:tabs>
        <w:spacing w:before="155" w:line="360" w:lineRule="auto"/>
        <w:ind w:right="427" w:firstLine="707"/>
        <w:jc w:val="both"/>
        <w:rPr>
          <w:sz w:val="28"/>
        </w:rPr>
      </w:pPr>
      <w:r>
        <w:rPr>
          <w:sz w:val="28"/>
        </w:rPr>
        <w:t xml:space="preserve">Kropinski A.M., Prangishvili D., Lavigne R. Position paper: the creation of a rational scheme for the nomenclature of viruses of Bacteria and Archaea. </w:t>
      </w:r>
      <w:r>
        <w:rPr>
          <w:i/>
          <w:sz w:val="28"/>
        </w:rPr>
        <w:t>Arch Virol</w:t>
      </w:r>
      <w:r>
        <w:rPr>
          <w:sz w:val="28"/>
        </w:rPr>
        <w:t>. 2009;154(3):397–400.</w:t>
      </w:r>
    </w:p>
    <w:p w:rsidR="00F71913" w:rsidRDefault="00F71913" w:rsidP="00F71913">
      <w:pPr>
        <w:pStyle w:val="a5"/>
        <w:spacing w:line="360" w:lineRule="auto"/>
        <w:rPr>
          <w:sz w:val="28"/>
        </w:rPr>
        <w:sectPr w:rsidR="00F71913">
          <w:pgSz w:w="11910" w:h="16840"/>
          <w:pgMar w:top="1020" w:right="425" w:bottom="280" w:left="1559" w:header="719" w:footer="0" w:gutter="0"/>
          <w:cols w:space="720"/>
        </w:sectPr>
      </w:pPr>
    </w:p>
    <w:p w:rsidR="00F71913" w:rsidRDefault="00F71913" w:rsidP="00F71913">
      <w:pPr>
        <w:pStyle w:val="a5"/>
        <w:numPr>
          <w:ilvl w:val="1"/>
          <w:numId w:val="8"/>
        </w:numPr>
        <w:tabs>
          <w:tab w:val="left" w:pos="1557"/>
        </w:tabs>
        <w:spacing w:before="102" w:line="360" w:lineRule="auto"/>
        <w:ind w:right="417" w:firstLine="707"/>
        <w:jc w:val="both"/>
        <w:rPr>
          <w:sz w:val="28"/>
        </w:rPr>
      </w:pPr>
      <w:r>
        <w:rPr>
          <w:sz w:val="28"/>
        </w:rPr>
        <w:lastRenderedPageBreak/>
        <w:t xml:space="preserve">Kutter E., De Vos D., Gvasalia G., et al. Phage therapy in clinical practice: treatment of human infections. </w:t>
      </w:r>
      <w:r>
        <w:rPr>
          <w:i/>
          <w:sz w:val="28"/>
        </w:rPr>
        <w:t>Curr Pharm Biotechnol</w:t>
      </w:r>
      <w:r>
        <w:rPr>
          <w:sz w:val="28"/>
        </w:rPr>
        <w:t xml:space="preserve">. 2010;11(1):69– </w:t>
      </w:r>
      <w:r>
        <w:rPr>
          <w:spacing w:val="-4"/>
          <w:sz w:val="28"/>
        </w:rPr>
        <w:t>86.</w:t>
      </w:r>
    </w:p>
    <w:p w:rsidR="00F71913" w:rsidRDefault="00F71913" w:rsidP="00F71913">
      <w:pPr>
        <w:pStyle w:val="a5"/>
        <w:numPr>
          <w:ilvl w:val="1"/>
          <w:numId w:val="8"/>
        </w:numPr>
        <w:tabs>
          <w:tab w:val="left" w:pos="1557"/>
        </w:tabs>
        <w:spacing w:before="1" w:line="360" w:lineRule="auto"/>
        <w:ind w:right="427" w:firstLine="707"/>
        <w:jc w:val="both"/>
        <w:rPr>
          <w:sz w:val="28"/>
        </w:rPr>
      </w:pPr>
      <w:r>
        <w:rPr>
          <w:sz w:val="28"/>
        </w:rPr>
        <w:t xml:space="preserve">Labrie S.J., Samson J.E., Moineau S. Bacteriophage resistance mechanisms. </w:t>
      </w:r>
      <w:r>
        <w:rPr>
          <w:i/>
          <w:sz w:val="28"/>
        </w:rPr>
        <w:t>Nat Rev Microbiol</w:t>
      </w:r>
      <w:r>
        <w:rPr>
          <w:sz w:val="28"/>
        </w:rPr>
        <w:t>. 2010;8(5):317–327.</w:t>
      </w:r>
    </w:p>
    <w:p w:rsidR="00F71913" w:rsidRDefault="00F71913" w:rsidP="00F71913">
      <w:pPr>
        <w:pStyle w:val="a5"/>
        <w:numPr>
          <w:ilvl w:val="1"/>
          <w:numId w:val="8"/>
        </w:numPr>
        <w:tabs>
          <w:tab w:val="left" w:pos="1557"/>
        </w:tabs>
        <w:spacing w:before="2" w:line="360" w:lineRule="auto"/>
        <w:ind w:right="418" w:firstLine="707"/>
        <w:jc w:val="both"/>
        <w:rPr>
          <w:sz w:val="28"/>
        </w:rPr>
      </w:pPr>
      <w:r>
        <w:rPr>
          <w:sz w:val="28"/>
        </w:rPr>
        <w:t xml:space="preserve">Lange H. W. Tancos M. A. Carlsonan O. Diversity of Xanthomonas campestris isolates. Bacteriology. 2016. С. 114-122. doi.org/10.1094/PHYTO-06- </w:t>
      </w:r>
      <w:r>
        <w:rPr>
          <w:spacing w:val="-2"/>
          <w:sz w:val="28"/>
        </w:rPr>
        <w:t>15-0134-R.</w:t>
      </w:r>
    </w:p>
    <w:p w:rsidR="00F71913" w:rsidRDefault="00F71913" w:rsidP="00F71913">
      <w:pPr>
        <w:pStyle w:val="a5"/>
        <w:numPr>
          <w:ilvl w:val="1"/>
          <w:numId w:val="8"/>
        </w:numPr>
        <w:tabs>
          <w:tab w:val="left" w:pos="1557"/>
        </w:tabs>
        <w:spacing w:line="362" w:lineRule="auto"/>
        <w:ind w:right="429" w:firstLine="707"/>
        <w:jc w:val="both"/>
        <w:rPr>
          <w:sz w:val="28"/>
        </w:rPr>
      </w:pPr>
      <w:r>
        <w:rPr>
          <w:sz w:val="28"/>
        </w:rPr>
        <w:t xml:space="preserve">Moye Z.D., Woolston J., Sulakvelidze A. Bacteriophage applications for food production and processing. </w:t>
      </w:r>
      <w:r>
        <w:rPr>
          <w:i/>
          <w:sz w:val="28"/>
        </w:rPr>
        <w:t>Viruses</w:t>
      </w:r>
      <w:r>
        <w:rPr>
          <w:sz w:val="28"/>
        </w:rPr>
        <w:t>. 2018;10(4):205.</w:t>
      </w:r>
    </w:p>
    <w:p w:rsidR="00F71913" w:rsidRDefault="00F71913" w:rsidP="00F71913">
      <w:pPr>
        <w:pStyle w:val="a5"/>
        <w:numPr>
          <w:ilvl w:val="1"/>
          <w:numId w:val="8"/>
        </w:numPr>
        <w:tabs>
          <w:tab w:val="left" w:pos="1557"/>
        </w:tabs>
        <w:spacing w:line="360" w:lineRule="auto"/>
        <w:ind w:right="418" w:firstLine="707"/>
        <w:jc w:val="both"/>
        <w:rPr>
          <w:sz w:val="28"/>
        </w:rPr>
      </w:pPr>
      <w:r>
        <w:rPr>
          <w:sz w:val="28"/>
        </w:rPr>
        <w:t>Newell D.G., Koopmans M., Verhoef L., et al. Food-borne diseases- the</w:t>
      </w:r>
      <w:r>
        <w:rPr>
          <w:spacing w:val="-2"/>
          <w:sz w:val="28"/>
        </w:rPr>
        <w:t xml:space="preserve"> </w:t>
      </w:r>
      <w:r>
        <w:rPr>
          <w:sz w:val="28"/>
        </w:rPr>
        <w:t>challenges</w:t>
      </w:r>
      <w:r>
        <w:rPr>
          <w:spacing w:val="-1"/>
          <w:sz w:val="28"/>
        </w:rPr>
        <w:t xml:space="preserve"> </w:t>
      </w:r>
      <w:r>
        <w:rPr>
          <w:sz w:val="28"/>
        </w:rPr>
        <w:t>of</w:t>
      </w:r>
      <w:r>
        <w:rPr>
          <w:spacing w:val="-2"/>
          <w:sz w:val="28"/>
        </w:rPr>
        <w:t xml:space="preserve"> </w:t>
      </w:r>
      <w:r>
        <w:rPr>
          <w:sz w:val="28"/>
        </w:rPr>
        <w:t>20</w:t>
      </w:r>
      <w:r>
        <w:rPr>
          <w:spacing w:val="-5"/>
          <w:sz w:val="28"/>
        </w:rPr>
        <w:t xml:space="preserve"> </w:t>
      </w:r>
      <w:r>
        <w:rPr>
          <w:sz w:val="28"/>
        </w:rPr>
        <w:t>years</w:t>
      </w:r>
      <w:r>
        <w:rPr>
          <w:spacing w:val="-1"/>
          <w:sz w:val="28"/>
        </w:rPr>
        <w:t xml:space="preserve"> </w:t>
      </w:r>
      <w:r>
        <w:rPr>
          <w:sz w:val="28"/>
        </w:rPr>
        <w:t>ago</w:t>
      </w:r>
      <w:r>
        <w:rPr>
          <w:spacing w:val="-1"/>
          <w:sz w:val="28"/>
        </w:rPr>
        <w:t xml:space="preserve"> </w:t>
      </w:r>
      <w:r>
        <w:rPr>
          <w:sz w:val="28"/>
        </w:rPr>
        <w:t>still</w:t>
      </w:r>
      <w:r>
        <w:rPr>
          <w:spacing w:val="-5"/>
          <w:sz w:val="28"/>
        </w:rPr>
        <w:t xml:space="preserve"> </w:t>
      </w:r>
      <w:r>
        <w:rPr>
          <w:sz w:val="28"/>
        </w:rPr>
        <w:t>persist</w:t>
      </w:r>
      <w:r>
        <w:rPr>
          <w:spacing w:val="-5"/>
          <w:sz w:val="28"/>
        </w:rPr>
        <w:t xml:space="preserve"> </w:t>
      </w:r>
      <w:r>
        <w:rPr>
          <w:sz w:val="28"/>
        </w:rPr>
        <w:t>while</w:t>
      </w:r>
      <w:r>
        <w:rPr>
          <w:spacing w:val="-2"/>
          <w:sz w:val="28"/>
        </w:rPr>
        <w:t xml:space="preserve"> </w:t>
      </w:r>
      <w:r>
        <w:rPr>
          <w:sz w:val="28"/>
        </w:rPr>
        <w:t>new</w:t>
      </w:r>
      <w:r>
        <w:rPr>
          <w:spacing w:val="-1"/>
          <w:sz w:val="28"/>
        </w:rPr>
        <w:t xml:space="preserve"> </w:t>
      </w:r>
      <w:r>
        <w:rPr>
          <w:sz w:val="28"/>
        </w:rPr>
        <w:t>ones</w:t>
      </w:r>
      <w:r>
        <w:rPr>
          <w:spacing w:val="-1"/>
          <w:sz w:val="28"/>
        </w:rPr>
        <w:t xml:space="preserve"> </w:t>
      </w:r>
      <w:r>
        <w:rPr>
          <w:sz w:val="28"/>
        </w:rPr>
        <w:t>continue</w:t>
      </w:r>
      <w:r>
        <w:rPr>
          <w:spacing w:val="-2"/>
          <w:sz w:val="28"/>
        </w:rPr>
        <w:t xml:space="preserve"> </w:t>
      </w:r>
      <w:r>
        <w:rPr>
          <w:sz w:val="28"/>
        </w:rPr>
        <w:t>to</w:t>
      </w:r>
      <w:r>
        <w:rPr>
          <w:spacing w:val="-1"/>
          <w:sz w:val="28"/>
        </w:rPr>
        <w:t xml:space="preserve"> </w:t>
      </w:r>
      <w:r>
        <w:rPr>
          <w:sz w:val="28"/>
        </w:rPr>
        <w:t xml:space="preserve">emerge. </w:t>
      </w:r>
      <w:r>
        <w:rPr>
          <w:i/>
          <w:sz w:val="28"/>
        </w:rPr>
        <w:t>Int</w:t>
      </w:r>
      <w:r>
        <w:rPr>
          <w:i/>
          <w:spacing w:val="-1"/>
          <w:sz w:val="28"/>
        </w:rPr>
        <w:t xml:space="preserve"> </w:t>
      </w:r>
      <w:r>
        <w:rPr>
          <w:i/>
          <w:sz w:val="28"/>
        </w:rPr>
        <w:t>J Food Microbiol</w:t>
      </w:r>
      <w:r>
        <w:rPr>
          <w:sz w:val="28"/>
        </w:rPr>
        <w:t>. 2010;139:S3–S15.</w:t>
      </w:r>
    </w:p>
    <w:p w:rsidR="00F71913" w:rsidRDefault="00F71913" w:rsidP="00F71913">
      <w:pPr>
        <w:pStyle w:val="a5"/>
        <w:numPr>
          <w:ilvl w:val="1"/>
          <w:numId w:val="8"/>
        </w:numPr>
        <w:tabs>
          <w:tab w:val="left" w:pos="1557"/>
        </w:tabs>
        <w:spacing w:line="360" w:lineRule="auto"/>
        <w:ind w:right="425" w:firstLine="707"/>
        <w:jc w:val="both"/>
        <w:rPr>
          <w:sz w:val="28"/>
        </w:rPr>
      </w:pPr>
      <w:r>
        <w:rPr>
          <w:sz w:val="28"/>
        </w:rPr>
        <w:t>Olszak</w:t>
      </w:r>
      <w:r>
        <w:rPr>
          <w:spacing w:val="-1"/>
          <w:sz w:val="28"/>
        </w:rPr>
        <w:t xml:space="preserve"> </w:t>
      </w:r>
      <w:r>
        <w:rPr>
          <w:sz w:val="28"/>
        </w:rPr>
        <w:t>T.,</w:t>
      </w:r>
      <w:r>
        <w:rPr>
          <w:spacing w:val="-3"/>
          <w:sz w:val="28"/>
        </w:rPr>
        <w:t xml:space="preserve"> </w:t>
      </w:r>
      <w:r>
        <w:rPr>
          <w:sz w:val="28"/>
        </w:rPr>
        <w:t>Danis-Wlodarczyk</w:t>
      </w:r>
      <w:r>
        <w:rPr>
          <w:spacing w:val="-2"/>
          <w:sz w:val="28"/>
        </w:rPr>
        <w:t xml:space="preserve"> </w:t>
      </w:r>
      <w:r>
        <w:rPr>
          <w:sz w:val="28"/>
        </w:rPr>
        <w:t>K.,</w:t>
      </w:r>
      <w:r>
        <w:rPr>
          <w:spacing w:val="-2"/>
          <w:sz w:val="28"/>
        </w:rPr>
        <w:t xml:space="preserve"> </w:t>
      </w:r>
      <w:r>
        <w:rPr>
          <w:sz w:val="28"/>
        </w:rPr>
        <w:t>Arabski</w:t>
      </w:r>
      <w:r>
        <w:rPr>
          <w:spacing w:val="-2"/>
          <w:sz w:val="28"/>
        </w:rPr>
        <w:t xml:space="preserve"> </w:t>
      </w:r>
      <w:r>
        <w:rPr>
          <w:sz w:val="28"/>
        </w:rPr>
        <w:t>M.,</w:t>
      </w:r>
      <w:r>
        <w:rPr>
          <w:spacing w:val="-3"/>
          <w:sz w:val="28"/>
        </w:rPr>
        <w:t xml:space="preserve"> </w:t>
      </w:r>
      <w:r>
        <w:rPr>
          <w:sz w:val="28"/>
        </w:rPr>
        <w:t>et</w:t>
      </w:r>
      <w:r>
        <w:rPr>
          <w:spacing w:val="-1"/>
          <w:sz w:val="28"/>
        </w:rPr>
        <w:t xml:space="preserve"> </w:t>
      </w:r>
      <w:r>
        <w:rPr>
          <w:sz w:val="28"/>
        </w:rPr>
        <w:t>al.</w:t>
      </w:r>
      <w:r>
        <w:rPr>
          <w:spacing w:val="-2"/>
          <w:sz w:val="28"/>
        </w:rPr>
        <w:t xml:space="preserve"> </w:t>
      </w:r>
      <w:r>
        <w:rPr>
          <w:sz w:val="28"/>
        </w:rPr>
        <w:t>Bacteriophage</w:t>
      </w:r>
      <w:r>
        <w:rPr>
          <w:spacing w:val="-2"/>
          <w:sz w:val="28"/>
        </w:rPr>
        <w:t xml:space="preserve"> </w:t>
      </w:r>
      <w:r>
        <w:rPr>
          <w:sz w:val="28"/>
        </w:rPr>
        <w:t xml:space="preserve">life cycles and mechanisms of action. </w:t>
      </w:r>
      <w:r>
        <w:rPr>
          <w:i/>
          <w:sz w:val="28"/>
        </w:rPr>
        <w:t>Front Microbiol</w:t>
      </w:r>
      <w:r>
        <w:rPr>
          <w:sz w:val="28"/>
        </w:rPr>
        <w:t>. 2023;10:1211793.</w:t>
      </w:r>
    </w:p>
    <w:p w:rsidR="00F71913" w:rsidRDefault="00F71913" w:rsidP="00F71913">
      <w:pPr>
        <w:pStyle w:val="a5"/>
        <w:numPr>
          <w:ilvl w:val="1"/>
          <w:numId w:val="8"/>
        </w:numPr>
        <w:tabs>
          <w:tab w:val="left" w:pos="1557"/>
          <w:tab w:val="left" w:pos="2111"/>
          <w:tab w:val="left" w:pos="4088"/>
          <w:tab w:val="left" w:pos="7071"/>
          <w:tab w:val="left" w:pos="8783"/>
        </w:tabs>
        <w:spacing w:line="360" w:lineRule="auto"/>
        <w:ind w:right="426" w:firstLine="707"/>
        <w:jc w:val="both"/>
        <w:rPr>
          <w:sz w:val="28"/>
        </w:rPr>
      </w:pPr>
      <w:r>
        <w:rPr>
          <w:sz w:val="28"/>
        </w:rPr>
        <w:t xml:space="preserve">Papaianni M. Cuomo P. Fulgione A. Albanese D. Gallo M. Paris D. Motta A. Iannelli D. Capparelli R. Bacteriophages promote metabolic changes in </w:t>
      </w:r>
      <w:r>
        <w:rPr>
          <w:spacing w:val="-2"/>
          <w:sz w:val="28"/>
        </w:rPr>
        <w:t>bacteria</w:t>
      </w:r>
      <w:r>
        <w:rPr>
          <w:sz w:val="28"/>
        </w:rPr>
        <w:tab/>
      </w:r>
      <w:r>
        <w:rPr>
          <w:sz w:val="28"/>
        </w:rPr>
        <w:tab/>
      </w:r>
      <w:r>
        <w:rPr>
          <w:spacing w:val="-2"/>
          <w:sz w:val="28"/>
        </w:rPr>
        <w:t>biofilm.</w:t>
      </w:r>
      <w:r>
        <w:rPr>
          <w:sz w:val="28"/>
        </w:rPr>
        <w:tab/>
      </w:r>
      <w:r>
        <w:rPr>
          <w:spacing w:val="-2"/>
          <w:sz w:val="28"/>
        </w:rPr>
        <w:t>Microorganisms.</w:t>
      </w:r>
      <w:r>
        <w:rPr>
          <w:sz w:val="28"/>
        </w:rPr>
        <w:tab/>
      </w:r>
      <w:r>
        <w:rPr>
          <w:spacing w:val="-2"/>
          <w:sz w:val="28"/>
        </w:rPr>
        <w:t>2020.</w:t>
      </w:r>
      <w:r>
        <w:rPr>
          <w:sz w:val="28"/>
        </w:rPr>
        <w:tab/>
      </w:r>
      <w:r>
        <w:rPr>
          <w:spacing w:val="-2"/>
          <w:sz w:val="28"/>
        </w:rPr>
        <w:t>8:480. doi.org/10.3390/microorganisms8040480.</w:t>
      </w:r>
    </w:p>
    <w:p w:rsidR="00F71913" w:rsidRDefault="00F71913" w:rsidP="00F71913">
      <w:pPr>
        <w:pStyle w:val="a5"/>
        <w:numPr>
          <w:ilvl w:val="1"/>
          <w:numId w:val="8"/>
        </w:numPr>
        <w:tabs>
          <w:tab w:val="left" w:pos="1557"/>
        </w:tabs>
        <w:spacing w:line="360" w:lineRule="auto"/>
        <w:ind w:right="429" w:firstLine="707"/>
        <w:jc w:val="both"/>
        <w:rPr>
          <w:sz w:val="28"/>
        </w:rPr>
      </w:pPr>
      <w:r>
        <w:rPr>
          <w:sz w:val="28"/>
        </w:rPr>
        <w:t>Papaianni M. Paris D. Woo S. L. Plant dynamic metabolic response</w:t>
      </w:r>
      <w:r>
        <w:rPr>
          <w:spacing w:val="-1"/>
          <w:sz w:val="28"/>
        </w:rPr>
        <w:t xml:space="preserve"> </w:t>
      </w:r>
      <w:r>
        <w:rPr>
          <w:sz w:val="28"/>
        </w:rPr>
        <w:t xml:space="preserve">to bacteriophage treatment. Frontiers in Microbiology. 2020. 11:723. </w:t>
      </w:r>
      <w:r>
        <w:rPr>
          <w:spacing w:val="-2"/>
          <w:sz w:val="28"/>
        </w:rPr>
        <w:t>doi.org/10.3389/fmicb.2020.00732.</w:t>
      </w:r>
    </w:p>
    <w:p w:rsidR="00F71913" w:rsidRDefault="00F71913" w:rsidP="00F71913">
      <w:pPr>
        <w:pStyle w:val="a5"/>
        <w:numPr>
          <w:ilvl w:val="1"/>
          <w:numId w:val="8"/>
        </w:numPr>
        <w:tabs>
          <w:tab w:val="left" w:pos="1557"/>
        </w:tabs>
        <w:spacing w:line="360" w:lineRule="auto"/>
        <w:ind w:right="425" w:firstLine="707"/>
        <w:jc w:val="both"/>
        <w:rPr>
          <w:sz w:val="28"/>
        </w:rPr>
      </w:pPr>
      <w:r>
        <w:rPr>
          <w:sz w:val="28"/>
        </w:rPr>
        <w:t xml:space="preserve">Papaianni M. Ricciardelli A. Casillo A. Corsaro M. M. Borbone F. Della Ventura B. Velotta R. Fulgione A. Woo S. L. Tutino M. L. Parrilli E. Capparelli R. The union is strength. Microorganisms. 2021. 9:60. </w:t>
      </w:r>
      <w:r>
        <w:rPr>
          <w:spacing w:val="-2"/>
          <w:sz w:val="28"/>
        </w:rPr>
        <w:t>doi.org/10.3390/microorganisms9010060.</w:t>
      </w:r>
    </w:p>
    <w:p w:rsidR="00F71913" w:rsidRDefault="00F71913" w:rsidP="00F71913">
      <w:pPr>
        <w:pStyle w:val="a5"/>
        <w:numPr>
          <w:ilvl w:val="1"/>
          <w:numId w:val="8"/>
        </w:numPr>
        <w:tabs>
          <w:tab w:val="left" w:pos="1557"/>
        </w:tabs>
        <w:spacing w:line="360" w:lineRule="auto"/>
        <w:ind w:right="428" w:firstLine="707"/>
        <w:jc w:val="both"/>
        <w:rPr>
          <w:sz w:val="28"/>
        </w:rPr>
      </w:pPr>
      <w:r>
        <w:rPr>
          <w:sz w:val="28"/>
        </w:rPr>
        <w:t>Renu M. Bhoyar M. S. Singh U. B. Sahu D. T. Characterization of lytic bacteriophage xcc9sh3 infecting Xanthomonas campestris. Journal of Plant Pathology. 2017. 99(1):233-238. doi.org/10.4454/jpp.v99i1.3817.</w:t>
      </w:r>
    </w:p>
    <w:p w:rsidR="00F71913" w:rsidRDefault="00F71913" w:rsidP="00F71913">
      <w:pPr>
        <w:pStyle w:val="a5"/>
        <w:spacing w:line="360" w:lineRule="auto"/>
        <w:rPr>
          <w:sz w:val="28"/>
        </w:rPr>
        <w:sectPr w:rsidR="00F71913">
          <w:pgSz w:w="11910" w:h="16840"/>
          <w:pgMar w:top="1020" w:right="425" w:bottom="280" w:left="1559" w:header="719" w:footer="0" w:gutter="0"/>
          <w:cols w:space="720"/>
        </w:sectPr>
      </w:pPr>
    </w:p>
    <w:p w:rsidR="00F71913" w:rsidRDefault="00F71913" w:rsidP="00F71913">
      <w:pPr>
        <w:pStyle w:val="a5"/>
        <w:numPr>
          <w:ilvl w:val="1"/>
          <w:numId w:val="8"/>
        </w:numPr>
        <w:tabs>
          <w:tab w:val="left" w:pos="1557"/>
        </w:tabs>
        <w:spacing w:before="102" w:line="360" w:lineRule="auto"/>
        <w:ind w:right="424" w:firstLine="707"/>
        <w:jc w:val="both"/>
        <w:rPr>
          <w:sz w:val="28"/>
        </w:rPr>
      </w:pPr>
      <w:r>
        <w:rPr>
          <w:sz w:val="28"/>
        </w:rPr>
        <w:lastRenderedPageBreak/>
        <w:t xml:space="preserve">Ross R. P. Hill C. O’Mahony J. Coffey A. Bacteriophages and bacterial plant diseases. Frontiers in Microbiology. 2017. 8:34. </w:t>
      </w:r>
      <w:r>
        <w:rPr>
          <w:spacing w:val="-2"/>
          <w:sz w:val="28"/>
        </w:rPr>
        <w:t>doi.org/10.3389/fmicb.2017.00034.</w:t>
      </w:r>
    </w:p>
    <w:p w:rsidR="00F71913" w:rsidRDefault="00F71913" w:rsidP="00F71913">
      <w:pPr>
        <w:pStyle w:val="a5"/>
        <w:numPr>
          <w:ilvl w:val="1"/>
          <w:numId w:val="8"/>
        </w:numPr>
        <w:tabs>
          <w:tab w:val="left" w:pos="1557"/>
        </w:tabs>
        <w:spacing w:before="1" w:line="360" w:lineRule="auto"/>
        <w:ind w:right="423" w:firstLine="707"/>
        <w:jc w:val="both"/>
        <w:rPr>
          <w:sz w:val="28"/>
        </w:rPr>
      </w:pPr>
      <w:r>
        <w:rPr>
          <w:sz w:val="28"/>
        </w:rPr>
        <w:t>Scallan E., Hoekstra R.M., Angulo F.J., et al. Foodborne illness acquired</w:t>
      </w:r>
      <w:r>
        <w:rPr>
          <w:spacing w:val="-2"/>
          <w:sz w:val="28"/>
        </w:rPr>
        <w:t xml:space="preserve"> </w:t>
      </w:r>
      <w:r>
        <w:rPr>
          <w:sz w:val="28"/>
        </w:rPr>
        <w:t>in</w:t>
      </w:r>
      <w:r>
        <w:rPr>
          <w:spacing w:val="-3"/>
          <w:sz w:val="28"/>
        </w:rPr>
        <w:t xml:space="preserve"> </w:t>
      </w:r>
      <w:r>
        <w:rPr>
          <w:sz w:val="28"/>
        </w:rPr>
        <w:t>the United States-major pathogens.</w:t>
      </w:r>
      <w:r>
        <w:rPr>
          <w:spacing w:val="-2"/>
          <w:sz w:val="28"/>
        </w:rPr>
        <w:t xml:space="preserve"> </w:t>
      </w:r>
      <w:r>
        <w:rPr>
          <w:i/>
          <w:sz w:val="28"/>
        </w:rPr>
        <w:t>Emerg Infect</w:t>
      </w:r>
      <w:r>
        <w:rPr>
          <w:i/>
          <w:spacing w:val="-3"/>
          <w:sz w:val="28"/>
        </w:rPr>
        <w:t xml:space="preserve"> </w:t>
      </w:r>
      <w:r>
        <w:rPr>
          <w:i/>
          <w:sz w:val="28"/>
        </w:rPr>
        <w:t>Dis</w:t>
      </w:r>
      <w:r>
        <w:rPr>
          <w:sz w:val="28"/>
        </w:rPr>
        <w:t>.</w:t>
      </w:r>
      <w:r>
        <w:rPr>
          <w:spacing w:val="-4"/>
          <w:sz w:val="28"/>
        </w:rPr>
        <w:t xml:space="preserve"> </w:t>
      </w:r>
      <w:r>
        <w:rPr>
          <w:sz w:val="28"/>
        </w:rPr>
        <w:t>2011;17(1):7–15.</w:t>
      </w:r>
    </w:p>
    <w:p w:rsidR="00F71913" w:rsidRDefault="00F71913" w:rsidP="00F71913">
      <w:pPr>
        <w:pStyle w:val="a5"/>
        <w:numPr>
          <w:ilvl w:val="1"/>
          <w:numId w:val="8"/>
        </w:numPr>
        <w:tabs>
          <w:tab w:val="left" w:pos="1557"/>
        </w:tabs>
        <w:spacing w:before="2" w:line="360" w:lineRule="auto"/>
        <w:ind w:right="430" w:firstLine="707"/>
        <w:jc w:val="both"/>
        <w:rPr>
          <w:sz w:val="28"/>
        </w:rPr>
      </w:pPr>
      <w:r>
        <w:rPr>
          <w:sz w:val="28"/>
        </w:rPr>
        <w:t>Schaad N. W. Ignatov A. N. Role of Cruciferous weeds in the epidemiology and biological control of seedborne Xanthomonas campestris. 2019.</w:t>
      </w:r>
    </w:p>
    <w:p w:rsidR="00F71913" w:rsidRDefault="00F71913" w:rsidP="00F71913">
      <w:pPr>
        <w:pStyle w:val="a3"/>
        <w:spacing w:line="321" w:lineRule="exact"/>
      </w:pPr>
      <w:r>
        <w:t>P.</w:t>
      </w:r>
      <w:r>
        <w:rPr>
          <w:spacing w:val="-1"/>
        </w:rPr>
        <w:t xml:space="preserve"> </w:t>
      </w:r>
      <w:r>
        <w:t>3-</w:t>
      </w:r>
      <w:r>
        <w:rPr>
          <w:spacing w:val="-7"/>
        </w:rPr>
        <w:t>4.</w:t>
      </w:r>
    </w:p>
    <w:p w:rsidR="00F71913" w:rsidRDefault="00F71913" w:rsidP="00F71913">
      <w:pPr>
        <w:pStyle w:val="a5"/>
        <w:numPr>
          <w:ilvl w:val="1"/>
          <w:numId w:val="8"/>
        </w:numPr>
        <w:tabs>
          <w:tab w:val="left" w:pos="1557"/>
        </w:tabs>
        <w:spacing w:before="160" w:line="362" w:lineRule="auto"/>
        <w:ind w:right="429" w:firstLine="707"/>
        <w:jc w:val="both"/>
        <w:rPr>
          <w:sz w:val="28"/>
        </w:rPr>
      </w:pPr>
      <w:r>
        <w:rPr>
          <w:sz w:val="28"/>
        </w:rPr>
        <w:t>Sillankorva S., Oliveira H., Azeredo J. Bacteriophages and their role</w:t>
      </w:r>
      <w:r>
        <w:rPr>
          <w:spacing w:val="40"/>
          <w:sz w:val="28"/>
        </w:rPr>
        <w:t xml:space="preserve"> </w:t>
      </w:r>
      <w:r>
        <w:rPr>
          <w:sz w:val="28"/>
        </w:rPr>
        <w:t xml:space="preserve">in food safety. </w:t>
      </w:r>
      <w:r>
        <w:rPr>
          <w:i/>
          <w:sz w:val="28"/>
        </w:rPr>
        <w:t>Int J Microbiol</w:t>
      </w:r>
      <w:r>
        <w:rPr>
          <w:sz w:val="28"/>
        </w:rPr>
        <w:t>. 2012;2012:863945.</w:t>
      </w:r>
    </w:p>
    <w:p w:rsidR="00F71913" w:rsidRDefault="00F71913" w:rsidP="00F71913">
      <w:pPr>
        <w:pStyle w:val="a5"/>
        <w:numPr>
          <w:ilvl w:val="1"/>
          <w:numId w:val="8"/>
        </w:numPr>
        <w:tabs>
          <w:tab w:val="left" w:pos="1557"/>
        </w:tabs>
        <w:spacing w:line="360" w:lineRule="auto"/>
        <w:ind w:right="417" w:firstLine="707"/>
        <w:jc w:val="both"/>
        <w:rPr>
          <w:sz w:val="28"/>
        </w:rPr>
      </w:pPr>
      <w:r>
        <w:rPr>
          <w:sz w:val="28"/>
        </w:rPr>
        <w:t xml:space="preserve">Sofie R. Anneleen V. Sofie V. Characterization of novel bacteriophages. Frontiers in Microbiology. 2016. 7:1-15. </w:t>
      </w:r>
      <w:r>
        <w:rPr>
          <w:spacing w:val="-2"/>
          <w:sz w:val="28"/>
        </w:rPr>
        <w:t>doi.org/10.3389/fmicb.2016.00279.</w:t>
      </w:r>
    </w:p>
    <w:p w:rsidR="00F71913" w:rsidRDefault="00F71913" w:rsidP="00F71913">
      <w:pPr>
        <w:pStyle w:val="a5"/>
        <w:numPr>
          <w:ilvl w:val="1"/>
          <w:numId w:val="8"/>
        </w:numPr>
        <w:tabs>
          <w:tab w:val="left" w:pos="1557"/>
        </w:tabs>
        <w:spacing w:line="360" w:lineRule="auto"/>
        <w:ind w:right="431" w:firstLine="707"/>
        <w:jc w:val="both"/>
        <w:rPr>
          <w:sz w:val="28"/>
        </w:rPr>
      </w:pPr>
      <w:r>
        <w:rPr>
          <w:sz w:val="28"/>
        </w:rPr>
        <w:t xml:space="preserve">Sulakvelidze A. Phage therapy: an attractive option for dealing with antibiotic-resistant bacterial infections. </w:t>
      </w:r>
      <w:r>
        <w:rPr>
          <w:i/>
          <w:sz w:val="28"/>
        </w:rPr>
        <w:t>Drug Discov Today</w:t>
      </w:r>
      <w:r>
        <w:rPr>
          <w:sz w:val="28"/>
        </w:rPr>
        <w:t>.</w:t>
      </w:r>
      <w:r>
        <w:rPr>
          <w:spacing w:val="-1"/>
          <w:sz w:val="28"/>
        </w:rPr>
        <w:t xml:space="preserve"> </w:t>
      </w:r>
      <w:r>
        <w:rPr>
          <w:sz w:val="28"/>
        </w:rPr>
        <w:t>2005;10(12):807–809.</w:t>
      </w:r>
    </w:p>
    <w:p w:rsidR="00F71913" w:rsidRDefault="00F71913" w:rsidP="00F71913">
      <w:pPr>
        <w:pStyle w:val="a5"/>
        <w:numPr>
          <w:ilvl w:val="1"/>
          <w:numId w:val="8"/>
        </w:numPr>
        <w:tabs>
          <w:tab w:val="left" w:pos="1558"/>
        </w:tabs>
        <w:spacing w:line="321" w:lineRule="exact"/>
        <w:ind w:left="1558" w:hanging="707"/>
        <w:jc w:val="both"/>
        <w:rPr>
          <w:sz w:val="28"/>
        </w:rPr>
      </w:pPr>
      <w:r>
        <w:rPr>
          <w:sz w:val="28"/>
        </w:rPr>
        <w:t>Sulakvelidze</w:t>
      </w:r>
      <w:r>
        <w:rPr>
          <w:spacing w:val="22"/>
          <w:sz w:val="28"/>
        </w:rPr>
        <w:t xml:space="preserve"> </w:t>
      </w:r>
      <w:r>
        <w:rPr>
          <w:sz w:val="28"/>
        </w:rPr>
        <w:t>A.,</w:t>
      </w:r>
      <w:r>
        <w:rPr>
          <w:spacing w:val="26"/>
          <w:sz w:val="28"/>
        </w:rPr>
        <w:t xml:space="preserve"> </w:t>
      </w:r>
      <w:r>
        <w:rPr>
          <w:sz w:val="28"/>
        </w:rPr>
        <w:t>Alavidze</w:t>
      </w:r>
      <w:r>
        <w:rPr>
          <w:spacing w:val="24"/>
          <w:sz w:val="28"/>
        </w:rPr>
        <w:t xml:space="preserve"> </w:t>
      </w:r>
      <w:r>
        <w:rPr>
          <w:sz w:val="28"/>
        </w:rPr>
        <w:t>Z.,</w:t>
      </w:r>
      <w:r>
        <w:rPr>
          <w:spacing w:val="26"/>
          <w:sz w:val="28"/>
        </w:rPr>
        <w:t xml:space="preserve"> </w:t>
      </w:r>
      <w:r>
        <w:rPr>
          <w:sz w:val="28"/>
        </w:rPr>
        <w:t>Morris</w:t>
      </w:r>
      <w:r>
        <w:rPr>
          <w:spacing w:val="27"/>
          <w:sz w:val="28"/>
        </w:rPr>
        <w:t xml:space="preserve"> </w:t>
      </w:r>
      <w:r>
        <w:rPr>
          <w:sz w:val="28"/>
        </w:rPr>
        <w:t>J.G.</w:t>
      </w:r>
      <w:r>
        <w:rPr>
          <w:spacing w:val="26"/>
          <w:sz w:val="28"/>
        </w:rPr>
        <w:t xml:space="preserve"> </w:t>
      </w:r>
      <w:r>
        <w:rPr>
          <w:sz w:val="28"/>
        </w:rPr>
        <w:t>Jr.</w:t>
      </w:r>
      <w:r>
        <w:rPr>
          <w:spacing w:val="25"/>
          <w:sz w:val="28"/>
        </w:rPr>
        <w:t xml:space="preserve"> </w:t>
      </w:r>
      <w:r>
        <w:rPr>
          <w:sz w:val="28"/>
        </w:rPr>
        <w:t>Bacteriophage</w:t>
      </w:r>
      <w:r>
        <w:rPr>
          <w:spacing w:val="27"/>
          <w:sz w:val="28"/>
        </w:rPr>
        <w:t xml:space="preserve"> </w:t>
      </w:r>
      <w:r>
        <w:rPr>
          <w:spacing w:val="-2"/>
          <w:sz w:val="28"/>
        </w:rPr>
        <w:t>therapy.</w:t>
      </w:r>
    </w:p>
    <w:p w:rsidR="00F71913" w:rsidRDefault="00F71913" w:rsidP="00F71913">
      <w:pPr>
        <w:spacing w:before="157"/>
        <w:ind w:left="143"/>
        <w:jc w:val="both"/>
        <w:rPr>
          <w:sz w:val="28"/>
        </w:rPr>
      </w:pPr>
      <w:r>
        <w:rPr>
          <w:i/>
          <w:sz w:val="28"/>
        </w:rPr>
        <w:t>Antimicrob</w:t>
      </w:r>
      <w:r>
        <w:rPr>
          <w:i/>
          <w:spacing w:val="-11"/>
          <w:sz w:val="28"/>
        </w:rPr>
        <w:t xml:space="preserve"> </w:t>
      </w:r>
      <w:r>
        <w:rPr>
          <w:i/>
          <w:sz w:val="28"/>
        </w:rPr>
        <w:t>Agents</w:t>
      </w:r>
      <w:r>
        <w:rPr>
          <w:i/>
          <w:spacing w:val="-6"/>
          <w:sz w:val="28"/>
        </w:rPr>
        <w:t xml:space="preserve"> </w:t>
      </w:r>
      <w:r>
        <w:rPr>
          <w:i/>
          <w:sz w:val="28"/>
        </w:rPr>
        <w:t>Chemother</w:t>
      </w:r>
      <w:r>
        <w:rPr>
          <w:sz w:val="28"/>
        </w:rPr>
        <w:t>.</w:t>
      </w:r>
      <w:r>
        <w:rPr>
          <w:spacing w:val="-11"/>
          <w:sz w:val="28"/>
        </w:rPr>
        <w:t xml:space="preserve"> </w:t>
      </w:r>
      <w:r>
        <w:rPr>
          <w:spacing w:val="-2"/>
          <w:sz w:val="28"/>
        </w:rPr>
        <w:t>2001;45(3):649–659.</w:t>
      </w:r>
    </w:p>
    <w:p w:rsidR="00F71913" w:rsidRDefault="00F71913" w:rsidP="00F71913">
      <w:pPr>
        <w:pStyle w:val="a5"/>
        <w:numPr>
          <w:ilvl w:val="1"/>
          <w:numId w:val="8"/>
        </w:numPr>
        <w:tabs>
          <w:tab w:val="left" w:pos="1557"/>
        </w:tabs>
        <w:spacing w:before="161" w:line="362" w:lineRule="auto"/>
        <w:ind w:right="427" w:firstLine="707"/>
        <w:jc w:val="both"/>
        <w:rPr>
          <w:sz w:val="28"/>
        </w:rPr>
      </w:pPr>
      <w:r>
        <w:rPr>
          <w:sz w:val="28"/>
        </w:rPr>
        <w:t xml:space="preserve">Turner D., Kropinski A.M., Adriaenssens E.M. A roadmap for genome-based phage taxonomy. </w:t>
      </w:r>
      <w:r>
        <w:rPr>
          <w:i/>
          <w:sz w:val="28"/>
        </w:rPr>
        <w:t>Viruses</w:t>
      </w:r>
      <w:r>
        <w:rPr>
          <w:sz w:val="28"/>
        </w:rPr>
        <w:t>. 2021;13(3):506.</w:t>
      </w:r>
    </w:p>
    <w:p w:rsidR="00F71913" w:rsidRDefault="00F71913" w:rsidP="00F71913">
      <w:pPr>
        <w:pStyle w:val="a5"/>
        <w:numPr>
          <w:ilvl w:val="1"/>
          <w:numId w:val="8"/>
        </w:numPr>
        <w:tabs>
          <w:tab w:val="left" w:pos="1557"/>
        </w:tabs>
        <w:spacing w:line="360" w:lineRule="auto"/>
        <w:ind w:right="422" w:firstLine="707"/>
        <w:jc w:val="both"/>
        <w:rPr>
          <w:sz w:val="28"/>
        </w:rPr>
      </w:pPr>
      <w:r>
        <w:rPr>
          <w:sz w:val="28"/>
        </w:rPr>
        <w:t xml:space="preserve">Viazis S., Akhtar M., Feirtag J., Diez-Gonzalez F. Reduction of Escherichia coli O157:H7 viability on hard surfaces by treatment with a bacteriophage mixture. </w:t>
      </w:r>
      <w:r>
        <w:rPr>
          <w:i/>
          <w:sz w:val="28"/>
        </w:rPr>
        <w:t>Int J Food Microbiol</w:t>
      </w:r>
      <w:r>
        <w:rPr>
          <w:sz w:val="28"/>
        </w:rPr>
        <w:t>. 2011;145(1):37–42.</w:t>
      </w:r>
    </w:p>
    <w:p w:rsidR="00F71913" w:rsidRDefault="00F71913" w:rsidP="00F71913">
      <w:pPr>
        <w:pStyle w:val="a5"/>
        <w:numPr>
          <w:ilvl w:val="1"/>
          <w:numId w:val="8"/>
        </w:numPr>
        <w:tabs>
          <w:tab w:val="left" w:pos="1557"/>
        </w:tabs>
        <w:spacing w:line="360" w:lineRule="auto"/>
        <w:ind w:right="430" w:firstLine="707"/>
        <w:jc w:val="both"/>
        <w:rPr>
          <w:sz w:val="28"/>
        </w:rPr>
      </w:pPr>
      <w:r>
        <w:rPr>
          <w:sz w:val="28"/>
        </w:rPr>
        <w:t xml:space="preserve">Zuber S., Bruttin A., Moreillon P., et al. Bacteriophage for biocontrol of foodborne pathogens: a review. </w:t>
      </w:r>
      <w:r>
        <w:rPr>
          <w:i/>
          <w:sz w:val="28"/>
        </w:rPr>
        <w:t>Int J Food Microbiol</w:t>
      </w:r>
      <w:r>
        <w:rPr>
          <w:sz w:val="28"/>
        </w:rPr>
        <w:t>. 2008;131(1):1–10.</w:t>
      </w:r>
    </w:p>
    <w:p w:rsidR="000E6A2E" w:rsidRDefault="000E6A2E">
      <w:bookmarkStart w:id="2" w:name="_GoBack"/>
      <w:bookmarkEnd w:id="2"/>
    </w:p>
    <w:sectPr w:rsidR="000E6A2E">
      <w:pgSz w:w="11910" w:h="16840"/>
      <w:pgMar w:top="1020" w:right="425" w:bottom="280" w:left="1559" w:header="719"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4B7E" w:rsidRDefault="00F71913">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59264" behindDoc="1" locked="0" layoutInCell="1" allowOverlap="1" wp14:anchorId="5E939252" wp14:editId="5E614EF8">
              <wp:simplePos x="0" y="0"/>
              <wp:positionH relativeFrom="page">
                <wp:posOffset>3749166</wp:posOffset>
              </wp:positionH>
              <wp:positionV relativeFrom="page">
                <wp:posOffset>713851</wp:posOffset>
              </wp:positionV>
              <wp:extent cx="604520" cy="22288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4520" cy="222885"/>
                      </a:xfrm>
                      <a:prstGeom prst="rect">
                        <a:avLst/>
                      </a:prstGeom>
                    </wps:spPr>
                    <wps:txbx>
                      <w:txbxContent>
                        <w:p w:rsidR="00494B7E" w:rsidRDefault="00F71913">
                          <w:pPr>
                            <w:spacing w:before="9"/>
                            <w:ind w:left="20"/>
                            <w:rPr>
                              <w:b/>
                              <w:sz w:val="28"/>
                            </w:rPr>
                          </w:pPr>
                          <w:r>
                            <w:rPr>
                              <w:b/>
                              <w:spacing w:val="-2"/>
                              <w:sz w:val="28"/>
                            </w:rPr>
                            <w:t>ЗМІСТ</w:t>
                          </w:r>
                        </w:p>
                      </w:txbxContent>
                    </wps:txbx>
                    <wps:bodyPr wrap="square" lIns="0" tIns="0" rIns="0" bIns="0" rtlCol="0">
                      <a:noAutofit/>
                    </wps:bodyPr>
                  </wps:wsp>
                </a:graphicData>
              </a:graphic>
            </wp:anchor>
          </w:drawing>
        </mc:Choice>
        <mc:Fallback>
          <w:pict>
            <v:shapetype w14:anchorId="5E939252" id="_x0000_t202" coordsize="21600,21600" o:spt="202" path="m,l,21600r21600,l21600,xe">
              <v:stroke joinstyle="miter"/>
              <v:path gradientshapeok="t" o:connecttype="rect"/>
            </v:shapetype>
            <v:shape id="Textbox 1" o:spid="_x0000_s1026" type="#_x0000_t202" style="position:absolute;margin-left:295.2pt;margin-top:56.2pt;width:47.6pt;height:17.5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LWNpQEAAD4DAAAOAAAAZHJzL2Uyb0RvYy54bWysUsFu2zAMvQ/YPwi6N3aMtgiMOMW2YsOA&#10;YhvQ9gNkWYqFWaImKrHz96NkJy3a27CLTJlPj++R3N5NdmBHFdCAa/h6VXKmnITOuH3Dn5++Xm04&#10;wyhcJwZwquEnhfxu9/HDdvS1qqCHoVOBEYnDevQN72P0dVGg7JUVuAKvHCU1BCsiXcO+6IIYid0O&#10;RVWWt8UIofMBpEKkv/dzku8yv9ZKxp9ao4psaDhpi/kM+WzTWey2ot4H4XsjFxniH1RYYRwVvVDd&#10;iyjYIZh3VNbIAAg6riTYArQ2UmUP5GZdvnHz2AuvshdqDvpLm/D/0cofx1+BmY5mx5kTlkb0pKbY&#10;wsTWqTmjx5owj55QcfoMUwImo+gfQP5GghSvMPMDJHTCTDrY9CWbjB5S/0+XnlMRJunnbXl9U1FG&#10;Uqqqqs3mJpUtXh77gPGbAstS0PBAI80CxPEB4ww9QxYtc/mkKk7ttJhooTuRh5FG3XD8cxBBcTZ8&#10;d9TLtBfnIJyD9hyEOHyBvD3JioNPhwja5MqpxMy7VKYhZe3LQqUteH3PqJe13/0FAAD//wMAUEsD&#10;BBQABgAIAAAAIQDRpfsN4QAAAAsBAAAPAAAAZHJzL2Rvd25yZXYueG1sTI/BTsMwEETvSPyDtUjc&#10;qNOoSUuIU6GiigPi0EKlHrexiSNiO7Ld1P17lhPcdndGs2/qdTIDm5QPvbMC5rMMmLKtk73tBHx+&#10;bB9WwEJEK3FwVgm4qgDr5vamxkq6i92paR87RiE2VChAxzhWnIdWK4Nh5kZlSfty3mCk1XdcerxQ&#10;uBl4nmUlN9hb+qBxVBut2u/92Qg4bMbtWzpqfJ8K+fqSL3dX3yYh7u/S8xOwqFL8M8MvPqFDQ0wn&#10;d7YysEFA8ZgtyErCPKeBHOWqKIGd6LJYFsCbmv/v0PwAAAD//wMAUEsBAi0AFAAGAAgAAAAhALaD&#10;OJL+AAAA4QEAABMAAAAAAAAAAAAAAAAAAAAAAFtDb250ZW50X1R5cGVzXS54bWxQSwECLQAUAAYA&#10;CAAAACEAOP0h/9YAAACUAQAACwAAAAAAAAAAAAAAAAAvAQAAX3JlbHMvLnJlbHNQSwECLQAUAAYA&#10;CAAAACEAzEi1jaUBAAA+AwAADgAAAAAAAAAAAAAAAAAuAgAAZHJzL2Uyb0RvYy54bWxQSwECLQAU&#10;AAYACAAAACEA0aX7DeEAAAALAQAADwAAAAAAAAAAAAAAAAD/AwAAZHJzL2Rvd25yZXYueG1sUEsF&#10;BgAAAAAEAAQA8wAAAA0FAAAAAA==&#10;" filled="f" stroked="f">
              <v:path arrowok="t"/>
              <v:textbox inset="0,0,0,0">
                <w:txbxContent>
                  <w:p w:rsidR="00494B7E" w:rsidRDefault="00F71913">
                    <w:pPr>
                      <w:spacing w:before="9"/>
                      <w:ind w:left="20"/>
                      <w:rPr>
                        <w:b/>
                        <w:sz w:val="28"/>
                      </w:rPr>
                    </w:pPr>
                    <w:r>
                      <w:rPr>
                        <w:b/>
                        <w:spacing w:val="-2"/>
                        <w:sz w:val="28"/>
                      </w:rPr>
                      <w:t>ЗМІСТ</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4B7E" w:rsidRDefault="00F71913">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60288" behindDoc="1" locked="0" layoutInCell="1" allowOverlap="1" wp14:anchorId="561F719C" wp14:editId="0F564EA2">
              <wp:simplePos x="0" y="0"/>
              <wp:positionH relativeFrom="page">
                <wp:posOffset>1295146</wp:posOffset>
              </wp:positionH>
              <wp:positionV relativeFrom="page">
                <wp:posOffset>1076817</wp:posOffset>
              </wp:positionV>
              <wp:extent cx="5512435" cy="22288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12435" cy="222885"/>
                      </a:xfrm>
                      <a:prstGeom prst="rect">
                        <a:avLst/>
                      </a:prstGeom>
                    </wps:spPr>
                    <wps:txbx>
                      <w:txbxContent>
                        <w:p w:rsidR="00494B7E" w:rsidRDefault="00F71913">
                          <w:pPr>
                            <w:spacing w:before="9"/>
                            <w:ind w:left="20"/>
                            <w:rPr>
                              <w:b/>
                              <w:sz w:val="28"/>
                            </w:rPr>
                          </w:pPr>
                          <w:r>
                            <w:rPr>
                              <w:b/>
                              <w:sz w:val="28"/>
                            </w:rPr>
                            <w:t>ПЕРЕЛІК</w:t>
                          </w:r>
                          <w:r>
                            <w:rPr>
                              <w:b/>
                              <w:spacing w:val="-7"/>
                              <w:sz w:val="28"/>
                            </w:rPr>
                            <w:t xml:space="preserve"> </w:t>
                          </w:r>
                          <w:r>
                            <w:rPr>
                              <w:b/>
                              <w:sz w:val="28"/>
                            </w:rPr>
                            <w:t>ТЕРМІНІВ,</w:t>
                          </w:r>
                          <w:r>
                            <w:rPr>
                              <w:b/>
                              <w:spacing w:val="-9"/>
                              <w:sz w:val="28"/>
                            </w:rPr>
                            <w:t xml:space="preserve"> </w:t>
                          </w:r>
                          <w:r>
                            <w:rPr>
                              <w:b/>
                              <w:sz w:val="28"/>
                            </w:rPr>
                            <w:t>УМОВНИХ</w:t>
                          </w:r>
                          <w:r>
                            <w:rPr>
                              <w:b/>
                              <w:spacing w:val="-6"/>
                              <w:sz w:val="28"/>
                            </w:rPr>
                            <w:t xml:space="preserve"> </w:t>
                          </w:r>
                          <w:r>
                            <w:rPr>
                              <w:b/>
                              <w:sz w:val="28"/>
                            </w:rPr>
                            <w:t>ПОЗНАЧЕНЬ</w:t>
                          </w:r>
                          <w:r>
                            <w:rPr>
                              <w:b/>
                              <w:spacing w:val="-8"/>
                              <w:sz w:val="28"/>
                            </w:rPr>
                            <w:t xml:space="preserve"> </w:t>
                          </w:r>
                          <w:r>
                            <w:rPr>
                              <w:b/>
                              <w:sz w:val="28"/>
                            </w:rPr>
                            <w:t>ТА</w:t>
                          </w:r>
                          <w:r>
                            <w:rPr>
                              <w:b/>
                              <w:spacing w:val="-9"/>
                              <w:sz w:val="28"/>
                            </w:rPr>
                            <w:t xml:space="preserve"> </w:t>
                          </w:r>
                          <w:r>
                            <w:rPr>
                              <w:b/>
                              <w:spacing w:val="-2"/>
                              <w:sz w:val="28"/>
                            </w:rPr>
                            <w:t>СКОРОЧЕНЬ</w:t>
                          </w:r>
                        </w:p>
                      </w:txbxContent>
                    </wps:txbx>
                    <wps:bodyPr wrap="square" lIns="0" tIns="0" rIns="0" bIns="0" rtlCol="0">
                      <a:noAutofit/>
                    </wps:bodyPr>
                  </wps:wsp>
                </a:graphicData>
              </a:graphic>
            </wp:anchor>
          </w:drawing>
        </mc:Choice>
        <mc:Fallback>
          <w:pict>
            <v:shapetype w14:anchorId="561F719C" id="_x0000_t202" coordsize="21600,21600" o:spt="202" path="m,l,21600r21600,l21600,xe">
              <v:stroke joinstyle="miter"/>
              <v:path gradientshapeok="t" o:connecttype="rect"/>
            </v:shapetype>
            <v:shape id="Textbox 2" o:spid="_x0000_s1027" type="#_x0000_t202" style="position:absolute;margin-left:102pt;margin-top:84.8pt;width:434.05pt;height:17.5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UqqwEAAEYDAAAOAAAAZHJzL2Uyb0RvYy54bWysUlFv2yAQfp/U/4B4b5x4yxRZcapuVadJ&#10;1Tap7Q/AGGI0w1GOxM6/34HjtNrepr7AAR/ffd/dbW9G27OjCmjA1Xy1WHKmnITWuH3Nn5/urzec&#10;YRSuFT04VfOTQn6zu/qwHXylSuigb1VgROKwGnzNuxh9VRQoO2UFLsArR48aghWRjmFftEEMxG77&#10;olwuPxcDhNYHkAqRbu+mR77L/ForGX9qjSqyvuakLeY15LVJa7HbimofhO+MPMsQ/6HCCuMo6YXq&#10;TkTBDsH8Q2WNDICg40KCLUBrI1X2QG5Wy7/cPHbCq+yFioP+UiZ8P1r54/grMNPWvOTMCUstelJj&#10;bGBkZSrO4LEizKMnVBy/wEhNzkbRP4D8jQQp3mCmD0joVIxRB5t2ssnoI9X/dKk5JWGSLtfrVfnp&#10;45ozSW9lWW4265S3eP3tA8ZvCixLQc0D9TQrEMcHjBN0hpzFTPmTrDg2Y3a3ms000J7Iy0Atrzm+&#10;HERQnPXfHdU0zccchDlo5iDE/ivkKUqWHNweImiTBaRME+9ZADUrWzgPVpqGt+eMeh3/3R8AAAD/&#10;/wMAUEsDBBQABgAIAAAAIQAHfci+4AAAAAwBAAAPAAAAZHJzL2Rvd25yZXYueG1sTI/BTsMwEETv&#10;SPyDtUjcqN0IEghxKlRUcUAcWqjUoxsvcUS8jmI3df8el0s5rt5o9k21iLZnE46+cyRhPhPAkBqn&#10;O2olfH2u7h6B+aBIq94RSjihh0V9fVWpUrsjrXHahJalEvKlkmBCGErOfWPQKj9zA1Ji3260KqRz&#10;bLke1TGV255nQuTcqo7SB6MGXBpsfjYHK2G7HFbvcWfUx/Sg316zYn0amyjl7U18eQYWMIZLGM76&#10;SR3q5LR3B9Ke9RIycZ+2hATypxzYOSGKbA5s/8cK4HXF/4+ofwEAAP//AwBQSwECLQAUAAYACAAA&#10;ACEAtoM4kv4AAADhAQAAEwAAAAAAAAAAAAAAAAAAAAAAW0NvbnRlbnRfVHlwZXNdLnhtbFBLAQIt&#10;ABQABgAIAAAAIQA4/SH/1gAAAJQBAAALAAAAAAAAAAAAAAAAAC8BAABfcmVscy8ucmVsc1BLAQIt&#10;ABQABgAIAAAAIQC/kLUqqwEAAEYDAAAOAAAAAAAAAAAAAAAAAC4CAABkcnMvZTJvRG9jLnhtbFBL&#10;AQItABQABgAIAAAAIQAHfci+4AAAAAwBAAAPAAAAAAAAAAAAAAAAAAUEAABkcnMvZG93bnJldi54&#10;bWxQSwUGAAAAAAQABADzAAAAEgUAAAAA&#10;" filled="f" stroked="f">
              <v:path arrowok="t"/>
              <v:textbox inset="0,0,0,0">
                <w:txbxContent>
                  <w:p w:rsidR="00494B7E" w:rsidRDefault="00F71913">
                    <w:pPr>
                      <w:spacing w:before="9"/>
                      <w:ind w:left="20"/>
                      <w:rPr>
                        <w:b/>
                        <w:sz w:val="28"/>
                      </w:rPr>
                    </w:pPr>
                    <w:r>
                      <w:rPr>
                        <w:b/>
                        <w:sz w:val="28"/>
                      </w:rPr>
                      <w:t>ПЕРЕЛІК</w:t>
                    </w:r>
                    <w:r>
                      <w:rPr>
                        <w:b/>
                        <w:spacing w:val="-7"/>
                        <w:sz w:val="28"/>
                      </w:rPr>
                      <w:t xml:space="preserve"> </w:t>
                    </w:r>
                    <w:r>
                      <w:rPr>
                        <w:b/>
                        <w:sz w:val="28"/>
                      </w:rPr>
                      <w:t>ТЕРМІНІВ,</w:t>
                    </w:r>
                    <w:r>
                      <w:rPr>
                        <w:b/>
                        <w:spacing w:val="-9"/>
                        <w:sz w:val="28"/>
                      </w:rPr>
                      <w:t xml:space="preserve"> </w:t>
                    </w:r>
                    <w:r>
                      <w:rPr>
                        <w:b/>
                        <w:sz w:val="28"/>
                      </w:rPr>
                      <w:t>УМОВНИХ</w:t>
                    </w:r>
                    <w:r>
                      <w:rPr>
                        <w:b/>
                        <w:spacing w:val="-6"/>
                        <w:sz w:val="28"/>
                      </w:rPr>
                      <w:t xml:space="preserve"> </w:t>
                    </w:r>
                    <w:r>
                      <w:rPr>
                        <w:b/>
                        <w:sz w:val="28"/>
                      </w:rPr>
                      <w:t>ПОЗНАЧЕНЬ</w:t>
                    </w:r>
                    <w:r>
                      <w:rPr>
                        <w:b/>
                        <w:spacing w:val="-8"/>
                        <w:sz w:val="28"/>
                      </w:rPr>
                      <w:t xml:space="preserve"> </w:t>
                    </w:r>
                    <w:r>
                      <w:rPr>
                        <w:b/>
                        <w:sz w:val="28"/>
                      </w:rPr>
                      <w:t>ТА</w:t>
                    </w:r>
                    <w:r>
                      <w:rPr>
                        <w:b/>
                        <w:spacing w:val="-9"/>
                        <w:sz w:val="28"/>
                      </w:rPr>
                      <w:t xml:space="preserve"> </w:t>
                    </w:r>
                    <w:r>
                      <w:rPr>
                        <w:b/>
                        <w:spacing w:val="-2"/>
                        <w:sz w:val="28"/>
                      </w:rPr>
                      <w:t>СКОРОЧЕНЬ</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94B7E" w:rsidRDefault="00F71913">
    <w:pPr>
      <w:pStyle w:val="a3"/>
      <w:spacing w:line="14" w:lineRule="auto"/>
      <w:ind w:left="0"/>
      <w:jc w:val="left"/>
      <w:rPr>
        <w:sz w:val="20"/>
      </w:rPr>
    </w:pPr>
    <w:r>
      <w:rPr>
        <w:noProof/>
        <w:sz w:val="20"/>
        <w:lang w:val="ru-RU" w:eastAsia="ru-RU"/>
      </w:rPr>
      <mc:AlternateContent>
        <mc:Choice Requires="wps">
          <w:drawing>
            <wp:anchor distT="0" distB="0" distL="0" distR="0" simplePos="0" relativeHeight="251661312" behindDoc="1" locked="0" layoutInCell="1" allowOverlap="1" wp14:anchorId="7D1351F9" wp14:editId="693CB557">
              <wp:simplePos x="0" y="0"/>
              <wp:positionH relativeFrom="page">
                <wp:posOffset>6831330</wp:posOffset>
              </wp:positionH>
              <wp:positionV relativeFrom="page">
                <wp:posOffset>444103</wp:posOffset>
              </wp:positionV>
              <wp:extent cx="243840" cy="22288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3840" cy="222885"/>
                      </a:xfrm>
                      <a:prstGeom prst="rect">
                        <a:avLst/>
                      </a:prstGeom>
                    </wps:spPr>
                    <wps:txbx>
                      <w:txbxContent>
                        <w:p w:rsidR="00494B7E" w:rsidRDefault="00F71913">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wps:txbx>
                    <wps:bodyPr wrap="square" lIns="0" tIns="0" rIns="0" bIns="0" rtlCol="0">
                      <a:noAutofit/>
                    </wps:bodyPr>
                  </wps:wsp>
                </a:graphicData>
              </a:graphic>
            </wp:anchor>
          </w:drawing>
        </mc:Choice>
        <mc:Fallback>
          <w:pict>
            <v:shapetype w14:anchorId="7D1351F9" id="_x0000_t202" coordsize="21600,21600" o:spt="202" path="m,l,21600r21600,l21600,xe">
              <v:stroke joinstyle="miter"/>
              <v:path gradientshapeok="t" o:connecttype="rect"/>
            </v:shapetype>
            <v:shape id="Textbox 3" o:spid="_x0000_s1028" type="#_x0000_t202" style="position:absolute;margin-left:537.9pt;margin-top:34.95pt;width:19.2pt;height:17.55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AR+qQEAAEUDAAAOAAAAZHJzL2Uyb0RvYy54bWysUsGO0zAQvSPxD5bv1N10QVXUdAWsQEgr&#10;QNrlAxzHbixij/G4Tfr3jJ2mu4Ib4uKMM89v3puZ3d3kBnbSES34ht+s1pxpr6Cz/tDwH0+f3mw5&#10;wyR9JwfwuuFnjfxu//rVbgy1rqCHodOREYnHegwN71MKtRCoeu0kriBoT0kD0clE13gQXZQjsbtB&#10;VOv1OzFC7EIEpRHp7/2c5PvCb4xW6ZsxqBMbGk7aUjljOdt8iv1O1ocoQ2/VRYb8BxVOWk9Fr1T3&#10;Mkl2jPYvKmdVBASTVgqcAGOs0sUDublZ/+HmsZdBFy/UHAzXNuH/o1VfT98js13DN5x56WhET3pK&#10;LUxsk5szBqwJ8xgIlaYPMNGQi1EMD6B+IkHEC8z8AAmdmzGZ6PKXbDJ6SP0/X3tORZiin9XtZntL&#10;GUWpqqq227e5rHh+HCKmzxocy0HDI420CJCnB0wzdIFctMzls6o0tVMxVy1eWujOZGWkiTccfx1l&#10;1JwNXzy1NK/HEsQlaJcgpuEjlCXKjjy8PyYwtgjIlWbeiwCaVbFw2au8DC/vBfW8/fvfAAAA//8D&#10;AFBLAwQUAAYACAAAACEADYFJ6eAAAAAMAQAADwAAAGRycy9kb3ducmV2LnhtbEyPMU/DMBSEdyT+&#10;g/WQ2KidiLQ0xKlQUcWAGFpAYnTjRxwRP0exm7r/HmeC8XSnu++qTbQ9m3D0nSMJ2UIAQ2qc7qiV&#10;8PG+u3sA5oMirXpHKOGCHjb19VWlSu3OtMfpEFqWSsiXSoIJYSg5941Bq/zCDUjJ+3ajVSHJseV6&#10;VOdUbnueC7HkVnWUFowacGuw+TmcrITP7bB7jV9GvU2FfnnOV/vL2EQpb2/i0yOwgDH8hWHGT+hQ&#10;J6ajO5H2rE9arIrEHiQs12tgcyLL7nNgx9krBPC64v9P1L8AAAD//wMAUEsBAi0AFAAGAAgAAAAh&#10;ALaDOJL+AAAA4QEAABMAAAAAAAAAAAAAAAAAAAAAAFtDb250ZW50X1R5cGVzXS54bWxQSwECLQAU&#10;AAYACAAAACEAOP0h/9YAAACUAQAACwAAAAAAAAAAAAAAAAAvAQAAX3JlbHMvLnJlbHNQSwECLQAU&#10;AAYACAAAACEAgBgEfqkBAABFAwAADgAAAAAAAAAAAAAAAAAuAgAAZHJzL2Uyb0RvYy54bWxQSwEC&#10;LQAUAAYACAAAACEADYFJ6eAAAAAMAQAADwAAAAAAAAAAAAAAAAADBAAAZHJzL2Rvd25yZXYueG1s&#10;UEsFBgAAAAAEAAQA8wAAABAFAAAAAA==&#10;" filled="f" stroked="f">
              <v:path arrowok="t"/>
              <v:textbox inset="0,0,0,0">
                <w:txbxContent>
                  <w:p w:rsidR="00494B7E" w:rsidRDefault="00F71913">
                    <w:pPr>
                      <w:pStyle w:val="a3"/>
                      <w:spacing w:before="9"/>
                      <w:ind w:left="20"/>
                      <w:jc w:val="left"/>
                    </w:pPr>
                    <w:r>
                      <w:rPr>
                        <w:spacing w:val="-5"/>
                      </w:rPr>
                      <w:fldChar w:fldCharType="begin"/>
                    </w:r>
                    <w:r>
                      <w:rPr>
                        <w:spacing w:val="-5"/>
                      </w:rPr>
                      <w:instrText xml:space="preserve"> PAGE </w:instrText>
                    </w:r>
                    <w:r>
                      <w:rPr>
                        <w:spacing w:val="-5"/>
                      </w:rPr>
                      <w:fldChar w:fldCharType="separate"/>
                    </w:r>
                    <w:r>
                      <w:rPr>
                        <w:noProof/>
                        <w:spacing w:val="-5"/>
                      </w:rPr>
                      <w:t>12</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4142EE"/>
    <w:multiLevelType w:val="multilevel"/>
    <w:tmpl w:val="A830B254"/>
    <w:lvl w:ilvl="0">
      <w:start w:val="1"/>
      <w:numFmt w:val="decimal"/>
      <w:lvlText w:val="%1"/>
      <w:lvlJc w:val="left"/>
      <w:pPr>
        <w:ind w:left="845" w:hanging="423"/>
        <w:jc w:val="left"/>
      </w:pPr>
      <w:rPr>
        <w:rFonts w:hint="default"/>
        <w:lang w:val="uk-UA" w:eastAsia="en-US" w:bidi="ar-SA"/>
      </w:rPr>
    </w:lvl>
    <w:lvl w:ilvl="1">
      <w:start w:val="1"/>
      <w:numFmt w:val="decimal"/>
      <w:lvlText w:val="%1.%2"/>
      <w:lvlJc w:val="left"/>
      <w:pPr>
        <w:ind w:left="845"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56" w:hanging="423"/>
      </w:pPr>
      <w:rPr>
        <w:rFonts w:hint="default"/>
        <w:lang w:val="uk-UA" w:eastAsia="en-US" w:bidi="ar-SA"/>
      </w:rPr>
    </w:lvl>
    <w:lvl w:ilvl="3">
      <w:numFmt w:val="bullet"/>
      <w:lvlText w:val="•"/>
      <w:lvlJc w:val="left"/>
      <w:pPr>
        <w:ind w:left="3564" w:hanging="423"/>
      </w:pPr>
      <w:rPr>
        <w:rFonts w:hint="default"/>
        <w:lang w:val="uk-UA" w:eastAsia="en-US" w:bidi="ar-SA"/>
      </w:rPr>
    </w:lvl>
    <w:lvl w:ilvl="4">
      <w:numFmt w:val="bullet"/>
      <w:lvlText w:val="•"/>
      <w:lvlJc w:val="left"/>
      <w:pPr>
        <w:ind w:left="4472" w:hanging="423"/>
      </w:pPr>
      <w:rPr>
        <w:rFonts w:hint="default"/>
        <w:lang w:val="uk-UA" w:eastAsia="en-US" w:bidi="ar-SA"/>
      </w:rPr>
    </w:lvl>
    <w:lvl w:ilvl="5">
      <w:numFmt w:val="bullet"/>
      <w:lvlText w:val="•"/>
      <w:lvlJc w:val="left"/>
      <w:pPr>
        <w:ind w:left="5381" w:hanging="423"/>
      </w:pPr>
      <w:rPr>
        <w:rFonts w:hint="default"/>
        <w:lang w:val="uk-UA" w:eastAsia="en-US" w:bidi="ar-SA"/>
      </w:rPr>
    </w:lvl>
    <w:lvl w:ilvl="6">
      <w:numFmt w:val="bullet"/>
      <w:lvlText w:val="•"/>
      <w:lvlJc w:val="left"/>
      <w:pPr>
        <w:ind w:left="6289" w:hanging="423"/>
      </w:pPr>
      <w:rPr>
        <w:rFonts w:hint="default"/>
        <w:lang w:val="uk-UA" w:eastAsia="en-US" w:bidi="ar-SA"/>
      </w:rPr>
    </w:lvl>
    <w:lvl w:ilvl="7">
      <w:numFmt w:val="bullet"/>
      <w:lvlText w:val="•"/>
      <w:lvlJc w:val="left"/>
      <w:pPr>
        <w:ind w:left="7197" w:hanging="423"/>
      </w:pPr>
      <w:rPr>
        <w:rFonts w:hint="default"/>
        <w:lang w:val="uk-UA" w:eastAsia="en-US" w:bidi="ar-SA"/>
      </w:rPr>
    </w:lvl>
    <w:lvl w:ilvl="8">
      <w:numFmt w:val="bullet"/>
      <w:lvlText w:val="•"/>
      <w:lvlJc w:val="left"/>
      <w:pPr>
        <w:ind w:left="8105" w:hanging="423"/>
      </w:pPr>
      <w:rPr>
        <w:rFonts w:hint="default"/>
        <w:lang w:val="uk-UA" w:eastAsia="en-US" w:bidi="ar-SA"/>
      </w:rPr>
    </w:lvl>
  </w:abstractNum>
  <w:abstractNum w:abstractNumId="1">
    <w:nsid w:val="18A8204E"/>
    <w:multiLevelType w:val="multilevel"/>
    <w:tmpl w:val="F056B592"/>
    <w:lvl w:ilvl="0">
      <w:start w:val="1"/>
      <w:numFmt w:val="decimal"/>
      <w:lvlText w:val="%1."/>
      <w:lvlJc w:val="left"/>
      <w:pPr>
        <w:ind w:left="644"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143" w:hanging="420"/>
        <w:jc w:val="left"/>
      </w:pPr>
      <w:rPr>
        <w:rFonts w:ascii="Times New Roman" w:eastAsia="Times New Roman" w:hAnsi="Times New Roman" w:cs="Times New Roman" w:hint="default"/>
        <w:b/>
        <w:bCs/>
        <w:i w:val="0"/>
        <w:iCs w:val="0"/>
        <w:spacing w:val="0"/>
        <w:w w:val="100"/>
        <w:sz w:val="28"/>
        <w:szCs w:val="28"/>
        <w:lang w:val="uk-UA" w:eastAsia="en-US" w:bidi="ar-SA"/>
      </w:rPr>
    </w:lvl>
    <w:lvl w:ilvl="2">
      <w:numFmt w:val="bullet"/>
      <w:lvlText w:val="•"/>
      <w:lvlJc w:val="left"/>
      <w:pPr>
        <w:ind w:left="1671" w:hanging="420"/>
      </w:pPr>
      <w:rPr>
        <w:rFonts w:hint="default"/>
        <w:lang w:val="uk-UA" w:eastAsia="en-US" w:bidi="ar-SA"/>
      </w:rPr>
    </w:lvl>
    <w:lvl w:ilvl="3">
      <w:numFmt w:val="bullet"/>
      <w:lvlText w:val="•"/>
      <w:lvlJc w:val="left"/>
      <w:pPr>
        <w:ind w:left="2702" w:hanging="420"/>
      </w:pPr>
      <w:rPr>
        <w:rFonts w:hint="default"/>
        <w:lang w:val="uk-UA" w:eastAsia="en-US" w:bidi="ar-SA"/>
      </w:rPr>
    </w:lvl>
    <w:lvl w:ilvl="4">
      <w:numFmt w:val="bullet"/>
      <w:lvlText w:val="•"/>
      <w:lvlJc w:val="left"/>
      <w:pPr>
        <w:ind w:left="3734" w:hanging="420"/>
      </w:pPr>
      <w:rPr>
        <w:rFonts w:hint="default"/>
        <w:lang w:val="uk-UA" w:eastAsia="en-US" w:bidi="ar-SA"/>
      </w:rPr>
    </w:lvl>
    <w:lvl w:ilvl="5">
      <w:numFmt w:val="bullet"/>
      <w:lvlText w:val="•"/>
      <w:lvlJc w:val="left"/>
      <w:pPr>
        <w:ind w:left="4765" w:hanging="420"/>
      </w:pPr>
      <w:rPr>
        <w:rFonts w:hint="default"/>
        <w:lang w:val="uk-UA" w:eastAsia="en-US" w:bidi="ar-SA"/>
      </w:rPr>
    </w:lvl>
    <w:lvl w:ilvl="6">
      <w:numFmt w:val="bullet"/>
      <w:lvlText w:val="•"/>
      <w:lvlJc w:val="left"/>
      <w:pPr>
        <w:ind w:left="5796" w:hanging="420"/>
      </w:pPr>
      <w:rPr>
        <w:rFonts w:hint="default"/>
        <w:lang w:val="uk-UA" w:eastAsia="en-US" w:bidi="ar-SA"/>
      </w:rPr>
    </w:lvl>
    <w:lvl w:ilvl="7">
      <w:numFmt w:val="bullet"/>
      <w:lvlText w:val="•"/>
      <w:lvlJc w:val="left"/>
      <w:pPr>
        <w:ind w:left="6828" w:hanging="420"/>
      </w:pPr>
      <w:rPr>
        <w:rFonts w:hint="default"/>
        <w:lang w:val="uk-UA" w:eastAsia="en-US" w:bidi="ar-SA"/>
      </w:rPr>
    </w:lvl>
    <w:lvl w:ilvl="8">
      <w:numFmt w:val="bullet"/>
      <w:lvlText w:val="•"/>
      <w:lvlJc w:val="left"/>
      <w:pPr>
        <w:ind w:left="7859" w:hanging="420"/>
      </w:pPr>
      <w:rPr>
        <w:rFonts w:hint="default"/>
        <w:lang w:val="uk-UA" w:eastAsia="en-US" w:bidi="ar-SA"/>
      </w:rPr>
    </w:lvl>
  </w:abstractNum>
  <w:abstractNum w:abstractNumId="2">
    <w:nsid w:val="1AC9344B"/>
    <w:multiLevelType w:val="hybridMultilevel"/>
    <w:tmpl w:val="DD3CDD12"/>
    <w:lvl w:ilvl="0" w:tplc="9F2A92BC">
      <w:start w:val="1"/>
      <w:numFmt w:val="decimal"/>
      <w:lvlText w:val="%1."/>
      <w:lvlJc w:val="left"/>
      <w:pPr>
        <w:ind w:left="143" w:hanging="85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C27211A0">
      <w:start w:val="1"/>
      <w:numFmt w:val="decimal"/>
      <w:lvlText w:val="%2."/>
      <w:lvlJc w:val="left"/>
      <w:pPr>
        <w:ind w:left="143"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tplc="A34AB51A">
      <w:numFmt w:val="bullet"/>
      <w:lvlText w:val="•"/>
      <w:lvlJc w:val="left"/>
      <w:pPr>
        <w:ind w:left="2096" w:hanging="708"/>
      </w:pPr>
      <w:rPr>
        <w:rFonts w:hint="default"/>
        <w:lang w:val="uk-UA" w:eastAsia="en-US" w:bidi="ar-SA"/>
      </w:rPr>
    </w:lvl>
    <w:lvl w:ilvl="3" w:tplc="5BA8926A">
      <w:numFmt w:val="bullet"/>
      <w:lvlText w:val="•"/>
      <w:lvlJc w:val="left"/>
      <w:pPr>
        <w:ind w:left="3074" w:hanging="708"/>
      </w:pPr>
      <w:rPr>
        <w:rFonts w:hint="default"/>
        <w:lang w:val="uk-UA" w:eastAsia="en-US" w:bidi="ar-SA"/>
      </w:rPr>
    </w:lvl>
    <w:lvl w:ilvl="4" w:tplc="9AE246FE">
      <w:numFmt w:val="bullet"/>
      <w:lvlText w:val="•"/>
      <w:lvlJc w:val="left"/>
      <w:pPr>
        <w:ind w:left="4052" w:hanging="708"/>
      </w:pPr>
      <w:rPr>
        <w:rFonts w:hint="default"/>
        <w:lang w:val="uk-UA" w:eastAsia="en-US" w:bidi="ar-SA"/>
      </w:rPr>
    </w:lvl>
    <w:lvl w:ilvl="5" w:tplc="F43C2464">
      <w:numFmt w:val="bullet"/>
      <w:lvlText w:val="•"/>
      <w:lvlJc w:val="left"/>
      <w:pPr>
        <w:ind w:left="5031" w:hanging="708"/>
      </w:pPr>
      <w:rPr>
        <w:rFonts w:hint="default"/>
        <w:lang w:val="uk-UA" w:eastAsia="en-US" w:bidi="ar-SA"/>
      </w:rPr>
    </w:lvl>
    <w:lvl w:ilvl="6" w:tplc="7E88C770">
      <w:numFmt w:val="bullet"/>
      <w:lvlText w:val="•"/>
      <w:lvlJc w:val="left"/>
      <w:pPr>
        <w:ind w:left="6009" w:hanging="708"/>
      </w:pPr>
      <w:rPr>
        <w:rFonts w:hint="default"/>
        <w:lang w:val="uk-UA" w:eastAsia="en-US" w:bidi="ar-SA"/>
      </w:rPr>
    </w:lvl>
    <w:lvl w:ilvl="7" w:tplc="C51A1B46">
      <w:numFmt w:val="bullet"/>
      <w:lvlText w:val="•"/>
      <w:lvlJc w:val="left"/>
      <w:pPr>
        <w:ind w:left="6987" w:hanging="708"/>
      </w:pPr>
      <w:rPr>
        <w:rFonts w:hint="default"/>
        <w:lang w:val="uk-UA" w:eastAsia="en-US" w:bidi="ar-SA"/>
      </w:rPr>
    </w:lvl>
    <w:lvl w:ilvl="8" w:tplc="A9CC92B2">
      <w:numFmt w:val="bullet"/>
      <w:lvlText w:val="•"/>
      <w:lvlJc w:val="left"/>
      <w:pPr>
        <w:ind w:left="7965" w:hanging="708"/>
      </w:pPr>
      <w:rPr>
        <w:rFonts w:hint="default"/>
        <w:lang w:val="uk-UA" w:eastAsia="en-US" w:bidi="ar-SA"/>
      </w:rPr>
    </w:lvl>
  </w:abstractNum>
  <w:abstractNum w:abstractNumId="3">
    <w:nsid w:val="1D766B79"/>
    <w:multiLevelType w:val="multilevel"/>
    <w:tmpl w:val="38AECF92"/>
    <w:lvl w:ilvl="0">
      <w:start w:val="2"/>
      <w:numFmt w:val="decimal"/>
      <w:lvlText w:val="%1"/>
      <w:lvlJc w:val="left"/>
      <w:pPr>
        <w:ind w:left="848" w:hanging="423"/>
        <w:jc w:val="left"/>
      </w:pPr>
      <w:rPr>
        <w:rFonts w:hint="default"/>
        <w:lang w:val="uk-UA" w:eastAsia="en-US" w:bidi="ar-SA"/>
      </w:rPr>
    </w:lvl>
    <w:lvl w:ilvl="1">
      <w:start w:val="4"/>
      <w:numFmt w:val="decimal"/>
      <w:lvlText w:val="%1.%2"/>
      <w:lvlJc w:val="left"/>
      <w:pPr>
        <w:ind w:left="848"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656" w:hanging="423"/>
      </w:pPr>
      <w:rPr>
        <w:rFonts w:hint="default"/>
        <w:lang w:val="uk-UA" w:eastAsia="en-US" w:bidi="ar-SA"/>
      </w:rPr>
    </w:lvl>
    <w:lvl w:ilvl="3">
      <w:numFmt w:val="bullet"/>
      <w:lvlText w:val="•"/>
      <w:lvlJc w:val="left"/>
      <w:pPr>
        <w:ind w:left="3564" w:hanging="423"/>
      </w:pPr>
      <w:rPr>
        <w:rFonts w:hint="default"/>
        <w:lang w:val="uk-UA" w:eastAsia="en-US" w:bidi="ar-SA"/>
      </w:rPr>
    </w:lvl>
    <w:lvl w:ilvl="4">
      <w:numFmt w:val="bullet"/>
      <w:lvlText w:val="•"/>
      <w:lvlJc w:val="left"/>
      <w:pPr>
        <w:ind w:left="4472" w:hanging="423"/>
      </w:pPr>
      <w:rPr>
        <w:rFonts w:hint="default"/>
        <w:lang w:val="uk-UA" w:eastAsia="en-US" w:bidi="ar-SA"/>
      </w:rPr>
    </w:lvl>
    <w:lvl w:ilvl="5">
      <w:numFmt w:val="bullet"/>
      <w:lvlText w:val="•"/>
      <w:lvlJc w:val="left"/>
      <w:pPr>
        <w:ind w:left="5381" w:hanging="423"/>
      </w:pPr>
      <w:rPr>
        <w:rFonts w:hint="default"/>
        <w:lang w:val="uk-UA" w:eastAsia="en-US" w:bidi="ar-SA"/>
      </w:rPr>
    </w:lvl>
    <w:lvl w:ilvl="6">
      <w:numFmt w:val="bullet"/>
      <w:lvlText w:val="•"/>
      <w:lvlJc w:val="left"/>
      <w:pPr>
        <w:ind w:left="6289" w:hanging="423"/>
      </w:pPr>
      <w:rPr>
        <w:rFonts w:hint="default"/>
        <w:lang w:val="uk-UA" w:eastAsia="en-US" w:bidi="ar-SA"/>
      </w:rPr>
    </w:lvl>
    <w:lvl w:ilvl="7">
      <w:numFmt w:val="bullet"/>
      <w:lvlText w:val="•"/>
      <w:lvlJc w:val="left"/>
      <w:pPr>
        <w:ind w:left="7197" w:hanging="423"/>
      </w:pPr>
      <w:rPr>
        <w:rFonts w:hint="default"/>
        <w:lang w:val="uk-UA" w:eastAsia="en-US" w:bidi="ar-SA"/>
      </w:rPr>
    </w:lvl>
    <w:lvl w:ilvl="8">
      <w:numFmt w:val="bullet"/>
      <w:lvlText w:val="•"/>
      <w:lvlJc w:val="left"/>
      <w:pPr>
        <w:ind w:left="8105" w:hanging="423"/>
      </w:pPr>
      <w:rPr>
        <w:rFonts w:hint="default"/>
        <w:lang w:val="uk-UA" w:eastAsia="en-US" w:bidi="ar-SA"/>
      </w:rPr>
    </w:lvl>
  </w:abstractNum>
  <w:abstractNum w:abstractNumId="4">
    <w:nsid w:val="212D7484"/>
    <w:multiLevelType w:val="multilevel"/>
    <w:tmpl w:val="92DEF68E"/>
    <w:lvl w:ilvl="0">
      <w:start w:val="1"/>
      <w:numFmt w:val="decimal"/>
      <w:lvlText w:val="%1"/>
      <w:lvlJc w:val="left"/>
      <w:pPr>
        <w:ind w:left="913" w:hanging="490"/>
        <w:jc w:val="left"/>
      </w:pPr>
      <w:rPr>
        <w:rFonts w:hint="default"/>
        <w:lang w:val="uk-UA" w:eastAsia="en-US" w:bidi="ar-SA"/>
      </w:rPr>
    </w:lvl>
    <w:lvl w:ilvl="1">
      <w:start w:val="2"/>
      <w:numFmt w:val="decimal"/>
      <w:lvlText w:val="%1.%2."/>
      <w:lvlJc w:val="left"/>
      <w:pPr>
        <w:ind w:left="913"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720" w:hanging="490"/>
      </w:pPr>
      <w:rPr>
        <w:rFonts w:hint="default"/>
        <w:lang w:val="uk-UA" w:eastAsia="en-US" w:bidi="ar-SA"/>
      </w:rPr>
    </w:lvl>
    <w:lvl w:ilvl="3">
      <w:numFmt w:val="bullet"/>
      <w:lvlText w:val="•"/>
      <w:lvlJc w:val="left"/>
      <w:pPr>
        <w:ind w:left="3620" w:hanging="490"/>
      </w:pPr>
      <w:rPr>
        <w:rFonts w:hint="default"/>
        <w:lang w:val="uk-UA" w:eastAsia="en-US" w:bidi="ar-SA"/>
      </w:rPr>
    </w:lvl>
    <w:lvl w:ilvl="4">
      <w:numFmt w:val="bullet"/>
      <w:lvlText w:val="•"/>
      <w:lvlJc w:val="left"/>
      <w:pPr>
        <w:ind w:left="4520" w:hanging="490"/>
      </w:pPr>
      <w:rPr>
        <w:rFonts w:hint="default"/>
        <w:lang w:val="uk-UA" w:eastAsia="en-US" w:bidi="ar-SA"/>
      </w:rPr>
    </w:lvl>
    <w:lvl w:ilvl="5">
      <w:numFmt w:val="bullet"/>
      <w:lvlText w:val="•"/>
      <w:lvlJc w:val="left"/>
      <w:pPr>
        <w:ind w:left="5421" w:hanging="490"/>
      </w:pPr>
      <w:rPr>
        <w:rFonts w:hint="default"/>
        <w:lang w:val="uk-UA" w:eastAsia="en-US" w:bidi="ar-SA"/>
      </w:rPr>
    </w:lvl>
    <w:lvl w:ilvl="6">
      <w:numFmt w:val="bullet"/>
      <w:lvlText w:val="•"/>
      <w:lvlJc w:val="left"/>
      <w:pPr>
        <w:ind w:left="6321" w:hanging="490"/>
      </w:pPr>
      <w:rPr>
        <w:rFonts w:hint="default"/>
        <w:lang w:val="uk-UA" w:eastAsia="en-US" w:bidi="ar-SA"/>
      </w:rPr>
    </w:lvl>
    <w:lvl w:ilvl="7">
      <w:numFmt w:val="bullet"/>
      <w:lvlText w:val="•"/>
      <w:lvlJc w:val="left"/>
      <w:pPr>
        <w:ind w:left="7221" w:hanging="490"/>
      </w:pPr>
      <w:rPr>
        <w:rFonts w:hint="default"/>
        <w:lang w:val="uk-UA" w:eastAsia="en-US" w:bidi="ar-SA"/>
      </w:rPr>
    </w:lvl>
    <w:lvl w:ilvl="8">
      <w:numFmt w:val="bullet"/>
      <w:lvlText w:val="•"/>
      <w:lvlJc w:val="left"/>
      <w:pPr>
        <w:ind w:left="8121" w:hanging="490"/>
      </w:pPr>
      <w:rPr>
        <w:rFonts w:hint="default"/>
        <w:lang w:val="uk-UA" w:eastAsia="en-US" w:bidi="ar-SA"/>
      </w:rPr>
    </w:lvl>
  </w:abstractNum>
  <w:abstractNum w:abstractNumId="5">
    <w:nsid w:val="6813002A"/>
    <w:multiLevelType w:val="multilevel"/>
    <w:tmpl w:val="8EB673F4"/>
    <w:lvl w:ilvl="0">
      <w:start w:val="2"/>
      <w:numFmt w:val="decimal"/>
      <w:lvlText w:val="%1"/>
      <w:lvlJc w:val="left"/>
      <w:pPr>
        <w:ind w:left="915" w:hanging="492"/>
        <w:jc w:val="left"/>
      </w:pPr>
      <w:rPr>
        <w:rFonts w:hint="default"/>
        <w:lang w:val="uk-UA" w:eastAsia="en-US" w:bidi="ar-SA"/>
      </w:rPr>
    </w:lvl>
    <w:lvl w:ilvl="1">
      <w:start w:val="1"/>
      <w:numFmt w:val="decimal"/>
      <w:lvlText w:val="%1.%2."/>
      <w:lvlJc w:val="left"/>
      <w:pPr>
        <w:ind w:left="915"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843" w:hanging="70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2920" w:hanging="701"/>
      </w:pPr>
      <w:rPr>
        <w:rFonts w:hint="default"/>
        <w:lang w:val="uk-UA" w:eastAsia="en-US" w:bidi="ar-SA"/>
      </w:rPr>
    </w:lvl>
    <w:lvl w:ilvl="4">
      <w:numFmt w:val="bullet"/>
      <w:lvlText w:val="•"/>
      <w:lvlJc w:val="left"/>
      <w:pPr>
        <w:ind w:left="3920" w:hanging="701"/>
      </w:pPr>
      <w:rPr>
        <w:rFonts w:hint="default"/>
        <w:lang w:val="uk-UA" w:eastAsia="en-US" w:bidi="ar-SA"/>
      </w:rPr>
    </w:lvl>
    <w:lvl w:ilvl="5">
      <w:numFmt w:val="bullet"/>
      <w:lvlText w:val="•"/>
      <w:lvlJc w:val="left"/>
      <w:pPr>
        <w:ind w:left="4921" w:hanging="701"/>
      </w:pPr>
      <w:rPr>
        <w:rFonts w:hint="default"/>
        <w:lang w:val="uk-UA" w:eastAsia="en-US" w:bidi="ar-SA"/>
      </w:rPr>
    </w:lvl>
    <w:lvl w:ilvl="6">
      <w:numFmt w:val="bullet"/>
      <w:lvlText w:val="•"/>
      <w:lvlJc w:val="left"/>
      <w:pPr>
        <w:ind w:left="5921" w:hanging="701"/>
      </w:pPr>
      <w:rPr>
        <w:rFonts w:hint="default"/>
        <w:lang w:val="uk-UA" w:eastAsia="en-US" w:bidi="ar-SA"/>
      </w:rPr>
    </w:lvl>
    <w:lvl w:ilvl="7">
      <w:numFmt w:val="bullet"/>
      <w:lvlText w:val="•"/>
      <w:lvlJc w:val="left"/>
      <w:pPr>
        <w:ind w:left="6921" w:hanging="701"/>
      </w:pPr>
      <w:rPr>
        <w:rFonts w:hint="default"/>
        <w:lang w:val="uk-UA" w:eastAsia="en-US" w:bidi="ar-SA"/>
      </w:rPr>
    </w:lvl>
    <w:lvl w:ilvl="8">
      <w:numFmt w:val="bullet"/>
      <w:lvlText w:val="•"/>
      <w:lvlJc w:val="left"/>
      <w:pPr>
        <w:ind w:left="7921" w:hanging="701"/>
      </w:pPr>
      <w:rPr>
        <w:rFonts w:hint="default"/>
        <w:lang w:val="uk-UA" w:eastAsia="en-US" w:bidi="ar-SA"/>
      </w:rPr>
    </w:lvl>
  </w:abstractNum>
  <w:abstractNum w:abstractNumId="6">
    <w:nsid w:val="77001728"/>
    <w:multiLevelType w:val="multilevel"/>
    <w:tmpl w:val="FA9CD8F4"/>
    <w:lvl w:ilvl="0">
      <w:start w:val="3"/>
      <w:numFmt w:val="decimal"/>
      <w:lvlText w:val="%1"/>
      <w:lvlJc w:val="left"/>
      <w:pPr>
        <w:ind w:left="918" w:hanging="492"/>
        <w:jc w:val="left"/>
      </w:pPr>
      <w:rPr>
        <w:rFonts w:hint="default"/>
        <w:lang w:val="uk-UA" w:eastAsia="en-US" w:bidi="ar-SA"/>
      </w:rPr>
    </w:lvl>
    <w:lvl w:ilvl="1">
      <w:start w:val="3"/>
      <w:numFmt w:val="decimal"/>
      <w:lvlText w:val="%1.%2"/>
      <w:lvlJc w:val="left"/>
      <w:pPr>
        <w:ind w:left="918" w:hanging="49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720" w:hanging="492"/>
      </w:pPr>
      <w:rPr>
        <w:rFonts w:hint="default"/>
        <w:lang w:val="uk-UA" w:eastAsia="en-US" w:bidi="ar-SA"/>
      </w:rPr>
    </w:lvl>
    <w:lvl w:ilvl="3">
      <w:numFmt w:val="bullet"/>
      <w:lvlText w:val="•"/>
      <w:lvlJc w:val="left"/>
      <w:pPr>
        <w:ind w:left="3620" w:hanging="492"/>
      </w:pPr>
      <w:rPr>
        <w:rFonts w:hint="default"/>
        <w:lang w:val="uk-UA" w:eastAsia="en-US" w:bidi="ar-SA"/>
      </w:rPr>
    </w:lvl>
    <w:lvl w:ilvl="4">
      <w:numFmt w:val="bullet"/>
      <w:lvlText w:val="•"/>
      <w:lvlJc w:val="left"/>
      <w:pPr>
        <w:ind w:left="4520" w:hanging="492"/>
      </w:pPr>
      <w:rPr>
        <w:rFonts w:hint="default"/>
        <w:lang w:val="uk-UA" w:eastAsia="en-US" w:bidi="ar-SA"/>
      </w:rPr>
    </w:lvl>
    <w:lvl w:ilvl="5">
      <w:numFmt w:val="bullet"/>
      <w:lvlText w:val="•"/>
      <w:lvlJc w:val="left"/>
      <w:pPr>
        <w:ind w:left="5421" w:hanging="492"/>
      </w:pPr>
      <w:rPr>
        <w:rFonts w:hint="default"/>
        <w:lang w:val="uk-UA" w:eastAsia="en-US" w:bidi="ar-SA"/>
      </w:rPr>
    </w:lvl>
    <w:lvl w:ilvl="6">
      <w:numFmt w:val="bullet"/>
      <w:lvlText w:val="•"/>
      <w:lvlJc w:val="left"/>
      <w:pPr>
        <w:ind w:left="6321" w:hanging="492"/>
      </w:pPr>
      <w:rPr>
        <w:rFonts w:hint="default"/>
        <w:lang w:val="uk-UA" w:eastAsia="en-US" w:bidi="ar-SA"/>
      </w:rPr>
    </w:lvl>
    <w:lvl w:ilvl="7">
      <w:numFmt w:val="bullet"/>
      <w:lvlText w:val="•"/>
      <w:lvlJc w:val="left"/>
      <w:pPr>
        <w:ind w:left="7221" w:hanging="492"/>
      </w:pPr>
      <w:rPr>
        <w:rFonts w:hint="default"/>
        <w:lang w:val="uk-UA" w:eastAsia="en-US" w:bidi="ar-SA"/>
      </w:rPr>
    </w:lvl>
    <w:lvl w:ilvl="8">
      <w:numFmt w:val="bullet"/>
      <w:lvlText w:val="•"/>
      <w:lvlJc w:val="left"/>
      <w:pPr>
        <w:ind w:left="8121" w:hanging="492"/>
      </w:pPr>
      <w:rPr>
        <w:rFonts w:hint="default"/>
        <w:lang w:val="uk-UA" w:eastAsia="en-US" w:bidi="ar-SA"/>
      </w:rPr>
    </w:lvl>
  </w:abstractNum>
  <w:abstractNum w:abstractNumId="7">
    <w:nsid w:val="7D0452E8"/>
    <w:multiLevelType w:val="multilevel"/>
    <w:tmpl w:val="AF7A4BC0"/>
    <w:lvl w:ilvl="0">
      <w:start w:val="3"/>
      <w:numFmt w:val="decimal"/>
      <w:lvlText w:val="%1"/>
      <w:lvlJc w:val="left"/>
      <w:pPr>
        <w:ind w:left="915" w:hanging="490"/>
        <w:jc w:val="left"/>
      </w:pPr>
      <w:rPr>
        <w:rFonts w:hint="default"/>
        <w:lang w:val="uk-UA" w:eastAsia="en-US" w:bidi="ar-SA"/>
      </w:rPr>
    </w:lvl>
    <w:lvl w:ilvl="1">
      <w:start w:val="1"/>
      <w:numFmt w:val="decimal"/>
      <w:lvlText w:val="%1.%2."/>
      <w:lvlJc w:val="left"/>
      <w:pPr>
        <w:ind w:left="915"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720" w:hanging="490"/>
      </w:pPr>
      <w:rPr>
        <w:rFonts w:hint="default"/>
        <w:lang w:val="uk-UA" w:eastAsia="en-US" w:bidi="ar-SA"/>
      </w:rPr>
    </w:lvl>
    <w:lvl w:ilvl="3">
      <w:numFmt w:val="bullet"/>
      <w:lvlText w:val="•"/>
      <w:lvlJc w:val="left"/>
      <w:pPr>
        <w:ind w:left="3620" w:hanging="490"/>
      </w:pPr>
      <w:rPr>
        <w:rFonts w:hint="default"/>
        <w:lang w:val="uk-UA" w:eastAsia="en-US" w:bidi="ar-SA"/>
      </w:rPr>
    </w:lvl>
    <w:lvl w:ilvl="4">
      <w:numFmt w:val="bullet"/>
      <w:lvlText w:val="•"/>
      <w:lvlJc w:val="left"/>
      <w:pPr>
        <w:ind w:left="4520" w:hanging="490"/>
      </w:pPr>
      <w:rPr>
        <w:rFonts w:hint="default"/>
        <w:lang w:val="uk-UA" w:eastAsia="en-US" w:bidi="ar-SA"/>
      </w:rPr>
    </w:lvl>
    <w:lvl w:ilvl="5">
      <w:numFmt w:val="bullet"/>
      <w:lvlText w:val="•"/>
      <w:lvlJc w:val="left"/>
      <w:pPr>
        <w:ind w:left="5421" w:hanging="490"/>
      </w:pPr>
      <w:rPr>
        <w:rFonts w:hint="default"/>
        <w:lang w:val="uk-UA" w:eastAsia="en-US" w:bidi="ar-SA"/>
      </w:rPr>
    </w:lvl>
    <w:lvl w:ilvl="6">
      <w:numFmt w:val="bullet"/>
      <w:lvlText w:val="•"/>
      <w:lvlJc w:val="left"/>
      <w:pPr>
        <w:ind w:left="6321" w:hanging="490"/>
      </w:pPr>
      <w:rPr>
        <w:rFonts w:hint="default"/>
        <w:lang w:val="uk-UA" w:eastAsia="en-US" w:bidi="ar-SA"/>
      </w:rPr>
    </w:lvl>
    <w:lvl w:ilvl="7">
      <w:numFmt w:val="bullet"/>
      <w:lvlText w:val="•"/>
      <w:lvlJc w:val="left"/>
      <w:pPr>
        <w:ind w:left="7221" w:hanging="490"/>
      </w:pPr>
      <w:rPr>
        <w:rFonts w:hint="default"/>
        <w:lang w:val="uk-UA" w:eastAsia="en-US" w:bidi="ar-SA"/>
      </w:rPr>
    </w:lvl>
    <w:lvl w:ilvl="8">
      <w:numFmt w:val="bullet"/>
      <w:lvlText w:val="•"/>
      <w:lvlJc w:val="left"/>
      <w:pPr>
        <w:ind w:left="8121" w:hanging="490"/>
      </w:pPr>
      <w:rPr>
        <w:rFonts w:hint="default"/>
        <w:lang w:val="uk-UA" w:eastAsia="en-US" w:bidi="ar-SA"/>
      </w:rPr>
    </w:lvl>
  </w:abstractNum>
  <w:num w:numId="1">
    <w:abstractNumId w:val="1"/>
  </w:num>
  <w:num w:numId="2">
    <w:abstractNumId w:val="6"/>
  </w:num>
  <w:num w:numId="3">
    <w:abstractNumId w:val="7"/>
  </w:num>
  <w:num w:numId="4">
    <w:abstractNumId w:val="3"/>
  </w:num>
  <w:num w:numId="5">
    <w:abstractNumId w:val="5"/>
  </w:num>
  <w:num w:numId="6">
    <w:abstractNumId w:val="4"/>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C19"/>
    <w:rsid w:val="00054C19"/>
    <w:rsid w:val="000E6A2E"/>
    <w:rsid w:val="00B57CB1"/>
    <w:rsid w:val="00F719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8677A82-5218-4AE0-B02B-82E107860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054C19"/>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054C19"/>
    <w:pPr>
      <w:spacing w:before="102"/>
      <w:ind w:left="20" w:right="1931"/>
      <w:jc w:val="center"/>
      <w:outlineLvl w:val="0"/>
    </w:pPr>
    <w:rPr>
      <w:b/>
      <w:bCs/>
      <w:sz w:val="28"/>
      <w:szCs w:val="28"/>
    </w:rPr>
  </w:style>
  <w:style w:type="paragraph" w:styleId="2">
    <w:name w:val="heading 2"/>
    <w:basedOn w:val="a"/>
    <w:link w:val="20"/>
    <w:uiPriority w:val="1"/>
    <w:qFormat/>
    <w:rsid w:val="00054C19"/>
    <w:pPr>
      <w:jc w:val="both"/>
      <w:outlineLvl w:val="1"/>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054C19"/>
    <w:rPr>
      <w:rFonts w:ascii="Times New Roman" w:eastAsia="Times New Roman" w:hAnsi="Times New Roman" w:cs="Times New Roman"/>
      <w:b/>
      <w:bCs/>
      <w:sz w:val="28"/>
      <w:szCs w:val="28"/>
      <w:lang w:val="uk-UA"/>
    </w:rPr>
  </w:style>
  <w:style w:type="character" w:customStyle="1" w:styleId="20">
    <w:name w:val="Заголовок 2 Знак"/>
    <w:basedOn w:val="a0"/>
    <w:link w:val="2"/>
    <w:uiPriority w:val="1"/>
    <w:rsid w:val="00054C19"/>
    <w:rPr>
      <w:rFonts w:ascii="Times New Roman" w:eastAsia="Times New Roman" w:hAnsi="Times New Roman" w:cs="Times New Roman"/>
      <w:b/>
      <w:bCs/>
      <w:sz w:val="28"/>
      <w:szCs w:val="28"/>
      <w:lang w:val="uk-UA"/>
    </w:rPr>
  </w:style>
  <w:style w:type="paragraph" w:styleId="11">
    <w:name w:val="toc 1"/>
    <w:basedOn w:val="a"/>
    <w:uiPriority w:val="1"/>
    <w:qFormat/>
    <w:rsid w:val="00054C19"/>
    <w:pPr>
      <w:spacing w:before="245"/>
      <w:ind w:left="143"/>
    </w:pPr>
    <w:rPr>
      <w:sz w:val="28"/>
      <w:szCs w:val="28"/>
    </w:rPr>
  </w:style>
  <w:style w:type="paragraph" w:styleId="21">
    <w:name w:val="toc 2"/>
    <w:basedOn w:val="a"/>
    <w:uiPriority w:val="1"/>
    <w:qFormat/>
    <w:rsid w:val="00054C19"/>
    <w:pPr>
      <w:spacing w:before="163"/>
      <w:ind w:left="143"/>
    </w:pPr>
    <w:rPr>
      <w:sz w:val="28"/>
      <w:szCs w:val="28"/>
    </w:rPr>
  </w:style>
  <w:style w:type="paragraph" w:styleId="3">
    <w:name w:val="toc 3"/>
    <w:basedOn w:val="a"/>
    <w:uiPriority w:val="1"/>
    <w:qFormat/>
    <w:rsid w:val="00054C19"/>
    <w:pPr>
      <w:spacing w:before="160"/>
      <w:ind w:left="911" w:hanging="491"/>
    </w:pPr>
    <w:rPr>
      <w:sz w:val="28"/>
      <w:szCs w:val="28"/>
    </w:rPr>
  </w:style>
  <w:style w:type="paragraph" w:styleId="a3">
    <w:name w:val="Body Text"/>
    <w:basedOn w:val="a"/>
    <w:link w:val="a4"/>
    <w:uiPriority w:val="1"/>
    <w:qFormat/>
    <w:rsid w:val="00054C19"/>
    <w:pPr>
      <w:ind w:left="143"/>
      <w:jc w:val="both"/>
    </w:pPr>
    <w:rPr>
      <w:sz w:val="28"/>
      <w:szCs w:val="28"/>
    </w:rPr>
  </w:style>
  <w:style w:type="character" w:customStyle="1" w:styleId="a4">
    <w:name w:val="Основной текст Знак"/>
    <w:basedOn w:val="a0"/>
    <w:link w:val="a3"/>
    <w:uiPriority w:val="1"/>
    <w:rsid w:val="00054C19"/>
    <w:rPr>
      <w:rFonts w:ascii="Times New Roman" w:eastAsia="Times New Roman" w:hAnsi="Times New Roman" w:cs="Times New Roman"/>
      <w:sz w:val="28"/>
      <w:szCs w:val="28"/>
      <w:lang w:val="uk-UA"/>
    </w:rPr>
  </w:style>
  <w:style w:type="paragraph" w:styleId="a5">
    <w:name w:val="List Paragraph"/>
    <w:basedOn w:val="a"/>
    <w:uiPriority w:val="1"/>
    <w:qFormat/>
    <w:rsid w:val="00054C19"/>
    <w:pPr>
      <w:ind w:left="143" w:firstLine="70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2551</Words>
  <Characters>14541</Characters>
  <Application>Microsoft Office Word</Application>
  <DocSecurity>0</DocSecurity>
  <Lines>121</Lines>
  <Paragraphs>34</Paragraphs>
  <ScaleCrop>false</ScaleCrop>
  <Company/>
  <LinksUpToDate>false</LinksUpToDate>
  <CharactersWithSpaces>17058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2025-09-18T11:25:00Z</dcterms:created>
  <dcterms:modified xsi:type="dcterms:W3CDTF">2025-09-18T11:26:00Z</dcterms:modified>
</cp:coreProperties>
</file>