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488" w:rsidRDefault="00C07488" w:rsidP="00C07488">
      <w:pPr>
        <w:spacing w:after="0" w:line="360" w:lineRule="auto"/>
        <w:jc w:val="center"/>
        <w:rPr>
          <w:rFonts w:ascii="Times New Roman" w:hAnsi="Times New Roman" w:cs="Times New Roman"/>
          <w:b/>
          <w:i/>
          <w:color w:val="000000"/>
          <w:sz w:val="28"/>
          <w:szCs w:val="28"/>
        </w:rPr>
      </w:pPr>
      <w:r>
        <w:rPr>
          <w:rFonts w:ascii="Times New Roman" w:hAnsi="Times New Roman" w:cs="Times New Roman"/>
          <w:color w:val="000000"/>
          <w:sz w:val="28"/>
          <w:szCs w:val="28"/>
        </w:rPr>
        <w:t>Одеський національний університет імені І. І. Мечникова</w:t>
      </w:r>
    </w:p>
    <w:p w:rsidR="00C07488" w:rsidRDefault="00C07488" w:rsidP="00C07488">
      <w:pPr>
        <w:spacing w:after="0"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Факультет міжнародних відносин, політології та соціології</w:t>
      </w:r>
    </w:p>
    <w:p w:rsidR="00C07488" w:rsidRDefault="00C07488" w:rsidP="00C07488">
      <w:pPr>
        <w:spacing w:after="0"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Кафедра міжнародних економічних відносин</w:t>
      </w:r>
    </w:p>
    <w:p w:rsidR="00C07488" w:rsidRDefault="00C07488" w:rsidP="00C07488">
      <w:pPr>
        <w:spacing w:after="0" w:line="360" w:lineRule="auto"/>
        <w:jc w:val="both"/>
        <w:rPr>
          <w:rFonts w:ascii="Times New Roman" w:hAnsi="Times New Roman" w:cs="Times New Roman"/>
          <w:color w:val="000000"/>
          <w:sz w:val="28"/>
          <w:szCs w:val="28"/>
          <w:u w:val="single"/>
        </w:rPr>
      </w:pPr>
    </w:p>
    <w:p w:rsidR="00C07488" w:rsidRDefault="00C07488" w:rsidP="00C07488">
      <w:pPr>
        <w:spacing w:after="0" w:line="360" w:lineRule="auto"/>
        <w:jc w:val="center"/>
        <w:rPr>
          <w:rFonts w:ascii="Times New Roman" w:hAnsi="Times New Roman" w:cs="Times New Roman"/>
          <w:b/>
          <w:color w:val="000000"/>
          <w:sz w:val="36"/>
          <w:szCs w:val="36"/>
        </w:rPr>
      </w:pPr>
      <w:r>
        <w:rPr>
          <w:rFonts w:ascii="Times New Roman" w:hAnsi="Times New Roman" w:cs="Times New Roman"/>
          <w:b/>
          <w:color w:val="000000"/>
          <w:sz w:val="36"/>
          <w:szCs w:val="36"/>
        </w:rPr>
        <w:t>Дипломна робота</w:t>
      </w:r>
    </w:p>
    <w:p w:rsidR="00C07488" w:rsidRDefault="00C07488" w:rsidP="00C07488">
      <w:pPr>
        <w:spacing w:after="0" w:line="240" w:lineRule="auto"/>
        <w:jc w:val="center"/>
        <w:rPr>
          <w:rFonts w:ascii="Times New Roman" w:hAnsi="Times New Roman" w:cs="Times New Roman"/>
          <w:color w:val="000000"/>
          <w:sz w:val="36"/>
          <w:szCs w:val="36"/>
          <w:u w:val="single"/>
        </w:rPr>
      </w:pPr>
      <w:r>
        <w:rPr>
          <w:rFonts w:ascii="Times New Roman" w:hAnsi="Times New Roman" w:cs="Times New Roman"/>
          <w:color w:val="000000"/>
          <w:sz w:val="36"/>
          <w:szCs w:val="36"/>
          <w:u w:val="single"/>
        </w:rPr>
        <w:t>бакалавр</w:t>
      </w:r>
    </w:p>
    <w:p w:rsidR="00C07488" w:rsidRDefault="00C07488" w:rsidP="00C0748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 xml:space="preserve"> (освітньо-кваліфікаційний рівень)</w:t>
      </w:r>
    </w:p>
    <w:p w:rsidR="00C07488" w:rsidRDefault="00C07488" w:rsidP="00C07488">
      <w:pPr>
        <w:spacing w:after="0" w:line="360" w:lineRule="auto"/>
        <w:jc w:val="center"/>
        <w:rPr>
          <w:rFonts w:ascii="Times New Roman" w:hAnsi="Times New Roman" w:cs="Times New Roman"/>
          <w:b/>
          <w:color w:val="000000"/>
          <w:sz w:val="36"/>
          <w:szCs w:val="36"/>
        </w:rPr>
      </w:pPr>
    </w:p>
    <w:p w:rsidR="00C07488" w:rsidRDefault="00C07488" w:rsidP="00C07488">
      <w:pPr>
        <w:spacing w:after="0" w:line="360" w:lineRule="auto"/>
        <w:jc w:val="center"/>
        <w:rPr>
          <w:rFonts w:ascii="Times New Roman" w:hAnsi="Times New Roman" w:cs="Times New Roman"/>
          <w:b/>
          <w:sz w:val="28"/>
          <w:szCs w:val="28"/>
        </w:rPr>
      </w:pPr>
      <w:r>
        <w:rPr>
          <w:rFonts w:ascii="Times New Roman" w:hAnsi="Times New Roman" w:cs="Times New Roman"/>
          <w:color w:val="000000"/>
          <w:sz w:val="28"/>
          <w:szCs w:val="28"/>
        </w:rPr>
        <w:t xml:space="preserve">на тему: </w:t>
      </w:r>
      <w:r>
        <w:rPr>
          <w:rFonts w:ascii="Times New Roman" w:hAnsi="Times New Roman" w:cs="Times New Roman"/>
          <w:b/>
          <w:sz w:val="28"/>
          <w:szCs w:val="28"/>
        </w:rPr>
        <w:t>СТАН ТА ПЕРСПЕКТИВИ РОЗВИТКУ ПРОЦЕСУ ЗЛИТТЯ ТА ПОГЛИНАННЯ ТНК В ЕКОНОМІЦІ США</w:t>
      </w:r>
    </w:p>
    <w:p w:rsidR="00C07488" w:rsidRDefault="00C07488" w:rsidP="00C07488">
      <w:pPr>
        <w:ind w:firstLine="560"/>
        <w:jc w:val="center"/>
        <w:rPr>
          <w:rFonts w:ascii="Times New Roman" w:hAnsi="Times New Roman" w:cs="Times New Roman"/>
          <w:b/>
          <w:color w:val="000000"/>
          <w:sz w:val="28"/>
          <w:szCs w:val="28"/>
        </w:rPr>
      </w:pPr>
      <w:r>
        <w:rPr>
          <w:rFonts w:ascii="Times New Roman" w:hAnsi="Times New Roman" w:cs="Times New Roman"/>
          <w:color w:val="000000"/>
          <w:sz w:val="28"/>
          <w:szCs w:val="28"/>
        </w:rPr>
        <w:t xml:space="preserve">on the theme: </w:t>
      </w:r>
      <w:r>
        <w:rPr>
          <w:rFonts w:ascii="Times New Roman" w:hAnsi="Times New Roman" w:cs="Times New Roman"/>
          <w:b/>
          <w:color w:val="000000"/>
          <w:sz w:val="28"/>
          <w:szCs w:val="28"/>
        </w:rPr>
        <w:t xml:space="preserve">THE STATE AND PROSPECTS OF MERGERS AND ACQUISITIONS DEVELOPMENT OF TNCs IN THE U.S. ECONOMY </w:t>
      </w:r>
    </w:p>
    <w:p w:rsidR="00C07488" w:rsidRDefault="00C07488" w:rsidP="00C07488">
      <w:pPr>
        <w:spacing w:after="0" w:line="240" w:lineRule="auto"/>
        <w:ind w:firstLine="560"/>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p>
    <w:p w:rsidR="00C07488" w:rsidRDefault="00C07488" w:rsidP="00C07488">
      <w:pPr>
        <w:spacing w:after="0" w:line="240" w:lineRule="auto"/>
        <w:jc w:val="right"/>
        <w:rPr>
          <w:rFonts w:ascii="Times New Roman" w:hAnsi="Times New Roman" w:cs="Times New Roman"/>
          <w:color w:val="000000"/>
          <w:sz w:val="28"/>
          <w:szCs w:val="28"/>
        </w:rPr>
      </w:pPr>
    </w:p>
    <w:p w:rsidR="00C07488" w:rsidRDefault="00C07488" w:rsidP="00C07488">
      <w:pPr>
        <w:spacing w:after="0" w:line="240" w:lineRule="auto"/>
        <w:ind w:left="3540"/>
        <w:rPr>
          <w:rFonts w:ascii="Times New Roman" w:hAnsi="Times New Roman" w:cs="Times New Roman"/>
          <w:color w:val="000000"/>
          <w:sz w:val="28"/>
          <w:szCs w:val="28"/>
        </w:rPr>
      </w:pPr>
      <w:r>
        <w:rPr>
          <w:rFonts w:ascii="Times New Roman" w:hAnsi="Times New Roman" w:cs="Times New Roman"/>
          <w:color w:val="000000"/>
          <w:sz w:val="28"/>
          <w:szCs w:val="28"/>
        </w:rPr>
        <w:t xml:space="preserve">     Виконав: студент 4 курсу</w:t>
      </w:r>
    </w:p>
    <w:p w:rsidR="00C07488" w:rsidRDefault="00C07488" w:rsidP="00C07488">
      <w:pP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денної форми навчання</w:t>
      </w:r>
    </w:p>
    <w:p w:rsidR="00C07488" w:rsidRDefault="00C07488" w:rsidP="00C07488">
      <w:pP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напряму підготовки/спеціальності</w:t>
      </w:r>
    </w:p>
    <w:p w:rsidR="00C07488" w:rsidRDefault="00C07488" w:rsidP="00C07488">
      <w:pP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Pr>
          <w:rFonts w:ascii="Times New Roman" w:hAnsi="Times New Roman" w:cs="Times New Roman"/>
          <w:color w:val="000000"/>
          <w:sz w:val="28"/>
          <w:szCs w:val="28"/>
          <w:u w:val="single"/>
        </w:rPr>
        <w:t>6.030203  Міжнародні економічні відносини</w:t>
      </w:r>
    </w:p>
    <w:p w:rsidR="00C07488" w:rsidRDefault="00C07488" w:rsidP="00C07488">
      <w:pPr>
        <w:spacing w:after="0" w:line="240" w:lineRule="auto"/>
        <w:ind w:left="4956"/>
        <w:rPr>
          <w:rFonts w:ascii="Times New Roman" w:hAnsi="Times New Roman" w:cs="Times New Roman"/>
          <w:color w:val="000000"/>
          <w:sz w:val="20"/>
          <w:szCs w:val="20"/>
        </w:rPr>
      </w:pPr>
    </w:p>
    <w:p w:rsidR="00C07488" w:rsidRDefault="00C07488" w:rsidP="00C07488">
      <w:pPr>
        <w:spacing w:after="0" w:line="240" w:lineRule="auto"/>
        <w:rPr>
          <w:rFonts w:ascii="Times New Roman" w:hAnsi="Times New Roman" w:cs="Times New Roman"/>
          <w:color w:val="000000"/>
          <w:sz w:val="28"/>
          <w:szCs w:val="28"/>
          <w:u w:val="single"/>
        </w:rPr>
      </w:pPr>
      <w:r>
        <w:rPr>
          <w:rFonts w:ascii="Times New Roman" w:hAnsi="Times New Roman" w:cs="Times New Roman"/>
          <w:color w:val="000000"/>
          <w:sz w:val="28"/>
          <w:szCs w:val="28"/>
        </w:rPr>
        <w:t xml:space="preserve">                                                         </w:t>
      </w:r>
      <w:r>
        <w:rPr>
          <w:rFonts w:ascii="Times New Roman" w:hAnsi="Times New Roman" w:cs="Times New Roman"/>
          <w:color w:val="000000"/>
          <w:sz w:val="28"/>
          <w:szCs w:val="28"/>
          <w:u w:val="single"/>
        </w:rPr>
        <w:t>Шахбазян С.А.</w:t>
      </w:r>
    </w:p>
    <w:p w:rsidR="00C07488" w:rsidRDefault="00C07488" w:rsidP="00C07488">
      <w:pPr>
        <w:spacing w:after="0" w:line="240" w:lineRule="auto"/>
        <w:rPr>
          <w:rFonts w:ascii="Times New Roman" w:hAnsi="Times New Roman" w:cs="Times New Roman"/>
          <w:color w:val="000000"/>
          <w:sz w:val="28"/>
          <w:szCs w:val="28"/>
          <w:u w:val="single"/>
        </w:rPr>
      </w:pPr>
      <w:r>
        <w:rPr>
          <w:rFonts w:ascii="Times New Roman" w:hAnsi="Times New Roman" w:cs="Times New Roman"/>
          <w:color w:val="000000"/>
          <w:sz w:val="28"/>
          <w:szCs w:val="28"/>
        </w:rPr>
        <w:t xml:space="preserve">                                                         </w:t>
      </w:r>
      <w:r>
        <w:rPr>
          <w:rFonts w:ascii="Times New Roman" w:hAnsi="Times New Roman" w:cs="Times New Roman"/>
          <w:color w:val="000000"/>
          <w:sz w:val="20"/>
          <w:szCs w:val="20"/>
        </w:rPr>
        <w:t>(прізвище та ініціали)</w:t>
      </w:r>
    </w:p>
    <w:p w:rsidR="00C07488" w:rsidRDefault="00C07488" w:rsidP="00C07488">
      <w:pPr>
        <w:spacing w:after="0" w:line="240" w:lineRule="auto"/>
        <w:ind w:left="4956"/>
        <w:rPr>
          <w:rFonts w:ascii="Times New Roman" w:hAnsi="Times New Roman" w:cs="Times New Roman"/>
          <w:b/>
          <w:color w:val="000000"/>
          <w:sz w:val="28"/>
          <w:szCs w:val="28"/>
        </w:rPr>
      </w:pPr>
    </w:p>
    <w:p w:rsidR="00C07488" w:rsidRDefault="00C07488" w:rsidP="00C07488">
      <w:pPr>
        <w:spacing w:after="0" w:line="240" w:lineRule="auto"/>
        <w:ind w:left="3540"/>
        <w:rPr>
          <w:rFonts w:ascii="Times New Roman" w:hAnsi="Times New Roman" w:cs="Times New Roman"/>
          <w:color w:val="000000"/>
          <w:sz w:val="28"/>
          <w:szCs w:val="28"/>
          <w:u w:val="single"/>
        </w:rPr>
      </w:pPr>
      <w:r>
        <w:rPr>
          <w:rFonts w:ascii="Times New Roman" w:hAnsi="Times New Roman" w:cs="Times New Roman"/>
          <w:color w:val="000000"/>
          <w:sz w:val="28"/>
          <w:szCs w:val="28"/>
        </w:rPr>
        <w:t xml:space="preserve">       Керівник  </w:t>
      </w:r>
      <w:r>
        <w:rPr>
          <w:rFonts w:ascii="Times New Roman" w:hAnsi="Times New Roman" w:cs="Times New Roman"/>
          <w:color w:val="000000"/>
          <w:sz w:val="28"/>
          <w:szCs w:val="28"/>
          <w:u w:val="single"/>
        </w:rPr>
        <w:t xml:space="preserve"> Кириченко Н.В.</w:t>
      </w:r>
    </w:p>
    <w:p w:rsidR="00C07488" w:rsidRDefault="00C07488" w:rsidP="00C07488">
      <w:pPr>
        <w:spacing w:after="0" w:line="240" w:lineRule="auto"/>
        <w:ind w:left="4956"/>
        <w:rPr>
          <w:rFonts w:ascii="Times New Roman" w:hAnsi="Times New Roman" w:cs="Times New Roman"/>
          <w:color w:val="000000"/>
          <w:sz w:val="20"/>
          <w:szCs w:val="20"/>
        </w:rPr>
      </w:pPr>
      <w:r>
        <w:rPr>
          <w:rFonts w:ascii="Times New Roman" w:hAnsi="Times New Roman" w:cs="Times New Roman"/>
          <w:color w:val="000000"/>
          <w:sz w:val="20"/>
          <w:szCs w:val="20"/>
        </w:rPr>
        <w:t xml:space="preserve">        (прізвище та ініціали)          (підпис)</w:t>
      </w:r>
    </w:p>
    <w:p w:rsidR="00C07488" w:rsidRDefault="00C07488" w:rsidP="00C07488">
      <w:pPr>
        <w:spacing w:after="0" w:line="240" w:lineRule="auto"/>
        <w:ind w:left="4956"/>
        <w:rPr>
          <w:rFonts w:ascii="Times New Roman" w:hAnsi="Times New Roman" w:cs="Times New Roman"/>
          <w:color w:val="000000"/>
          <w:sz w:val="20"/>
          <w:szCs w:val="20"/>
        </w:rPr>
      </w:pPr>
    </w:p>
    <w:p w:rsidR="00C07488" w:rsidRPr="00A27658" w:rsidRDefault="00C07488" w:rsidP="00C07488">
      <w:pPr>
        <w:spacing w:after="0" w:line="240" w:lineRule="auto"/>
        <w:rPr>
          <w:rFonts w:ascii="Times New Roman" w:hAnsi="Times New Roman" w:cs="Times New Roman"/>
          <w:color w:val="000000"/>
          <w:sz w:val="20"/>
          <w:szCs w:val="20"/>
          <w:lang w:val="ru-RU"/>
        </w:rPr>
      </w:pPr>
      <w:r>
        <w:rPr>
          <w:rFonts w:ascii="Times New Roman" w:hAnsi="Times New Roman" w:cs="Times New Roman"/>
          <w:color w:val="000000"/>
          <w:sz w:val="28"/>
          <w:szCs w:val="28"/>
        </w:rPr>
        <w:t xml:space="preserve">                                                          Рецензент  </w:t>
      </w:r>
      <w:r w:rsidRPr="00092510">
        <w:rPr>
          <w:rFonts w:ascii="Times New Roman" w:hAnsi="Times New Roman" w:cs="Times New Roman"/>
          <w:color w:val="000000"/>
          <w:sz w:val="28"/>
          <w:szCs w:val="28"/>
          <w:u w:val="single"/>
          <w:lang w:val="ru-RU"/>
        </w:rPr>
        <w:t>Скороход І. П.</w:t>
      </w:r>
    </w:p>
    <w:p w:rsidR="00C07488" w:rsidRDefault="00C07488" w:rsidP="00C07488">
      <w:pPr>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                                                                                                           (прізвище та ініціали)</w:t>
      </w:r>
    </w:p>
    <w:p w:rsidR="00C07488" w:rsidRDefault="00C07488" w:rsidP="00C07488">
      <w:pPr>
        <w:spacing w:after="0" w:line="240" w:lineRule="auto"/>
        <w:jc w:val="right"/>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p>
    <w:p w:rsidR="00C07488" w:rsidRDefault="00C07488" w:rsidP="00C07488">
      <w:pP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p>
    <w:p w:rsidR="00C07488" w:rsidRDefault="00C07488" w:rsidP="00C07488">
      <w:pPr>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Рекомендовано до захисту:                        Захищено на засіданні ЕК №__</w:t>
      </w:r>
    </w:p>
    <w:p w:rsidR="00C07488" w:rsidRDefault="00C07488" w:rsidP="00C07488">
      <w:pPr>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Протокол засідання кафедри                     протокол №___від «___»_____р.</w:t>
      </w:r>
    </w:p>
    <w:p w:rsidR="00C07488" w:rsidRDefault="00C07488" w:rsidP="00C07488">
      <w:pPr>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№_____ від «16» травня 2018 р.                Оцінка_____ /________/________</w:t>
      </w:r>
    </w:p>
    <w:p w:rsidR="00C07488" w:rsidRDefault="00C07488" w:rsidP="00C07488">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8"/>
          <w:szCs w:val="28"/>
        </w:rPr>
        <w:t xml:space="preserve">Завідувач кафедри                                      </w:t>
      </w:r>
      <w:r>
        <w:rPr>
          <w:rFonts w:ascii="Times New Roman" w:hAnsi="Times New Roman" w:cs="Times New Roman"/>
          <w:color w:val="000000"/>
          <w:sz w:val="20"/>
          <w:szCs w:val="20"/>
        </w:rPr>
        <w:t>(за національною шкалою, за шкалою ЕСТS, бали)</w:t>
      </w:r>
    </w:p>
    <w:p w:rsidR="00C07488" w:rsidRDefault="00C07488" w:rsidP="00C07488">
      <w:pPr>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________</w:t>
      </w:r>
      <w:r>
        <w:rPr>
          <w:rFonts w:ascii="Times New Roman" w:hAnsi="Times New Roman" w:cs="Times New Roman"/>
          <w:color w:val="000000"/>
          <w:sz w:val="28"/>
          <w:szCs w:val="28"/>
          <w:u w:val="single"/>
        </w:rPr>
        <w:t>проф.</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u w:val="single"/>
        </w:rPr>
        <w:t xml:space="preserve">Якубовський С.О. </w:t>
      </w:r>
      <w:r>
        <w:rPr>
          <w:rFonts w:ascii="Times New Roman" w:hAnsi="Times New Roman" w:cs="Times New Roman"/>
          <w:color w:val="000000"/>
          <w:sz w:val="28"/>
          <w:szCs w:val="28"/>
        </w:rPr>
        <w:t xml:space="preserve">            Голова ЕК</w:t>
      </w:r>
    </w:p>
    <w:p w:rsidR="00C07488" w:rsidRDefault="00C07488" w:rsidP="00C07488">
      <w:pP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Pr>
          <w:rFonts w:ascii="Times New Roman" w:hAnsi="Times New Roman" w:cs="Times New Roman"/>
          <w:color w:val="000000"/>
          <w:sz w:val="20"/>
          <w:szCs w:val="20"/>
        </w:rPr>
        <w:t>(підпис)         (прізвище,ініціали</w:t>
      </w:r>
      <w:r>
        <w:rPr>
          <w:rFonts w:ascii="Times New Roman" w:hAnsi="Times New Roman" w:cs="Times New Roman"/>
          <w:color w:val="000000"/>
          <w:sz w:val="24"/>
          <w:szCs w:val="24"/>
        </w:rPr>
        <w:t xml:space="preserve">)                                       </w:t>
      </w:r>
      <w:r>
        <w:rPr>
          <w:rFonts w:ascii="Times New Roman" w:hAnsi="Times New Roman" w:cs="Times New Roman"/>
          <w:color w:val="000000"/>
          <w:sz w:val="28"/>
          <w:szCs w:val="28"/>
        </w:rPr>
        <w:t xml:space="preserve">_____   </w:t>
      </w:r>
      <w:r>
        <w:rPr>
          <w:rFonts w:ascii="Times New Roman" w:hAnsi="Times New Roman" w:cs="Times New Roman"/>
          <w:color w:val="000000"/>
          <w:sz w:val="28"/>
          <w:szCs w:val="28"/>
          <w:u w:val="single"/>
        </w:rPr>
        <w:t xml:space="preserve">          </w:t>
      </w:r>
      <w:r w:rsidRPr="00A27658">
        <w:rPr>
          <w:rFonts w:ascii="Times New Roman" w:hAnsi="Times New Roman" w:cs="Times New Roman"/>
          <w:color w:val="000000"/>
          <w:sz w:val="28"/>
          <w:szCs w:val="28"/>
          <w:u w:val="single"/>
        </w:rPr>
        <w:t xml:space="preserve"> проф. Степанов В.М</w:t>
      </w:r>
      <w:r>
        <w:rPr>
          <w:rFonts w:ascii="Times New Roman" w:hAnsi="Times New Roman" w:cs="Times New Roman"/>
          <w:color w:val="000000"/>
          <w:sz w:val="28"/>
          <w:szCs w:val="28"/>
          <w:u w:val="single"/>
        </w:rPr>
        <w:t xml:space="preserve">. </w:t>
      </w:r>
      <w:r>
        <w:rPr>
          <w:rFonts w:ascii="Times New Roman" w:hAnsi="Times New Roman" w:cs="Times New Roman"/>
          <w:color w:val="000000"/>
          <w:sz w:val="28"/>
          <w:szCs w:val="28"/>
        </w:rPr>
        <w:t xml:space="preserve">                                                                                                                                                            </w:t>
      </w:r>
    </w:p>
    <w:p w:rsidR="00C07488" w:rsidRDefault="00C07488" w:rsidP="00C07488">
      <w:pPr>
        <w:spacing w:after="0" w:line="240" w:lineRule="auto"/>
        <w:rPr>
          <w:rFonts w:ascii="Times New Roman" w:hAnsi="Times New Roman" w:cs="Times New Roman"/>
          <w:color w:val="000000"/>
          <w:sz w:val="20"/>
          <w:szCs w:val="20"/>
        </w:rPr>
      </w:pPr>
      <w:r>
        <w:rPr>
          <w:rFonts w:ascii="Times New Roman" w:hAnsi="Times New Roman" w:cs="Times New Roman"/>
          <w:color w:val="000000"/>
          <w:sz w:val="28"/>
          <w:szCs w:val="28"/>
        </w:rPr>
        <w:t xml:space="preserve">                                                                           </w:t>
      </w:r>
      <w:r>
        <w:rPr>
          <w:rFonts w:ascii="Times New Roman" w:hAnsi="Times New Roman" w:cs="Times New Roman"/>
          <w:color w:val="000000"/>
          <w:sz w:val="20"/>
          <w:szCs w:val="20"/>
        </w:rPr>
        <w:t>(підпис)            (прізвище, ініціали)</w:t>
      </w:r>
    </w:p>
    <w:p w:rsidR="00C07488" w:rsidRDefault="00C07488" w:rsidP="00C07488">
      <w:pPr>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p>
    <w:p w:rsidR="00C07488" w:rsidRDefault="00C07488" w:rsidP="00C07488">
      <w:pPr>
        <w:spacing w:after="0" w:line="240" w:lineRule="auto"/>
        <w:jc w:val="center"/>
        <w:rPr>
          <w:rFonts w:ascii="Times New Roman" w:hAnsi="Times New Roman" w:cs="Times New Roman"/>
          <w:color w:val="000000"/>
          <w:sz w:val="28"/>
          <w:szCs w:val="28"/>
        </w:rPr>
      </w:pPr>
    </w:p>
    <w:p w:rsidR="00C07488" w:rsidRDefault="00C07488" w:rsidP="00C07488">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Одеса – 2018 </w:t>
      </w:r>
    </w:p>
    <w:p w:rsidR="00C07488" w:rsidRDefault="00C07488" w:rsidP="00C07488">
      <w:pPr>
        <w:spacing w:after="0" w:line="360" w:lineRule="auto"/>
        <w:rPr>
          <w:rFonts w:ascii="Times New Roman" w:hAnsi="Times New Roman" w:cs="Times New Roman"/>
          <w:b/>
          <w:color w:val="000000"/>
          <w:sz w:val="28"/>
          <w:szCs w:val="28"/>
        </w:rPr>
      </w:pPr>
    </w:p>
    <w:p w:rsidR="00C07488" w:rsidRPr="0031006A" w:rsidRDefault="00C07488" w:rsidP="00C07488">
      <w:pPr>
        <w:spacing w:after="0" w:line="360" w:lineRule="auto"/>
        <w:ind w:firstLine="540"/>
        <w:jc w:val="center"/>
        <w:rPr>
          <w:rFonts w:ascii="Times New Roman" w:hAnsi="Times New Roman" w:cs="Times New Roman"/>
          <w:b/>
          <w:color w:val="000000"/>
          <w:sz w:val="24"/>
          <w:szCs w:val="24"/>
        </w:rPr>
      </w:pPr>
      <w:r w:rsidRPr="0031006A">
        <w:rPr>
          <w:rFonts w:ascii="Times New Roman" w:hAnsi="Times New Roman" w:cs="Times New Roman"/>
          <w:b/>
          <w:color w:val="000000"/>
          <w:sz w:val="24"/>
          <w:szCs w:val="24"/>
        </w:rPr>
        <w:lastRenderedPageBreak/>
        <w:t>ЗМІСТ</w:t>
      </w:r>
    </w:p>
    <w:p w:rsidR="00C07488" w:rsidRPr="0031006A" w:rsidRDefault="00C07488" w:rsidP="00C07488">
      <w:pPr>
        <w:spacing w:after="0" w:line="360" w:lineRule="auto"/>
        <w:jc w:val="right"/>
        <w:rPr>
          <w:rFonts w:ascii="Times New Roman" w:hAnsi="Times New Roman" w:cs="Times New Roman"/>
          <w:color w:val="000000"/>
          <w:sz w:val="24"/>
          <w:szCs w:val="24"/>
        </w:rPr>
      </w:pPr>
      <w:r w:rsidRPr="0031006A">
        <w:rPr>
          <w:rFonts w:ascii="Times New Roman" w:hAnsi="Times New Roman" w:cs="Times New Roman"/>
          <w:color w:val="000000"/>
          <w:sz w:val="24"/>
          <w:szCs w:val="24"/>
        </w:rPr>
        <w:t>стр.</w:t>
      </w:r>
    </w:p>
    <w:p w:rsidR="00C07488" w:rsidRPr="0031006A" w:rsidRDefault="00C07488" w:rsidP="00C07488">
      <w:pPr>
        <w:spacing w:after="0" w:line="360" w:lineRule="auto"/>
        <w:rPr>
          <w:rFonts w:ascii="Times New Roman" w:hAnsi="Times New Roman" w:cs="Times New Roman"/>
          <w:color w:val="000000"/>
          <w:sz w:val="24"/>
          <w:szCs w:val="24"/>
        </w:rPr>
      </w:pPr>
      <w:r w:rsidRPr="0031006A">
        <w:rPr>
          <w:rFonts w:ascii="Times New Roman" w:hAnsi="Times New Roman" w:cs="Times New Roman"/>
          <w:color w:val="000000"/>
          <w:sz w:val="24"/>
          <w:szCs w:val="24"/>
        </w:rPr>
        <w:t>ВСТУП………………………………………………………………………………..…3</w:t>
      </w:r>
    </w:p>
    <w:p w:rsidR="00C07488" w:rsidRPr="0031006A" w:rsidRDefault="00C07488" w:rsidP="00C07488">
      <w:pPr>
        <w:spacing w:after="0" w:line="360" w:lineRule="auto"/>
        <w:rPr>
          <w:rFonts w:ascii="Times New Roman" w:hAnsi="Times New Roman" w:cs="Times New Roman"/>
          <w:color w:val="000000"/>
          <w:sz w:val="24"/>
          <w:szCs w:val="24"/>
        </w:rPr>
      </w:pPr>
      <w:r w:rsidRPr="0031006A">
        <w:rPr>
          <w:rFonts w:ascii="Times New Roman" w:hAnsi="Times New Roman" w:cs="Times New Roman"/>
          <w:color w:val="000000"/>
          <w:sz w:val="24"/>
          <w:szCs w:val="24"/>
        </w:rPr>
        <w:t>РОЗДІЛ.1 ТЕОРЕТИЧНІ КОНЦЕПЦІЇ ЗДІЙСНЕННЯ ЗЛИТТІВ ТА ПОГЛИНАНЬ………………………………………………………………………...…5</w:t>
      </w:r>
    </w:p>
    <w:p w:rsidR="00C07488" w:rsidRPr="0031006A" w:rsidRDefault="00C07488" w:rsidP="00C07488">
      <w:pPr>
        <w:spacing w:after="0" w:line="360" w:lineRule="auto"/>
        <w:rPr>
          <w:rFonts w:ascii="Times New Roman" w:hAnsi="Times New Roman" w:cs="Times New Roman"/>
          <w:color w:val="000000"/>
          <w:sz w:val="24"/>
          <w:szCs w:val="24"/>
        </w:rPr>
      </w:pPr>
      <w:r w:rsidRPr="0031006A">
        <w:rPr>
          <w:rFonts w:ascii="Times New Roman" w:hAnsi="Times New Roman" w:cs="Times New Roman"/>
          <w:color w:val="000000"/>
          <w:sz w:val="24"/>
          <w:szCs w:val="24"/>
        </w:rPr>
        <w:t>1.1. Механізм злиття та поглинання як спосіб розвитку компаній….………………5</w:t>
      </w:r>
    </w:p>
    <w:p w:rsidR="00C07488" w:rsidRPr="0031006A" w:rsidRDefault="00C07488" w:rsidP="00C07488">
      <w:pPr>
        <w:spacing w:after="0" w:line="360" w:lineRule="auto"/>
        <w:rPr>
          <w:rFonts w:ascii="Times New Roman" w:hAnsi="Times New Roman" w:cs="Times New Roman"/>
          <w:color w:val="000000"/>
          <w:sz w:val="24"/>
          <w:szCs w:val="24"/>
        </w:rPr>
      </w:pPr>
      <w:r w:rsidRPr="0031006A">
        <w:rPr>
          <w:rFonts w:ascii="Times New Roman" w:hAnsi="Times New Roman" w:cs="Times New Roman"/>
          <w:color w:val="000000"/>
          <w:sz w:val="24"/>
          <w:szCs w:val="24"/>
        </w:rPr>
        <w:t>1.2. Типи та особливості здійснення злиттів та поглинань в світовій економіці………………………………………………………………………………10</w:t>
      </w:r>
    </w:p>
    <w:p w:rsidR="00C07488" w:rsidRPr="0031006A" w:rsidRDefault="00C07488" w:rsidP="00C07488">
      <w:pPr>
        <w:spacing w:after="0" w:line="360" w:lineRule="auto"/>
        <w:rPr>
          <w:rFonts w:ascii="Times New Roman" w:hAnsi="Times New Roman" w:cs="Times New Roman"/>
          <w:color w:val="000000"/>
          <w:sz w:val="24"/>
          <w:szCs w:val="24"/>
        </w:rPr>
      </w:pPr>
      <w:r w:rsidRPr="0031006A">
        <w:rPr>
          <w:rFonts w:ascii="Times New Roman" w:hAnsi="Times New Roman" w:cs="Times New Roman"/>
          <w:color w:val="000000"/>
          <w:sz w:val="24"/>
          <w:szCs w:val="24"/>
        </w:rPr>
        <w:t>1.3. Сучасні тренди на світовому ринку злиттів та поглинань…………………….14</w:t>
      </w:r>
    </w:p>
    <w:p w:rsidR="00C07488" w:rsidRPr="0031006A" w:rsidRDefault="00C07488" w:rsidP="00C07488">
      <w:pPr>
        <w:spacing w:after="0" w:line="360" w:lineRule="auto"/>
        <w:rPr>
          <w:rFonts w:ascii="Times New Roman" w:hAnsi="Times New Roman" w:cs="Times New Roman"/>
          <w:color w:val="000000"/>
          <w:sz w:val="24"/>
          <w:szCs w:val="24"/>
        </w:rPr>
      </w:pPr>
      <w:r w:rsidRPr="0031006A">
        <w:rPr>
          <w:rFonts w:ascii="Times New Roman" w:hAnsi="Times New Roman" w:cs="Times New Roman"/>
          <w:color w:val="000000"/>
          <w:sz w:val="24"/>
          <w:szCs w:val="24"/>
        </w:rPr>
        <w:t>РОЗДІЛ 2. ПРОЦЕСИ ЗЛИТТЯ ТА ПОГЛИНАННЯ В ЕКОНОМІЦІ США……………………………………………………………………………………17</w:t>
      </w:r>
    </w:p>
    <w:p w:rsidR="00C07488" w:rsidRPr="0031006A" w:rsidRDefault="00C07488" w:rsidP="00C07488">
      <w:pPr>
        <w:spacing w:after="0" w:line="360" w:lineRule="auto"/>
        <w:rPr>
          <w:rFonts w:ascii="Times New Roman" w:hAnsi="Times New Roman" w:cs="Times New Roman"/>
          <w:color w:val="000000"/>
          <w:sz w:val="24"/>
          <w:szCs w:val="24"/>
        </w:rPr>
      </w:pPr>
      <w:r w:rsidRPr="0031006A">
        <w:rPr>
          <w:rFonts w:ascii="Times New Roman" w:hAnsi="Times New Roman" w:cs="Times New Roman"/>
          <w:color w:val="000000"/>
          <w:sz w:val="24"/>
          <w:szCs w:val="24"/>
        </w:rPr>
        <w:t>2.1. Принципи злиття та поглинання в економіці США…………………………....17</w:t>
      </w:r>
    </w:p>
    <w:p w:rsidR="00C07488" w:rsidRPr="0031006A" w:rsidRDefault="00C07488" w:rsidP="00C07488">
      <w:pPr>
        <w:spacing w:after="0" w:line="360" w:lineRule="auto"/>
        <w:rPr>
          <w:rFonts w:ascii="Times New Roman" w:hAnsi="Times New Roman" w:cs="Times New Roman"/>
          <w:color w:val="000000"/>
          <w:sz w:val="24"/>
          <w:szCs w:val="24"/>
        </w:rPr>
      </w:pPr>
      <w:r w:rsidRPr="0031006A">
        <w:rPr>
          <w:rFonts w:ascii="Times New Roman" w:hAnsi="Times New Roman" w:cs="Times New Roman"/>
          <w:color w:val="000000"/>
          <w:sz w:val="24"/>
          <w:szCs w:val="24"/>
        </w:rPr>
        <w:t>2.2. Основні угоди злиття та поглинання ТНК в США……..…...………………....23</w:t>
      </w:r>
    </w:p>
    <w:p w:rsidR="00C07488" w:rsidRPr="0031006A" w:rsidRDefault="00C07488" w:rsidP="00C07488">
      <w:pPr>
        <w:spacing w:after="0" w:line="360" w:lineRule="auto"/>
        <w:rPr>
          <w:rFonts w:ascii="Times New Roman" w:hAnsi="Times New Roman" w:cs="Times New Roman"/>
          <w:color w:val="000000"/>
          <w:sz w:val="24"/>
          <w:szCs w:val="24"/>
        </w:rPr>
      </w:pPr>
      <w:r w:rsidRPr="0031006A">
        <w:rPr>
          <w:rFonts w:ascii="Times New Roman" w:hAnsi="Times New Roman" w:cs="Times New Roman"/>
          <w:color w:val="000000"/>
          <w:sz w:val="24"/>
          <w:szCs w:val="24"/>
        </w:rPr>
        <w:t>2.3. Вплив розвитку економіки США на динаміку процесів злиття та поглинання…………………………………………………………………………….29</w:t>
      </w:r>
    </w:p>
    <w:p w:rsidR="00C07488" w:rsidRPr="0031006A" w:rsidRDefault="00C07488" w:rsidP="00C07488">
      <w:pPr>
        <w:spacing w:after="0" w:line="360" w:lineRule="auto"/>
        <w:rPr>
          <w:rFonts w:ascii="Times New Roman" w:hAnsi="Times New Roman" w:cs="Times New Roman"/>
          <w:color w:val="000000"/>
          <w:sz w:val="24"/>
          <w:szCs w:val="24"/>
          <w:lang w:val="ru-RU"/>
        </w:rPr>
      </w:pPr>
      <w:r w:rsidRPr="0031006A">
        <w:rPr>
          <w:rFonts w:ascii="Times New Roman" w:hAnsi="Times New Roman" w:cs="Times New Roman"/>
          <w:color w:val="000000"/>
          <w:sz w:val="24"/>
          <w:szCs w:val="24"/>
        </w:rPr>
        <w:t>РОЗДІЛ 3. ТРАНСФОРМАЦІЯ РИНКІВ ЗЛИТТЯ І ПОГЛИНАННЯ США В УМОВАХ ГЛОБАЛІЗАЦІЇ……………………………………………………….......3</w:t>
      </w:r>
      <w:r w:rsidRPr="0031006A">
        <w:rPr>
          <w:rFonts w:ascii="Times New Roman" w:hAnsi="Times New Roman" w:cs="Times New Roman"/>
          <w:color w:val="000000"/>
          <w:sz w:val="24"/>
          <w:szCs w:val="24"/>
          <w:lang w:val="ru-RU"/>
        </w:rPr>
        <w:t>5</w:t>
      </w:r>
    </w:p>
    <w:p w:rsidR="00C07488" w:rsidRPr="0031006A" w:rsidRDefault="00C07488" w:rsidP="00C07488">
      <w:pPr>
        <w:spacing w:after="0" w:line="360" w:lineRule="auto"/>
        <w:rPr>
          <w:rFonts w:ascii="Times New Roman" w:hAnsi="Times New Roman" w:cs="Times New Roman"/>
          <w:color w:val="000000"/>
          <w:sz w:val="24"/>
          <w:szCs w:val="24"/>
          <w:lang w:val="ru-RU"/>
        </w:rPr>
      </w:pPr>
      <w:r w:rsidRPr="0031006A">
        <w:rPr>
          <w:rFonts w:ascii="Times New Roman" w:hAnsi="Times New Roman" w:cs="Times New Roman"/>
          <w:color w:val="000000"/>
          <w:sz w:val="24"/>
          <w:szCs w:val="24"/>
        </w:rPr>
        <w:t>3.1. Позитивні і негативні наслідки здійснення злиттів і поглинань у США……..3</w:t>
      </w:r>
      <w:r w:rsidRPr="0031006A">
        <w:rPr>
          <w:rFonts w:ascii="Times New Roman" w:hAnsi="Times New Roman" w:cs="Times New Roman"/>
          <w:color w:val="000000"/>
          <w:sz w:val="24"/>
          <w:szCs w:val="24"/>
          <w:lang w:val="ru-RU"/>
        </w:rPr>
        <w:t>5</w:t>
      </w:r>
    </w:p>
    <w:p w:rsidR="00C07488" w:rsidRPr="0031006A" w:rsidRDefault="00C07488" w:rsidP="00C07488">
      <w:pPr>
        <w:spacing w:after="0" w:line="360" w:lineRule="auto"/>
        <w:rPr>
          <w:rFonts w:ascii="Times New Roman" w:hAnsi="Times New Roman" w:cs="Times New Roman"/>
          <w:color w:val="000000"/>
          <w:sz w:val="24"/>
          <w:szCs w:val="24"/>
          <w:lang w:val="ru-RU"/>
        </w:rPr>
      </w:pPr>
      <w:r w:rsidRPr="0031006A">
        <w:rPr>
          <w:rFonts w:ascii="Times New Roman" w:hAnsi="Times New Roman" w:cs="Times New Roman"/>
          <w:color w:val="000000"/>
          <w:sz w:val="24"/>
          <w:szCs w:val="24"/>
        </w:rPr>
        <w:t>3.2. Подальший розвиток процесів злиття та поглинання ТНК в економіці США……………………………………………………………………………………4</w:t>
      </w:r>
      <w:r w:rsidRPr="0031006A">
        <w:rPr>
          <w:rFonts w:ascii="Times New Roman" w:hAnsi="Times New Roman" w:cs="Times New Roman"/>
          <w:color w:val="000000"/>
          <w:sz w:val="24"/>
          <w:szCs w:val="24"/>
          <w:lang w:val="ru-RU"/>
        </w:rPr>
        <w:t>1</w:t>
      </w:r>
    </w:p>
    <w:p w:rsidR="00C07488" w:rsidRPr="0031006A" w:rsidRDefault="00C07488" w:rsidP="00C07488">
      <w:pPr>
        <w:spacing w:after="0" w:line="360" w:lineRule="auto"/>
        <w:rPr>
          <w:rFonts w:ascii="Times New Roman" w:hAnsi="Times New Roman" w:cs="Times New Roman"/>
          <w:color w:val="000000"/>
          <w:sz w:val="24"/>
          <w:szCs w:val="24"/>
          <w:lang w:val="ru-RU"/>
        </w:rPr>
      </w:pPr>
      <w:r w:rsidRPr="0031006A">
        <w:rPr>
          <w:rFonts w:ascii="Times New Roman" w:hAnsi="Times New Roman" w:cs="Times New Roman"/>
          <w:color w:val="000000"/>
          <w:sz w:val="24"/>
          <w:szCs w:val="24"/>
        </w:rPr>
        <w:t>ВИСНОВКИ…………………………………………………………………………...4</w:t>
      </w:r>
      <w:r w:rsidRPr="0031006A">
        <w:rPr>
          <w:rFonts w:ascii="Times New Roman" w:hAnsi="Times New Roman" w:cs="Times New Roman"/>
          <w:color w:val="000000"/>
          <w:sz w:val="24"/>
          <w:szCs w:val="24"/>
          <w:lang w:val="ru-RU"/>
        </w:rPr>
        <w:t>8</w:t>
      </w:r>
    </w:p>
    <w:p w:rsidR="00C07488" w:rsidRPr="0031006A" w:rsidRDefault="00C07488" w:rsidP="00C07488">
      <w:pPr>
        <w:spacing w:after="0" w:line="360" w:lineRule="auto"/>
        <w:rPr>
          <w:rFonts w:ascii="Times New Roman" w:hAnsi="Times New Roman" w:cs="Times New Roman"/>
          <w:color w:val="000000"/>
          <w:sz w:val="24"/>
          <w:szCs w:val="24"/>
          <w:lang w:val="ru-RU"/>
        </w:rPr>
      </w:pPr>
      <w:r w:rsidRPr="0031006A">
        <w:rPr>
          <w:rFonts w:ascii="Times New Roman" w:hAnsi="Times New Roman" w:cs="Times New Roman"/>
          <w:color w:val="000000"/>
          <w:sz w:val="24"/>
          <w:szCs w:val="24"/>
        </w:rPr>
        <w:t>СПИСОК ВИКОРИСТАНИХ ДЖЕРЕЛ……………………………………………..5</w:t>
      </w:r>
      <w:r w:rsidRPr="0031006A">
        <w:rPr>
          <w:rFonts w:ascii="Times New Roman" w:hAnsi="Times New Roman" w:cs="Times New Roman"/>
          <w:color w:val="000000"/>
          <w:sz w:val="24"/>
          <w:szCs w:val="24"/>
          <w:lang w:val="ru-RU"/>
        </w:rPr>
        <w:t>1</w:t>
      </w:r>
    </w:p>
    <w:p w:rsidR="00C07488" w:rsidRPr="0031006A" w:rsidRDefault="00C07488" w:rsidP="00C07488">
      <w:pPr>
        <w:spacing w:after="0" w:line="360" w:lineRule="auto"/>
        <w:rPr>
          <w:rFonts w:ascii="Times New Roman" w:hAnsi="Times New Roman" w:cs="Times New Roman"/>
          <w:color w:val="000000"/>
          <w:sz w:val="24"/>
          <w:szCs w:val="24"/>
          <w:lang w:val="ru-RU"/>
        </w:rPr>
      </w:pPr>
      <w:r w:rsidRPr="0031006A">
        <w:rPr>
          <w:rFonts w:ascii="Times New Roman" w:hAnsi="Times New Roman" w:cs="Times New Roman"/>
          <w:color w:val="000000"/>
          <w:sz w:val="24"/>
          <w:szCs w:val="24"/>
        </w:rPr>
        <w:t>ДОДАТКИ……………………………………………………………………………..5</w:t>
      </w:r>
      <w:r w:rsidRPr="0031006A">
        <w:rPr>
          <w:rFonts w:ascii="Times New Roman" w:hAnsi="Times New Roman" w:cs="Times New Roman"/>
          <w:color w:val="000000"/>
          <w:sz w:val="24"/>
          <w:szCs w:val="24"/>
          <w:lang w:val="ru-RU"/>
        </w:rPr>
        <w:t>7</w:t>
      </w:r>
    </w:p>
    <w:p w:rsidR="00C07488" w:rsidRDefault="00C07488" w:rsidP="00C07488">
      <w:pPr>
        <w:spacing w:after="0" w:line="360" w:lineRule="auto"/>
        <w:rPr>
          <w:rFonts w:ascii="Times New Roman" w:hAnsi="Times New Roman" w:cs="Times New Roman"/>
          <w:b/>
          <w:color w:val="000000"/>
          <w:sz w:val="28"/>
          <w:szCs w:val="28"/>
        </w:rPr>
      </w:pPr>
    </w:p>
    <w:p w:rsidR="00C07488" w:rsidRDefault="00C07488" w:rsidP="00C07488">
      <w:pPr>
        <w:rPr>
          <w:rFonts w:ascii="Times New Roman" w:hAnsi="Times New Roman" w:cs="Times New Roman"/>
          <w:b/>
          <w:color w:val="000000"/>
          <w:sz w:val="28"/>
          <w:szCs w:val="28"/>
        </w:rPr>
      </w:pPr>
      <w:r>
        <w:br w:type="page"/>
      </w:r>
    </w:p>
    <w:p w:rsidR="00C07488" w:rsidRDefault="00C07488" w:rsidP="00C07488">
      <w:pPr>
        <w:spacing w:after="0" w:line="360" w:lineRule="auto"/>
        <w:ind w:firstLine="540"/>
        <w:jc w:val="center"/>
        <w:rPr>
          <w:rFonts w:ascii="Times New Roman" w:hAnsi="Times New Roman" w:cs="Times New Roman"/>
          <w:b/>
          <w:color w:val="000000"/>
          <w:sz w:val="28"/>
          <w:szCs w:val="28"/>
        </w:rPr>
      </w:pPr>
      <w:r>
        <w:rPr>
          <w:rFonts w:ascii="Times New Roman" w:hAnsi="Times New Roman" w:cs="Times New Roman"/>
          <w:b/>
          <w:color w:val="000000"/>
          <w:sz w:val="28"/>
          <w:szCs w:val="28"/>
        </w:rPr>
        <w:lastRenderedPageBreak/>
        <w:t>ВСТУП</w:t>
      </w:r>
    </w:p>
    <w:p w:rsidR="00C07488" w:rsidRDefault="00C07488" w:rsidP="00C07488">
      <w:pPr>
        <w:spacing w:after="0" w:line="360" w:lineRule="auto"/>
        <w:ind w:firstLine="540"/>
        <w:jc w:val="center"/>
        <w:rPr>
          <w:rFonts w:ascii="Times New Roman" w:hAnsi="Times New Roman" w:cs="Times New Roman"/>
          <w:b/>
          <w:color w:val="000000"/>
          <w:sz w:val="28"/>
          <w:szCs w:val="28"/>
        </w:rPr>
      </w:pPr>
    </w:p>
    <w:p w:rsidR="00C07488" w:rsidRDefault="00C07488" w:rsidP="00C07488">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Процес розвитку транснаціональних компаній, особливо на фазі росту, супроводжується активними процесами злиттів та поглинань. Вони забезпечують ТНК доступом до нових видів продукту, ринків збуту, кваліфікованого персоналу, інновацій, і, відповідно забезпечує конкурентні переваги на ринку. США є світовим лідером за кількістю та обсягом операцій злиття та поглинання як всередині країні так і за її межами. Це зумовлено високим рівнем розвитку фондового ринку та акціонерної форми власності.</w:t>
      </w:r>
    </w:p>
    <w:p w:rsidR="00C07488" w:rsidRDefault="00C07488" w:rsidP="00C07488">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Тому на сьогоднішній день дискусії про вплив злиття і поглинання на внутрішньодержавну та глобальну конкуренцію не втрачають своєї актуальності. У поточному десятилітті активність американських корпорацій на ринку злиттів і поглинань залишаються на високому рівні, що свідчить про популярність і ефективність подібних угод на американському ринку.</w:t>
      </w:r>
    </w:p>
    <w:p w:rsidR="00C07488" w:rsidRDefault="00C07488" w:rsidP="00C07488">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Метою даної роботи є дослідження розвитку угод злиття та поглинання ТНК в економіці США. Виходячи з мети, необхідно вирішити ряд наступних завдань:</w:t>
      </w:r>
    </w:p>
    <w:p w:rsidR="00C07488" w:rsidRDefault="00C07488" w:rsidP="00C07488">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розкрити механізм злиття та поглинання як спосіб розвитку компаній;</w:t>
      </w:r>
    </w:p>
    <w:p w:rsidR="00C07488" w:rsidRDefault="00C07488" w:rsidP="00C07488">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охарактеризувати типи та особливості здійснення злиттів та поглинань в світовій економіці;</w:t>
      </w:r>
    </w:p>
    <w:p w:rsidR="00C07488" w:rsidRDefault="00C07488" w:rsidP="00C07488">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визначити сучасні тренди на світовому ринку злиттів та поглинань;</w:t>
      </w:r>
    </w:p>
    <w:p w:rsidR="00C07488" w:rsidRDefault="00C07488" w:rsidP="00C07488">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систематизувати принципи процесів злиття та поглинання в США;</w:t>
      </w:r>
    </w:p>
    <w:p w:rsidR="00C07488" w:rsidRDefault="00C07488" w:rsidP="00C07488">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проаналізувати динаміку та основні угоди злиття та поглинання ТНК в США;</w:t>
      </w:r>
    </w:p>
    <w:p w:rsidR="00C07488" w:rsidRDefault="00C07488" w:rsidP="00C07488">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оцінити вплив розвитку економіки США на процеси злиття та поглинання;</w:t>
      </w:r>
    </w:p>
    <w:p w:rsidR="00C07488" w:rsidRDefault="00C07488" w:rsidP="00C07488">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визначити позитивні та негативні наслідки процесів злиття та поглинання в економіці США;</w:t>
      </w:r>
    </w:p>
    <w:p w:rsidR="00C07488" w:rsidRDefault="00C07488" w:rsidP="00C07488">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окреслити напрями розвитку процесів злиття та поглинання ТНК в США.</w:t>
      </w:r>
    </w:p>
    <w:p w:rsidR="00C07488" w:rsidRDefault="00C07488" w:rsidP="00C07488">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Предметом дослідження даної роботи є процеси злиття та поглинання ТНК в США. Об’єктом дослідження – є світовий ринок злиття і поглинання ТНК. </w:t>
      </w:r>
    </w:p>
    <w:p w:rsidR="00C07488" w:rsidRDefault="00C07488" w:rsidP="00C07488">
      <w:pPr>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Дана робота складається зі вступу, трьох розділів, висновків, списку використаних джерел та додатків. Кожний розділ має кілька підрозділів, які розкривають та конкретизують його зміст.</w:t>
      </w:r>
    </w:p>
    <w:p w:rsidR="00C07488" w:rsidRDefault="00C07488" w:rsidP="00C07488">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Інформаційною базою дослідження виступили монографії, статті у фахових наукових видання, звіти міжнародних аналітичних агенцій, статистичні дані про операції злиття та поглинання в економіці США, кейси злиттів та поглинань ТНК, ресурси мережі Інтернет тощо.</w:t>
      </w:r>
    </w:p>
    <w:p w:rsidR="00C07488" w:rsidRPr="00E06C12" w:rsidRDefault="00C07488" w:rsidP="00C07488">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Теоретична база дослідження базується на роботах таких вчених: Сонікова А.В., Е</w:t>
      </w:r>
      <w:r w:rsidRPr="00E06C12">
        <w:rPr>
          <w:rFonts w:ascii="Times New Roman" w:hAnsi="Times New Roman" w:cs="Times New Roman"/>
          <w:color w:val="000000"/>
          <w:sz w:val="28"/>
          <w:szCs w:val="28"/>
        </w:rPr>
        <w:t>ванс Ф., Єндовицький Д.А.,</w:t>
      </w:r>
      <w:r>
        <w:rPr>
          <w:rFonts w:ascii="Times New Roman" w:hAnsi="Times New Roman" w:cs="Times New Roman"/>
          <w:color w:val="000000"/>
          <w:sz w:val="28"/>
          <w:szCs w:val="28"/>
        </w:rPr>
        <w:t xml:space="preserve"> Є</w:t>
      </w:r>
      <w:r w:rsidRPr="00E06C12">
        <w:rPr>
          <w:rFonts w:ascii="Times New Roman" w:hAnsi="Times New Roman" w:cs="Times New Roman"/>
          <w:color w:val="000000"/>
          <w:sz w:val="28"/>
          <w:szCs w:val="28"/>
        </w:rPr>
        <w:t>рмолаєва М.</w:t>
      </w:r>
      <w:r>
        <w:rPr>
          <w:rFonts w:ascii="Times New Roman" w:hAnsi="Times New Roman" w:cs="Times New Roman"/>
          <w:color w:val="000000"/>
          <w:sz w:val="28"/>
          <w:szCs w:val="28"/>
        </w:rPr>
        <w:t>А.,</w:t>
      </w:r>
      <w:r w:rsidRPr="00E06C12">
        <w:rPr>
          <w:rFonts w:ascii="Times New Roman" w:hAnsi="Times New Roman" w:cs="Times New Roman"/>
          <w:color w:val="000000"/>
          <w:sz w:val="28"/>
          <w:szCs w:val="28"/>
        </w:rPr>
        <w:t xml:space="preserve"> Ван Хорн</w:t>
      </w:r>
      <w:r>
        <w:rPr>
          <w:rFonts w:ascii="Times New Roman" w:hAnsi="Times New Roman" w:cs="Times New Roman"/>
          <w:color w:val="000000"/>
          <w:sz w:val="28"/>
          <w:szCs w:val="28"/>
        </w:rPr>
        <w:t>Дж., Депамфилис Д., Росс. С., Боди З., Мертон Р., Кемпбел Д., Стоунхаус Д., Дмитришин Б.В., Єгорова Г.А., Островська Г., Табахарнюк М.О., Гальперіна Л., Дорохін А.С., Шаленкова О.</w:t>
      </w:r>
    </w:p>
    <w:p w:rsidR="00C07488" w:rsidRDefault="00C07488" w:rsidP="00C07488">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У ході дослідження використано методи наукової абстракції, індукції та дедукції, аналізу та синтезу, кореляційно-регресійного аналізу тощо.</w:t>
      </w:r>
    </w:p>
    <w:p w:rsidR="009C5487" w:rsidRDefault="009C5487"/>
    <w:p w:rsidR="00CE3511" w:rsidRDefault="00CE3511"/>
    <w:p w:rsidR="00CE3511" w:rsidRDefault="00CE3511"/>
    <w:p w:rsidR="00CE3511" w:rsidRDefault="00CE3511"/>
    <w:p w:rsidR="00CE3511" w:rsidRDefault="00CE3511"/>
    <w:p w:rsidR="00CE3511" w:rsidRDefault="00CE3511"/>
    <w:p w:rsidR="00CE3511" w:rsidRDefault="00CE3511"/>
    <w:p w:rsidR="00CE3511" w:rsidRDefault="00CE3511"/>
    <w:p w:rsidR="00CE3511" w:rsidRDefault="00CE3511"/>
    <w:p w:rsidR="00CE3511" w:rsidRDefault="00CE3511"/>
    <w:p w:rsidR="00CE3511" w:rsidRDefault="00CE3511"/>
    <w:p w:rsidR="00CE3511" w:rsidRDefault="00CE3511"/>
    <w:p w:rsidR="00CE3511" w:rsidRDefault="00CE3511" w:rsidP="00CE3511">
      <w:pPr>
        <w:spacing w:after="0"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lastRenderedPageBreak/>
        <w:t>ВИСНОВКИ</w:t>
      </w:r>
    </w:p>
    <w:p w:rsidR="00CE3511" w:rsidRDefault="00CE3511" w:rsidP="00CE3511">
      <w:pPr>
        <w:spacing w:after="0" w:line="360" w:lineRule="auto"/>
        <w:jc w:val="center"/>
        <w:rPr>
          <w:rFonts w:ascii="Times New Roman" w:hAnsi="Times New Roman" w:cs="Times New Roman"/>
          <w:b/>
          <w:color w:val="000000"/>
          <w:sz w:val="28"/>
          <w:szCs w:val="28"/>
        </w:rPr>
      </w:pPr>
    </w:p>
    <w:p w:rsidR="00CE3511" w:rsidRDefault="00CE3511" w:rsidP="00CE3511">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 основі проведеного узагальнення теоретичних, методичних та практичних аспектів процесів злиття та поглинання ТНК в економіці США можемо зробити такі основні висновки:</w:t>
      </w:r>
    </w:p>
    <w:p w:rsidR="00CE3511" w:rsidRDefault="00CE3511" w:rsidP="00CE3511">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На основі аналізу теоретичних підходів до визначення термінів злитті та поглинання вважаємо, що злиття акціонерних компаній є форма реорганізації, за якої на добровільних засадах, при незначних змінах у складі акціонерів та з мінімальною премією за поглинання відбувається об’єднання двох підприємств в одне, причому втрачається індивідуальність одного чи обох учасників злиття, а поглинання є набуття однією компанією власності та/або контролю над іншою шляхом придбання акцій чи активів зі згодою (або без згоди) менеджменту та/або акціонерів цільової компанії.</w:t>
      </w:r>
    </w:p>
    <w:p w:rsidR="00CE3511" w:rsidRDefault="00CE3511" w:rsidP="00CE3511">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До основних методів здійснення процесу злиття та поглинання слід віднести такі: придбання контрольного пакета акцій, придбання основних активів або майнового комплексу загалом, злиття через реорганізацію, угоди поглинання неефективних партнерів великих компаній, купівля-продаж готового бізнесу.</w:t>
      </w:r>
    </w:p>
    <w:p w:rsidR="00CE3511" w:rsidRDefault="00CE3511" w:rsidP="00CE3511">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Основними трендами в процесі здійснення операцій злиття та поглинання в США є інтегроване планування, продаж активів, придбання технологій, конвергенції в галузях.</w:t>
      </w:r>
    </w:p>
    <w:p w:rsidR="00CE3511" w:rsidRDefault="00CE3511" w:rsidP="00CE3511">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З’ясовано, що CША є світовим лідером за кількістю та вартістю угод злиття та поглинання. Нараз основними факторами, що визначають ці процеси в країні є податкова реформа, накопичення значного рівня залишків грошових коштів у американських ТНК, потреба у активізації інноваційної діяльності. Обсяг операцій злиття та поглинання у США за прогнозами буде зростати у таких секторах як телекомунікації, професійні послуги, виробництво, медіа та енергетика. Серед трьох основних стратегічних драйверів операцій злиття та поглинання американських компаній різноманітні дослідження називають </w:t>
      </w:r>
      <w:r>
        <w:rPr>
          <w:rFonts w:ascii="Times New Roman" w:hAnsi="Times New Roman" w:cs="Times New Roman"/>
          <w:color w:val="000000"/>
          <w:sz w:val="28"/>
          <w:szCs w:val="28"/>
        </w:rPr>
        <w:lastRenderedPageBreak/>
        <w:t>диверсифікацію продуктів та послуг, розширення бази споживачів та географії продажів, придбання нових технологій.</w:t>
      </w:r>
    </w:p>
    <w:p w:rsidR="00CE3511" w:rsidRDefault="00CE3511" w:rsidP="00CE3511">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Визначено, що для динаміки кількості та вартості угод злиття та поглинання в США характерна циклічність. З 1985 року понад 325 тис. угод вартістю понад 34900 млрд. дол. США було здійснено. Рекордним за кількістю угод був 2017 рік, у якому їх кількість складала 15361. Рекордним за сукупною вартістю угод був 2015 рік, у якому вона складала 2419 млрд. дол. США. Середньорічний темп зростання кількості угод протягом 1985-2018 років складає 5,86%, а їх вартості 5,32%. На 2018 рік IMAA прогнозує зниження кількості та обсягу операцій злиття та поглинання в США.</w:t>
      </w:r>
    </w:p>
    <w:p w:rsidR="00CE3511" w:rsidRDefault="00CE3511" w:rsidP="00CE3511">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Найбільші за вартістю угоди укладаються у таких секторах як охорона здоров’я, енергетика, високі технології та фінансовий сектор. Найбільша кількість угод реалізована у таких секторах як високі технології, фінансовий сектор та споживчі товари та послуги. Слід зазначити, що у секторі високих технологій зосереджена п’ята частина всіх угод злиття та поглинання. У секторі охорони здоров’я, який лідирує за вартістю угод, кількість є відносно невеликою.</w:t>
      </w:r>
    </w:p>
    <w:p w:rsidR="00CE3511" w:rsidRDefault="00CE3511" w:rsidP="00CE3511">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 На основі кореляційно-регресійного аналізу визначено, що збільшення ВВП на 13 млрд. дол. США збільшує кількість угод злиття та поглинання в середньому на 1 операцію, зростання відсоткової облікової ставки ФРС на 1% призводить до зростання кількості угод злиття та поглинань в середньому на 629 операцій, і зростання капіталізації фондового ринку США на 5 млрд. дол. США збільшує кількість угод злиття та поглинання в середньому на 1 операцію.</w:t>
      </w:r>
    </w:p>
    <w:p w:rsidR="00CE3511" w:rsidRDefault="00CE3511" w:rsidP="00CE3511">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З’ясовано, що збільшення ВВП на 1 млрд. дол. США зменшує вартість угод злиття та поглинання в середньому на 0,0007 млрд. грн., зростання відсоткової облікової ставки ФРС на 1% призводить до зростання вартості угод злиття та поглинань в середньому на 143,58 млрд. дол. США, і зростання капіталізації фондового ринку США на 1 млрд. дол. США збільшує вартість угод злиття та поглинання в середньому на 0,0612 млрд. дол. США.</w:t>
      </w:r>
    </w:p>
    <w:p w:rsidR="00CE3511" w:rsidRDefault="00CE3511" w:rsidP="00CE3511">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Вплив економічних факторів на кількість та обсяг операцій злиття та поглинання в економіці США присутній, але він визначає лише трохи більше 50% варіації. На нашу думку, це пов’язано з впливом цілого комплексу факторів на тенденції операцій злиття та поглинання, серед яких вагомий вплив, особливо у останні 10 років, має законодавче регулювання. Серед економічних факторів найбільш вагомий вплив здійснює рівень відсоткової ставки ФРС.</w:t>
      </w:r>
    </w:p>
    <w:p w:rsidR="00CE3511" w:rsidRDefault="00CE3511" w:rsidP="00CE3511">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 Операції злиття та поглинання мають як позитивні так і негативні наслідки. Зокрема, збільшення розміру компаній пов’язують з виникненням ефекту масштабу, що дозволяє постачати на ринок якісну продукції за нижчою вартістю, оскільки витрати на одиницю продукції зменшуються. З іншого боку концентрація бізнесу викликає зосередження монопольної влади на ринку в межах однієї або декількох компаній, що, відповідно, негативно позначається, на конкуренції.</w:t>
      </w:r>
    </w:p>
    <w:p w:rsidR="00CE3511" w:rsidRDefault="00CE3511" w:rsidP="00CE3511">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 Слід зазначити, що драйвери подальшого розвитку угод злиття та поглинання різнитимуться залежно від галузі. Вказані вище більш актуальні для виробництва промислових та споживчих товарів. У фінансовому секторі США подальші процеси злиттів та поглинань будуть зумовлюватись зростанням відсоткової ставки ФРС США, інтеграцією продуктів та сервісів, впровадженням фінтех інновацій. Для технологічних компаній більш актуальним буде придбання додаткових технічних спроможностей, оптимізація продуктового портфелю. Для енергетичних компаній наразі характерні подальші процеси консолідації.</w:t>
      </w:r>
    </w:p>
    <w:p w:rsidR="00CE3511" w:rsidRDefault="00CE3511" w:rsidP="00CE3511">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Також одним з визначальних чинників, який впливатиме на подальшу динаміку операцій злиття та поглинання, буде подальша реалізація податкової реформи в США.</w:t>
      </w:r>
    </w:p>
    <w:p w:rsidR="00CE3511" w:rsidRDefault="00CE3511" w:rsidP="00CE3511">
      <w:pPr>
        <w:rPr>
          <w:rFonts w:ascii="Times New Roman" w:hAnsi="Times New Roman" w:cs="Times New Roman"/>
          <w:b/>
          <w:color w:val="000000"/>
          <w:sz w:val="28"/>
          <w:szCs w:val="28"/>
        </w:rPr>
      </w:pPr>
      <w:r>
        <w:br w:type="page"/>
      </w:r>
    </w:p>
    <w:p w:rsidR="00CE3511" w:rsidRDefault="00CE3511" w:rsidP="00CE3511">
      <w:pPr>
        <w:spacing w:after="0"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lastRenderedPageBreak/>
        <w:t xml:space="preserve">СПИСОК ВИКОРИСТАНИХ ДЖЕРЕЛ </w:t>
      </w:r>
    </w:p>
    <w:p w:rsidR="00CE3511" w:rsidRDefault="00CE3511" w:rsidP="00CE3511">
      <w:pPr>
        <w:spacing w:after="0" w:line="360" w:lineRule="auto"/>
        <w:jc w:val="center"/>
        <w:rPr>
          <w:rFonts w:ascii="Times New Roman" w:hAnsi="Times New Roman" w:cs="Times New Roman"/>
          <w:b/>
          <w:color w:val="000000"/>
          <w:sz w:val="28"/>
          <w:szCs w:val="28"/>
        </w:rPr>
      </w:pPr>
    </w:p>
    <w:p w:rsidR="00CE3511" w:rsidRDefault="00CE3511" w:rsidP="00CE3511">
      <w:pPr>
        <w:numPr>
          <w:ilvl w:val="0"/>
          <w:numId w:val="1"/>
        </w:numPr>
        <w:tabs>
          <w:tab w:val="left" w:pos="709"/>
          <w:tab w:val="left" w:pos="851"/>
          <w:tab w:val="left" w:pos="993"/>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Сонникова А.В. История развития и перспективы мирового рынка слияний и поглощений // Экономические науки. Финансы, денежное обращение и кредит. – 2011. – №7(80). – С. 150-153. [Електронний ресурс] -  Режим доступу: </w:t>
      </w:r>
      <w:hyperlink r:id="rId5">
        <w:r>
          <w:rPr>
            <w:rFonts w:ascii="Times New Roman" w:hAnsi="Times New Roman" w:cs="Times New Roman"/>
            <w:color w:val="000000"/>
            <w:sz w:val="28"/>
            <w:szCs w:val="28"/>
          </w:rPr>
          <w:t>http://ecsocman.hse.ru/data/2012/07/19/1265212213/29.pdf</w:t>
        </w:r>
      </w:hyperlink>
    </w:p>
    <w:p w:rsidR="00CE3511" w:rsidRDefault="00CE3511" w:rsidP="00CE3511">
      <w:pPr>
        <w:numPr>
          <w:ilvl w:val="0"/>
          <w:numId w:val="1"/>
        </w:numPr>
        <w:tabs>
          <w:tab w:val="left" w:pos="709"/>
          <w:tab w:val="left" w:pos="851"/>
          <w:tab w:val="left" w:pos="993"/>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Эванс Ф. Оценка компаний при слияниях и поглощениях: Создание стоимости в частных компаниях: пер. с англ. 2-е изд. / Ф. Эванс, Д. Бишоп. – М., 2007. - 234 с.</w:t>
      </w:r>
    </w:p>
    <w:p w:rsidR="00CE3511" w:rsidRDefault="00CE3511" w:rsidP="00CE3511">
      <w:pPr>
        <w:numPr>
          <w:ilvl w:val="0"/>
          <w:numId w:val="1"/>
        </w:numPr>
        <w:tabs>
          <w:tab w:val="left" w:pos="709"/>
          <w:tab w:val="left" w:pos="851"/>
          <w:tab w:val="left" w:pos="993"/>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Ендовицкий Д.А. Экономический анализ слияний/поглощений компаний: научное издание / Д.А. Ендовицкий, В.Е. Соболева. - М.: Кнорус, 2013. - 438 с.</w:t>
      </w:r>
    </w:p>
    <w:p w:rsidR="00CE3511" w:rsidRDefault="00CE3511" w:rsidP="00CE3511">
      <w:pPr>
        <w:numPr>
          <w:ilvl w:val="0"/>
          <w:numId w:val="1"/>
        </w:numPr>
        <w:tabs>
          <w:tab w:val="left" w:pos="709"/>
          <w:tab w:val="left" w:pos="851"/>
          <w:tab w:val="left" w:pos="993"/>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Реструктуризация компании как способ повышения ее рыночной стоимости. Слияния и поглощения. [Електронний ресурс] / М.А. Ермолаева // Экономические аспекты функционирования предприятий. – Режим доступу: http://www.ieay.ru/nauka-v-ieau/nauchnye-trudy-ieau/ekonomicheskie-aspekty-funkcionirovaniya-predpriyatij-2005/restrukturizaciya-kompanii-kak-sposob-povysheniya-ee-rynochnoj-stoimosti.-sliyaniya-i-pogloshheniya/ .</w:t>
      </w:r>
    </w:p>
    <w:p w:rsidR="00CE3511" w:rsidRDefault="00CE3511" w:rsidP="00CE3511">
      <w:pPr>
        <w:numPr>
          <w:ilvl w:val="0"/>
          <w:numId w:val="1"/>
        </w:numPr>
        <w:tabs>
          <w:tab w:val="left" w:pos="709"/>
          <w:tab w:val="left" w:pos="851"/>
          <w:tab w:val="left" w:pos="993"/>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Ван ХорнДж. Основы управления финансами / Дж. Ван Хорн. — М. : Финансы и статистика, 2003. — 800 с.</w:t>
      </w:r>
    </w:p>
    <w:p w:rsidR="00CE3511" w:rsidRDefault="00CE3511" w:rsidP="00CE3511">
      <w:pPr>
        <w:numPr>
          <w:ilvl w:val="0"/>
          <w:numId w:val="1"/>
        </w:numPr>
        <w:tabs>
          <w:tab w:val="left" w:pos="709"/>
          <w:tab w:val="left" w:pos="851"/>
          <w:tab w:val="left" w:pos="993"/>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Депамфилис Д. Слияния, поглощения и другие способы реструктуризации компании / Д. Депамфилис. — M. : Олимп-Бизнес, 2007. — 924 c.</w:t>
      </w:r>
    </w:p>
    <w:p w:rsidR="00CE3511" w:rsidRDefault="00CE3511" w:rsidP="00CE3511">
      <w:pPr>
        <w:numPr>
          <w:ilvl w:val="0"/>
          <w:numId w:val="1"/>
        </w:numPr>
        <w:tabs>
          <w:tab w:val="left" w:pos="709"/>
          <w:tab w:val="left" w:pos="851"/>
          <w:tab w:val="left" w:pos="993"/>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Росс С. Основы корпоративных финансов / С. Росс и др. — М. : Лабораториябазовых знаний, 2001. — 712 с.</w:t>
      </w:r>
    </w:p>
    <w:p w:rsidR="00CE3511" w:rsidRDefault="00CE3511" w:rsidP="00CE3511">
      <w:pPr>
        <w:numPr>
          <w:ilvl w:val="0"/>
          <w:numId w:val="1"/>
        </w:numPr>
        <w:tabs>
          <w:tab w:val="left" w:pos="709"/>
          <w:tab w:val="left" w:pos="851"/>
          <w:tab w:val="left" w:pos="993"/>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Боди З. Финансы / З. Боди, Р. Мертон ; пер. с англ. — М. : Вильямс, 2007. — 592 с.</w:t>
      </w:r>
    </w:p>
    <w:p w:rsidR="00CE3511" w:rsidRDefault="00CE3511" w:rsidP="00CE3511">
      <w:pPr>
        <w:numPr>
          <w:ilvl w:val="0"/>
          <w:numId w:val="1"/>
        </w:numPr>
        <w:tabs>
          <w:tab w:val="left" w:pos="709"/>
          <w:tab w:val="left" w:pos="851"/>
          <w:tab w:val="left" w:pos="993"/>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Кэмпбел Д. Стратегический менеджмент / Д. Кэмпбел, Д. Стоунхаус, Б. Хьюстон. — М. : ООО «Издательство Проспект», 2003. — 336 с.</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Дмитришин Б.В. Дослідження впливу процесів злиття та поглинання на динаміку ВВП України / Б.В. Дмитришин // Наукові праці Кіровоградського національного технічного університету. Економічні науки - 2014. - Вип. 26. - С. 300-306.</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Єгорова Г.А. Злиття та поглинання в Україні: проблеми визначення дефініцій та основні мотиви укладання угод / Г.А. Єгорова // Науковий вісник Ужгородського національного університету. - 2016.  - Вип. 6. - Ч. 1. - С. 105-108.</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Островська Г. Управління вартістю компанії у процесі злиття та поглинання: синергетичний підхід / Г. Островська, В. Титор // Світ фінансів.  - 2017. - №3. - С. 106-120.</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Табахарнюк М.О. Класифікація угод зі злиття та поглинання компаній у сучасній економіці / М.О. Табахарнюк // Науковий вісник Херсонського державного університету. - 2017. - Вип. 23. - Ч. 2. - С. 110-114.</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Гальперіна Л. Глобальні тренди злиттів та поглинань в енергетичному секторі / Гальперіна Любов, Клен Юлія // Міжнародна економічна політика. – 2017. – № 1. – С. 46–71.</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Дорохин А.С. Слияния и поглощения зарубежных компаний / </w:t>
      </w:r>
      <w:r>
        <w:rPr>
          <w:rFonts w:ascii="Times New Roman" w:hAnsi="Times New Roman" w:cs="Times New Roman"/>
          <w:color w:val="000000"/>
          <w:sz w:val="28"/>
          <w:szCs w:val="28"/>
        </w:rPr>
        <w:br/>
        <w:t>А.С. Дорохин. - М.: Макс Пресс, 2005. – 34 с.</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Шаленкова О. Методика количественной оценки синергетического эффекта как ключевого фактора принятия решения о проведении сделок M&amp;A // Слияния и поглощения, 2008 - №1-2 – с.44-49.</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ПРАЙМ. Агентство экономической информации. [Електронний ресурс] // - Режим доступу: </w:t>
      </w:r>
      <w:hyperlink r:id="rId6">
        <w:r>
          <w:rPr>
            <w:rFonts w:ascii="Times New Roman" w:hAnsi="Times New Roman" w:cs="Times New Roman"/>
            <w:color w:val="000000"/>
            <w:sz w:val="28"/>
            <w:szCs w:val="28"/>
          </w:rPr>
          <w:t>https://1prime.ru/state_regulation/20171003/827971145.html</w:t>
        </w:r>
      </w:hyperlink>
      <w:r>
        <w:rPr>
          <w:rFonts w:ascii="Times New Roman" w:hAnsi="Times New Roman" w:cs="Times New Roman"/>
          <w:color w:val="000000"/>
          <w:sz w:val="28"/>
          <w:szCs w:val="28"/>
        </w:rPr>
        <w:t>.</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Мировой рынок сделок по слиянию и поглощению растет. [Електронний ресурс] // Информационное агентство ЛІГА БизнесІнформ. - Режим доступу: http://biz.liga.net/ekonomika/all/novosti/3711806-mirovoy-rynok-sdelok-po-sliyaniyu-i-pogloshcheniyu-vyros-s-nachala-goda.htm  </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ChemChina gets nearly 95 percent of Syngenta, seeks more. [Електронний ресурс] // Reuters. - Режим доступу: </w:t>
      </w:r>
      <w:hyperlink r:id="rId7">
        <w:r>
          <w:rPr>
            <w:rFonts w:ascii="Times New Roman" w:hAnsi="Times New Roman" w:cs="Times New Roman"/>
            <w:color w:val="000000"/>
            <w:sz w:val="28"/>
            <w:szCs w:val="28"/>
          </w:rPr>
          <w:t>https://www.reuters.com/article/us-syngenta-m-a-chemchina/chemchina-gets-nearly-95-percent-of-syngenta-seeks-more-idUSKBN18R0HN</w:t>
        </w:r>
      </w:hyperlink>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Китайская ChemChina совершила крупнейшее поглощение на $43 млрд [Електронний ресурс] // Информационное агентство ЛІГА БізнесІнформ. – 31.05.2017. – Режим доступу: </w:t>
      </w:r>
      <w:hyperlink r:id="rId8">
        <w:r>
          <w:rPr>
            <w:rFonts w:ascii="Times New Roman" w:hAnsi="Times New Roman" w:cs="Times New Roman"/>
            <w:color w:val="000000"/>
            <w:sz w:val="28"/>
            <w:szCs w:val="28"/>
          </w:rPr>
          <w:t>http://biz.liga.net/ekonomika/prodovolstvie/novosti/3678169-kitayskaya-chemchina-sovershila-krupneyshee-pogloshchenie-na-143-mlrd.htm</w:t>
        </w:r>
      </w:hyperlink>
      <w:r>
        <w:rPr>
          <w:rFonts w:ascii="Times New Roman" w:hAnsi="Times New Roman" w:cs="Times New Roman"/>
          <w:color w:val="000000"/>
          <w:sz w:val="28"/>
          <w:szCs w:val="28"/>
        </w:rPr>
        <w:t>.</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Dow Chemical и DuPont завершили слияние компаний [Електронний ресурс] // Информационное агентство ЛІГА БізнесІнформ. – Режим доступу: </w:t>
      </w:r>
      <w:hyperlink r:id="rId9">
        <w:r>
          <w:rPr>
            <w:rFonts w:ascii="Times New Roman" w:hAnsi="Times New Roman" w:cs="Times New Roman"/>
            <w:color w:val="000000"/>
            <w:sz w:val="28"/>
            <w:szCs w:val="28"/>
          </w:rPr>
          <w:t>http://biz.liga.net/ekonomika/prodovolstvie/novosti/3707619-dow-chemical-i-dupont-zavershili-sliyanie-kompaniy.htm</w:t>
        </w:r>
      </w:hyperlink>
      <w:r>
        <w:rPr>
          <w:rFonts w:ascii="Times New Roman" w:hAnsi="Times New Roman" w:cs="Times New Roman"/>
          <w:color w:val="000000"/>
          <w:sz w:val="28"/>
          <w:szCs w:val="28"/>
        </w:rPr>
        <w:t>.</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bookmarkStart w:id="0" w:name="_2et92p0" w:colFirst="0" w:colLast="0"/>
      <w:bookmarkEnd w:id="0"/>
      <w:r>
        <w:rPr>
          <w:rFonts w:ascii="Times New Roman" w:hAnsi="Times New Roman" w:cs="Times New Roman"/>
          <w:color w:val="000000"/>
          <w:sz w:val="28"/>
          <w:szCs w:val="28"/>
        </w:rPr>
        <w:t xml:space="preserve">Минюст США одобрил слияние химических гигантов Dow и DuPont [Електронний ресурс] // Информационное агентство ЛІГА БізнесІнформ. – Режим доступу: </w:t>
      </w:r>
      <w:hyperlink r:id="rId10">
        <w:r>
          <w:rPr>
            <w:rFonts w:ascii="Times New Roman" w:hAnsi="Times New Roman" w:cs="Times New Roman"/>
            <w:color w:val="000000"/>
            <w:sz w:val="28"/>
            <w:szCs w:val="28"/>
          </w:rPr>
          <w:t>http://biz.liga.net/ekonomika/prodovolstvie/novosti/3689204-minyust-ssha-odobril-sliyanie-khimicheskikh-gigantov-dow-i-dupont.htm</w:t>
        </w:r>
      </w:hyperlink>
      <w:r>
        <w:rPr>
          <w:rFonts w:ascii="Times New Roman" w:hAnsi="Times New Roman" w:cs="Times New Roman"/>
          <w:color w:val="000000"/>
          <w:sz w:val="28"/>
          <w:szCs w:val="28"/>
        </w:rPr>
        <w:t>.</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bookmarkStart w:id="1" w:name="_tyjcwt" w:colFirst="0" w:colLast="0"/>
      <w:bookmarkEnd w:id="1"/>
      <w:r>
        <w:rPr>
          <w:rFonts w:ascii="Times New Roman" w:hAnsi="Times New Roman" w:cs="Times New Roman"/>
          <w:color w:val="000000"/>
          <w:sz w:val="28"/>
          <w:szCs w:val="28"/>
        </w:rPr>
        <w:t xml:space="preserve">Слияния и накопления: крупные сделки по объединению компаний [Електронний ресурс] // РБК. – Режим доступу: </w:t>
      </w:r>
      <w:hyperlink r:id="rId11">
        <w:r>
          <w:rPr>
            <w:rFonts w:ascii="Times New Roman" w:hAnsi="Times New Roman" w:cs="Times New Roman"/>
            <w:color w:val="000000"/>
            <w:sz w:val="28"/>
            <w:szCs w:val="28"/>
          </w:rPr>
          <w:t>https://www.rbc.ru/photoreport/10/08/2017/598c34a69a79477268a68a95</w:t>
        </w:r>
      </w:hyperlink>
      <w:r>
        <w:rPr>
          <w:rFonts w:ascii="Times New Roman" w:hAnsi="Times New Roman" w:cs="Times New Roman"/>
          <w:color w:val="000000"/>
          <w:sz w:val="28"/>
          <w:szCs w:val="28"/>
        </w:rPr>
        <w:t>.</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bookmarkStart w:id="2" w:name="_3dy6vkm" w:colFirst="0" w:colLast="0"/>
      <w:bookmarkEnd w:id="2"/>
      <w:r>
        <w:rPr>
          <w:rFonts w:ascii="Times New Roman" w:hAnsi="Times New Roman" w:cs="Times New Roman"/>
          <w:color w:val="000000"/>
          <w:sz w:val="28"/>
          <w:szCs w:val="28"/>
        </w:rPr>
        <w:t>U.S. executives on M&amp;A: full speed ahead in 2016 [Електронний ресурс] – Режим доступу: https://info.kpmg.us/content/dam/info/ma-survey2016/pdf/2016-ma-outlook.pdf</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bookmarkStart w:id="3" w:name="_1t3h5sf" w:colFirst="0" w:colLast="0"/>
      <w:bookmarkEnd w:id="3"/>
      <w:r>
        <w:rPr>
          <w:rFonts w:ascii="Times New Roman" w:hAnsi="Times New Roman" w:cs="Times New Roman"/>
          <w:color w:val="000000"/>
          <w:sz w:val="28"/>
          <w:szCs w:val="28"/>
        </w:rPr>
        <w:t>Impact of US Tax Reform on M&amp;A [Електронний ресурс] – Режим доступу:</w:t>
      </w:r>
      <w:hyperlink r:id="rId12">
        <w:r>
          <w:rPr>
            <w:rFonts w:ascii="Times New Roman" w:hAnsi="Times New Roman" w:cs="Times New Roman"/>
            <w:color w:val="000000"/>
            <w:sz w:val="28"/>
            <w:szCs w:val="28"/>
          </w:rPr>
          <w:t>http://apps.americanbar.org/dch/thedl.cfm?filename=/CL560002/otherlinks_files/Impact_of_US_Tax_Reform_on_MA.pdf</w:t>
        </w:r>
      </w:hyperlink>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bookmarkStart w:id="4" w:name="_4d34og8" w:colFirst="0" w:colLast="0"/>
      <w:bookmarkEnd w:id="4"/>
      <w:r>
        <w:rPr>
          <w:rFonts w:ascii="Times New Roman" w:hAnsi="Times New Roman" w:cs="Times New Roman"/>
          <w:color w:val="000000"/>
          <w:sz w:val="28"/>
          <w:szCs w:val="28"/>
        </w:rPr>
        <w:t xml:space="preserve">2017 M&amp;A Global Outlook: Finding opportunities in a dynamic market [Електронний ресурс] – Режим доступу: </w:t>
      </w:r>
      <w:hyperlink r:id="rId13">
        <w:r>
          <w:rPr>
            <w:rFonts w:ascii="Times New Roman" w:hAnsi="Times New Roman" w:cs="Times New Roman"/>
            <w:color w:val="000000"/>
            <w:sz w:val="28"/>
            <w:szCs w:val="28"/>
          </w:rPr>
          <w:t>https://www.jpmorgan.com/jpmpdf/1320723701797.pdf</w:t>
        </w:r>
      </w:hyperlink>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Buying and selling: Cross-border mergers and acquisitions, and the US corporate income tax [Електронний ресурс] – Режим доступу: </w:t>
      </w:r>
      <w:hyperlink r:id="rId14">
        <w:r>
          <w:rPr>
            <w:rFonts w:ascii="Times New Roman" w:hAnsi="Times New Roman" w:cs="Times New Roman"/>
            <w:color w:val="000000"/>
            <w:sz w:val="28"/>
            <w:szCs w:val="28"/>
          </w:rPr>
          <w:t>https://businessroundtable.org/sites/default/files/EY%20BRT%20Cross-border%20MA%20report%202017%2009%2007%20FINAL.pdf</w:t>
        </w:r>
      </w:hyperlink>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US M&amp;A Trends: Year-end Report 2016. [Електронний ресурс] – Режим доступу: </w:t>
      </w:r>
      <w:hyperlink r:id="rId15">
        <w:r>
          <w:rPr>
            <w:rFonts w:ascii="Times New Roman" w:hAnsi="Times New Roman" w:cs="Times New Roman"/>
            <w:color w:val="000000"/>
            <w:sz w:val="28"/>
            <w:szCs w:val="28"/>
          </w:rPr>
          <w:t>https://www2.deloitte.com/content/dam/Deloitte/us/Documents/mergers-acqisitions/us-ma-mergers-and-acquisitions-trends-2016-year-end-report.pdf</w:t>
        </w:r>
      </w:hyperlink>
    </w:p>
    <w:p w:rsidR="00CE3511" w:rsidRPr="00E224E2"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US M&amp;A Trends 2018: The State of the Deal. [Електронний ресурс]. –Режим доступу: </w:t>
      </w:r>
      <w:hyperlink r:id="rId16">
        <w:r>
          <w:rPr>
            <w:rFonts w:ascii="Times New Roman" w:hAnsi="Times New Roman" w:cs="Times New Roman"/>
            <w:color w:val="000000"/>
            <w:sz w:val="28"/>
            <w:szCs w:val="28"/>
          </w:rPr>
          <w:t>https://www2.deloitte.com/content/dam/Deloitte/us/Documents/mergers-acqisitions/us-mergers-acquisitions-2018-trends-report.pdf</w:t>
        </w:r>
      </w:hyperlink>
    </w:p>
    <w:p w:rsidR="00CE3511" w:rsidRPr="00E224E2"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lang w:val="ru-RU"/>
        </w:rPr>
        <w:t>Шахбазян С.А., Кириченко М.В. Процеси злиття та поглинання ТНК в економ</w:t>
      </w:r>
      <w:r>
        <w:rPr>
          <w:rFonts w:ascii="Times New Roman" w:hAnsi="Times New Roman" w:cs="Times New Roman"/>
          <w:color w:val="000000"/>
          <w:sz w:val="28"/>
          <w:szCs w:val="28"/>
        </w:rPr>
        <w:t xml:space="preserve">іці США </w:t>
      </w:r>
      <w:r w:rsidRPr="00E224E2">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Добробут нац</w:t>
      </w:r>
      <w:r>
        <w:rPr>
          <w:rFonts w:ascii="Times New Roman" w:hAnsi="Times New Roman" w:cs="Times New Roman"/>
          <w:color w:val="000000"/>
          <w:sz w:val="28"/>
          <w:szCs w:val="28"/>
        </w:rPr>
        <w:t>ій в умовах глобальної нестабільності. Матеріали восьмої міжнародної науково-практичної конференції. – Одеса: ОНУ, 2018. - С.59</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sidRPr="00E224E2">
        <w:rPr>
          <w:rFonts w:ascii="Times New Roman" w:hAnsi="Times New Roman" w:cs="Times New Roman"/>
          <w:color w:val="000000"/>
          <w:sz w:val="28"/>
          <w:szCs w:val="28"/>
        </w:rPr>
        <w:t xml:space="preserve">M&amp;A: US banks get acquisitive. [Електронний ресурс] – Режим доступу: </w:t>
      </w:r>
      <w:hyperlink r:id="rId17">
        <w:r>
          <w:rPr>
            <w:rFonts w:ascii="Times New Roman" w:hAnsi="Times New Roman" w:cs="Times New Roman"/>
            <w:color w:val="000000"/>
            <w:sz w:val="28"/>
            <w:szCs w:val="28"/>
          </w:rPr>
          <w:t>h</w:t>
        </w:r>
        <w:r w:rsidRPr="00E224E2">
          <w:rPr>
            <w:rFonts w:ascii="Times New Roman" w:hAnsi="Times New Roman" w:cs="Times New Roman"/>
            <w:color w:val="000000"/>
            <w:sz w:val="28"/>
            <w:szCs w:val="28"/>
          </w:rPr>
          <w:t>ttp://www.euromoney.com/Article/3502886/M-A-US-banks-get-acquisitive.html</w:t>
        </w:r>
      </w:hyperlink>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sidRPr="00E224E2">
        <w:rPr>
          <w:rFonts w:ascii="Times New Roman" w:hAnsi="Times New Roman" w:cs="Times New Roman"/>
          <w:color w:val="000000"/>
          <w:sz w:val="28"/>
          <w:szCs w:val="28"/>
        </w:rPr>
        <w:t>C</w:t>
      </w:r>
      <w:r>
        <w:rPr>
          <w:rFonts w:ascii="Times New Roman" w:hAnsi="Times New Roman" w:cs="Times New Roman"/>
          <w:color w:val="000000"/>
          <w:sz w:val="28"/>
          <w:szCs w:val="28"/>
        </w:rPr>
        <w:t>hemicals Executive M&amp;A Report 2016. [Електронний ресурс]. – Режим доступу:https://www.atkearney.de/documents/856314/7662756/Chemicals+Executive+M%26A+Report+Excerpt.pdf/f80adfa9-6551-43ef-a612-e7c68845ec8a</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M&amp;A in the United States. [Електронний ресурс] – Режим доступу: </w:t>
      </w:r>
      <w:hyperlink r:id="rId18">
        <w:r>
          <w:rPr>
            <w:rFonts w:ascii="Times New Roman" w:hAnsi="Times New Roman" w:cs="Times New Roman"/>
            <w:color w:val="000000"/>
            <w:sz w:val="28"/>
            <w:szCs w:val="28"/>
          </w:rPr>
          <w:t>https://imaa-institute.org/m-and-a-us-united-states/</w:t>
        </w:r>
      </w:hyperlink>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Insights Exclusive: Impact of M&amp;A Activity on Quality and Cost [Електронний ресурс] - Режим доступу: https://catalyst.nejm.org/insights-exclusive-impact-of-merger-acquisition-activity-on-quality-and-cost-2/</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Blonigen, Bruce A., and Justin R. Pierce (2016). “Evidence for the Effects of Mergers on Market Power and Efficiency,” Finance and Economics Discussion </w:t>
      </w:r>
      <w:r>
        <w:rPr>
          <w:rFonts w:ascii="Times New Roman" w:hAnsi="Times New Roman" w:cs="Times New Roman"/>
          <w:color w:val="000000"/>
          <w:sz w:val="28"/>
          <w:szCs w:val="28"/>
        </w:rPr>
        <w:lastRenderedPageBreak/>
        <w:t xml:space="preserve">Series 2016-082. Washington: Board of Governors of the Federal Reserve System, </w:t>
      </w:r>
      <w:hyperlink r:id="rId19">
        <w:r>
          <w:rPr>
            <w:rFonts w:ascii="Times New Roman" w:hAnsi="Times New Roman" w:cs="Times New Roman"/>
            <w:color w:val="000000"/>
            <w:sz w:val="28"/>
            <w:szCs w:val="28"/>
          </w:rPr>
          <w:t>https://doi.org/10.17016/FEDS.2016.082</w:t>
        </w:r>
      </w:hyperlink>
      <w:r>
        <w:rPr>
          <w:rFonts w:ascii="Times New Roman" w:hAnsi="Times New Roman" w:cs="Times New Roman"/>
          <w:color w:val="000000"/>
          <w:sz w:val="28"/>
          <w:szCs w:val="28"/>
        </w:rPr>
        <w:t xml:space="preserve">.  </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How Mergers Damage the Economy [Електронний ресурс] - Режим доступу: </w:t>
      </w:r>
      <w:hyperlink r:id="rId20">
        <w:r>
          <w:rPr>
            <w:rFonts w:ascii="Times New Roman" w:hAnsi="Times New Roman" w:cs="Times New Roman"/>
            <w:color w:val="000000"/>
            <w:sz w:val="28"/>
            <w:szCs w:val="28"/>
          </w:rPr>
          <w:t>https://www.nytimes.com/2015/11/01/opinion/sunday/how-mergers-damage-the-economy.html</w:t>
        </w:r>
      </w:hyperlink>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Is Lack of Competition Strangling the U.S. Economy? by </w:t>
      </w:r>
      <w:hyperlink r:id="rId21">
        <w:r>
          <w:rPr>
            <w:rFonts w:ascii="Times New Roman" w:hAnsi="Times New Roman" w:cs="Times New Roman"/>
            <w:color w:val="000000"/>
            <w:sz w:val="28"/>
            <w:szCs w:val="28"/>
          </w:rPr>
          <w:t>David Wessel</w:t>
        </w:r>
      </w:hyperlink>
      <w:r>
        <w:rPr>
          <w:rFonts w:ascii="Times New Roman" w:hAnsi="Times New Roman" w:cs="Times New Roman"/>
          <w:color w:val="000000"/>
          <w:sz w:val="28"/>
          <w:szCs w:val="28"/>
        </w:rPr>
        <w:t xml:space="preserve">. [Електронний ресурс] - Режим доступу: </w:t>
      </w:r>
      <w:hyperlink r:id="rId22">
        <w:r>
          <w:rPr>
            <w:rFonts w:ascii="Times New Roman" w:hAnsi="Times New Roman" w:cs="Times New Roman"/>
            <w:color w:val="000000"/>
            <w:sz w:val="28"/>
            <w:szCs w:val="28"/>
          </w:rPr>
          <w:t>https://hbr.org/2018/03/is-lack-of-competition-strangling-the-u-s-economy</w:t>
        </w:r>
      </w:hyperlink>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bookmarkStart w:id="5" w:name="_2s8eyo1" w:colFirst="0" w:colLast="0"/>
      <w:bookmarkEnd w:id="5"/>
      <w:r>
        <w:rPr>
          <w:rFonts w:ascii="Times New Roman" w:hAnsi="Times New Roman" w:cs="Times New Roman"/>
          <w:color w:val="000000"/>
          <w:sz w:val="28"/>
          <w:szCs w:val="28"/>
        </w:rPr>
        <w:t>Мусій Я.М. Забезпечення конкурентоспроможності банківського сектору на прикладі регулювання угод злиття і поглинання у США / Я.М. Мусій // Вісник Університету банківської справи Національного банку України. - 2013. - № 2. - С. 144-148.</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bookmarkStart w:id="6" w:name="_17dp8vu" w:colFirst="0" w:colLast="0"/>
      <w:bookmarkEnd w:id="6"/>
      <w:r>
        <w:rPr>
          <w:rFonts w:ascii="Times New Roman" w:hAnsi="Times New Roman" w:cs="Times New Roman"/>
          <w:color w:val="000000"/>
          <w:sz w:val="28"/>
          <w:szCs w:val="28"/>
        </w:rPr>
        <w:t>Брусянин В.Е., Махмутов Я.И., Сковронская Я.В., Цыбульский А.В. Зарубежный опыт сделок слияний и поглощений компаний на примере США // Молодой ученый. — 2017. — №48. — С. 65-68.</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bookmarkStart w:id="7" w:name="_3rdcrjn" w:colFirst="0" w:colLast="0"/>
      <w:bookmarkEnd w:id="7"/>
      <w:r>
        <w:rPr>
          <w:rFonts w:ascii="Times New Roman" w:hAnsi="Times New Roman" w:cs="Times New Roman"/>
          <w:color w:val="000000"/>
          <w:sz w:val="28"/>
          <w:szCs w:val="28"/>
        </w:rPr>
        <w:t xml:space="preserve">Past as prologue: Navigating through the 2018-2020 M&amp;A cycle [Електронний ресурс] - Режим доступу: </w:t>
      </w:r>
      <w:hyperlink r:id="rId23">
        <w:r>
          <w:rPr>
            <w:rFonts w:ascii="Times New Roman" w:hAnsi="Times New Roman" w:cs="Times New Roman"/>
            <w:color w:val="000000"/>
            <w:sz w:val="28"/>
            <w:szCs w:val="28"/>
          </w:rPr>
          <w:t>https://www2.deloitte.com/content/dam/Deloitte/global/Documents/Mergers-and-Acquisitions/gx-ma-past-as-prologue.pdf</w:t>
        </w:r>
      </w:hyperlink>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M&amp;A Trends investors should watch in 2018 [Електронний ресурс] - Режим доступу: </w:t>
      </w:r>
      <w:hyperlink r:id="rId24">
        <w:r>
          <w:rPr>
            <w:rFonts w:ascii="Times New Roman" w:hAnsi="Times New Roman" w:cs="Times New Roman"/>
            <w:color w:val="000000"/>
            <w:sz w:val="28"/>
            <w:szCs w:val="28"/>
          </w:rPr>
          <w:t>https://www.morganstanley.com/ideas/5-acquisition-trends-investors-should-watch-in-2018</w:t>
        </w:r>
      </w:hyperlink>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Is your portfolio fit for the future or fashioned on the past? Електронний ресурс] - Режим доступу: https://www.ey.com/Publication/vwLUAssets/EY-Capital-Confidence-Barometer-April-2018-US-highlights/$FILE/EY-Capital-Confidence-Barometer-US-highights-18-edition.pdf</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Deals year-end review and 2018 outlook. [Електронний ресурс] - Режим доступу: </w:t>
      </w:r>
      <w:hyperlink r:id="rId25">
        <w:r>
          <w:rPr>
            <w:rFonts w:ascii="Times New Roman" w:hAnsi="Times New Roman" w:cs="Times New Roman"/>
            <w:color w:val="000000"/>
            <w:sz w:val="28"/>
            <w:szCs w:val="28"/>
          </w:rPr>
          <w:t>https://www.pwc.com/us/en/services/deals/library/year-end-review-outlook.html</w:t>
        </w:r>
      </w:hyperlink>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Tech-led m&amp;a: from art to science [Електронний ресурс] - Режим доступу: https://www.accenture.com/t20180112T093120Z__w__/us-en/_acnmedia/PDF-69/Accenture-AS-Tech-Led-M-A-From-Art-to-Science-POV.pdf</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Global transactions forecast: From apprehension to appetite. [Електронний ресурс] - Режим доступу: </w:t>
      </w:r>
      <w:hyperlink r:id="rId26">
        <w:r>
          <w:rPr>
            <w:rFonts w:ascii="Times New Roman" w:hAnsi="Times New Roman" w:cs="Times New Roman"/>
            <w:color w:val="000000"/>
            <w:sz w:val="28"/>
            <w:szCs w:val="28"/>
          </w:rPr>
          <w:t>https://www.bakermckenzie.com/-/media/images/insight/publications/2017/01/gtf/globaltransactions2017digital.pdf?la=en</w:t>
        </w:r>
      </w:hyperlink>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The Impact of US Tax Reform on Corporate Strategy and M&amp;A. [Електронний ресурс] - Режим доступу: https://www.bcg.com/ru-ru/publications/2018/impact-us-tax-reform-corporate-strategy-m-and-a.aspx</w:t>
      </w:r>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2018 Global M&amp;A Outlook Navigating consolidation and disruption [Електронний ресурс] - Режим доступу: </w:t>
      </w:r>
      <w:hyperlink r:id="rId27">
        <w:r>
          <w:rPr>
            <w:rFonts w:ascii="Times New Roman" w:hAnsi="Times New Roman" w:cs="Times New Roman"/>
            <w:color w:val="000000"/>
            <w:sz w:val="28"/>
            <w:szCs w:val="28"/>
          </w:rPr>
          <w:t>https://www.jpmorgan.com/jpmpdf/1320744801603.pdf</w:t>
        </w:r>
      </w:hyperlink>
    </w:p>
    <w:p w:rsidR="00CE3511" w:rsidRDefault="00CE3511" w:rsidP="00CE3511">
      <w:pPr>
        <w:numPr>
          <w:ilvl w:val="0"/>
          <w:numId w:val="1"/>
        </w:numPr>
        <w:tabs>
          <w:tab w:val="left" w:pos="900"/>
          <w:tab w:val="left" w:pos="1134"/>
        </w:tabs>
        <w:spacing w:after="0" w:line="360" w:lineRule="auto"/>
        <w:ind w:left="0"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The state of the deal: M&amp;A trends 2018[Електронний ресурс] - Режим доступу: </w:t>
      </w:r>
      <w:hyperlink r:id="rId28">
        <w:r>
          <w:rPr>
            <w:rFonts w:ascii="Times New Roman" w:hAnsi="Times New Roman" w:cs="Times New Roman"/>
            <w:color w:val="000000"/>
            <w:sz w:val="28"/>
            <w:szCs w:val="28"/>
          </w:rPr>
          <w:t>https://www2.deloitte.com/us/en/pages/mergers-and-acquisitions/articles/ma-trends-report.html</w:t>
        </w:r>
      </w:hyperlink>
    </w:p>
    <w:p w:rsidR="00CE3511" w:rsidRDefault="00CE3511">
      <w:bookmarkStart w:id="8" w:name="_GoBack"/>
      <w:bookmarkEnd w:id="8"/>
    </w:p>
    <w:p w:rsidR="00CE3511" w:rsidRDefault="00CE3511"/>
    <w:p w:rsidR="00CE3511" w:rsidRDefault="00CE3511"/>
    <w:sectPr w:rsidR="00CE351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0A66E32"/>
    <w:multiLevelType w:val="multilevel"/>
    <w:tmpl w:val="8D06B8B2"/>
    <w:lvl w:ilvl="0">
      <w:start w:val="1"/>
      <w:numFmt w:val="decimal"/>
      <w:lvlText w:val="%1."/>
      <w:lvlJc w:val="left"/>
      <w:pPr>
        <w:ind w:left="900" w:hanging="360"/>
      </w:pPr>
      <w:rPr>
        <w:rFonts w:cs="Times New Roman"/>
      </w:rPr>
    </w:lvl>
    <w:lvl w:ilvl="1">
      <w:start w:val="1"/>
      <w:numFmt w:val="lowerLetter"/>
      <w:lvlText w:val="%2."/>
      <w:lvlJc w:val="left"/>
      <w:pPr>
        <w:ind w:left="1620" w:hanging="360"/>
      </w:pPr>
      <w:rPr>
        <w:rFonts w:cs="Times New Roman"/>
      </w:rPr>
    </w:lvl>
    <w:lvl w:ilvl="2">
      <w:start w:val="1"/>
      <w:numFmt w:val="lowerRoman"/>
      <w:lvlText w:val="%3."/>
      <w:lvlJc w:val="right"/>
      <w:pPr>
        <w:ind w:left="2340" w:hanging="180"/>
      </w:pPr>
      <w:rPr>
        <w:rFonts w:cs="Times New Roman"/>
      </w:rPr>
    </w:lvl>
    <w:lvl w:ilvl="3">
      <w:start w:val="1"/>
      <w:numFmt w:val="decimal"/>
      <w:lvlText w:val="%4."/>
      <w:lvlJc w:val="left"/>
      <w:pPr>
        <w:ind w:left="3060" w:hanging="360"/>
      </w:pPr>
      <w:rPr>
        <w:rFonts w:cs="Times New Roman"/>
      </w:rPr>
    </w:lvl>
    <w:lvl w:ilvl="4">
      <w:start w:val="1"/>
      <w:numFmt w:val="lowerLetter"/>
      <w:lvlText w:val="%5."/>
      <w:lvlJc w:val="left"/>
      <w:pPr>
        <w:ind w:left="3780" w:hanging="360"/>
      </w:pPr>
      <w:rPr>
        <w:rFonts w:cs="Times New Roman"/>
      </w:rPr>
    </w:lvl>
    <w:lvl w:ilvl="5">
      <w:start w:val="1"/>
      <w:numFmt w:val="lowerRoman"/>
      <w:lvlText w:val="%6."/>
      <w:lvlJc w:val="right"/>
      <w:pPr>
        <w:ind w:left="4500" w:hanging="180"/>
      </w:pPr>
      <w:rPr>
        <w:rFonts w:cs="Times New Roman"/>
      </w:rPr>
    </w:lvl>
    <w:lvl w:ilvl="6">
      <w:start w:val="1"/>
      <w:numFmt w:val="decimal"/>
      <w:lvlText w:val="%7."/>
      <w:lvlJc w:val="left"/>
      <w:pPr>
        <w:ind w:left="5220" w:hanging="360"/>
      </w:pPr>
      <w:rPr>
        <w:rFonts w:cs="Times New Roman"/>
      </w:rPr>
    </w:lvl>
    <w:lvl w:ilvl="7">
      <w:start w:val="1"/>
      <w:numFmt w:val="lowerLetter"/>
      <w:lvlText w:val="%8."/>
      <w:lvlJc w:val="left"/>
      <w:pPr>
        <w:ind w:left="5940" w:hanging="360"/>
      </w:pPr>
      <w:rPr>
        <w:rFonts w:cs="Times New Roman"/>
      </w:rPr>
    </w:lvl>
    <w:lvl w:ilvl="8">
      <w:start w:val="1"/>
      <w:numFmt w:val="lowerRoman"/>
      <w:lvlText w:val="%9."/>
      <w:lvlJc w:val="right"/>
      <w:pPr>
        <w:ind w:left="666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41C2"/>
    <w:rsid w:val="001441C2"/>
    <w:rsid w:val="0031006A"/>
    <w:rsid w:val="009C5487"/>
    <w:rsid w:val="00C07488"/>
    <w:rsid w:val="00CE35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EE422D6-A76C-45F2-BD0C-9B647EBD3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C07488"/>
    <w:pPr>
      <w:spacing w:after="200" w:line="276" w:lineRule="auto"/>
    </w:pPr>
    <w:rPr>
      <w:rFonts w:ascii="Calibri" w:eastAsia="Times New Roman" w:hAnsi="Calibri" w:cs="Calibri"/>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iz.liga.net/ekonomika/prodovolstvie/novosti/3678169-kitayskaya-chemchina-sovershila-krupneyshee-pogloshchenie-na-143-mlrd.htm" TargetMode="External"/><Relationship Id="rId13" Type="http://schemas.openxmlformats.org/officeDocument/2006/relationships/hyperlink" Target="https://www.jpmorgan.com/jpmpdf/1320723701797.pdf" TargetMode="External"/><Relationship Id="rId18" Type="http://schemas.openxmlformats.org/officeDocument/2006/relationships/hyperlink" Target="https://imaa-institute.org/m-and-a-us-united-states/" TargetMode="External"/><Relationship Id="rId26" Type="http://schemas.openxmlformats.org/officeDocument/2006/relationships/hyperlink" Target="https://www.bakermckenzie.com/-/media/images/insight/publications/2017/01/gtf/globaltransactions2017digital.pdf?la=en" TargetMode="External"/><Relationship Id="rId3" Type="http://schemas.openxmlformats.org/officeDocument/2006/relationships/settings" Target="settings.xml"/><Relationship Id="rId21" Type="http://schemas.openxmlformats.org/officeDocument/2006/relationships/hyperlink" Target="https://hbr.org/search?term=david+wessel" TargetMode="External"/><Relationship Id="rId7" Type="http://schemas.openxmlformats.org/officeDocument/2006/relationships/hyperlink" Target="https://www.reuters.com/article/us-syngenta-m-a-chemchina/chemchina-gets-nearly-95-percent-of-syngenta-seeks-more-idUSKBN18R0HN" TargetMode="External"/><Relationship Id="rId12" Type="http://schemas.openxmlformats.org/officeDocument/2006/relationships/hyperlink" Target="http://apps.americanbar.org/dch/thedl.cfm?filename=/CL560002/otherlinks_files/Impact_of_US_Tax_Reform_on_MA.pdf" TargetMode="External"/><Relationship Id="rId17" Type="http://schemas.openxmlformats.org/officeDocument/2006/relationships/hyperlink" Target="http://www.euromoney.com/Article/3502886/M-A-US-banks-get-acquisitive.html" TargetMode="External"/><Relationship Id="rId25" Type="http://schemas.openxmlformats.org/officeDocument/2006/relationships/hyperlink" Target="https://www.pwc.com/us/en/services/deals/library/year-end-review-outlook.html" TargetMode="External"/><Relationship Id="rId2" Type="http://schemas.openxmlformats.org/officeDocument/2006/relationships/styles" Target="styles.xml"/><Relationship Id="rId16" Type="http://schemas.openxmlformats.org/officeDocument/2006/relationships/hyperlink" Target="https://www2.deloitte.com/content/dam/Deloitte/us/Documents/mergers-acqisitions/us-mergers-acquisitions-2018-trends-report.pdf" TargetMode="External"/><Relationship Id="rId20" Type="http://schemas.openxmlformats.org/officeDocument/2006/relationships/hyperlink" Target="https://www.nytimes.com/2015/11/01/opinion/sunday/how-mergers-damage-the-economy.html"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1prime.ru/state_regulation/20171003/827971145.html" TargetMode="External"/><Relationship Id="rId11" Type="http://schemas.openxmlformats.org/officeDocument/2006/relationships/hyperlink" Target="https://www.rbc.ru/photoreport/10/08/2017/598c34a69a79477268a68a95" TargetMode="External"/><Relationship Id="rId24" Type="http://schemas.openxmlformats.org/officeDocument/2006/relationships/hyperlink" Target="https://www.morganstanley.com/ideas/5-acquisition-trends-investors-should-watch-in-2018" TargetMode="External"/><Relationship Id="rId5" Type="http://schemas.openxmlformats.org/officeDocument/2006/relationships/hyperlink" Target="http://ecsocman.hse.ru/data/2012/07/19/1265212213/29.pdf" TargetMode="External"/><Relationship Id="rId15" Type="http://schemas.openxmlformats.org/officeDocument/2006/relationships/hyperlink" Target="https://www2.deloitte.com/content/dam/Deloitte/us/Documents/mergers-acqisitions/us-ma-mergers-and-acquisitions-trends-2016-year-end-report.pdf" TargetMode="External"/><Relationship Id="rId23" Type="http://schemas.openxmlformats.org/officeDocument/2006/relationships/hyperlink" Target="https://www2.deloitte.com/content/dam/Deloitte/global/Documents/Mergers-and-Acquisitions/gx-ma-past-as-prologue.pdf" TargetMode="External"/><Relationship Id="rId28" Type="http://schemas.openxmlformats.org/officeDocument/2006/relationships/hyperlink" Target="https://www2.deloitte.com/us/en/pages/mergers-and-acquisitions/articles/ma-trends-report.html" TargetMode="External"/><Relationship Id="rId10" Type="http://schemas.openxmlformats.org/officeDocument/2006/relationships/hyperlink" Target="http://biz.liga.net/ekonomika/prodovolstvie/novosti/3689204-minyust-ssha-odobril-sliyanie-khimicheskikh-gigantov-dow-i-dupont.htm" TargetMode="External"/><Relationship Id="rId19" Type="http://schemas.openxmlformats.org/officeDocument/2006/relationships/hyperlink" Target="https://doi.org/10.17016/FEDS.2016.082" TargetMode="External"/><Relationship Id="rId4" Type="http://schemas.openxmlformats.org/officeDocument/2006/relationships/webSettings" Target="webSettings.xml"/><Relationship Id="rId9" Type="http://schemas.openxmlformats.org/officeDocument/2006/relationships/hyperlink" Target="http://biz.liga.net/ekonomika/prodovolstvie/novosti/3707619-dow-chemical-i-dupont-zavershili-sliyanie-kompaniy.htm" TargetMode="External"/><Relationship Id="rId14" Type="http://schemas.openxmlformats.org/officeDocument/2006/relationships/hyperlink" Target="https://businessroundtable.org/sites/default/files/EY%20BRT%20Cross-border%20MA%20report%202017%2009%2007%20FINAL.pdf" TargetMode="External"/><Relationship Id="rId22" Type="http://schemas.openxmlformats.org/officeDocument/2006/relationships/hyperlink" Target="https://hbr.org/2018/03/is-lack-of-competition-strangling-the-u-s-economy" TargetMode="External"/><Relationship Id="rId27" Type="http://schemas.openxmlformats.org/officeDocument/2006/relationships/hyperlink" Target="https://www.jpmorgan.com/jpmpdf/1320744801603.pdf"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3458</Words>
  <Characters>19716</Characters>
  <Application>Microsoft Office Word</Application>
  <DocSecurity>0</DocSecurity>
  <Lines>164</Lines>
  <Paragraphs>46</Paragraphs>
  <ScaleCrop>false</ScaleCrop>
  <Company/>
  <LinksUpToDate>false</LinksUpToDate>
  <CharactersWithSpaces>23128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2019-01-03T10:56:00Z</dcterms:created>
  <dcterms:modified xsi:type="dcterms:W3CDTF">2019-01-03T10:58:00Z</dcterms:modified>
</cp:coreProperties>
</file>