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2503" w:rsidRPr="0033796A" w:rsidRDefault="00E02503" w:rsidP="00E02503">
      <w:pPr>
        <w:pBdr>
          <w:bottom w:val="single" w:sz="4" w:space="1" w:color="auto"/>
        </w:pBdr>
        <w:spacing w:after="0" w:line="240" w:lineRule="auto"/>
        <w:jc w:val="center"/>
        <w:rPr>
          <w:rFonts w:ascii="Times New Roman" w:eastAsia="Calibri" w:hAnsi="Times New Roman" w:cs="Times New Roman"/>
          <w:sz w:val="28"/>
          <w:szCs w:val="28"/>
        </w:rPr>
      </w:pPr>
      <w:r w:rsidRPr="0033796A">
        <w:rPr>
          <w:rFonts w:ascii="Times New Roman" w:eastAsia="Calibri" w:hAnsi="Times New Roman" w:cs="Times New Roman"/>
          <w:sz w:val="28"/>
          <w:szCs w:val="28"/>
        </w:rPr>
        <w:t>Одеський національний університет імені І. І. Мечникова</w:t>
      </w:r>
    </w:p>
    <w:p w:rsidR="00E02503" w:rsidRPr="0033796A" w:rsidRDefault="00E02503" w:rsidP="00E02503">
      <w:pPr>
        <w:spacing w:after="0" w:line="240" w:lineRule="auto"/>
        <w:jc w:val="center"/>
        <w:rPr>
          <w:rFonts w:ascii="Times New Roman" w:eastAsia="Calibri" w:hAnsi="Times New Roman" w:cs="Times New Roman"/>
          <w:sz w:val="20"/>
          <w:szCs w:val="20"/>
        </w:rPr>
      </w:pPr>
      <w:r w:rsidRPr="0033796A">
        <w:rPr>
          <w:rFonts w:ascii="Times New Roman" w:eastAsia="Calibri" w:hAnsi="Times New Roman" w:cs="Times New Roman"/>
          <w:sz w:val="20"/>
          <w:szCs w:val="20"/>
        </w:rPr>
        <w:t>(повне найменування вищого навчального закладу)</w:t>
      </w:r>
    </w:p>
    <w:p w:rsidR="00E02503" w:rsidRPr="0033796A" w:rsidRDefault="00E02503" w:rsidP="00E02503">
      <w:pPr>
        <w:pBdr>
          <w:bottom w:val="single" w:sz="4" w:space="1" w:color="auto"/>
        </w:pBdr>
        <w:spacing w:before="240" w:after="0" w:line="240" w:lineRule="auto"/>
        <w:jc w:val="center"/>
        <w:rPr>
          <w:rFonts w:ascii="Times New Roman" w:eastAsia="Calibri" w:hAnsi="Times New Roman" w:cs="Times New Roman"/>
          <w:sz w:val="28"/>
          <w:szCs w:val="28"/>
        </w:rPr>
      </w:pPr>
      <w:r w:rsidRPr="0033796A">
        <w:rPr>
          <w:rFonts w:ascii="Times New Roman" w:eastAsia="Calibri" w:hAnsi="Times New Roman" w:cs="Times New Roman"/>
          <w:sz w:val="28"/>
          <w:szCs w:val="28"/>
        </w:rPr>
        <w:t xml:space="preserve">Факультет </w:t>
      </w:r>
      <w:r w:rsidRPr="0033796A">
        <w:rPr>
          <w:rFonts w:ascii="Times New Roman" w:eastAsia="Calibri" w:hAnsi="Times New Roman" w:cs="Times New Roman"/>
          <w:sz w:val="28"/>
          <w:szCs w:val="28"/>
          <w:lang w:val="ru-RU"/>
        </w:rPr>
        <w:t>журналістики, реклами та видавничої справи</w:t>
      </w:r>
    </w:p>
    <w:p w:rsidR="00E02503" w:rsidRPr="0033796A" w:rsidRDefault="00E02503" w:rsidP="00E02503">
      <w:pPr>
        <w:spacing w:after="0" w:line="240" w:lineRule="auto"/>
        <w:jc w:val="center"/>
        <w:rPr>
          <w:rFonts w:ascii="Times New Roman" w:eastAsia="Calibri" w:hAnsi="Times New Roman" w:cs="Times New Roman"/>
          <w:sz w:val="18"/>
          <w:szCs w:val="18"/>
          <w:lang w:val="ru-RU"/>
        </w:rPr>
      </w:pPr>
      <w:r w:rsidRPr="0033796A">
        <w:rPr>
          <w:rFonts w:ascii="Times New Roman" w:eastAsia="Calibri" w:hAnsi="Times New Roman" w:cs="Times New Roman"/>
          <w:sz w:val="18"/>
          <w:szCs w:val="18"/>
        </w:rPr>
        <w:t>(повне найменування інституту/факультету</w:t>
      </w:r>
      <w:r w:rsidRPr="0033796A">
        <w:rPr>
          <w:rFonts w:ascii="Times New Roman" w:eastAsia="Calibri" w:hAnsi="Times New Roman" w:cs="Times New Roman"/>
          <w:sz w:val="18"/>
          <w:szCs w:val="18"/>
          <w:lang w:val="ru-RU"/>
        </w:rPr>
        <w:t>)</w:t>
      </w:r>
    </w:p>
    <w:p w:rsidR="00E02503" w:rsidRPr="0033796A" w:rsidRDefault="00E02503" w:rsidP="00E02503">
      <w:pPr>
        <w:pBdr>
          <w:bottom w:val="single" w:sz="4" w:space="0" w:color="auto"/>
        </w:pBdr>
        <w:spacing w:before="240" w:after="0" w:line="240" w:lineRule="auto"/>
        <w:jc w:val="center"/>
        <w:rPr>
          <w:rFonts w:ascii="Times New Roman" w:eastAsia="Calibri" w:hAnsi="Times New Roman" w:cs="Times New Roman"/>
          <w:sz w:val="28"/>
          <w:szCs w:val="28"/>
        </w:rPr>
      </w:pPr>
      <w:r w:rsidRPr="0033796A">
        <w:rPr>
          <w:rFonts w:ascii="Times New Roman" w:eastAsia="Calibri" w:hAnsi="Times New Roman" w:cs="Times New Roman"/>
          <w:sz w:val="28"/>
          <w:szCs w:val="28"/>
        </w:rPr>
        <w:t>Кафедра періодичної преси та медіаредагування</w:t>
      </w:r>
    </w:p>
    <w:p w:rsidR="00E02503" w:rsidRPr="0033796A" w:rsidRDefault="00E02503" w:rsidP="00E02503">
      <w:pPr>
        <w:spacing w:after="0" w:line="240" w:lineRule="auto"/>
        <w:jc w:val="center"/>
        <w:rPr>
          <w:rFonts w:ascii="Times New Roman" w:eastAsia="Calibri" w:hAnsi="Times New Roman" w:cs="Times New Roman"/>
          <w:sz w:val="18"/>
          <w:szCs w:val="18"/>
        </w:rPr>
      </w:pPr>
      <w:r w:rsidRPr="0033796A">
        <w:rPr>
          <w:rFonts w:ascii="Times New Roman" w:eastAsia="Calibri" w:hAnsi="Times New Roman" w:cs="Times New Roman"/>
          <w:sz w:val="18"/>
          <w:szCs w:val="18"/>
        </w:rPr>
        <w:t>(повна назва кафедри)</w:t>
      </w:r>
    </w:p>
    <w:p w:rsidR="00E02503" w:rsidRPr="0033796A" w:rsidRDefault="00E02503" w:rsidP="00E02503">
      <w:pPr>
        <w:spacing w:after="0" w:line="240" w:lineRule="auto"/>
        <w:jc w:val="both"/>
        <w:rPr>
          <w:rFonts w:ascii="Times New Roman" w:eastAsia="Calibri" w:hAnsi="Times New Roman" w:cs="Times New Roman"/>
          <w:b/>
          <w:bCs/>
          <w:spacing w:val="60"/>
          <w:sz w:val="40"/>
          <w:szCs w:val="40"/>
          <w:lang w:val="ru-RU"/>
        </w:rPr>
      </w:pPr>
    </w:p>
    <w:p w:rsidR="00E02503" w:rsidRPr="0033796A" w:rsidRDefault="00E02503" w:rsidP="00E02503">
      <w:pPr>
        <w:spacing w:after="0" w:line="240" w:lineRule="auto"/>
        <w:jc w:val="center"/>
        <w:rPr>
          <w:rFonts w:ascii="Times New Roman" w:eastAsia="Calibri" w:hAnsi="Times New Roman" w:cs="Times New Roman"/>
          <w:b/>
          <w:bCs/>
          <w:spacing w:val="60"/>
          <w:sz w:val="32"/>
          <w:szCs w:val="32"/>
        </w:rPr>
      </w:pPr>
      <w:r w:rsidRPr="0033796A">
        <w:rPr>
          <w:rFonts w:ascii="Times New Roman" w:eastAsia="Calibri" w:hAnsi="Times New Roman" w:cs="Times New Roman"/>
          <w:b/>
          <w:bCs/>
          <w:spacing w:val="60"/>
          <w:sz w:val="32"/>
          <w:szCs w:val="32"/>
        </w:rPr>
        <w:t>Дипломна робота</w:t>
      </w:r>
    </w:p>
    <w:p w:rsidR="00E02503" w:rsidRPr="0033796A" w:rsidRDefault="00E02503" w:rsidP="00E02503">
      <w:pPr>
        <w:pBdr>
          <w:bottom w:val="single" w:sz="4" w:space="1" w:color="auto"/>
        </w:pBdr>
        <w:tabs>
          <w:tab w:val="center" w:pos="4819"/>
          <w:tab w:val="right" w:pos="8505"/>
        </w:tabs>
        <w:spacing w:before="240" w:after="0" w:line="240" w:lineRule="auto"/>
        <w:ind w:left="1134" w:right="850"/>
        <w:rPr>
          <w:rFonts w:ascii="Times New Roman" w:eastAsia="Calibri" w:hAnsi="Times New Roman" w:cs="Times New Roman"/>
          <w:sz w:val="28"/>
          <w:szCs w:val="28"/>
        </w:rPr>
      </w:pPr>
      <w:r w:rsidRPr="0033796A">
        <w:rPr>
          <w:rFonts w:ascii="Times New Roman" w:eastAsia="Calibri" w:hAnsi="Times New Roman" w:cs="Times New Roman"/>
          <w:sz w:val="28"/>
          <w:szCs w:val="28"/>
        </w:rPr>
        <w:tab/>
        <w:t>на здобуття ступеня вищої освіти «магістр»</w:t>
      </w:r>
    </w:p>
    <w:p w:rsidR="00E02503" w:rsidRPr="0033796A" w:rsidRDefault="00E02503" w:rsidP="00E02503">
      <w:pPr>
        <w:spacing w:after="0" w:line="240" w:lineRule="auto"/>
        <w:ind w:firstLine="709"/>
        <w:jc w:val="center"/>
        <w:rPr>
          <w:rFonts w:ascii="Times New Roman" w:eastAsia="Calibri" w:hAnsi="Times New Roman" w:cs="Times New Roman"/>
          <w:sz w:val="28"/>
          <w:szCs w:val="28"/>
          <w:lang w:val="ru-RU"/>
        </w:rPr>
      </w:pPr>
    </w:p>
    <w:p w:rsidR="00E02503" w:rsidRPr="0033796A" w:rsidRDefault="00E02503" w:rsidP="00E02503">
      <w:pPr>
        <w:jc w:val="center"/>
        <w:rPr>
          <w:rFonts w:ascii="Times New Roman" w:eastAsia="Times New Roman" w:hAnsi="Times New Roman" w:cs="Times New Roman"/>
          <w:b/>
          <w:sz w:val="28"/>
          <w:szCs w:val="28"/>
          <w:lang w:eastAsia="ru-RU"/>
        </w:rPr>
      </w:pPr>
      <w:r w:rsidRPr="0033796A">
        <w:rPr>
          <w:rFonts w:ascii="Times New Roman" w:eastAsia="Calibri" w:hAnsi="Times New Roman" w:cs="Times New Roman"/>
          <w:sz w:val="28"/>
          <w:szCs w:val="28"/>
        </w:rPr>
        <w:t xml:space="preserve">на тему: </w:t>
      </w:r>
      <w:r w:rsidRPr="0033796A">
        <w:rPr>
          <w:rFonts w:ascii="Times New Roman" w:eastAsia="Calibri" w:hAnsi="Times New Roman" w:cs="Times New Roman"/>
          <w:b/>
          <w:sz w:val="28"/>
          <w:szCs w:val="28"/>
        </w:rPr>
        <w:t>«</w:t>
      </w:r>
      <w:r w:rsidRPr="0033796A">
        <w:rPr>
          <w:rFonts w:ascii="Times New Roman" w:eastAsia="Times New Roman" w:hAnsi="Times New Roman" w:cs="Times New Roman"/>
          <w:b/>
          <w:sz w:val="28"/>
          <w:szCs w:val="28"/>
          <w:lang w:eastAsia="ru-RU"/>
        </w:rPr>
        <w:t>Соціокультурний феномен письменника та письменницька праця очима Стівена Кінга (за матеріалами книги «Про письменництво»)»</w:t>
      </w:r>
    </w:p>
    <w:p w:rsidR="00E02503" w:rsidRPr="0033796A" w:rsidRDefault="00E02503" w:rsidP="00E02503">
      <w:pPr>
        <w:tabs>
          <w:tab w:val="right" w:pos="9355"/>
        </w:tabs>
        <w:spacing w:after="0" w:line="240" w:lineRule="auto"/>
        <w:jc w:val="center"/>
        <w:rPr>
          <w:rFonts w:ascii="Times New Roman" w:eastAsia="Calibri" w:hAnsi="Times New Roman" w:cs="Times New Roman"/>
          <w:sz w:val="28"/>
          <w:szCs w:val="28"/>
          <w:u w:val="single"/>
        </w:rPr>
      </w:pPr>
      <w:r w:rsidRPr="0067334B">
        <w:rPr>
          <w:rFonts w:ascii="Times New Roman" w:hAnsi="Times New Roman" w:cs="Times New Roman"/>
          <w:color w:val="222222"/>
          <w:sz w:val="28"/>
          <w:szCs w:val="28"/>
        </w:rPr>
        <w:t xml:space="preserve">The sociocultural phenomenon of the writer and </w:t>
      </w:r>
      <w:r w:rsidRPr="0067334B">
        <w:rPr>
          <w:rFonts w:ascii="Times New Roman" w:hAnsi="Times New Roman" w:cs="Times New Roman"/>
          <w:sz w:val="28"/>
          <w:szCs w:val="28"/>
          <w:lang w:val="en-US"/>
        </w:rPr>
        <w:t>w</w:t>
      </w:r>
      <w:r w:rsidRPr="0067334B">
        <w:rPr>
          <w:rFonts w:ascii="Times New Roman" w:hAnsi="Times New Roman" w:cs="Times New Roman"/>
          <w:sz w:val="28"/>
          <w:szCs w:val="28"/>
        </w:rPr>
        <w:t>riting in the еyes of Stephen King (</w:t>
      </w:r>
      <w:r w:rsidRPr="0067334B">
        <w:rPr>
          <w:rFonts w:ascii="Times New Roman" w:hAnsi="Times New Roman" w:cs="Times New Roman"/>
          <w:sz w:val="28"/>
          <w:szCs w:val="28"/>
          <w:lang w:val="en-US"/>
        </w:rPr>
        <w:t xml:space="preserve">based on </w:t>
      </w:r>
      <w:r w:rsidRPr="0067334B">
        <w:rPr>
          <w:rFonts w:ascii="Times New Roman" w:hAnsi="Times New Roman" w:cs="Times New Roman"/>
          <w:sz w:val="28"/>
          <w:szCs w:val="28"/>
        </w:rPr>
        <w:t>the book «</w:t>
      </w:r>
      <w:r w:rsidRPr="0067334B">
        <w:rPr>
          <w:rFonts w:ascii="Times New Roman" w:hAnsi="Times New Roman" w:cs="Times New Roman"/>
          <w:sz w:val="28"/>
          <w:szCs w:val="28"/>
          <w:shd w:val="clear" w:color="auto" w:fill="FFFFFF"/>
          <w:lang w:val="en-US"/>
        </w:rPr>
        <w:t>On writing: A memoir of the craft»</w:t>
      </w:r>
      <w:r w:rsidRPr="0067334B">
        <w:rPr>
          <w:rFonts w:ascii="Times New Roman" w:hAnsi="Times New Roman" w:cs="Times New Roman"/>
          <w:sz w:val="28"/>
          <w:szCs w:val="28"/>
        </w:rPr>
        <w:t>)</w:t>
      </w:r>
    </w:p>
    <w:p w:rsidR="00E02503" w:rsidRPr="0033796A" w:rsidRDefault="00E02503" w:rsidP="00E02503">
      <w:pPr>
        <w:tabs>
          <w:tab w:val="right" w:pos="9355"/>
        </w:tabs>
        <w:spacing w:after="0" w:line="240" w:lineRule="auto"/>
        <w:jc w:val="both"/>
        <w:rPr>
          <w:rFonts w:ascii="Times New Roman" w:eastAsia="Calibri" w:hAnsi="Times New Roman" w:cs="Times New Roman"/>
          <w:sz w:val="28"/>
          <w:szCs w:val="28"/>
          <w:u w:val="single"/>
        </w:rPr>
      </w:pPr>
    </w:p>
    <w:p w:rsidR="00E02503" w:rsidRPr="0033796A" w:rsidRDefault="00E02503" w:rsidP="00E02503">
      <w:pPr>
        <w:spacing w:after="0" w:line="240" w:lineRule="auto"/>
        <w:rPr>
          <w:rFonts w:ascii="Times New Roman" w:eastAsia="Calibri" w:hAnsi="Times New Roman" w:cs="Times New Roman"/>
          <w:sz w:val="28"/>
          <w:szCs w:val="28"/>
        </w:rPr>
      </w:pPr>
      <w:r w:rsidRPr="0033796A">
        <w:rPr>
          <w:rFonts w:ascii="Times New Roman" w:eastAsia="Calibri" w:hAnsi="Times New Roman" w:cs="Times New Roman"/>
          <w:sz w:val="28"/>
          <w:szCs w:val="28"/>
        </w:rPr>
        <w:t xml:space="preserve">                     </w:t>
      </w:r>
      <w:r w:rsidRPr="0033796A">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rPr>
        <w:t xml:space="preserve">                 </w:t>
      </w:r>
      <w:r w:rsidRPr="0033796A">
        <w:rPr>
          <w:rFonts w:ascii="Times New Roman" w:eastAsia="Calibri" w:hAnsi="Times New Roman" w:cs="Times New Roman"/>
          <w:sz w:val="28"/>
          <w:szCs w:val="28"/>
        </w:rPr>
        <w:t>Виконала: студентка денної форми навчання</w:t>
      </w:r>
    </w:p>
    <w:p w:rsidR="00E02503" w:rsidRPr="0033796A" w:rsidRDefault="00E02503" w:rsidP="00E02503">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33796A">
        <w:rPr>
          <w:rFonts w:ascii="Times New Roman" w:eastAsia="Calibri" w:hAnsi="Times New Roman" w:cs="Times New Roman"/>
          <w:sz w:val="28"/>
          <w:szCs w:val="28"/>
        </w:rPr>
        <w:t>спеціальності 061 Журналістика</w:t>
      </w:r>
    </w:p>
    <w:p w:rsidR="00E02503" w:rsidRPr="0033796A" w:rsidRDefault="00E02503" w:rsidP="00E02503">
      <w:pPr>
        <w:spacing w:after="0" w:line="240" w:lineRule="auto"/>
        <w:jc w:val="center"/>
        <w:rPr>
          <w:rFonts w:ascii="Times New Roman" w:eastAsia="Calibri" w:hAnsi="Times New Roman" w:cs="Times New Roman"/>
          <w:sz w:val="20"/>
          <w:szCs w:val="20"/>
        </w:rPr>
      </w:pPr>
      <w:r w:rsidRPr="0033796A">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Довжук Світлана Віталіївна</w:t>
      </w:r>
    </w:p>
    <w:p w:rsidR="00E02503" w:rsidRPr="0033796A" w:rsidRDefault="00E02503" w:rsidP="00E02503">
      <w:pPr>
        <w:spacing w:after="0" w:line="240" w:lineRule="auto"/>
        <w:jc w:val="both"/>
        <w:rPr>
          <w:rFonts w:ascii="Times New Roman" w:eastAsia="Calibri" w:hAnsi="Times New Roman" w:cs="Times New Roman"/>
          <w:sz w:val="16"/>
          <w:szCs w:val="16"/>
        </w:rPr>
      </w:pPr>
    </w:p>
    <w:p w:rsidR="00E02503" w:rsidRPr="0033796A" w:rsidRDefault="00E02503" w:rsidP="00E02503">
      <w:pPr>
        <w:tabs>
          <w:tab w:val="left" w:pos="5245"/>
          <w:tab w:val="right" w:pos="9355"/>
        </w:tabs>
        <w:spacing w:before="120" w:after="0" w:line="240" w:lineRule="auto"/>
        <w:rPr>
          <w:rFonts w:ascii="Times New Roman" w:eastAsia="Calibri" w:hAnsi="Times New Roman" w:cs="Times New Roman"/>
          <w:sz w:val="28"/>
          <w:szCs w:val="28"/>
          <w:lang w:val="ru-RU"/>
        </w:rPr>
      </w:pPr>
      <w:r>
        <w:rPr>
          <w:rFonts w:ascii="Times New Roman" w:eastAsia="Calibri" w:hAnsi="Times New Roman" w:cs="Times New Roman"/>
          <w:sz w:val="28"/>
          <w:szCs w:val="28"/>
        </w:rPr>
        <w:t xml:space="preserve">                                                            </w:t>
      </w:r>
      <w:r w:rsidRPr="0033796A">
        <w:rPr>
          <w:rFonts w:ascii="Times New Roman" w:eastAsia="Calibri" w:hAnsi="Times New Roman" w:cs="Times New Roman"/>
          <w:sz w:val="28"/>
          <w:szCs w:val="28"/>
        </w:rPr>
        <w:t>Керівник  канд. іст. наук, доц. Сидун І. В.</w:t>
      </w:r>
      <w:r w:rsidRPr="0033796A">
        <w:rPr>
          <w:rFonts w:ascii="Times New Roman" w:eastAsia="Calibri" w:hAnsi="Times New Roman" w:cs="Times New Roman"/>
          <w:sz w:val="28"/>
          <w:szCs w:val="28"/>
          <w:lang w:val="ru-RU"/>
        </w:rPr>
        <w:t>___</w:t>
      </w:r>
    </w:p>
    <w:p w:rsidR="00E02503" w:rsidRPr="0033796A" w:rsidRDefault="00E02503" w:rsidP="00E02503">
      <w:pPr>
        <w:tabs>
          <w:tab w:val="left" w:pos="5245"/>
          <w:tab w:val="right" w:pos="9355"/>
        </w:tabs>
        <w:spacing w:before="120" w:after="0" w:line="240" w:lineRule="auto"/>
        <w:jc w:val="both"/>
        <w:rPr>
          <w:rFonts w:ascii="Times New Roman" w:eastAsia="Calibri" w:hAnsi="Times New Roman" w:cs="Times New Roman"/>
          <w:sz w:val="28"/>
          <w:szCs w:val="28"/>
        </w:rPr>
      </w:pPr>
      <w:r w:rsidRPr="0033796A">
        <w:rPr>
          <w:rFonts w:ascii="Times New Roman" w:eastAsia="Calibri" w:hAnsi="Times New Roman" w:cs="Times New Roman"/>
          <w:sz w:val="28"/>
          <w:szCs w:val="28"/>
        </w:rPr>
        <w:t xml:space="preserve">                                  </w:t>
      </w:r>
      <w:r w:rsidRPr="0033796A">
        <w:rPr>
          <w:rFonts w:ascii="Times New Roman" w:eastAsia="Calibri" w:hAnsi="Times New Roman" w:cs="Times New Roman"/>
          <w:sz w:val="28"/>
          <w:szCs w:val="28"/>
          <w:lang w:val="ru-RU"/>
        </w:rPr>
        <w:t xml:space="preserve"> </w:t>
      </w:r>
      <w:r w:rsidRPr="0033796A">
        <w:rPr>
          <w:rFonts w:ascii="Times New Roman" w:eastAsia="Calibri" w:hAnsi="Times New Roman" w:cs="Times New Roman"/>
          <w:sz w:val="28"/>
          <w:szCs w:val="28"/>
        </w:rPr>
        <w:t xml:space="preserve">Рецензент д-р наук із соціал. комун., проф. Іванова О. А. </w:t>
      </w:r>
    </w:p>
    <w:p w:rsidR="00E02503" w:rsidRPr="0033796A" w:rsidRDefault="00E02503" w:rsidP="00E02503">
      <w:pPr>
        <w:tabs>
          <w:tab w:val="left" w:pos="5245"/>
          <w:tab w:val="right" w:pos="9355"/>
        </w:tabs>
        <w:spacing w:before="120" w:after="0" w:line="240" w:lineRule="auto"/>
        <w:jc w:val="both"/>
        <w:rPr>
          <w:rFonts w:ascii="Times New Roman" w:eastAsia="Calibri" w:hAnsi="Times New Roman" w:cs="Times New Roman"/>
          <w:sz w:val="28"/>
          <w:szCs w:val="28"/>
        </w:rPr>
      </w:pPr>
    </w:p>
    <w:p w:rsidR="00E02503" w:rsidRPr="0033796A" w:rsidRDefault="00E02503" w:rsidP="00E02503">
      <w:pPr>
        <w:spacing w:after="0" w:line="240" w:lineRule="auto"/>
        <w:ind w:left="3969"/>
        <w:jc w:val="both"/>
        <w:rPr>
          <w:rFonts w:ascii="Times New Roman" w:eastAsia="Calibri" w:hAnsi="Times New Roman" w:cs="Times New Roman"/>
          <w:sz w:val="28"/>
          <w:szCs w:val="28"/>
        </w:rPr>
      </w:pPr>
    </w:p>
    <w:p w:rsidR="00E02503" w:rsidRPr="0033796A" w:rsidRDefault="00E02503" w:rsidP="00E02503">
      <w:pPr>
        <w:spacing w:after="0" w:line="240" w:lineRule="auto"/>
        <w:ind w:left="3969"/>
        <w:jc w:val="both"/>
        <w:rPr>
          <w:rFonts w:ascii="Times New Roman" w:eastAsia="Calibri" w:hAnsi="Times New Roman" w:cs="Times New Roman"/>
          <w:sz w:val="28"/>
          <w:szCs w:val="28"/>
        </w:rPr>
      </w:pPr>
    </w:p>
    <w:tbl>
      <w:tblPr>
        <w:tblW w:w="5155" w:type="pct"/>
        <w:jc w:val="center"/>
        <w:tblLook w:val="00A0" w:firstRow="1" w:lastRow="0" w:firstColumn="1" w:lastColumn="0" w:noHBand="0" w:noVBand="0"/>
      </w:tblPr>
      <w:tblGrid>
        <w:gridCol w:w="4967"/>
        <w:gridCol w:w="4678"/>
      </w:tblGrid>
      <w:tr w:rsidR="00E02503" w:rsidRPr="0033796A" w:rsidTr="00E00552">
        <w:trPr>
          <w:jc w:val="center"/>
        </w:trPr>
        <w:tc>
          <w:tcPr>
            <w:tcW w:w="4967" w:type="dxa"/>
          </w:tcPr>
          <w:p w:rsidR="00E02503" w:rsidRPr="0033796A" w:rsidRDefault="00E02503" w:rsidP="00E00552">
            <w:pPr>
              <w:spacing w:after="0" w:line="240" w:lineRule="auto"/>
              <w:jc w:val="both"/>
              <w:rPr>
                <w:rFonts w:ascii="Times New Roman" w:eastAsia="Calibri" w:hAnsi="Times New Roman" w:cs="Times New Roman"/>
                <w:sz w:val="28"/>
                <w:szCs w:val="28"/>
              </w:rPr>
            </w:pPr>
            <w:r w:rsidRPr="0033796A">
              <w:rPr>
                <w:rFonts w:ascii="Times New Roman" w:eastAsia="Calibri" w:hAnsi="Times New Roman" w:cs="Times New Roman"/>
                <w:sz w:val="28"/>
                <w:szCs w:val="28"/>
              </w:rPr>
              <w:t>Рекомендовано до захисту:</w:t>
            </w:r>
          </w:p>
          <w:p w:rsidR="00E02503" w:rsidRPr="0033796A" w:rsidRDefault="00E02503" w:rsidP="00E00552">
            <w:pPr>
              <w:spacing w:before="120" w:after="0" w:line="240" w:lineRule="auto"/>
              <w:jc w:val="both"/>
              <w:rPr>
                <w:rFonts w:ascii="Times New Roman" w:eastAsia="Calibri" w:hAnsi="Times New Roman" w:cs="Times New Roman"/>
                <w:sz w:val="28"/>
                <w:szCs w:val="28"/>
              </w:rPr>
            </w:pPr>
            <w:r w:rsidRPr="0033796A">
              <w:rPr>
                <w:rFonts w:ascii="Times New Roman" w:eastAsia="Calibri" w:hAnsi="Times New Roman" w:cs="Times New Roman"/>
                <w:sz w:val="28"/>
                <w:szCs w:val="28"/>
              </w:rPr>
              <w:t>Протокол засідання кафедри</w:t>
            </w:r>
          </w:p>
          <w:p w:rsidR="00E02503" w:rsidRPr="0033796A" w:rsidRDefault="00E02503" w:rsidP="00E00552">
            <w:pPr>
              <w:spacing w:before="120" w:after="0" w:line="240" w:lineRule="auto"/>
              <w:jc w:val="both"/>
              <w:rPr>
                <w:rFonts w:ascii="Times New Roman" w:eastAsia="Calibri" w:hAnsi="Times New Roman" w:cs="Times New Roman"/>
                <w:sz w:val="28"/>
                <w:szCs w:val="28"/>
              </w:rPr>
            </w:pPr>
            <w:r w:rsidRPr="0033796A">
              <w:rPr>
                <w:rFonts w:ascii="Times New Roman" w:eastAsia="Calibri" w:hAnsi="Times New Roman" w:cs="Times New Roman"/>
                <w:sz w:val="28"/>
                <w:szCs w:val="28"/>
              </w:rPr>
              <w:t xml:space="preserve">№      від             </w:t>
            </w:r>
          </w:p>
          <w:p w:rsidR="00E02503" w:rsidRPr="0033796A" w:rsidRDefault="00E02503" w:rsidP="00E00552">
            <w:pPr>
              <w:spacing w:before="600" w:after="0" w:line="240" w:lineRule="auto"/>
              <w:jc w:val="both"/>
              <w:rPr>
                <w:rFonts w:ascii="Times New Roman" w:eastAsia="Calibri" w:hAnsi="Times New Roman" w:cs="Times New Roman"/>
                <w:sz w:val="28"/>
                <w:szCs w:val="28"/>
              </w:rPr>
            </w:pPr>
            <w:r w:rsidRPr="0033796A">
              <w:rPr>
                <w:rFonts w:ascii="Times New Roman" w:eastAsia="Calibri" w:hAnsi="Times New Roman" w:cs="Times New Roman"/>
                <w:sz w:val="28"/>
                <w:szCs w:val="28"/>
              </w:rPr>
              <w:t>Завідувач кафедри</w:t>
            </w:r>
          </w:p>
          <w:p w:rsidR="00E02503" w:rsidRPr="0033796A" w:rsidRDefault="00E02503" w:rsidP="00E00552">
            <w:pPr>
              <w:tabs>
                <w:tab w:val="left" w:pos="1168"/>
                <w:tab w:val="left" w:pos="3861"/>
              </w:tabs>
              <w:spacing w:before="360" w:after="0" w:line="240" w:lineRule="auto"/>
              <w:jc w:val="both"/>
              <w:rPr>
                <w:rFonts w:ascii="Times New Roman" w:eastAsia="Calibri" w:hAnsi="Times New Roman" w:cs="Times New Roman"/>
                <w:sz w:val="28"/>
                <w:szCs w:val="28"/>
                <w:u w:val="single"/>
              </w:rPr>
            </w:pPr>
            <w:r w:rsidRPr="0033796A">
              <w:rPr>
                <w:rFonts w:ascii="Times New Roman" w:eastAsia="Calibri" w:hAnsi="Times New Roman" w:cs="Times New Roman"/>
                <w:sz w:val="28"/>
                <w:szCs w:val="28"/>
                <w:u w:val="single"/>
              </w:rPr>
              <w:tab/>
            </w:r>
            <w:r w:rsidRPr="0033796A">
              <w:rPr>
                <w:rFonts w:ascii="Times New Roman" w:eastAsia="Calibri" w:hAnsi="Times New Roman" w:cs="Times New Roman"/>
                <w:sz w:val="28"/>
                <w:szCs w:val="28"/>
              </w:rPr>
              <w:t xml:space="preserve">              </w:t>
            </w:r>
          </w:p>
          <w:p w:rsidR="00E02503" w:rsidRPr="0033796A" w:rsidRDefault="00E02503" w:rsidP="00E00552">
            <w:pPr>
              <w:tabs>
                <w:tab w:val="left" w:pos="284"/>
                <w:tab w:val="left" w:pos="1767"/>
              </w:tabs>
              <w:spacing w:after="0" w:line="240" w:lineRule="auto"/>
              <w:jc w:val="both"/>
              <w:rPr>
                <w:rFonts w:ascii="Times New Roman" w:eastAsia="Calibri" w:hAnsi="Times New Roman" w:cs="Times New Roman"/>
                <w:sz w:val="20"/>
                <w:szCs w:val="20"/>
              </w:rPr>
            </w:pPr>
            <w:r w:rsidRPr="0033796A">
              <w:rPr>
                <w:rFonts w:ascii="Times New Roman" w:eastAsia="Calibri" w:hAnsi="Times New Roman" w:cs="Times New Roman"/>
                <w:sz w:val="20"/>
                <w:szCs w:val="20"/>
              </w:rPr>
              <w:tab/>
              <w:t>(підпис)</w:t>
            </w:r>
            <w:r w:rsidRPr="0033796A">
              <w:rPr>
                <w:rFonts w:ascii="Times New Roman" w:eastAsia="Calibri" w:hAnsi="Times New Roman" w:cs="Times New Roman"/>
                <w:sz w:val="20"/>
                <w:szCs w:val="20"/>
              </w:rPr>
              <w:tab/>
            </w:r>
          </w:p>
        </w:tc>
        <w:tc>
          <w:tcPr>
            <w:tcW w:w="4678" w:type="dxa"/>
          </w:tcPr>
          <w:p w:rsidR="00E02503" w:rsidRPr="0033796A" w:rsidRDefault="00E02503" w:rsidP="00E00552">
            <w:pPr>
              <w:tabs>
                <w:tab w:val="right" w:pos="4462"/>
              </w:tabs>
              <w:spacing w:after="0" w:line="240" w:lineRule="auto"/>
              <w:jc w:val="both"/>
              <w:rPr>
                <w:rFonts w:ascii="Times New Roman" w:eastAsia="Calibri" w:hAnsi="Times New Roman" w:cs="Times New Roman"/>
                <w:sz w:val="28"/>
                <w:szCs w:val="28"/>
              </w:rPr>
            </w:pPr>
            <w:r w:rsidRPr="0033796A">
              <w:rPr>
                <w:rFonts w:ascii="Times New Roman" w:eastAsia="Calibri" w:hAnsi="Times New Roman" w:cs="Times New Roman"/>
                <w:sz w:val="28"/>
                <w:szCs w:val="28"/>
              </w:rPr>
              <w:t>Захищено на засіданні ЕК № 1</w:t>
            </w:r>
          </w:p>
          <w:p w:rsidR="00E02503" w:rsidRPr="0033796A" w:rsidRDefault="00E02503" w:rsidP="00E00552">
            <w:pPr>
              <w:tabs>
                <w:tab w:val="right" w:pos="4462"/>
              </w:tabs>
              <w:spacing w:before="120" w:after="0" w:line="240" w:lineRule="auto"/>
              <w:jc w:val="both"/>
              <w:rPr>
                <w:rFonts w:ascii="Times New Roman" w:eastAsia="Calibri" w:hAnsi="Times New Roman" w:cs="Times New Roman"/>
                <w:sz w:val="28"/>
                <w:szCs w:val="28"/>
              </w:rPr>
            </w:pPr>
            <w:r w:rsidRPr="0033796A">
              <w:rPr>
                <w:rFonts w:ascii="Times New Roman" w:eastAsia="Calibri" w:hAnsi="Times New Roman" w:cs="Times New Roman"/>
                <w:sz w:val="28"/>
                <w:szCs w:val="28"/>
              </w:rPr>
              <w:t xml:space="preserve">протокол №    від </w:t>
            </w:r>
            <w:r w:rsidRPr="0033796A">
              <w:rPr>
                <w:rFonts w:ascii="Times New Roman" w:eastAsia="Calibri" w:hAnsi="Times New Roman" w:cs="Times New Roman"/>
                <w:sz w:val="28"/>
                <w:szCs w:val="28"/>
              </w:rPr>
              <w:tab/>
            </w:r>
          </w:p>
          <w:p w:rsidR="00E02503" w:rsidRPr="0033796A" w:rsidRDefault="00E02503" w:rsidP="00E00552">
            <w:pPr>
              <w:tabs>
                <w:tab w:val="right" w:pos="4462"/>
              </w:tabs>
              <w:spacing w:before="120" w:after="0" w:line="240" w:lineRule="auto"/>
              <w:jc w:val="both"/>
              <w:rPr>
                <w:rFonts w:ascii="Times New Roman" w:eastAsia="Calibri" w:hAnsi="Times New Roman" w:cs="Times New Roman"/>
                <w:sz w:val="28"/>
                <w:szCs w:val="28"/>
              </w:rPr>
            </w:pPr>
            <w:r w:rsidRPr="0033796A">
              <w:rPr>
                <w:rFonts w:ascii="Times New Roman" w:eastAsia="Calibri" w:hAnsi="Times New Roman" w:cs="Times New Roman"/>
                <w:sz w:val="28"/>
                <w:szCs w:val="28"/>
              </w:rPr>
              <w:t>Оцінка______________/___</w:t>
            </w:r>
            <w:r w:rsidRPr="0033796A">
              <w:rPr>
                <w:rFonts w:ascii="Times New Roman" w:eastAsia="Calibri" w:hAnsi="Times New Roman" w:cs="Times New Roman"/>
                <w:sz w:val="20"/>
                <w:szCs w:val="20"/>
              </w:rPr>
              <w:tab/>
            </w:r>
            <w:r w:rsidRPr="0033796A">
              <w:rPr>
                <w:rFonts w:ascii="Times New Roman" w:eastAsia="Calibri" w:hAnsi="Times New Roman" w:cs="Times New Roman"/>
                <w:sz w:val="28"/>
                <w:szCs w:val="28"/>
              </w:rPr>
              <w:t>___/_____</w:t>
            </w:r>
          </w:p>
          <w:p w:rsidR="00E02503" w:rsidRPr="0033796A" w:rsidRDefault="00E02503" w:rsidP="00E00552">
            <w:pPr>
              <w:spacing w:after="0" w:line="240" w:lineRule="auto"/>
              <w:jc w:val="center"/>
              <w:rPr>
                <w:rFonts w:ascii="Times New Roman" w:eastAsia="Calibri" w:hAnsi="Times New Roman" w:cs="Times New Roman"/>
                <w:sz w:val="20"/>
                <w:szCs w:val="20"/>
              </w:rPr>
            </w:pPr>
            <w:r w:rsidRPr="0033796A">
              <w:rPr>
                <w:rFonts w:ascii="Times New Roman" w:eastAsia="Calibri" w:hAnsi="Times New Roman" w:cs="Times New Roman"/>
                <w:sz w:val="20"/>
                <w:szCs w:val="20"/>
              </w:rPr>
              <w:t>(за національною шкалою/шкалою ЕСТ</w:t>
            </w:r>
            <w:r w:rsidRPr="0033796A">
              <w:rPr>
                <w:rFonts w:ascii="Times New Roman" w:eastAsia="Calibri" w:hAnsi="Times New Roman" w:cs="Times New Roman"/>
                <w:sz w:val="20"/>
                <w:szCs w:val="20"/>
                <w:lang w:val="en-US"/>
              </w:rPr>
              <w:t>S</w:t>
            </w:r>
            <w:r w:rsidRPr="0033796A">
              <w:rPr>
                <w:rFonts w:ascii="Times New Roman" w:eastAsia="Calibri" w:hAnsi="Times New Roman" w:cs="Times New Roman"/>
                <w:sz w:val="20"/>
                <w:szCs w:val="20"/>
              </w:rPr>
              <w:t>/ бали)</w:t>
            </w:r>
          </w:p>
          <w:p w:rsidR="00E02503" w:rsidRPr="0033796A" w:rsidRDefault="00E02503" w:rsidP="00E00552">
            <w:pPr>
              <w:spacing w:before="360" w:after="0" w:line="240" w:lineRule="auto"/>
              <w:jc w:val="both"/>
              <w:rPr>
                <w:rFonts w:ascii="Times New Roman" w:eastAsia="Calibri" w:hAnsi="Times New Roman" w:cs="Times New Roman"/>
                <w:sz w:val="28"/>
                <w:szCs w:val="28"/>
              </w:rPr>
            </w:pPr>
            <w:r w:rsidRPr="0033796A">
              <w:rPr>
                <w:rFonts w:ascii="Times New Roman" w:eastAsia="Calibri" w:hAnsi="Times New Roman" w:cs="Times New Roman"/>
                <w:sz w:val="28"/>
                <w:szCs w:val="28"/>
              </w:rPr>
              <w:t>Голова ЕК</w:t>
            </w:r>
          </w:p>
          <w:p w:rsidR="00E02503" w:rsidRPr="0033796A" w:rsidRDefault="00E02503" w:rsidP="00E00552">
            <w:pPr>
              <w:tabs>
                <w:tab w:val="left" w:pos="1446"/>
                <w:tab w:val="right" w:pos="4462"/>
              </w:tabs>
              <w:spacing w:before="360" w:after="0" w:line="240" w:lineRule="auto"/>
              <w:jc w:val="both"/>
              <w:rPr>
                <w:rFonts w:ascii="Times New Roman" w:eastAsia="Calibri" w:hAnsi="Times New Roman" w:cs="Times New Roman"/>
                <w:sz w:val="28"/>
                <w:szCs w:val="28"/>
                <w:u w:val="single"/>
              </w:rPr>
            </w:pPr>
            <w:r w:rsidRPr="0033796A">
              <w:rPr>
                <w:rFonts w:ascii="Times New Roman" w:eastAsia="Calibri" w:hAnsi="Times New Roman" w:cs="Times New Roman"/>
                <w:sz w:val="28"/>
                <w:szCs w:val="28"/>
                <w:u w:val="single"/>
              </w:rPr>
              <w:tab/>
            </w:r>
            <w:r w:rsidRPr="0033796A">
              <w:rPr>
                <w:rFonts w:ascii="Times New Roman" w:eastAsia="Calibri" w:hAnsi="Times New Roman" w:cs="Times New Roman"/>
                <w:sz w:val="28"/>
                <w:szCs w:val="28"/>
              </w:rPr>
              <w:t xml:space="preserve">               </w:t>
            </w:r>
          </w:p>
          <w:p w:rsidR="00E02503" w:rsidRDefault="00E02503" w:rsidP="00E00552">
            <w:pPr>
              <w:tabs>
                <w:tab w:val="left" w:pos="454"/>
                <w:tab w:val="left" w:pos="2155"/>
              </w:tabs>
              <w:spacing w:after="0" w:line="240" w:lineRule="auto"/>
              <w:jc w:val="both"/>
              <w:rPr>
                <w:rFonts w:ascii="Times New Roman" w:eastAsia="Calibri" w:hAnsi="Times New Roman" w:cs="Times New Roman"/>
                <w:sz w:val="20"/>
                <w:szCs w:val="20"/>
              </w:rPr>
            </w:pPr>
            <w:r w:rsidRPr="0033796A">
              <w:rPr>
                <w:rFonts w:ascii="Times New Roman" w:eastAsia="Calibri" w:hAnsi="Times New Roman" w:cs="Times New Roman"/>
                <w:sz w:val="20"/>
                <w:szCs w:val="20"/>
              </w:rPr>
              <w:tab/>
              <w:t>(підпис)</w:t>
            </w:r>
            <w:r w:rsidRPr="0033796A">
              <w:rPr>
                <w:rFonts w:ascii="Times New Roman" w:eastAsia="Calibri" w:hAnsi="Times New Roman" w:cs="Times New Roman"/>
                <w:sz w:val="20"/>
                <w:szCs w:val="20"/>
              </w:rPr>
              <w:tab/>
            </w:r>
          </w:p>
          <w:p w:rsidR="00035C44" w:rsidRPr="0033796A" w:rsidRDefault="00035C44" w:rsidP="00E00552">
            <w:pPr>
              <w:tabs>
                <w:tab w:val="left" w:pos="454"/>
                <w:tab w:val="left" w:pos="2155"/>
              </w:tabs>
              <w:spacing w:after="0" w:line="240" w:lineRule="auto"/>
              <w:jc w:val="both"/>
              <w:rPr>
                <w:rFonts w:ascii="Times New Roman" w:eastAsia="Calibri" w:hAnsi="Times New Roman" w:cs="Times New Roman"/>
                <w:sz w:val="28"/>
                <w:szCs w:val="28"/>
              </w:rPr>
            </w:pPr>
          </w:p>
        </w:tc>
      </w:tr>
      <w:tr w:rsidR="00E02503" w:rsidRPr="0033796A" w:rsidTr="00E00552">
        <w:trPr>
          <w:jc w:val="center"/>
        </w:trPr>
        <w:tc>
          <w:tcPr>
            <w:tcW w:w="4967" w:type="dxa"/>
          </w:tcPr>
          <w:p w:rsidR="00035C44" w:rsidRDefault="00035C44" w:rsidP="00035C44">
            <w:pPr>
              <w:spacing w:after="0" w:line="240" w:lineRule="auto"/>
              <w:jc w:val="center"/>
              <w:rPr>
                <w:rFonts w:ascii="Times New Roman" w:eastAsia="Calibri" w:hAnsi="Times New Roman" w:cs="Times New Roman"/>
                <w:b/>
                <w:bCs/>
                <w:sz w:val="28"/>
                <w:szCs w:val="28"/>
                <w:lang w:val="ru-RU"/>
              </w:rPr>
            </w:pPr>
            <w:r>
              <w:rPr>
                <w:rFonts w:ascii="Times New Roman" w:eastAsia="Calibri" w:hAnsi="Times New Roman" w:cs="Times New Roman"/>
                <w:b/>
                <w:bCs/>
                <w:sz w:val="28"/>
                <w:szCs w:val="28"/>
                <w:lang w:val="ru-RU"/>
              </w:rPr>
              <w:t xml:space="preserve">                                      </w:t>
            </w:r>
            <w:r w:rsidRPr="0033796A">
              <w:rPr>
                <w:rFonts w:ascii="Times New Roman" w:eastAsia="Calibri" w:hAnsi="Times New Roman" w:cs="Times New Roman"/>
                <w:b/>
                <w:bCs/>
                <w:sz w:val="28"/>
                <w:szCs w:val="28"/>
              </w:rPr>
              <w:t>Одеса</w:t>
            </w:r>
            <w:r w:rsidRPr="0033796A">
              <w:rPr>
                <w:rFonts w:ascii="Times New Roman" w:eastAsia="Calibri" w:hAnsi="Times New Roman" w:cs="Times New Roman"/>
                <w:b/>
                <w:bCs/>
                <w:sz w:val="28"/>
                <w:szCs w:val="28"/>
                <w:lang w:val="en-US"/>
              </w:rPr>
              <w:t xml:space="preserve"> –</w:t>
            </w:r>
            <w:r w:rsidRPr="0033796A">
              <w:rPr>
                <w:rFonts w:ascii="Times New Roman" w:eastAsia="Calibri" w:hAnsi="Times New Roman" w:cs="Times New Roman"/>
                <w:b/>
                <w:bCs/>
                <w:sz w:val="28"/>
                <w:szCs w:val="28"/>
              </w:rPr>
              <w:t xml:space="preserve"> 201</w:t>
            </w:r>
            <w:r w:rsidRPr="0033796A">
              <w:rPr>
                <w:rFonts w:ascii="Times New Roman" w:eastAsia="Calibri" w:hAnsi="Times New Roman" w:cs="Times New Roman"/>
                <w:b/>
                <w:bCs/>
                <w:sz w:val="28"/>
                <w:szCs w:val="28"/>
                <w:lang w:val="ru-RU"/>
              </w:rPr>
              <w:t>9</w:t>
            </w:r>
          </w:p>
          <w:p w:rsidR="00E02503" w:rsidRPr="0033796A" w:rsidRDefault="00E02503" w:rsidP="00E00552">
            <w:pPr>
              <w:spacing w:after="0" w:line="240" w:lineRule="auto"/>
              <w:jc w:val="both"/>
              <w:rPr>
                <w:rFonts w:ascii="Times New Roman" w:eastAsia="Calibri" w:hAnsi="Times New Roman" w:cs="Times New Roman"/>
                <w:sz w:val="28"/>
                <w:szCs w:val="28"/>
              </w:rPr>
            </w:pPr>
          </w:p>
        </w:tc>
        <w:tc>
          <w:tcPr>
            <w:tcW w:w="4678" w:type="dxa"/>
          </w:tcPr>
          <w:p w:rsidR="00E02503" w:rsidRPr="0033796A" w:rsidRDefault="00E02503" w:rsidP="00E00552">
            <w:pPr>
              <w:spacing w:after="0" w:line="240" w:lineRule="auto"/>
              <w:jc w:val="both"/>
              <w:rPr>
                <w:rFonts w:ascii="Times New Roman" w:eastAsia="Calibri" w:hAnsi="Times New Roman" w:cs="Times New Roman"/>
                <w:sz w:val="28"/>
                <w:szCs w:val="28"/>
              </w:rPr>
            </w:pPr>
          </w:p>
        </w:tc>
      </w:tr>
    </w:tbl>
    <w:p w:rsidR="00E02503" w:rsidRPr="0033796A" w:rsidRDefault="00E02503" w:rsidP="00E02503">
      <w:pPr>
        <w:spacing w:after="0" w:line="240" w:lineRule="auto"/>
        <w:jc w:val="center"/>
        <w:rPr>
          <w:rFonts w:ascii="Times New Roman" w:eastAsia="Calibri" w:hAnsi="Times New Roman" w:cs="Times New Roman"/>
          <w:b/>
          <w:bCs/>
          <w:sz w:val="28"/>
          <w:szCs w:val="28"/>
        </w:rPr>
      </w:pPr>
    </w:p>
    <w:p w:rsidR="00E02503" w:rsidRPr="0033796A" w:rsidRDefault="00E02503" w:rsidP="00E02503">
      <w:pPr>
        <w:spacing w:after="0" w:line="240" w:lineRule="auto"/>
        <w:jc w:val="center"/>
        <w:rPr>
          <w:rFonts w:ascii="Times New Roman" w:eastAsia="Calibri" w:hAnsi="Times New Roman" w:cs="Times New Roman"/>
          <w:b/>
          <w:bCs/>
          <w:sz w:val="28"/>
          <w:szCs w:val="28"/>
        </w:rPr>
      </w:pPr>
    </w:p>
    <w:p w:rsidR="00E02503" w:rsidRPr="0033796A" w:rsidRDefault="00E02503" w:rsidP="00E02503">
      <w:pPr>
        <w:spacing w:after="0" w:line="240" w:lineRule="auto"/>
        <w:jc w:val="center"/>
        <w:rPr>
          <w:rFonts w:ascii="Times New Roman" w:eastAsia="Calibri" w:hAnsi="Times New Roman" w:cs="Times New Roman"/>
          <w:b/>
          <w:bCs/>
          <w:sz w:val="28"/>
          <w:szCs w:val="28"/>
        </w:rPr>
      </w:pPr>
    </w:p>
    <w:p w:rsidR="00E02503" w:rsidRPr="00F70CD5" w:rsidRDefault="00E02503" w:rsidP="00E02503">
      <w:pPr>
        <w:spacing w:after="0" w:line="240" w:lineRule="auto"/>
        <w:jc w:val="center"/>
        <w:rPr>
          <w:rFonts w:ascii="Times New Roman" w:eastAsia="Calibri" w:hAnsi="Times New Roman" w:cs="Times New Roman"/>
          <w:b/>
          <w:bCs/>
          <w:sz w:val="28"/>
          <w:szCs w:val="28"/>
          <w:lang w:val="ru-RU"/>
        </w:rPr>
      </w:pPr>
      <w:r w:rsidRPr="00861CBB">
        <w:rPr>
          <w:rFonts w:ascii="Times New Roman" w:hAnsi="Times New Roman" w:cs="Times New Roman"/>
          <w:b/>
          <w:sz w:val="28"/>
          <w:szCs w:val="32"/>
        </w:rPr>
        <w:t>ЗМІСТ</w:t>
      </w:r>
    </w:p>
    <w:tbl>
      <w:tblPr>
        <w:tblW w:w="10188" w:type="dxa"/>
        <w:tblInd w:w="-294" w:type="dxa"/>
        <w:tblLayout w:type="fixed"/>
        <w:tblLook w:val="04A0" w:firstRow="1" w:lastRow="0" w:firstColumn="1" w:lastColumn="0" w:noHBand="0" w:noVBand="1"/>
      </w:tblPr>
      <w:tblGrid>
        <w:gridCol w:w="10046"/>
        <w:gridCol w:w="142"/>
      </w:tblGrid>
      <w:tr w:rsidR="00E02503" w:rsidTr="00E00552">
        <w:trPr>
          <w:trHeight w:val="5660"/>
        </w:trPr>
        <w:tc>
          <w:tcPr>
            <w:tcW w:w="10183" w:type="dxa"/>
            <w:gridSpan w:val="2"/>
          </w:tcPr>
          <w:p w:rsidR="00E02503" w:rsidRDefault="00E02503" w:rsidP="00E00552">
            <w:pPr>
              <w:spacing w:line="360" w:lineRule="auto"/>
              <w:ind w:left="289"/>
              <w:rPr>
                <w:rFonts w:ascii="Times New Roman" w:hAnsi="Times New Roman" w:cs="Times New Roman"/>
                <w:sz w:val="28"/>
                <w:szCs w:val="28"/>
                <w:lang w:val="ru-RU"/>
              </w:rPr>
            </w:pPr>
          </w:p>
          <w:p w:rsidR="00E02503" w:rsidRDefault="00E02503" w:rsidP="00E00552">
            <w:pPr>
              <w:spacing w:line="360" w:lineRule="auto"/>
              <w:ind w:left="289"/>
              <w:rPr>
                <w:rFonts w:ascii="Times New Roman" w:hAnsi="Times New Roman" w:cs="Times New Roman"/>
                <w:sz w:val="28"/>
                <w:szCs w:val="28"/>
              </w:rPr>
            </w:pPr>
            <w:r>
              <w:rPr>
                <w:rFonts w:ascii="Times New Roman" w:hAnsi="Times New Roman" w:cs="Times New Roman"/>
                <w:sz w:val="28"/>
                <w:szCs w:val="28"/>
              </w:rPr>
              <w:t>ВСТУП……………………………………………………………………………......3</w:t>
            </w:r>
          </w:p>
          <w:p w:rsidR="00E02503" w:rsidRDefault="00E02503" w:rsidP="00E00552">
            <w:pPr>
              <w:spacing w:line="360" w:lineRule="auto"/>
              <w:ind w:left="289"/>
              <w:rPr>
                <w:rFonts w:ascii="Times New Roman" w:hAnsi="Times New Roman" w:cs="Times New Roman"/>
                <w:sz w:val="28"/>
                <w:szCs w:val="28"/>
              </w:rPr>
            </w:pPr>
            <w:r>
              <w:rPr>
                <w:rFonts w:ascii="Times New Roman" w:hAnsi="Times New Roman" w:cs="Times New Roman"/>
                <w:sz w:val="28"/>
                <w:szCs w:val="28"/>
              </w:rPr>
              <w:t>РОЗДІЛ 1. СТАНОВЛЕННЯ СТІВЕНА КІНГА, ЯК ПИСЬМЕННИКА................5</w:t>
            </w:r>
          </w:p>
          <w:p w:rsidR="00E02503" w:rsidRDefault="00E02503" w:rsidP="00E00552">
            <w:pPr>
              <w:spacing w:line="360" w:lineRule="auto"/>
              <w:ind w:left="289"/>
              <w:rPr>
                <w:rFonts w:ascii="Times New Roman" w:hAnsi="Times New Roman" w:cs="Times New Roman"/>
                <w:sz w:val="28"/>
                <w:szCs w:val="28"/>
              </w:rPr>
            </w:pPr>
            <w:r>
              <w:rPr>
                <w:rFonts w:ascii="Times New Roman" w:hAnsi="Times New Roman" w:cs="Times New Roman"/>
                <w:sz w:val="28"/>
                <w:szCs w:val="28"/>
              </w:rPr>
              <w:t>РОЗДІЛ 2. СОЦІОКУЛЬТУРНИЙ ФЕНОМЕН ПИСЬМЕННИКА…………......16</w:t>
            </w:r>
          </w:p>
          <w:p w:rsidR="00E02503" w:rsidRDefault="00E02503" w:rsidP="00E00552">
            <w:pPr>
              <w:spacing w:line="360" w:lineRule="auto"/>
              <w:rPr>
                <w:rFonts w:ascii="Times New Roman" w:hAnsi="Times New Roman" w:cs="Times New Roman"/>
                <w:sz w:val="28"/>
                <w:szCs w:val="28"/>
              </w:rPr>
            </w:pPr>
            <w:r>
              <w:rPr>
                <w:rFonts w:ascii="Times New Roman" w:hAnsi="Times New Roman" w:cs="Times New Roman"/>
                <w:sz w:val="28"/>
                <w:szCs w:val="28"/>
              </w:rPr>
              <w:t xml:space="preserve">                   2.1. Композиційна структура (за матеріалами книги «Про                                     </w:t>
            </w:r>
            <w:r w:rsidR="00035C44">
              <w:rPr>
                <w:rFonts w:ascii="Times New Roman" w:hAnsi="Times New Roman" w:cs="Times New Roman"/>
                <w:sz w:val="28"/>
                <w:szCs w:val="28"/>
              </w:rPr>
              <w:t>    письменництво»……………………</w:t>
            </w:r>
            <w:r>
              <w:rPr>
                <w:rFonts w:ascii="Times New Roman" w:hAnsi="Times New Roman" w:cs="Times New Roman"/>
                <w:sz w:val="28"/>
                <w:szCs w:val="28"/>
              </w:rPr>
              <w:t>………………...16</w:t>
            </w:r>
          </w:p>
          <w:p w:rsidR="00E02503" w:rsidRDefault="00E02503" w:rsidP="00E00552">
            <w:pPr>
              <w:pStyle w:val="a4"/>
              <w:spacing w:line="360" w:lineRule="auto"/>
              <w:ind w:left="649"/>
              <w:rPr>
                <w:rFonts w:ascii="Times New Roman" w:hAnsi="Times New Roman" w:cs="Times New Roman"/>
                <w:sz w:val="28"/>
                <w:szCs w:val="28"/>
                <w:lang w:val="uk-UA"/>
              </w:rPr>
            </w:pPr>
            <w:r>
              <w:rPr>
                <w:rFonts w:ascii="Times New Roman" w:hAnsi="Times New Roman" w:cs="Times New Roman"/>
                <w:sz w:val="28"/>
                <w:szCs w:val="28"/>
                <w:lang w:val="uk-UA"/>
              </w:rPr>
              <w:t xml:space="preserve">          2.2. «Інструментарій» письменника в літературі ………………….…...21</w:t>
            </w:r>
          </w:p>
          <w:p w:rsidR="00E02503" w:rsidRDefault="00E02503" w:rsidP="00E00552">
            <w:pPr>
              <w:pStyle w:val="a4"/>
              <w:spacing w:line="360" w:lineRule="auto"/>
              <w:ind w:left="649"/>
              <w:rPr>
                <w:rFonts w:ascii="Times New Roman" w:hAnsi="Times New Roman" w:cs="Times New Roman"/>
                <w:sz w:val="28"/>
                <w:szCs w:val="28"/>
                <w:lang w:val="uk-UA"/>
              </w:rPr>
            </w:pPr>
            <w:r>
              <w:rPr>
                <w:rFonts w:ascii="Times New Roman" w:hAnsi="Times New Roman" w:cs="Times New Roman"/>
                <w:sz w:val="28"/>
                <w:szCs w:val="28"/>
                <w:lang w:val="uk-UA"/>
              </w:rPr>
              <w:t xml:space="preserve">          2.3. Комунікативний процес на прикладі книги Стівена Кінга «Про               </w:t>
            </w:r>
            <w:r w:rsidR="00035C44">
              <w:rPr>
                <w:rFonts w:ascii="Times New Roman" w:hAnsi="Times New Roman" w:cs="Times New Roman"/>
                <w:sz w:val="28"/>
                <w:szCs w:val="28"/>
                <w:lang w:val="uk-UA"/>
              </w:rPr>
              <w:t>  письменництво»……………………………</w:t>
            </w:r>
            <w:r>
              <w:rPr>
                <w:rFonts w:ascii="Times New Roman" w:hAnsi="Times New Roman" w:cs="Times New Roman"/>
                <w:sz w:val="28"/>
                <w:szCs w:val="28"/>
                <w:lang w:val="uk-UA"/>
              </w:rPr>
              <w:t>………...….35</w:t>
            </w:r>
          </w:p>
          <w:p w:rsidR="00E02503" w:rsidRDefault="00E02503" w:rsidP="00E00552">
            <w:pPr>
              <w:spacing w:line="360" w:lineRule="auto"/>
              <w:ind w:left="289"/>
              <w:rPr>
                <w:rFonts w:ascii="Times New Roman" w:hAnsi="Times New Roman" w:cs="Times New Roman"/>
                <w:sz w:val="28"/>
                <w:szCs w:val="28"/>
              </w:rPr>
            </w:pPr>
            <w:r>
              <w:rPr>
                <w:rFonts w:ascii="Times New Roman" w:hAnsi="Times New Roman" w:cs="Times New Roman"/>
                <w:sz w:val="28"/>
                <w:szCs w:val="28"/>
              </w:rPr>
              <w:t>ВИСНОВКИ………………………………………………………………………...58</w:t>
            </w:r>
          </w:p>
          <w:p w:rsidR="00E02503" w:rsidRDefault="00E02503" w:rsidP="00E00552">
            <w:pPr>
              <w:spacing w:line="360" w:lineRule="auto"/>
              <w:ind w:left="289"/>
              <w:rPr>
                <w:rFonts w:ascii="Times New Roman" w:hAnsi="Times New Roman" w:cs="Times New Roman"/>
                <w:sz w:val="28"/>
                <w:szCs w:val="28"/>
              </w:rPr>
            </w:pPr>
            <w:r>
              <w:rPr>
                <w:rFonts w:ascii="Times New Roman" w:hAnsi="Times New Roman" w:cs="Times New Roman"/>
                <w:sz w:val="28"/>
                <w:szCs w:val="28"/>
              </w:rPr>
              <w:t>БІБЛІОГРАФІЯ…………………………………………………………………......62</w:t>
            </w:r>
          </w:p>
        </w:tc>
      </w:tr>
      <w:tr w:rsidR="00E02503" w:rsidTr="00E00552">
        <w:trPr>
          <w:gridAfter w:val="1"/>
          <w:wAfter w:w="142" w:type="dxa"/>
          <w:trHeight w:val="5660"/>
        </w:trPr>
        <w:tc>
          <w:tcPr>
            <w:tcW w:w="10041" w:type="dxa"/>
          </w:tcPr>
          <w:p w:rsidR="00E02503" w:rsidRDefault="00E02503" w:rsidP="00E00552">
            <w:pPr>
              <w:spacing w:line="360" w:lineRule="auto"/>
              <w:ind w:left="289"/>
              <w:rPr>
                <w:rFonts w:ascii="Times New Roman" w:hAnsi="Times New Roman" w:cs="Times New Roman"/>
                <w:sz w:val="28"/>
                <w:szCs w:val="28"/>
              </w:rPr>
            </w:pPr>
          </w:p>
        </w:tc>
      </w:tr>
    </w:tbl>
    <w:p w:rsidR="00E02503" w:rsidRDefault="00E02503" w:rsidP="00E02503">
      <w:pPr>
        <w:spacing w:line="360" w:lineRule="auto"/>
        <w:jc w:val="center"/>
        <w:rPr>
          <w:rFonts w:ascii="Times New Roman" w:hAnsi="Times New Roman" w:cs="Times New Roman"/>
          <w:b/>
          <w:bCs/>
          <w:sz w:val="28"/>
          <w:szCs w:val="32"/>
        </w:rPr>
      </w:pPr>
    </w:p>
    <w:p w:rsidR="00035C44" w:rsidRDefault="00035C44" w:rsidP="00E02503">
      <w:pPr>
        <w:spacing w:line="360" w:lineRule="auto"/>
        <w:jc w:val="center"/>
        <w:rPr>
          <w:rFonts w:ascii="Times New Roman" w:hAnsi="Times New Roman" w:cs="Times New Roman"/>
          <w:b/>
          <w:bCs/>
          <w:sz w:val="28"/>
          <w:szCs w:val="32"/>
        </w:rPr>
      </w:pPr>
    </w:p>
    <w:p w:rsidR="00E02503" w:rsidRDefault="00E02503" w:rsidP="00E02503">
      <w:pPr>
        <w:spacing w:line="360" w:lineRule="auto"/>
        <w:jc w:val="center"/>
        <w:rPr>
          <w:rFonts w:ascii="Times New Roman" w:hAnsi="Times New Roman" w:cs="Times New Roman"/>
          <w:sz w:val="28"/>
          <w:szCs w:val="32"/>
        </w:rPr>
      </w:pPr>
      <w:r>
        <w:rPr>
          <w:rFonts w:ascii="Times New Roman" w:hAnsi="Times New Roman" w:cs="Times New Roman"/>
          <w:b/>
          <w:bCs/>
          <w:sz w:val="28"/>
          <w:szCs w:val="32"/>
        </w:rPr>
        <w:lastRenderedPageBreak/>
        <w:t>ВСТУП</w:t>
      </w:r>
    </w:p>
    <w:p w:rsidR="00E02503" w:rsidRDefault="00E02503" w:rsidP="00E02503">
      <w:pPr>
        <w:spacing w:after="0" w:line="360" w:lineRule="auto"/>
        <w:ind w:firstLine="708"/>
        <w:jc w:val="both"/>
        <w:rPr>
          <w:rStyle w:val="w"/>
          <w:color w:val="000000"/>
          <w:szCs w:val="28"/>
          <w:shd w:val="clear" w:color="auto" w:fill="FFFFFF"/>
        </w:rPr>
      </w:pPr>
      <w:r>
        <w:rPr>
          <w:rStyle w:val="w"/>
          <w:rFonts w:ascii="Times New Roman" w:hAnsi="Times New Roman" w:cs="Times New Roman"/>
          <w:color w:val="000000"/>
          <w:sz w:val="28"/>
          <w:szCs w:val="28"/>
          <w:shd w:val="clear" w:color="auto" w:fill="FFFFFF"/>
        </w:rPr>
        <w:t>Американський письменник Стівен Едвін Кінг – всесвітньо визнаний майстер гротеску, фантастичного роману і роману жахів. Успіх і популярність прийшли до нього дуже швидко. Стівен Кінг цікавий своїм особливим підходом до письменницької справи. Письменник не боїться змішувати елементи найрізноманітніших жанрів: наукової фантастики, жаху, детектива, фентезі, містики. Часом, в його творах можна побачити просту картину повсякденної американської дійсності, намальовану в формі гротеску.</w:t>
      </w:r>
    </w:p>
    <w:p w:rsidR="00E02503" w:rsidRDefault="00E02503" w:rsidP="00E02503">
      <w:pPr>
        <w:spacing w:after="0" w:line="360" w:lineRule="auto"/>
        <w:ind w:firstLine="708"/>
        <w:jc w:val="both"/>
        <w:rPr>
          <w:rStyle w:val="w"/>
          <w:rFonts w:ascii="Times New Roman" w:hAnsi="Times New Roman" w:cs="Times New Roman"/>
          <w:color w:val="000000"/>
          <w:sz w:val="36"/>
          <w:szCs w:val="28"/>
          <w:shd w:val="clear" w:color="auto" w:fill="FFFFFF"/>
        </w:rPr>
      </w:pPr>
      <w:r>
        <w:rPr>
          <w:rStyle w:val="w"/>
          <w:rFonts w:ascii="Times New Roman" w:hAnsi="Times New Roman" w:cs="Times New Roman"/>
          <w:color w:val="000000"/>
          <w:sz w:val="28"/>
          <w:szCs w:val="28"/>
          <w:shd w:val="clear" w:color="auto" w:fill="FFFFFF"/>
        </w:rPr>
        <w:t xml:space="preserve">Його книга «Про письменство. Мемуари про ремесло» – цінний посібник для тих, хто хоче навчитися писати та писати краще. </w:t>
      </w:r>
      <w:r>
        <w:rPr>
          <w:rFonts w:ascii="Times New Roman" w:hAnsi="Times New Roman" w:cs="Times New Roman"/>
          <w:color w:val="000000"/>
          <w:sz w:val="28"/>
          <w:shd w:val="clear" w:color="auto" w:fill="FFFFFF"/>
        </w:rPr>
        <w:t xml:space="preserve">Ця книга у Стівена Кінга найтонша, проте писав він її чи не найдовше. Він пише простими словами про складне: відносини між автором та читачем, як акт телепатії; інструменти письменника, як запорука якісної книги. Ця робота цікава своєю жанровою різноманітністю – автобіографією і мемуарами,  в якій життєпис тонко переплітається з актуальними явищами письменства. </w:t>
      </w:r>
    </w:p>
    <w:p w:rsidR="00E02503" w:rsidRDefault="00E02503" w:rsidP="00E02503">
      <w:pPr>
        <w:spacing w:after="0" w:line="360" w:lineRule="auto"/>
        <w:ind w:firstLine="708"/>
        <w:jc w:val="both"/>
        <w:rPr>
          <w:sz w:val="28"/>
        </w:rPr>
      </w:pPr>
      <w:r>
        <w:rPr>
          <w:rFonts w:ascii="Times New Roman" w:hAnsi="Times New Roman" w:cs="Times New Roman"/>
          <w:b/>
          <w:bCs/>
          <w:sz w:val="28"/>
          <w:szCs w:val="28"/>
        </w:rPr>
        <w:t xml:space="preserve">Актуальність дослідження. </w:t>
      </w:r>
      <w:r>
        <w:rPr>
          <w:rFonts w:ascii="Times New Roman" w:hAnsi="Times New Roman" w:cs="Times New Roman"/>
          <w:sz w:val="28"/>
          <w:szCs w:val="28"/>
        </w:rPr>
        <w:t xml:space="preserve">Актуальність роботи полягає в тому, що сьогодні є нагальним питання визначення </w:t>
      </w:r>
      <w:r>
        <w:rPr>
          <w:rFonts w:ascii="Times New Roman" w:hAnsi="Times New Roman" w:cs="Times New Roman"/>
          <w:sz w:val="28"/>
        </w:rPr>
        <w:t xml:space="preserve">сутності письменницької праці, як творчого та наукового феномена. </w:t>
      </w:r>
      <w:r>
        <w:rPr>
          <w:rFonts w:ascii="Times New Roman" w:hAnsi="Times New Roman" w:cs="Times New Roman"/>
          <w:sz w:val="28"/>
          <w:szCs w:val="28"/>
        </w:rPr>
        <w:t xml:space="preserve">Є доречним розглянути письменство з різних сторін жанрового різноманіття, </w:t>
      </w:r>
      <w:r>
        <w:rPr>
          <w:rFonts w:ascii="Times New Roman" w:hAnsi="Times New Roman" w:cs="Times New Roman"/>
          <w:sz w:val="28"/>
        </w:rPr>
        <w:t xml:space="preserve">з’ясування природу його метафоричності і встановити специфіку будування «інструментарія» письменника в масовій літературі. Визначити вплив автора на читача за допомогою автобіографічного і мемуарного викладу тексту. </w:t>
      </w:r>
    </w:p>
    <w:p w:rsidR="00E02503" w:rsidRDefault="00E02503" w:rsidP="00E02503">
      <w:pPr>
        <w:spacing w:after="0" w:line="360" w:lineRule="auto"/>
        <w:ind w:firstLine="708"/>
        <w:jc w:val="both"/>
        <w:rPr>
          <w:rFonts w:ascii="Times New Roman" w:hAnsi="Times New Roman" w:cs="Times New Roman"/>
          <w:sz w:val="28"/>
          <w:szCs w:val="28"/>
        </w:rPr>
      </w:pPr>
      <w:r>
        <w:rPr>
          <w:rFonts w:ascii="Times New Roman" w:hAnsi="Times New Roman" w:cs="Times New Roman"/>
          <w:b/>
          <w:bCs/>
          <w:sz w:val="28"/>
          <w:szCs w:val="28"/>
        </w:rPr>
        <w:t>Об’єкт дослідження</w:t>
      </w:r>
      <w:r>
        <w:rPr>
          <w:rFonts w:ascii="Times New Roman" w:hAnsi="Times New Roman" w:cs="Times New Roman"/>
          <w:sz w:val="28"/>
          <w:szCs w:val="28"/>
        </w:rPr>
        <w:t xml:space="preserve"> – книга Стівена Кінга «Про письменство. Мемуари про ремесло».</w:t>
      </w:r>
    </w:p>
    <w:p w:rsidR="00E02503" w:rsidRDefault="00E02503" w:rsidP="00E02503">
      <w:pPr>
        <w:spacing w:after="0" w:line="360" w:lineRule="auto"/>
        <w:ind w:firstLine="708"/>
        <w:jc w:val="both"/>
        <w:rPr>
          <w:rFonts w:ascii="Times New Roman" w:hAnsi="Times New Roman" w:cs="Times New Roman"/>
          <w:sz w:val="28"/>
          <w:szCs w:val="28"/>
        </w:rPr>
      </w:pPr>
      <w:r>
        <w:rPr>
          <w:rFonts w:ascii="Times New Roman" w:hAnsi="Times New Roman" w:cs="Times New Roman"/>
          <w:b/>
          <w:bCs/>
          <w:sz w:val="28"/>
          <w:szCs w:val="28"/>
        </w:rPr>
        <w:t>Предмет дослідження</w:t>
      </w:r>
      <w:r>
        <w:rPr>
          <w:rFonts w:ascii="Times New Roman" w:hAnsi="Times New Roman" w:cs="Times New Roman"/>
          <w:sz w:val="28"/>
          <w:szCs w:val="28"/>
        </w:rPr>
        <w:t xml:space="preserve"> – </w:t>
      </w:r>
      <w:r>
        <w:rPr>
          <w:rFonts w:ascii="Times New Roman" w:hAnsi="Times New Roman" w:cs="Times New Roman"/>
          <w:color w:val="000000"/>
          <w:sz w:val="28"/>
          <w:szCs w:val="28"/>
        </w:rPr>
        <w:t xml:space="preserve">комунікаційний процес письменницької праці Стівена Кінга. </w:t>
      </w:r>
    </w:p>
    <w:p w:rsidR="00E02503" w:rsidRDefault="00E02503" w:rsidP="00E02503">
      <w:pPr>
        <w:spacing w:after="0" w:line="360" w:lineRule="auto"/>
        <w:ind w:firstLine="708"/>
        <w:jc w:val="both"/>
        <w:rPr>
          <w:rFonts w:ascii="Times New Roman" w:hAnsi="Times New Roman" w:cs="Times New Roman"/>
          <w:sz w:val="28"/>
          <w:szCs w:val="28"/>
        </w:rPr>
      </w:pPr>
      <w:r>
        <w:rPr>
          <w:rFonts w:ascii="Times New Roman" w:hAnsi="Times New Roman" w:cs="Times New Roman"/>
          <w:b/>
          <w:bCs/>
          <w:sz w:val="28"/>
          <w:szCs w:val="28"/>
        </w:rPr>
        <w:t>Мета роботи</w:t>
      </w:r>
      <w:r>
        <w:rPr>
          <w:rFonts w:ascii="Times New Roman" w:hAnsi="Times New Roman" w:cs="Times New Roman"/>
          <w:sz w:val="28"/>
          <w:szCs w:val="28"/>
        </w:rPr>
        <w:t xml:space="preserve"> – дослідити роль автора в письменницькій справі, проаналізувати методи і способи створення творів за матеріалами книги «Про письменство. Мемуари про ремесло».</w:t>
      </w:r>
    </w:p>
    <w:p w:rsidR="00E02503" w:rsidRDefault="00E02503" w:rsidP="00E0250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Головними </w:t>
      </w:r>
      <w:r>
        <w:rPr>
          <w:rFonts w:ascii="Times New Roman" w:hAnsi="Times New Roman" w:cs="Times New Roman"/>
          <w:b/>
          <w:bCs/>
          <w:sz w:val="28"/>
          <w:szCs w:val="28"/>
        </w:rPr>
        <w:t xml:space="preserve">завданнями </w:t>
      </w:r>
      <w:r>
        <w:rPr>
          <w:rFonts w:ascii="Times New Roman" w:hAnsi="Times New Roman" w:cs="Times New Roman"/>
          <w:bCs/>
          <w:sz w:val="28"/>
          <w:szCs w:val="28"/>
        </w:rPr>
        <w:t xml:space="preserve">магістерської роботи стають: </w:t>
      </w:r>
    </w:p>
    <w:p w:rsidR="00E02503" w:rsidRDefault="00E02503" w:rsidP="00E02503">
      <w:pPr>
        <w:tabs>
          <w:tab w:val="left" w:pos="2535"/>
          <w:tab w:val="center" w:pos="4677"/>
          <w:tab w:val="left" w:pos="6720"/>
        </w:tabs>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lastRenderedPageBreak/>
        <w:t>-</w:t>
      </w:r>
      <w:r>
        <w:rPr>
          <w:rFonts w:ascii="Times New Roman" w:hAnsi="Times New Roman" w:cs="Times New Roman"/>
          <w:bCs/>
          <w:sz w:val="28"/>
          <w:szCs w:val="28"/>
        </w:rPr>
        <w:t xml:space="preserve"> </w:t>
      </w:r>
      <w:r>
        <w:rPr>
          <w:rFonts w:ascii="Times New Roman" w:hAnsi="Times New Roman" w:cs="Times New Roman"/>
          <w:sz w:val="28"/>
          <w:szCs w:val="28"/>
        </w:rPr>
        <w:t xml:space="preserve">показати творчий шлях Стівена Кінга; </w:t>
      </w:r>
    </w:p>
    <w:p w:rsidR="00E02503" w:rsidRDefault="00E02503" w:rsidP="00E02503">
      <w:pPr>
        <w:tabs>
          <w:tab w:val="left" w:pos="2535"/>
          <w:tab w:val="center" w:pos="4677"/>
          <w:tab w:val="left" w:pos="6720"/>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 xml:space="preserve"> проаналізувати та порівняти наукові праці про письменника;</w:t>
      </w:r>
    </w:p>
    <w:p w:rsidR="00E02503" w:rsidRDefault="00E02503" w:rsidP="00E02503">
      <w:pPr>
        <w:tabs>
          <w:tab w:val="left" w:pos="2535"/>
          <w:tab w:val="center" w:pos="4677"/>
          <w:tab w:val="left" w:pos="6720"/>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 xml:space="preserve"> розглянути жанри в яких працює Стівен Кінг; </w:t>
      </w:r>
    </w:p>
    <w:p w:rsidR="00E02503" w:rsidRDefault="00E02503" w:rsidP="00E02503">
      <w:pPr>
        <w:tabs>
          <w:tab w:val="left" w:pos="2535"/>
          <w:tab w:val="center" w:pos="4677"/>
          <w:tab w:val="left" w:pos="6720"/>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 xml:space="preserve"> розглянути «інструменти» письменника, які використані у творах Кінга;</w:t>
      </w:r>
    </w:p>
    <w:p w:rsidR="00E02503" w:rsidRDefault="00E02503" w:rsidP="00E02503">
      <w:pPr>
        <w:tabs>
          <w:tab w:val="left" w:pos="2535"/>
          <w:tab w:val="center" w:pos="4677"/>
          <w:tab w:val="left" w:pos="6720"/>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проаналізувати комунікативні наміри та компетенцію автора. </w:t>
      </w:r>
    </w:p>
    <w:p w:rsidR="00E02503" w:rsidRDefault="00E02503" w:rsidP="00E0250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Теоретико-методологічною основою дипломної роботи є праці         </w:t>
      </w:r>
    </w:p>
    <w:p w:rsidR="00E02503" w:rsidRDefault="00E02503" w:rsidP="00E02503">
      <w:pPr>
        <w:spacing w:after="0" w:line="360" w:lineRule="auto"/>
        <w:jc w:val="both"/>
        <w:rPr>
          <w:rFonts w:ascii="Times New Roman" w:hAnsi="Times New Roman" w:cs="Times New Roman"/>
          <w:b/>
          <w:bCs/>
          <w:sz w:val="28"/>
          <w:szCs w:val="28"/>
        </w:rPr>
      </w:pPr>
      <w:r>
        <w:rPr>
          <w:rFonts w:ascii="Times New Roman" w:hAnsi="Times New Roman" w:cs="Times New Roman"/>
          <w:sz w:val="28"/>
          <w:szCs w:val="28"/>
        </w:rPr>
        <w:t>М. М. Бахтіна, Ю. М. Лотмана, Умберто Еко, Романа Інгардена, А. В Нагорної, Гарольда Лассвела та інших.</w:t>
      </w:r>
    </w:p>
    <w:p w:rsidR="00E02503" w:rsidRDefault="00E02503" w:rsidP="00E02503">
      <w:pPr>
        <w:pStyle w:val="a5"/>
        <w:spacing w:line="360" w:lineRule="auto"/>
        <w:ind w:firstLine="708"/>
        <w:rPr>
          <w:rFonts w:ascii="Times New Roman" w:hAnsi="Times New Roman" w:cs="Times New Roman"/>
          <w:sz w:val="28"/>
        </w:rPr>
      </w:pPr>
      <w:r>
        <w:rPr>
          <w:rFonts w:ascii="Times New Roman" w:hAnsi="Times New Roman" w:cs="Times New Roman"/>
          <w:b/>
          <w:sz w:val="28"/>
        </w:rPr>
        <w:t>Методи дослідження</w:t>
      </w:r>
      <w:r>
        <w:rPr>
          <w:rFonts w:ascii="Times New Roman" w:hAnsi="Times New Roman" w:cs="Times New Roman"/>
          <w:sz w:val="28"/>
        </w:rPr>
        <w:t xml:space="preserve"> –  аналіз і порівняння, структурно</w:t>
      </w:r>
      <w:r>
        <w:rPr>
          <w:rFonts w:ascii="Times New Roman" w:hAnsi="Times New Roman" w:cs="Times New Roman"/>
          <w:sz w:val="28"/>
          <w:lang w:val="ru-RU"/>
        </w:rPr>
        <w:t xml:space="preserve"> -</w:t>
      </w:r>
      <w:r>
        <w:rPr>
          <w:rFonts w:ascii="Times New Roman" w:hAnsi="Times New Roman" w:cs="Times New Roman"/>
          <w:sz w:val="28"/>
        </w:rPr>
        <w:t xml:space="preserve">функціоналістський метод використовувався для дослідження організації і структури твору. </w:t>
      </w:r>
    </w:p>
    <w:p w:rsidR="00E02503" w:rsidRDefault="00E02503" w:rsidP="00E02503">
      <w:pPr>
        <w:tabs>
          <w:tab w:val="left" w:pos="2535"/>
          <w:tab w:val="center" w:pos="4677"/>
          <w:tab w:val="left" w:pos="6720"/>
        </w:tabs>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          Структура дослідницької роботи </w:t>
      </w:r>
      <w:r>
        <w:rPr>
          <w:rFonts w:ascii="Times New Roman" w:hAnsi="Times New Roman" w:cs="Times New Roman"/>
          <w:sz w:val="28"/>
          <w:szCs w:val="28"/>
        </w:rPr>
        <w:t>складається зі вступу, основної частини – двох розділів, трьох підрозділів, висновків та бібліографії.</w:t>
      </w:r>
    </w:p>
    <w:p w:rsidR="00E02503" w:rsidRDefault="00E02503" w:rsidP="00E02503">
      <w:pPr>
        <w:tabs>
          <w:tab w:val="left" w:pos="2535"/>
          <w:tab w:val="center" w:pos="4677"/>
          <w:tab w:val="left" w:pos="6720"/>
        </w:tabs>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Вступ</w:t>
      </w:r>
      <w:r>
        <w:rPr>
          <w:rFonts w:ascii="Times New Roman" w:hAnsi="Times New Roman" w:cs="Times New Roman"/>
          <w:sz w:val="28"/>
          <w:szCs w:val="28"/>
        </w:rPr>
        <w:t xml:space="preserve"> визначає актуальність даної роботи, завдання, мету.</w:t>
      </w:r>
    </w:p>
    <w:p w:rsidR="00E02503" w:rsidRDefault="00E02503" w:rsidP="00E02503">
      <w:pPr>
        <w:tabs>
          <w:tab w:val="left" w:pos="2535"/>
          <w:tab w:val="center" w:pos="4677"/>
          <w:tab w:val="left" w:pos="6720"/>
        </w:tabs>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Перший розділ </w:t>
      </w:r>
      <w:r>
        <w:rPr>
          <w:rFonts w:ascii="Times New Roman" w:hAnsi="Times New Roman" w:cs="Times New Roman"/>
          <w:sz w:val="28"/>
          <w:szCs w:val="28"/>
        </w:rPr>
        <w:t xml:space="preserve">роботи надає уявлення про творче становлення Стівена Кінга як письменника, його жанровий вибір і бачення письменницької праці. В роботі надаються наукові праці та дослідження про стиль письменника.  </w:t>
      </w:r>
    </w:p>
    <w:p w:rsidR="00E02503" w:rsidRDefault="00E02503" w:rsidP="00E02503">
      <w:pPr>
        <w:pStyle w:val="a3"/>
        <w:spacing w:before="0" w:beforeAutospacing="0" w:after="0" w:afterAutospacing="0" w:line="360" w:lineRule="auto"/>
        <w:ind w:firstLine="708"/>
        <w:jc w:val="both"/>
        <w:rPr>
          <w:color w:val="000000"/>
          <w:sz w:val="28"/>
          <w:szCs w:val="28"/>
          <w:shd w:val="clear" w:color="auto" w:fill="FFFFFF"/>
        </w:rPr>
      </w:pPr>
      <w:r>
        <w:rPr>
          <w:b/>
          <w:bCs/>
          <w:sz w:val="28"/>
          <w:szCs w:val="28"/>
        </w:rPr>
        <w:t>Другий розділ</w:t>
      </w:r>
      <w:r>
        <w:rPr>
          <w:sz w:val="28"/>
          <w:szCs w:val="28"/>
        </w:rPr>
        <w:t xml:space="preserve"> визначає структуру праці «Про письменство», </w:t>
      </w:r>
      <w:r>
        <w:rPr>
          <w:color w:val="000000"/>
          <w:sz w:val="28"/>
          <w:szCs w:val="28"/>
          <w:shd w:val="clear" w:color="auto" w:fill="FFFFFF"/>
        </w:rPr>
        <w:t xml:space="preserve">в якому автор розповідає про історичні події, свідком або учасником яких був він сам. Наводяться приклади використання «інструментів» письменника, за допомогою яких Стівену Кінгу вдалося написати популярні по всьому світу романи. Аналізується комунікативна мета письменника, роль автора і читача за допомогою ланцюга Лассвела. </w:t>
      </w:r>
    </w:p>
    <w:p w:rsidR="00E02503" w:rsidRDefault="00E02503" w:rsidP="00E02503">
      <w:pPr>
        <w:pStyle w:val="a3"/>
        <w:spacing w:before="0" w:beforeAutospacing="0" w:after="0" w:afterAutospacing="0" w:line="360" w:lineRule="auto"/>
        <w:ind w:firstLine="708"/>
        <w:jc w:val="both"/>
        <w:rPr>
          <w:sz w:val="28"/>
          <w:szCs w:val="28"/>
        </w:rPr>
      </w:pPr>
      <w:r>
        <w:rPr>
          <w:sz w:val="28"/>
          <w:szCs w:val="28"/>
        </w:rPr>
        <w:t xml:space="preserve">У </w:t>
      </w:r>
      <w:r>
        <w:rPr>
          <w:b/>
          <w:bCs/>
          <w:sz w:val="28"/>
          <w:szCs w:val="28"/>
        </w:rPr>
        <w:t>висновках</w:t>
      </w:r>
      <w:r>
        <w:rPr>
          <w:sz w:val="28"/>
          <w:szCs w:val="28"/>
        </w:rPr>
        <w:t xml:space="preserve"> узагальнено результати дослідження.</w:t>
      </w:r>
    </w:p>
    <w:p w:rsidR="00F86A7D" w:rsidRDefault="00F86A7D" w:rsidP="00E02503">
      <w:pPr>
        <w:pStyle w:val="a3"/>
        <w:spacing w:before="0" w:beforeAutospacing="0" w:after="0" w:afterAutospacing="0" w:line="360" w:lineRule="auto"/>
        <w:ind w:firstLine="708"/>
        <w:jc w:val="both"/>
        <w:rPr>
          <w:sz w:val="28"/>
          <w:szCs w:val="28"/>
        </w:rPr>
      </w:pPr>
    </w:p>
    <w:p w:rsidR="00F86A7D" w:rsidRDefault="00F86A7D" w:rsidP="00E02503">
      <w:pPr>
        <w:pStyle w:val="a3"/>
        <w:spacing w:before="0" w:beforeAutospacing="0" w:after="0" w:afterAutospacing="0" w:line="360" w:lineRule="auto"/>
        <w:ind w:firstLine="708"/>
        <w:jc w:val="both"/>
        <w:rPr>
          <w:sz w:val="28"/>
          <w:szCs w:val="28"/>
        </w:rPr>
      </w:pPr>
    </w:p>
    <w:p w:rsidR="00F86A7D" w:rsidRDefault="00F86A7D" w:rsidP="00E02503">
      <w:pPr>
        <w:pStyle w:val="a3"/>
        <w:spacing w:before="0" w:beforeAutospacing="0" w:after="0" w:afterAutospacing="0" w:line="360" w:lineRule="auto"/>
        <w:ind w:firstLine="708"/>
        <w:jc w:val="both"/>
        <w:rPr>
          <w:sz w:val="28"/>
          <w:szCs w:val="28"/>
        </w:rPr>
      </w:pPr>
    </w:p>
    <w:p w:rsidR="00F86A7D" w:rsidRDefault="00F86A7D" w:rsidP="00E02503">
      <w:pPr>
        <w:pStyle w:val="a3"/>
        <w:spacing w:before="0" w:beforeAutospacing="0" w:after="0" w:afterAutospacing="0" w:line="360" w:lineRule="auto"/>
        <w:ind w:firstLine="708"/>
        <w:jc w:val="both"/>
        <w:rPr>
          <w:sz w:val="28"/>
          <w:szCs w:val="28"/>
        </w:rPr>
      </w:pPr>
    </w:p>
    <w:p w:rsidR="00F86A7D" w:rsidRDefault="00F86A7D" w:rsidP="00E02503">
      <w:pPr>
        <w:pStyle w:val="a3"/>
        <w:spacing w:before="0" w:beforeAutospacing="0" w:after="0" w:afterAutospacing="0" w:line="360" w:lineRule="auto"/>
        <w:ind w:firstLine="708"/>
        <w:jc w:val="both"/>
        <w:rPr>
          <w:sz w:val="28"/>
          <w:szCs w:val="28"/>
        </w:rPr>
      </w:pPr>
    </w:p>
    <w:p w:rsidR="00F86A7D" w:rsidRDefault="00F86A7D" w:rsidP="00E02503">
      <w:pPr>
        <w:pStyle w:val="a3"/>
        <w:spacing w:before="0" w:beforeAutospacing="0" w:after="0" w:afterAutospacing="0" w:line="360" w:lineRule="auto"/>
        <w:ind w:firstLine="708"/>
        <w:jc w:val="both"/>
        <w:rPr>
          <w:sz w:val="28"/>
          <w:szCs w:val="28"/>
        </w:rPr>
      </w:pPr>
    </w:p>
    <w:p w:rsidR="00F86A7D" w:rsidRDefault="00F86A7D" w:rsidP="00F86A7D">
      <w:pPr>
        <w:spacing w:after="0" w:line="360" w:lineRule="auto"/>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lastRenderedPageBreak/>
        <w:t>ВИСНОВКИ</w:t>
      </w:r>
    </w:p>
    <w:p w:rsidR="00F86A7D" w:rsidRDefault="00F86A7D" w:rsidP="00F86A7D">
      <w:pPr>
        <w:spacing w:after="0" w:line="360" w:lineRule="auto"/>
        <w:ind w:firstLine="708"/>
        <w:jc w:val="both"/>
        <w:rPr>
          <w:rFonts w:ascii="Times New Roman" w:hAnsi="Times New Roman" w:cs="Times New Roman"/>
          <w:color w:val="000000"/>
          <w:sz w:val="28"/>
          <w:szCs w:val="28"/>
          <w:shd w:val="clear" w:color="auto" w:fill="FFFFFF"/>
        </w:rPr>
      </w:pPr>
    </w:p>
    <w:p w:rsidR="00F86A7D" w:rsidRDefault="00F86A7D" w:rsidP="00F86A7D">
      <w:pPr>
        <w:spacing w:after="0" w:line="36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Робота Стівена Кінга «Про письменство. Мемуари про ремесло» показує неоднозначний підхід до жанрового викладу тексту. В його роботі тісно переплітається автобіографія і мемуари. Жанрова відмінність простежується в розділах, які пропонує «король жахів». Ця праця показує тяжкий творчий шлях майбутніх письменників. Кінг надає поради, які лежать на поверхні, але так глибоко не зрозумілі для початківців. </w:t>
      </w:r>
    </w:p>
    <w:p w:rsidR="00F86A7D" w:rsidRDefault="00F86A7D" w:rsidP="00F86A7D">
      <w:pPr>
        <w:spacing w:after="0" w:line="36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Для Стівена Кінга письменство – це акт телепатії. Усі види мистецтва певною мірою покладаються на телепатію, але письмо – це її найчистіший дистилят. Автор закладає думку – читач її підхоплює та інтерпретує. </w:t>
      </w:r>
    </w:p>
    <w:p w:rsidR="00F86A7D" w:rsidRDefault="00F86A7D" w:rsidP="00F86A7D">
      <w:pPr>
        <w:spacing w:after="0" w:line="360" w:lineRule="auto"/>
        <w:ind w:firstLine="708"/>
        <w:jc w:val="both"/>
        <w:rPr>
          <w:rFonts w:ascii="Times New Roman" w:hAnsi="Times New Roman" w:cs="Times New Roman"/>
          <w:color w:val="000000"/>
          <w:sz w:val="28"/>
          <w:szCs w:val="27"/>
          <w:shd w:val="clear" w:color="auto" w:fill="FFFFFF"/>
        </w:rPr>
      </w:pPr>
      <w:r>
        <w:rPr>
          <w:rFonts w:ascii="Times New Roman" w:hAnsi="Times New Roman" w:cs="Times New Roman"/>
          <w:color w:val="000000"/>
          <w:sz w:val="28"/>
          <w:szCs w:val="28"/>
          <w:shd w:val="clear" w:color="auto" w:fill="FFFFFF"/>
        </w:rPr>
        <w:t xml:space="preserve">Письменник повинен мати свій «ящик з інструментами», якими він може впевнено користуватися. </w:t>
      </w:r>
      <w:r>
        <w:rPr>
          <w:rFonts w:ascii="Times New Roman" w:hAnsi="Times New Roman" w:cs="Times New Roman"/>
          <w:color w:val="000000"/>
          <w:sz w:val="28"/>
          <w:szCs w:val="27"/>
          <w:shd w:val="clear" w:color="auto" w:fill="FFFFFF"/>
        </w:rPr>
        <w:t xml:space="preserve">Прості інструменти потрібно класти нагору. Найпростіший із них, хліб письменства – лексикон. Тут він наголошує, що лексикон не передбачає довгі складні мовленнєві конструкції. Прикрашати лексику в пошуках довгих слів, бо трохи соромно за короткі – це дуже погано, вважає Стівен Кінг. </w:t>
      </w:r>
    </w:p>
    <w:p w:rsidR="00F86A7D" w:rsidRDefault="00F86A7D" w:rsidP="00F86A7D">
      <w:pPr>
        <w:spacing w:after="0" w:line="360" w:lineRule="auto"/>
        <w:ind w:firstLine="709"/>
        <w:jc w:val="both"/>
      </w:pPr>
      <w:r>
        <w:rPr>
          <w:rFonts w:ascii="Times New Roman" w:hAnsi="Times New Roman" w:cs="Times New Roman"/>
          <w:sz w:val="28"/>
          <w:szCs w:val="27"/>
          <w:shd w:val="clear" w:color="auto" w:fill="FFFFFF"/>
        </w:rPr>
        <w:t xml:space="preserve">Книга  «Про письменство» </w:t>
      </w:r>
      <w:r>
        <w:rPr>
          <w:rFonts w:ascii="Times New Roman" w:hAnsi="Times New Roman" w:cs="Times New Roman"/>
          <w:sz w:val="28"/>
          <w:szCs w:val="28"/>
          <w:shd w:val="clear" w:color="auto" w:fill="FFFFFF"/>
        </w:rPr>
        <w:t>досліджує й узагальнює  з власного погляду важливі виклики письменницької справи. Кінг намагається вплинути на </w:t>
      </w:r>
      <w:r w:rsidRPr="00861CBB">
        <w:rPr>
          <w:rFonts w:ascii="Times New Roman" w:hAnsi="Times New Roman" w:cs="Times New Roman"/>
          <w:sz w:val="28"/>
          <w:szCs w:val="28"/>
          <w:shd w:val="clear" w:color="auto" w:fill="FFFFFF"/>
        </w:rPr>
        <w:t>суспільну думку</w:t>
      </w:r>
      <w:r>
        <w:rPr>
          <w:rFonts w:ascii="Times New Roman" w:hAnsi="Times New Roman" w:cs="Times New Roman"/>
          <w:sz w:val="28"/>
          <w:szCs w:val="28"/>
          <w:shd w:val="clear" w:color="auto" w:fill="FFFFFF"/>
        </w:rPr>
        <w:t>, використовуючи при цьому засоби </w:t>
      </w:r>
      <w:r w:rsidRPr="00861CBB">
        <w:rPr>
          <w:rFonts w:ascii="Times New Roman" w:hAnsi="Times New Roman" w:cs="Times New Roman"/>
          <w:sz w:val="28"/>
          <w:szCs w:val="28"/>
          <w:shd w:val="clear" w:color="auto" w:fill="FFFFFF"/>
        </w:rPr>
        <w:t>логічного</w:t>
      </w:r>
      <w:r>
        <w:rPr>
          <w:rFonts w:ascii="Times New Roman" w:hAnsi="Times New Roman" w:cs="Times New Roman"/>
          <w:sz w:val="28"/>
          <w:szCs w:val="28"/>
          <w:shd w:val="clear" w:color="auto" w:fill="FFFFFF"/>
        </w:rPr>
        <w:t>      мислення та емоційного впливу. Присутня авторська оцінка явищ, подекуди суб’єктивна зі спонуканням до висновків на майбутнє.</w:t>
      </w:r>
    </w:p>
    <w:p w:rsidR="00F86A7D" w:rsidRDefault="00F86A7D" w:rsidP="00F86A7D">
      <w:pPr>
        <w:spacing w:after="0" w:line="360" w:lineRule="auto"/>
        <w:ind w:firstLine="708"/>
        <w:jc w:val="both"/>
        <w:rPr>
          <w:rFonts w:ascii="Times New Roman" w:hAnsi="Times New Roman" w:cs="Times New Roman"/>
          <w:sz w:val="28"/>
          <w:szCs w:val="21"/>
          <w:shd w:val="clear" w:color="auto" w:fill="FFFFFF"/>
        </w:rPr>
      </w:pPr>
      <w:r>
        <w:rPr>
          <w:rFonts w:ascii="Times New Roman" w:hAnsi="Times New Roman" w:cs="Times New Roman"/>
          <w:sz w:val="28"/>
          <w:szCs w:val="28"/>
          <w:shd w:val="clear" w:color="auto" w:fill="FFFFFF"/>
        </w:rPr>
        <w:t xml:space="preserve">Автобіографічність жанру підтверджується життєписом, </w:t>
      </w:r>
      <w:r>
        <w:rPr>
          <w:rFonts w:ascii="Times New Roman" w:hAnsi="Times New Roman" w:cs="Times New Roman"/>
          <w:sz w:val="28"/>
          <w:szCs w:val="28"/>
        </w:rPr>
        <w:t> в якому головним персонажем виступає сам автор, а події, вміщені у </w:t>
      </w:r>
      <w:r w:rsidRPr="00861CBB">
        <w:rPr>
          <w:rFonts w:ascii="Times New Roman" w:hAnsi="Times New Roman" w:cs="Times New Roman"/>
          <w:sz w:val="28"/>
          <w:szCs w:val="28"/>
        </w:rPr>
        <w:t>фабулі</w:t>
      </w:r>
      <w:r>
        <w:rPr>
          <w:rFonts w:ascii="Times New Roman" w:hAnsi="Times New Roman" w:cs="Times New Roman"/>
          <w:sz w:val="28"/>
          <w:szCs w:val="28"/>
        </w:rPr>
        <w:t xml:space="preserve"> – достеменні події з його життя. Як образ головного персонажа, так і його </w:t>
      </w:r>
      <w:r w:rsidRPr="00861CBB">
        <w:rPr>
          <w:rFonts w:ascii="Times New Roman" w:hAnsi="Times New Roman" w:cs="Times New Roman"/>
          <w:sz w:val="28"/>
          <w:szCs w:val="28"/>
        </w:rPr>
        <w:t>сюжет</w:t>
      </w:r>
      <w:r>
        <w:rPr>
          <w:rFonts w:ascii="Times New Roman" w:hAnsi="Times New Roman" w:cs="Times New Roman"/>
          <w:sz w:val="28"/>
          <w:szCs w:val="28"/>
        </w:rPr>
        <w:t xml:space="preserve"> – це художня обробка фактів, пережитих Стівеном Кінгом. Він </w:t>
      </w:r>
      <w:r>
        <w:rPr>
          <w:rFonts w:ascii="Times New Roman" w:hAnsi="Times New Roman" w:cs="Times New Roman"/>
          <w:sz w:val="28"/>
          <w:szCs w:val="21"/>
          <w:shd w:val="clear" w:color="auto" w:fill="FFFFFF"/>
        </w:rPr>
        <w:t>концентровано й послідовно втілює авторські погляди, суб’єктивно трактуючи події й факти життя.</w:t>
      </w:r>
    </w:p>
    <w:p w:rsidR="00F86A7D" w:rsidRDefault="00F86A7D" w:rsidP="00F86A7D">
      <w:pPr>
        <w:spacing w:after="0" w:line="360" w:lineRule="auto"/>
        <w:ind w:firstLine="708"/>
        <w:jc w:val="both"/>
        <w:rPr>
          <w:rFonts w:ascii="Times New Roman" w:hAnsi="Times New Roman" w:cs="Times New Roman"/>
          <w:sz w:val="28"/>
          <w:szCs w:val="21"/>
          <w:shd w:val="clear" w:color="auto" w:fill="FFFFFF"/>
        </w:rPr>
      </w:pPr>
      <w:r>
        <w:rPr>
          <w:rFonts w:ascii="Times New Roman" w:hAnsi="Times New Roman" w:cs="Times New Roman"/>
          <w:sz w:val="28"/>
          <w:szCs w:val="21"/>
          <w:shd w:val="clear" w:color="auto" w:fill="FFFFFF"/>
        </w:rPr>
        <w:t xml:space="preserve">Можна зробити висновки, що незалежно від жанру, в якому працює письменник, використовуються однакові підходи до якісного письменництва. </w:t>
      </w:r>
      <w:r>
        <w:rPr>
          <w:rFonts w:ascii="Times New Roman" w:hAnsi="Times New Roman" w:cs="Times New Roman"/>
          <w:sz w:val="28"/>
          <w:szCs w:val="21"/>
          <w:shd w:val="clear" w:color="auto" w:fill="FFFFFF"/>
        </w:rPr>
        <w:lastRenderedPageBreak/>
        <w:t xml:space="preserve">Це розширення лексикона, опанування граматики та вивчення елементів стилю. Найголовніше правило якісного письменства – це багато читати й ще більше писати. </w:t>
      </w:r>
    </w:p>
    <w:p w:rsidR="00F86A7D" w:rsidRDefault="00F86A7D" w:rsidP="00F86A7D">
      <w:pPr>
        <w:spacing w:after="0" w:line="360" w:lineRule="auto"/>
        <w:ind w:firstLine="708"/>
        <w:jc w:val="both"/>
        <w:rPr>
          <w:rFonts w:ascii="Times New Roman" w:hAnsi="Times New Roman" w:cs="Times New Roman"/>
          <w:sz w:val="28"/>
          <w:szCs w:val="21"/>
          <w:shd w:val="clear" w:color="auto" w:fill="FFFFFF"/>
        </w:rPr>
      </w:pPr>
      <w:r>
        <w:rPr>
          <w:rFonts w:ascii="Times New Roman" w:hAnsi="Times New Roman" w:cs="Times New Roman"/>
          <w:sz w:val="28"/>
          <w:szCs w:val="21"/>
          <w:shd w:val="clear" w:color="auto" w:fill="FFFFFF"/>
        </w:rPr>
        <w:t xml:space="preserve"> Кінг рекомендує </w:t>
      </w:r>
      <w:r>
        <w:rPr>
          <w:rFonts w:ascii="Times New Roman" w:hAnsi="Times New Roman" w:cs="Times New Roman"/>
          <w:color w:val="000000"/>
          <w:sz w:val="28"/>
          <w:szCs w:val="27"/>
          <w:shd w:val="clear" w:color="auto" w:fill="FFFFFF"/>
        </w:rPr>
        <w:t xml:space="preserve">покласти словник на верхню полицю ящика і не робити свідомих спроб його покращити, тому що покращення відбудеться під час читання. </w:t>
      </w:r>
      <w:r>
        <w:rPr>
          <w:rFonts w:ascii="Times New Roman" w:hAnsi="Times New Roman" w:cs="Times New Roman"/>
          <w:sz w:val="28"/>
          <w:szCs w:val="21"/>
          <w:shd w:val="clear" w:color="auto" w:fill="FFFFFF"/>
        </w:rPr>
        <w:t xml:space="preserve">Читання допомагає зрозуміти природу жанрів, їх побудову. Адже жанр – один із головних елементів систематизації літературного матеріалу. Щоб зрозуміти закони будування певного жанру, будь то детектив, жахи або автобіографія потрібно знати, як ці жанри висвітлюють інші письменники, аби зробити свій власний якісний продукт.       </w:t>
      </w:r>
    </w:p>
    <w:p w:rsidR="00F86A7D" w:rsidRDefault="00F86A7D" w:rsidP="00F86A7D">
      <w:pPr>
        <w:spacing w:after="0" w:line="360" w:lineRule="auto"/>
        <w:ind w:firstLine="708"/>
        <w:jc w:val="both"/>
        <w:rPr>
          <w:rFonts w:ascii="Times New Roman" w:hAnsi="Times New Roman" w:cs="Times New Roman"/>
          <w:color w:val="000000"/>
          <w:sz w:val="28"/>
          <w:szCs w:val="27"/>
          <w:shd w:val="clear" w:color="auto" w:fill="FFFFFF"/>
        </w:rPr>
      </w:pPr>
      <w:r>
        <w:rPr>
          <w:rFonts w:ascii="Times New Roman" w:hAnsi="Times New Roman" w:cs="Times New Roman"/>
          <w:sz w:val="28"/>
          <w:szCs w:val="21"/>
          <w:shd w:val="clear" w:color="auto" w:fill="FFFFFF"/>
        </w:rPr>
        <w:t xml:space="preserve">Одна з найголовніших умінь письменника – це редагувати власні тексти, вміти бачити вглибину своїх персонажів та закладати реакції. З точки зору Кінга, редагування повинно містити  </w:t>
      </w:r>
      <w:r>
        <w:rPr>
          <w:rFonts w:ascii="Times New Roman" w:hAnsi="Times New Roman" w:cs="Times New Roman"/>
          <w:color w:val="000000"/>
          <w:sz w:val="28"/>
          <w:szCs w:val="27"/>
          <w:shd w:val="clear" w:color="auto" w:fill="FFFFFF"/>
        </w:rPr>
        <w:t xml:space="preserve">дві чернетки та шліфування (з приходом технології текстових редакторів шліфування стало більше нагадувати третю чернетку). Він зумів вивести власну техніку – зачинені та відкриті двері.  При першому варіанті письменник залишається сам на сам із власними думками, при редагуванні з відкритими дверима письменник повинен знайти «ідеального читача», завдяки якому зможе доповнити та покращити свою історію. </w:t>
      </w:r>
    </w:p>
    <w:p w:rsidR="00F86A7D" w:rsidRDefault="00F86A7D" w:rsidP="00F86A7D">
      <w:pPr>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7"/>
          <w:shd w:val="clear" w:color="auto" w:fill="FFFFFF"/>
        </w:rPr>
        <w:t xml:space="preserve">За допомогою комунікативного ланцюга Лассвела можна зрозуміти комунікативну мету письменника. При відповіді на питання «хто» перед нами постає автор-розповідач, </w:t>
      </w:r>
      <w:r>
        <w:rPr>
          <w:rFonts w:ascii="Times New Roman" w:hAnsi="Times New Roman" w:cs="Times New Roman"/>
          <w:color w:val="000000"/>
          <w:sz w:val="28"/>
          <w:szCs w:val="28"/>
        </w:rPr>
        <w:t>який стоїть дуже близько до світу, який описує. Він є свідком або учасником подій. Він знає про світ не все, а тільки те, що відкривається з його позиції. Він стоїть на тому полі, на якому відбуваються події. Це обмежує його можливості. Але в деяких випадках така позиція вигідна: розповідач вносить суб’єктивність, у нього є характер, звички.</w:t>
      </w:r>
    </w:p>
    <w:p w:rsidR="00F86A7D" w:rsidRDefault="00F86A7D" w:rsidP="00F86A7D">
      <w:pPr>
        <w:pStyle w:val="a3"/>
        <w:shd w:val="clear" w:color="auto" w:fill="FFFFFF"/>
        <w:spacing w:before="0" w:beforeAutospacing="0" w:after="0" w:afterAutospacing="0" w:line="360" w:lineRule="auto"/>
        <w:ind w:firstLine="708"/>
        <w:jc w:val="both"/>
        <w:rPr>
          <w:sz w:val="28"/>
          <w:szCs w:val="28"/>
        </w:rPr>
      </w:pPr>
      <w:r>
        <w:rPr>
          <w:color w:val="000000"/>
          <w:sz w:val="28"/>
          <w:szCs w:val="28"/>
        </w:rPr>
        <w:t xml:space="preserve">На питання «що» відповідають конфлікт, тема, ідея, проблематика твору і композиційне будування. Кінг описує проблеми сучасного американського суспільства, завуалювавши їх містично-фантастичною пеленою жаху. Композиція книги «Про письменство» виражає взаємини, взаємозв’язок, </w:t>
      </w:r>
      <w:r>
        <w:rPr>
          <w:color w:val="000000"/>
          <w:sz w:val="28"/>
          <w:szCs w:val="28"/>
        </w:rPr>
        <w:lastRenderedPageBreak/>
        <w:t xml:space="preserve">взаємодію персонажів, сцен, епізодів зображених подій, розділів твору, способів зображення і компонування художнього світу за допомогою розповідей, описів, портретів, пейзажів, інтер’єрів, монологів та діалогів. </w:t>
      </w:r>
    </w:p>
    <w:p w:rsidR="00F86A7D" w:rsidRDefault="00F86A7D" w:rsidP="00F86A7D">
      <w:pPr>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Сюжет і фабула книги «Про письменництво»  характеризують динамічну сторону цих подій, їх розвиток через діяльність героїв, наділених характерами, які, у свою чергу, формуються і виявляються в обставинах, а вчинки персонажів, дійових осіб, оповідачів зумовлюються внутрішніми мотивами – архетипами, уявленнями, думками, переконаннями, ідеалами. Все це разом передається мовленням суб’єктів художнього твору засобами мови, якою творить письменник.</w:t>
      </w:r>
    </w:p>
    <w:p w:rsidR="00F86A7D" w:rsidRDefault="00F86A7D" w:rsidP="00F86A7D">
      <w:pPr>
        <w:pStyle w:val="a3"/>
        <w:shd w:val="clear" w:color="auto" w:fill="FFFFFF"/>
        <w:spacing w:before="0" w:beforeAutospacing="0" w:after="0" w:afterAutospacing="0" w:line="360" w:lineRule="auto"/>
        <w:ind w:firstLine="488"/>
        <w:jc w:val="both"/>
        <w:rPr>
          <w:sz w:val="28"/>
          <w:szCs w:val="28"/>
        </w:rPr>
      </w:pPr>
      <w:r>
        <w:rPr>
          <w:bCs/>
          <w:color w:val="000000"/>
          <w:sz w:val="28"/>
          <w:szCs w:val="28"/>
        </w:rPr>
        <w:t>Через який канал?</w:t>
      </w:r>
      <w:r>
        <w:rPr>
          <w:color w:val="000000"/>
          <w:sz w:val="28"/>
          <w:szCs w:val="28"/>
          <w:shd w:val="clear" w:color="auto" w:fill="FFFFFF"/>
        </w:rPr>
        <w:t xml:space="preserve">  Комунікаційні канали книги «Про письменство» забезпечують рух не тільки смислів, а й матеріального втілення повідомлення, яке виражає смисловий зміст. Комунікативний акт проходить між адресатом і адресантом за допомогою діалогу – елементарного акту перекладу. </w:t>
      </w:r>
    </w:p>
    <w:p w:rsidR="00F86A7D" w:rsidRDefault="00F86A7D" w:rsidP="00F86A7D">
      <w:pPr>
        <w:pStyle w:val="a3"/>
        <w:shd w:val="clear" w:color="auto" w:fill="FFFFFF"/>
        <w:spacing w:before="0" w:beforeAutospacing="0" w:after="0" w:afterAutospacing="0" w:line="360" w:lineRule="auto"/>
        <w:ind w:firstLine="220"/>
        <w:jc w:val="both"/>
        <w:rPr>
          <w:color w:val="000000"/>
          <w:sz w:val="28"/>
          <w:szCs w:val="28"/>
          <w:shd w:val="clear" w:color="auto" w:fill="FFFFFF"/>
        </w:rPr>
      </w:pPr>
      <w:r>
        <w:rPr>
          <w:color w:val="000000"/>
          <w:sz w:val="28"/>
          <w:szCs w:val="28"/>
          <w:shd w:val="clear" w:color="auto" w:fill="FFFFFF"/>
        </w:rPr>
        <w:t>Будь-яка комунікація, і естетична в тому числі, передбачає наявність відправника (автора) і одержувача (глядача, читача, слухача). У такому контексті доречно говорити про те, чи існує мистецтво до контакту з одержувачем або повністю складається тільки в результаті такого контакту. Стівен Кінг влучно назвав літературу «телепатією». Все мистецтво так чи інакше є телепатією, бо передбачає подібний контакт, не заснований на точності науки й передбачуваності її результатів.</w:t>
      </w:r>
    </w:p>
    <w:p w:rsidR="00F86A7D" w:rsidRDefault="00F86A7D" w:rsidP="00F86A7D">
      <w:pPr>
        <w:spacing w:after="0" w:line="360" w:lineRule="auto"/>
        <w:ind w:firstLine="708"/>
        <w:jc w:val="both"/>
        <w:rPr>
          <w:rFonts w:ascii="Times New Roman" w:hAnsi="Times New Roman" w:cs="Times New Roman"/>
          <w:sz w:val="32"/>
          <w:szCs w:val="21"/>
          <w:shd w:val="clear" w:color="auto" w:fill="FFFFFF"/>
        </w:rPr>
      </w:pPr>
      <w:r>
        <w:rPr>
          <w:rFonts w:ascii="Times New Roman" w:hAnsi="Times New Roman" w:cs="Times New Roman"/>
          <w:color w:val="000000"/>
          <w:sz w:val="28"/>
          <w:szCs w:val="28"/>
          <w:shd w:val="clear" w:color="auto" w:fill="FFFFFF"/>
        </w:rPr>
        <w:t xml:space="preserve">Основним засобом естетичної комунікації в «Про письменство» виступає художній образ. Смисли об’єктивної реальності, а також викликані з її допомогою почуття та емоції, зазнають тою чи іншою мірою трансформацію, утворюючи образно-смисловий шар реальності художньої. </w:t>
      </w:r>
      <w:r>
        <w:rPr>
          <w:rFonts w:ascii="Times New Roman" w:hAnsi="Times New Roman" w:cs="Times New Roman"/>
          <w:color w:val="000000"/>
          <w:sz w:val="28"/>
          <w:szCs w:val="23"/>
        </w:rPr>
        <w:t>Знак і символ беруть участь у створенні мистецького образа – основні засоби ігрової комунікації з однієї сторони та головні результати творчості з іншою.</w:t>
      </w:r>
    </w:p>
    <w:p w:rsidR="00F86A7D" w:rsidRDefault="00F86A7D" w:rsidP="00F86A7D">
      <w:pPr>
        <w:pStyle w:val="a3"/>
        <w:shd w:val="clear" w:color="auto" w:fill="FFFFFF"/>
        <w:spacing w:before="0" w:beforeAutospacing="0" w:after="0" w:afterAutospacing="0" w:line="360" w:lineRule="auto"/>
        <w:ind w:firstLine="708"/>
        <w:jc w:val="both"/>
        <w:rPr>
          <w:sz w:val="28"/>
          <w:szCs w:val="28"/>
        </w:rPr>
      </w:pPr>
      <w:r>
        <w:rPr>
          <w:color w:val="000000"/>
          <w:sz w:val="28"/>
          <w:szCs w:val="28"/>
        </w:rPr>
        <w:t xml:space="preserve">В цьому творі присутній іманентний читач. Читач іманентний представлений експліковано, автор виділяє його  у структурі твору. З таким читачем можна гратися, вступати в діалог. Автор веде довірливу бесіду з </w:t>
      </w:r>
      <w:r>
        <w:rPr>
          <w:color w:val="000000"/>
          <w:sz w:val="28"/>
          <w:szCs w:val="28"/>
        </w:rPr>
        <w:lastRenderedPageBreak/>
        <w:t>читачем, особливу увагу приділяючи тому, як важливо бути чесним із самим собою, з навколишніми, із творчістю. Такий підхід підкуповує і залишає відчуття не дарма проведеного часу.</w:t>
      </w:r>
    </w:p>
    <w:p w:rsidR="00F86A7D" w:rsidRDefault="00F86A7D" w:rsidP="00F86A7D">
      <w:pPr>
        <w:pStyle w:val="a3"/>
        <w:shd w:val="clear" w:color="auto" w:fill="FFFFFF"/>
        <w:spacing w:before="0" w:beforeAutospacing="0" w:after="0" w:afterAutospacing="0" w:line="360" w:lineRule="auto"/>
        <w:ind w:firstLine="708"/>
        <w:jc w:val="both"/>
        <w:rPr>
          <w:color w:val="000000"/>
          <w:sz w:val="28"/>
          <w:szCs w:val="28"/>
        </w:rPr>
      </w:pPr>
      <w:r>
        <w:rPr>
          <w:color w:val="000000"/>
          <w:sz w:val="28"/>
          <w:szCs w:val="28"/>
        </w:rPr>
        <w:t>Головний результат твору, або ефект – це більш менш повна і розгорнута єдина думка про смисл твору. Адже він триває у часі й вимірюється не категоріями правильно – неправильно, а категоріями глибоке – неглибоке, адекватне – неадекватне. Результати можуть дуже різнитися (в одній і тої ж людини також). Адекватне розуміння твору «Про письменство» може призвести до дії, до створення нових літературних творів. Чим якісніший твір, тим більше розумінь він передбачає.</w:t>
      </w:r>
    </w:p>
    <w:p w:rsidR="00F86A7D" w:rsidRDefault="00F86A7D" w:rsidP="00F86A7D">
      <w:pPr>
        <w:pStyle w:val="a3"/>
        <w:spacing w:before="0" w:beforeAutospacing="0" w:after="0" w:afterAutospacing="0" w:line="360" w:lineRule="auto"/>
        <w:ind w:firstLine="700"/>
        <w:jc w:val="both"/>
        <w:rPr>
          <w:color w:val="000000"/>
          <w:sz w:val="28"/>
          <w:szCs w:val="28"/>
          <w:shd w:val="clear" w:color="auto" w:fill="FFFFFF"/>
        </w:rPr>
      </w:pPr>
      <w:r>
        <w:rPr>
          <w:color w:val="000000"/>
          <w:sz w:val="28"/>
          <w:szCs w:val="28"/>
        </w:rPr>
        <w:t xml:space="preserve">Соціокультурний феномен Стівена Кінга полягає у ньому самому. </w:t>
      </w:r>
      <w:r>
        <w:rPr>
          <w:color w:val="000000"/>
          <w:sz w:val="28"/>
          <w:szCs w:val="28"/>
          <w:shd w:val="clear" w:color="auto" w:fill="FFFFFF"/>
        </w:rPr>
        <w:t xml:space="preserve">Власним прикладом Кінг намагається переконати читача, що не тільки володіє письменницькою майстерністю, а й робить ядром своїх книг важливу моральну проблематику. Він виводить масову літературу на новий рівень, за межі шаблону та банальності. </w:t>
      </w:r>
    </w:p>
    <w:p w:rsidR="00F86A7D" w:rsidRPr="009D7912" w:rsidRDefault="00F86A7D" w:rsidP="00F86A7D">
      <w:pPr>
        <w:pStyle w:val="a3"/>
        <w:shd w:val="clear" w:color="auto" w:fill="FFFFFF"/>
        <w:spacing w:before="0" w:beforeAutospacing="0" w:after="0" w:afterAutospacing="0" w:line="360" w:lineRule="auto"/>
        <w:ind w:firstLine="700"/>
        <w:jc w:val="both"/>
        <w:rPr>
          <w:color w:val="000000"/>
          <w:sz w:val="28"/>
          <w:szCs w:val="28"/>
        </w:rPr>
      </w:pPr>
      <w:r>
        <w:rPr>
          <w:color w:val="000000"/>
          <w:sz w:val="28"/>
          <w:szCs w:val="28"/>
        </w:rPr>
        <w:t xml:space="preserve">Якщо підбити підсумки, праця Стівена Кінга «Про письменство» –  найбільш незвичний літературний жанровий вибір письменника. Письменник показав, що масова література може бути різною і дуже якісною, де читач не знатиме наперед фінальну розв’язку. Кінг унікальний письменник. Вибудовуючи свої романи на, здавалось б, банальних фантастичних припущеннях, він завжди створює неповторні літературні романи. </w:t>
      </w:r>
    </w:p>
    <w:p w:rsidR="00F86A7D" w:rsidRPr="009D7912" w:rsidRDefault="00F86A7D" w:rsidP="00F86A7D">
      <w:pPr>
        <w:suppressAutoHyphens/>
        <w:spacing w:after="0" w:line="360" w:lineRule="auto"/>
        <w:jc w:val="center"/>
        <w:rPr>
          <w:rFonts w:ascii="Times New Roman" w:hAnsi="Times New Roman" w:cs="Times New Roman"/>
          <w:b/>
          <w:iCs/>
          <w:sz w:val="28"/>
          <w:szCs w:val="28"/>
          <w:lang w:val="ru-RU" w:eastAsia="ru-RU"/>
        </w:rPr>
      </w:pPr>
    </w:p>
    <w:p w:rsidR="00F86A7D" w:rsidRDefault="00F86A7D" w:rsidP="00F86A7D">
      <w:pPr>
        <w:suppressAutoHyphens/>
        <w:spacing w:after="0" w:line="360" w:lineRule="auto"/>
        <w:jc w:val="center"/>
        <w:rPr>
          <w:rFonts w:ascii="Times New Roman" w:hAnsi="Times New Roman" w:cs="Times New Roman"/>
          <w:b/>
          <w:iCs/>
          <w:sz w:val="28"/>
          <w:szCs w:val="28"/>
          <w:lang w:eastAsia="ru-RU"/>
        </w:rPr>
      </w:pPr>
      <w:r>
        <w:rPr>
          <w:rFonts w:ascii="Times New Roman" w:hAnsi="Times New Roman" w:cs="Times New Roman"/>
          <w:b/>
          <w:iCs/>
          <w:sz w:val="28"/>
          <w:szCs w:val="28"/>
          <w:lang w:eastAsia="ru-RU"/>
        </w:rPr>
        <w:t>БІБЛІОГРАФІЯ</w:t>
      </w:r>
    </w:p>
    <w:p w:rsidR="00F86A7D" w:rsidRDefault="00F86A7D" w:rsidP="00F86A7D">
      <w:pPr>
        <w:suppressAutoHyphens/>
        <w:spacing w:after="0" w:line="360" w:lineRule="auto"/>
        <w:jc w:val="center"/>
        <w:rPr>
          <w:rFonts w:ascii="Times New Roman" w:hAnsi="Times New Roman" w:cs="Times New Roman"/>
          <w:iCs/>
          <w:sz w:val="28"/>
          <w:szCs w:val="28"/>
          <w:lang w:eastAsia="ru-RU"/>
        </w:rPr>
      </w:pPr>
      <w:r>
        <w:rPr>
          <w:rFonts w:ascii="Times New Roman" w:hAnsi="Times New Roman" w:cs="Times New Roman"/>
          <w:iCs/>
          <w:sz w:val="28"/>
          <w:szCs w:val="28"/>
          <w:lang w:eastAsia="ru-RU"/>
        </w:rPr>
        <w:t>Досліджувані матеріали</w:t>
      </w:r>
    </w:p>
    <w:p w:rsidR="00F86A7D" w:rsidRDefault="00F86A7D" w:rsidP="00F86A7D">
      <w:pPr>
        <w:numPr>
          <w:ilvl w:val="0"/>
          <w:numId w:val="1"/>
        </w:numPr>
        <w:tabs>
          <w:tab w:val="num" w:pos="786"/>
        </w:tabs>
        <w:suppressAutoHyphens/>
        <w:spacing w:after="0" w:line="360" w:lineRule="auto"/>
        <w:ind w:left="786"/>
        <w:contextualSpacing/>
        <w:rPr>
          <w:rFonts w:ascii="Times New Roman" w:hAnsi="Times New Roman" w:cs="Times New Roman"/>
          <w:iCs/>
          <w:sz w:val="28"/>
          <w:szCs w:val="28"/>
          <w:lang w:eastAsia="ru-RU"/>
        </w:rPr>
      </w:pPr>
      <w:r>
        <w:rPr>
          <w:rFonts w:ascii="Times New Roman" w:hAnsi="Times New Roman" w:cs="Times New Roman"/>
          <w:iCs/>
          <w:sz w:val="28"/>
          <w:szCs w:val="28"/>
          <w:lang w:eastAsia="ru-RU"/>
        </w:rPr>
        <w:t xml:space="preserve"> Кінг С. Про письменство / Стівен Кінг ; перекл. З англ. Д. Шостака. – Харків : Книжковий Клуб «Клуб Сімейного Дозвілля», 2017. – 272 с.</w:t>
      </w:r>
    </w:p>
    <w:p w:rsidR="00F86A7D" w:rsidRDefault="00F86A7D" w:rsidP="00F86A7D">
      <w:pPr>
        <w:spacing w:after="0" w:line="360" w:lineRule="auto"/>
        <w:ind w:left="786"/>
        <w:contextualSpacing/>
        <w:jc w:val="center"/>
        <w:rPr>
          <w:rFonts w:ascii="Times New Roman" w:hAnsi="Times New Roman" w:cs="Times New Roman"/>
          <w:sz w:val="28"/>
          <w:szCs w:val="28"/>
          <w:lang w:eastAsia="ru-RU"/>
        </w:rPr>
      </w:pPr>
    </w:p>
    <w:p w:rsidR="00F86A7D" w:rsidRDefault="00F86A7D" w:rsidP="00F86A7D">
      <w:pPr>
        <w:spacing w:after="0" w:line="360" w:lineRule="auto"/>
        <w:ind w:left="786"/>
        <w:contextualSpacing/>
        <w:jc w:val="center"/>
        <w:rPr>
          <w:rFonts w:ascii="Times New Roman" w:hAnsi="Times New Roman" w:cs="Times New Roman"/>
          <w:sz w:val="28"/>
          <w:szCs w:val="28"/>
          <w:lang w:eastAsia="ru-RU"/>
        </w:rPr>
      </w:pPr>
      <w:r>
        <w:rPr>
          <w:rFonts w:ascii="Times New Roman" w:hAnsi="Times New Roman" w:cs="Times New Roman"/>
          <w:sz w:val="28"/>
          <w:szCs w:val="28"/>
          <w:lang w:eastAsia="ru-RU"/>
        </w:rPr>
        <w:t>Наукова та навчально-методична  література</w:t>
      </w:r>
    </w:p>
    <w:p w:rsidR="00F86A7D" w:rsidRDefault="00F86A7D" w:rsidP="00F86A7D">
      <w:pPr>
        <w:suppressAutoHyphens/>
        <w:spacing w:after="0" w:line="360" w:lineRule="auto"/>
        <w:ind w:left="786"/>
        <w:contextualSpacing/>
        <w:jc w:val="both"/>
        <w:rPr>
          <w:rFonts w:ascii="Times New Roman" w:hAnsi="Times New Roman" w:cs="Times New Roman"/>
          <w:iCs/>
          <w:color w:val="000000" w:themeColor="text1"/>
          <w:sz w:val="28"/>
          <w:szCs w:val="28"/>
          <w:lang w:eastAsia="ru-RU"/>
        </w:rPr>
      </w:pPr>
    </w:p>
    <w:p w:rsidR="00F86A7D" w:rsidRDefault="00F86A7D" w:rsidP="00F86A7D">
      <w:pPr>
        <w:pStyle w:val="a4"/>
        <w:numPr>
          <w:ilvl w:val="0"/>
          <w:numId w:val="1"/>
        </w:numPr>
        <w:spacing w:line="360" w:lineRule="auto"/>
        <w:ind w:left="644"/>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Артамонов Г. А. Массовая литература и рецептивная эстетика : на пути к понимаю</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shd w:val="clear" w:color="auto" w:fill="FFFFFF"/>
        </w:rPr>
        <w:t>Материалы</w:t>
      </w:r>
      <w:r>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color w:val="000000" w:themeColor="text1"/>
          <w:sz w:val="28"/>
          <w:szCs w:val="28"/>
          <w:shd w:val="clear" w:color="auto" w:fill="FFFFFF"/>
        </w:rPr>
        <w:t xml:space="preserve"> III</w:t>
      </w:r>
      <w:r>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color w:val="000000" w:themeColor="text1"/>
          <w:sz w:val="28"/>
          <w:szCs w:val="28"/>
          <w:shd w:val="clear" w:color="auto" w:fill="FFFFFF"/>
        </w:rPr>
        <w:t xml:space="preserve"> Междунар. науч. конф. – М., 2007. – С. 1 – 23.</w:t>
      </w:r>
    </w:p>
    <w:p w:rsidR="00F86A7D" w:rsidRDefault="00F86A7D" w:rsidP="00F86A7D">
      <w:pPr>
        <w:pStyle w:val="a4"/>
        <w:numPr>
          <w:ilvl w:val="0"/>
          <w:numId w:val="1"/>
        </w:numPr>
        <w:spacing w:after="160" w:line="360" w:lineRule="auto"/>
        <w:ind w:left="644"/>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Бахтин М. М. Эстетика словесного творчества / Сост. С. Г. Бочаров, примеч. С. С. Аверинцев и С. Г. Бочаров. – М. : Искусство, 1979. –  423 с.</w:t>
      </w:r>
    </w:p>
    <w:p w:rsidR="00F86A7D" w:rsidRDefault="00F86A7D" w:rsidP="00F86A7D">
      <w:pPr>
        <w:pStyle w:val="a4"/>
        <w:numPr>
          <w:ilvl w:val="0"/>
          <w:numId w:val="1"/>
        </w:numPr>
        <w:spacing w:after="160" w:line="360" w:lineRule="auto"/>
        <w:ind w:left="644"/>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Балкинд Е. Л. Изобразительное искусство : Семиотические основы коммуникативных процессов / И. Д. Карпова // Научные ведомости Крымского университета культуры., 2017. – С. – 48 – 53. </w:t>
      </w:r>
    </w:p>
    <w:p w:rsidR="00F86A7D" w:rsidRDefault="00F86A7D" w:rsidP="00F86A7D">
      <w:pPr>
        <w:pStyle w:val="a4"/>
        <w:numPr>
          <w:ilvl w:val="0"/>
          <w:numId w:val="1"/>
        </w:numPr>
        <w:spacing w:after="160" w:line="360" w:lineRule="auto"/>
        <w:ind w:left="644"/>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Вершинина Н. Л. Введение в литературоведение / Под общ. ред. Л.</w:t>
      </w:r>
      <w:r>
        <w:rPr>
          <w:rFonts w:ascii="Times New Roman" w:hAnsi="Times New Roman" w:cs="Times New Roman"/>
          <w:color w:val="000000" w:themeColor="text1"/>
          <w:sz w:val="28"/>
          <w:szCs w:val="28"/>
          <w:lang w:val="uk-UA"/>
        </w:rPr>
        <w:t> </w:t>
      </w:r>
      <w:r>
        <w:rPr>
          <w:rFonts w:ascii="Times New Roman" w:hAnsi="Times New Roman" w:cs="Times New Roman"/>
          <w:color w:val="000000" w:themeColor="text1"/>
          <w:sz w:val="28"/>
          <w:szCs w:val="28"/>
        </w:rPr>
        <w:t>М.</w:t>
      </w:r>
      <w:r>
        <w:rPr>
          <w:rFonts w:ascii="Times New Roman" w:hAnsi="Times New Roman" w:cs="Times New Roman"/>
          <w:color w:val="000000" w:themeColor="text1"/>
          <w:sz w:val="28"/>
          <w:szCs w:val="28"/>
          <w:lang w:val="uk-UA"/>
        </w:rPr>
        <w:t> </w:t>
      </w:r>
      <w:r>
        <w:rPr>
          <w:rFonts w:ascii="Times New Roman" w:hAnsi="Times New Roman" w:cs="Times New Roman"/>
          <w:color w:val="000000" w:themeColor="text1"/>
          <w:sz w:val="28"/>
          <w:szCs w:val="28"/>
        </w:rPr>
        <w:t xml:space="preserve">Крупчанова. – М. : Издательство Юрайт, 2015. – 479 с. </w:t>
      </w:r>
    </w:p>
    <w:p w:rsidR="00F86A7D" w:rsidRDefault="00F86A7D" w:rsidP="00F86A7D">
      <w:pPr>
        <w:pStyle w:val="a4"/>
        <w:numPr>
          <w:ilvl w:val="0"/>
          <w:numId w:val="1"/>
        </w:numPr>
        <w:spacing w:after="160" w:line="360" w:lineRule="auto"/>
        <w:ind w:left="644"/>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Виноградов В. В. О теории художественной речи / В. В. Виноградов. – М. : Высшая школа, 1971. – 511 с.</w:t>
      </w:r>
    </w:p>
    <w:p w:rsidR="00F86A7D" w:rsidRDefault="00F86A7D" w:rsidP="00F86A7D">
      <w:pPr>
        <w:pStyle w:val="a4"/>
        <w:numPr>
          <w:ilvl w:val="0"/>
          <w:numId w:val="1"/>
        </w:numPr>
        <w:spacing w:after="160" w:line="360" w:lineRule="auto"/>
        <w:ind w:left="644"/>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shd w:val="clear" w:color="auto" w:fill="FFFFFF"/>
        </w:rPr>
        <w:t>Вольский Н. Н. Легкое чтение. Работы по теории и истории детективного жанра / Николай Вольский . – Н., 2006. – 280 с.</w:t>
      </w:r>
    </w:p>
    <w:p w:rsidR="00F86A7D" w:rsidRDefault="00F86A7D" w:rsidP="00F86A7D">
      <w:pPr>
        <w:pStyle w:val="a4"/>
        <w:numPr>
          <w:ilvl w:val="0"/>
          <w:numId w:val="1"/>
        </w:numPr>
        <w:spacing w:after="160" w:line="360" w:lineRule="auto"/>
        <w:ind w:left="644"/>
        <w:contextualSpacing/>
        <w:jc w:val="both"/>
        <w:rPr>
          <w:rFonts w:ascii="Times New Roman" w:hAnsi="Times New Roman" w:cs="Times New Roman"/>
          <w:color w:val="000000" w:themeColor="text1"/>
          <w:sz w:val="28"/>
          <w:szCs w:val="28"/>
        </w:rPr>
      </w:pPr>
      <w:r>
        <w:rPr>
          <w:rFonts w:ascii="Times New Roman" w:hAnsi="Times New Roman" w:cs="Times New Roman"/>
          <w:bCs/>
          <w:color w:val="000000" w:themeColor="text1"/>
          <w:sz w:val="28"/>
          <w:szCs w:val="28"/>
          <w:bdr w:val="none" w:sz="0" w:space="0" w:color="auto" w:frame="1"/>
        </w:rPr>
        <w:t>Горохов П. А</w:t>
      </w:r>
      <w:r>
        <w:rPr>
          <w:rFonts w:ascii="Times New Roman" w:hAnsi="Times New Roman" w:cs="Times New Roman"/>
          <w:color w:val="000000" w:themeColor="text1"/>
          <w:sz w:val="28"/>
          <w:szCs w:val="28"/>
        </w:rPr>
        <w:t xml:space="preserve">. Фантастика Стивена Кинга : традиции и новаторство /  </w:t>
      </w:r>
      <w:r>
        <w:rPr>
          <w:rFonts w:ascii="Times New Roman" w:hAnsi="Times New Roman" w:cs="Times New Roman"/>
          <w:bCs/>
          <w:color w:val="000000" w:themeColor="text1"/>
          <w:sz w:val="28"/>
          <w:szCs w:val="28"/>
          <w:bdr w:val="none" w:sz="0" w:space="0" w:color="auto" w:frame="1"/>
        </w:rPr>
        <w:t>П. А</w:t>
      </w:r>
      <w:r>
        <w:rPr>
          <w:rFonts w:ascii="Times New Roman" w:hAnsi="Times New Roman" w:cs="Times New Roman"/>
          <w:color w:val="000000" w:themeColor="text1"/>
          <w:sz w:val="28"/>
          <w:szCs w:val="28"/>
        </w:rPr>
        <w:t xml:space="preserve">. </w:t>
      </w:r>
      <w:r>
        <w:rPr>
          <w:rFonts w:ascii="Times New Roman" w:hAnsi="Times New Roman" w:cs="Times New Roman"/>
          <w:bCs/>
          <w:color w:val="000000" w:themeColor="text1"/>
          <w:sz w:val="28"/>
          <w:szCs w:val="28"/>
          <w:bdr w:val="none" w:sz="0" w:space="0" w:color="auto" w:frame="1"/>
        </w:rPr>
        <w:t>Горохов</w:t>
      </w:r>
      <w:r>
        <w:rPr>
          <w:rFonts w:ascii="Times New Roman" w:hAnsi="Times New Roman" w:cs="Times New Roman"/>
          <w:bCs/>
          <w:color w:val="000000" w:themeColor="text1"/>
          <w:sz w:val="28"/>
          <w:szCs w:val="28"/>
          <w:bdr w:val="none" w:sz="0" w:space="0" w:color="auto" w:frame="1"/>
          <w:lang w:val="uk-UA"/>
        </w:rPr>
        <w:t xml:space="preserve"> </w:t>
      </w:r>
      <w:r>
        <w:rPr>
          <w:rFonts w:ascii="Times New Roman" w:hAnsi="Times New Roman" w:cs="Times New Roman"/>
          <w:bCs/>
          <w:color w:val="000000" w:themeColor="text1"/>
          <w:sz w:val="28"/>
          <w:szCs w:val="28"/>
          <w:bdr w:val="none" w:sz="0" w:space="0" w:color="auto" w:frame="1"/>
        </w:rPr>
        <w:t xml:space="preserve">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rPr>
        <w:t>/ Вестник Оренбургского государственного университета. 2004.  –  С. 179 – 184.</w:t>
      </w:r>
    </w:p>
    <w:p w:rsidR="00F86A7D" w:rsidRDefault="00F86A7D" w:rsidP="00F86A7D">
      <w:pPr>
        <w:pStyle w:val="a4"/>
        <w:numPr>
          <w:ilvl w:val="0"/>
          <w:numId w:val="1"/>
        </w:numPr>
        <w:spacing w:after="160" w:line="360" w:lineRule="auto"/>
        <w:ind w:left="644"/>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Гусєв В. А. Література в контексті</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rPr>
        <w:t xml:space="preserve">культури / В. А. Гусєв / / Зб. наук. праць. – Київ : Видавничий дім Дмитра Бураго, 2014. – С. – 55 – 62 с. </w:t>
      </w:r>
    </w:p>
    <w:p w:rsidR="00F86A7D" w:rsidRDefault="00F86A7D" w:rsidP="00F86A7D">
      <w:pPr>
        <w:pStyle w:val="a4"/>
        <w:numPr>
          <w:ilvl w:val="0"/>
          <w:numId w:val="1"/>
        </w:numPr>
        <w:spacing w:after="160" w:line="360" w:lineRule="auto"/>
        <w:ind w:left="644"/>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Еко У. Поетика</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rPr>
        <w:t>відкритого</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rPr>
        <w:t>твору // Слово. Знак. Дискурс: Антологія світової літературно-критичної думки ХХ ст. / За ред. М. Зубрицької. – Львів: Літопис, 1996. – С. 408</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rPr>
        <w:t>419</w:t>
      </w:r>
      <w:r>
        <w:rPr>
          <w:rFonts w:ascii="Times New Roman" w:hAnsi="Times New Roman" w:cs="Times New Roman"/>
          <w:color w:val="000000" w:themeColor="text1"/>
          <w:sz w:val="28"/>
          <w:szCs w:val="28"/>
          <w:lang w:val="uk-UA"/>
        </w:rPr>
        <w:t>.</w:t>
      </w:r>
    </w:p>
    <w:p w:rsidR="00F86A7D" w:rsidRDefault="00F86A7D" w:rsidP="00F86A7D">
      <w:pPr>
        <w:pStyle w:val="a4"/>
        <w:numPr>
          <w:ilvl w:val="0"/>
          <w:numId w:val="1"/>
        </w:numPr>
        <w:spacing w:after="160" w:line="360" w:lineRule="auto"/>
        <w:ind w:left="644"/>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Эко У. Отсутствующая структура. Введение в семиологию. Пер. с итал. / А.</w:t>
      </w:r>
      <w:r>
        <w:rPr>
          <w:rFonts w:ascii="Times New Roman" w:hAnsi="Times New Roman" w:cs="Times New Roman"/>
          <w:color w:val="000000" w:themeColor="text1"/>
          <w:sz w:val="28"/>
          <w:szCs w:val="28"/>
          <w:lang w:val="uk-UA"/>
        </w:rPr>
        <w:t> </w:t>
      </w:r>
      <w:r>
        <w:rPr>
          <w:rFonts w:ascii="Times New Roman" w:hAnsi="Times New Roman" w:cs="Times New Roman"/>
          <w:color w:val="000000" w:themeColor="text1"/>
          <w:sz w:val="28"/>
          <w:szCs w:val="28"/>
        </w:rPr>
        <w:t>Г. Погоняйло, В. Г. Резник, 1998. – 432 с.</w:t>
      </w:r>
    </w:p>
    <w:p w:rsidR="00F86A7D" w:rsidRDefault="00F86A7D" w:rsidP="00F86A7D">
      <w:pPr>
        <w:pStyle w:val="a4"/>
        <w:numPr>
          <w:ilvl w:val="0"/>
          <w:numId w:val="1"/>
        </w:numPr>
        <w:spacing w:after="160" w:line="360" w:lineRule="auto"/>
        <w:ind w:left="644"/>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Ефремов И. А.  Наука и научная фантастика // Фантастика /</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rPr>
        <w:t>И.</w:t>
      </w:r>
      <w:r>
        <w:rPr>
          <w:rFonts w:ascii="Times New Roman" w:hAnsi="Times New Roman" w:cs="Times New Roman"/>
          <w:color w:val="000000" w:themeColor="text1"/>
          <w:sz w:val="28"/>
          <w:szCs w:val="28"/>
          <w:lang w:val="uk-UA"/>
        </w:rPr>
        <w:t> </w:t>
      </w:r>
      <w:r>
        <w:rPr>
          <w:rFonts w:ascii="Times New Roman" w:hAnsi="Times New Roman" w:cs="Times New Roman"/>
          <w:color w:val="000000" w:themeColor="text1"/>
          <w:sz w:val="28"/>
          <w:szCs w:val="28"/>
        </w:rPr>
        <w:t>А</w:t>
      </w:r>
      <w:r>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rPr>
        <w:t xml:space="preserve"> Ефремов</w:t>
      </w:r>
      <w:r>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rPr>
        <w:t xml:space="preserve"> К. Андреев. – М.</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rPr>
        <w:t xml:space="preserve">1962. – С. 467 – 480. </w:t>
      </w:r>
    </w:p>
    <w:p w:rsidR="00F86A7D" w:rsidRDefault="00F86A7D" w:rsidP="00F86A7D">
      <w:pPr>
        <w:pStyle w:val="a4"/>
        <w:numPr>
          <w:ilvl w:val="0"/>
          <w:numId w:val="1"/>
        </w:numPr>
        <w:spacing w:after="160" w:line="360" w:lineRule="auto"/>
        <w:ind w:left="644"/>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Ивановская И. И.  Европейский научный форум студентов и учащихся // Сборник статей Международной научно-исследовательской конференции. – Петрозаводск</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rPr>
        <w:t>2019. – 418 с.</w:t>
      </w:r>
    </w:p>
    <w:p w:rsidR="00F86A7D" w:rsidRDefault="00F86A7D" w:rsidP="00F86A7D">
      <w:pPr>
        <w:pStyle w:val="a4"/>
        <w:numPr>
          <w:ilvl w:val="0"/>
          <w:numId w:val="1"/>
        </w:numPr>
        <w:spacing w:after="160" w:line="360" w:lineRule="auto"/>
        <w:ind w:left="644"/>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r>
        <w:rPr>
          <w:rFonts w:ascii="Times New Roman" w:hAnsi="Times New Roman" w:cs="Times New Roman"/>
          <w:sz w:val="28"/>
        </w:rPr>
        <w:t xml:space="preserve"> Інгарден Р. Про пізнавання літературного твору : Антологія світової літературно-критичної думки ХХ ст. / За ред. Марії Зубрицької, Літопис. Львів, 2002. – 181с.</w:t>
      </w:r>
    </w:p>
    <w:p w:rsidR="00F86A7D" w:rsidRDefault="00F86A7D" w:rsidP="00F86A7D">
      <w:pPr>
        <w:pStyle w:val="a4"/>
        <w:numPr>
          <w:ilvl w:val="0"/>
          <w:numId w:val="1"/>
        </w:numPr>
        <w:spacing w:after="160" w:line="360" w:lineRule="auto"/>
        <w:ind w:left="644"/>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Киреєва Н. В. Стівен Кінг: Боротьба за статус</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rPr>
        <w:t xml:space="preserve">/ Н. В Киреєва // Вестник Оренбургского государственного университета.  </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rPr>
        <w:t xml:space="preserve"> 2010</w:t>
      </w:r>
      <w:r>
        <w:rPr>
          <w:rFonts w:ascii="Times New Roman" w:hAnsi="Times New Roman" w:cs="Times New Roman"/>
          <w:color w:val="000000" w:themeColor="text1"/>
          <w:sz w:val="28"/>
          <w:szCs w:val="28"/>
          <w:lang w:val="uk-UA"/>
        </w:rPr>
        <w:t xml:space="preserve">. – </w:t>
      </w:r>
      <w:r>
        <w:rPr>
          <w:rFonts w:ascii="Times New Roman" w:hAnsi="Times New Roman" w:cs="Times New Roman"/>
          <w:color w:val="000000" w:themeColor="text1"/>
          <w:sz w:val="28"/>
          <w:szCs w:val="28"/>
        </w:rPr>
        <w:t>С. 59 – 63</w:t>
      </w:r>
      <w:r>
        <w:rPr>
          <w:rFonts w:ascii="Times New Roman" w:hAnsi="Times New Roman" w:cs="Times New Roman"/>
          <w:color w:val="000000" w:themeColor="text1"/>
          <w:sz w:val="28"/>
          <w:szCs w:val="28"/>
          <w:lang w:val="uk-UA"/>
        </w:rPr>
        <w:t>.</w:t>
      </w:r>
    </w:p>
    <w:p w:rsidR="00F86A7D" w:rsidRDefault="00F86A7D" w:rsidP="00F86A7D">
      <w:pPr>
        <w:pStyle w:val="a4"/>
        <w:numPr>
          <w:ilvl w:val="0"/>
          <w:numId w:val="1"/>
        </w:numPr>
        <w:spacing w:after="160" w:line="360" w:lineRule="auto"/>
        <w:ind w:left="644"/>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Кузнецов С. К.  Соблазн большой литературы / С. Кузнецов // Искусство кино</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rPr>
        <w:t>1996. – С. 24 – 29.</w:t>
      </w:r>
    </w:p>
    <w:p w:rsidR="00F86A7D" w:rsidRDefault="00F86A7D" w:rsidP="00F86A7D">
      <w:pPr>
        <w:pStyle w:val="a4"/>
        <w:numPr>
          <w:ilvl w:val="0"/>
          <w:numId w:val="1"/>
        </w:numPr>
        <w:spacing w:line="360" w:lineRule="auto"/>
        <w:ind w:left="644"/>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Лассуэлл Г. Структура и функции коммуникации в обществе /  Назаров М. М. //  Массовая коммуникация и общество : введение в теорию и исследования. М. : Аванти плюс, 2003. – 428 с. </w:t>
      </w:r>
    </w:p>
    <w:p w:rsidR="00F86A7D" w:rsidRDefault="00F86A7D" w:rsidP="00F86A7D">
      <w:pPr>
        <w:pStyle w:val="a4"/>
        <w:numPr>
          <w:ilvl w:val="0"/>
          <w:numId w:val="1"/>
        </w:numPr>
        <w:spacing w:after="160" w:line="360" w:lineRule="auto"/>
        <w:ind w:left="644"/>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rPr>
        <w:t>Лотман Ю. М. Внутри мыслящих миров. Человек – текст – семиосфера – история.  – М. «Языки русской культуры»</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rPr>
        <w:t>1999. – 464 с.</w:t>
      </w:r>
    </w:p>
    <w:p w:rsidR="00F86A7D" w:rsidRDefault="00F86A7D" w:rsidP="00F86A7D">
      <w:pPr>
        <w:pStyle w:val="a4"/>
        <w:numPr>
          <w:ilvl w:val="0"/>
          <w:numId w:val="1"/>
        </w:numPr>
        <w:spacing w:after="160" w:line="360" w:lineRule="auto"/>
        <w:ind w:left="644"/>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Люлька В. М. Стиль літературноготвору як структура // Наукові записки Харківського</w:t>
      </w:r>
      <w:r>
        <w:rPr>
          <w:rFonts w:ascii="Times New Roman" w:hAnsi="Times New Roman" w:cs="Times New Roman"/>
          <w:color w:val="000000" w:themeColor="text1"/>
          <w:sz w:val="28"/>
          <w:szCs w:val="28"/>
          <w:lang w:val="uk-UA"/>
        </w:rPr>
        <w:t>   </w:t>
      </w:r>
      <w:r>
        <w:rPr>
          <w:rFonts w:ascii="Times New Roman" w:hAnsi="Times New Roman" w:cs="Times New Roman"/>
          <w:color w:val="000000" w:themeColor="text1"/>
          <w:sz w:val="28"/>
          <w:szCs w:val="28"/>
        </w:rPr>
        <w:t>національного  педагогічного  університету  ім.</w:t>
      </w:r>
      <w:r>
        <w:rPr>
          <w:rFonts w:ascii="Times New Roman" w:hAnsi="Times New Roman" w:cs="Times New Roman"/>
          <w:color w:val="000000" w:themeColor="text1"/>
          <w:sz w:val="28"/>
          <w:szCs w:val="28"/>
          <w:lang w:val="uk-UA"/>
        </w:rPr>
        <w:t> </w:t>
      </w:r>
      <w:r>
        <w:rPr>
          <w:rFonts w:ascii="Times New Roman" w:hAnsi="Times New Roman" w:cs="Times New Roman"/>
          <w:color w:val="000000" w:themeColor="text1"/>
          <w:sz w:val="28"/>
          <w:szCs w:val="28"/>
        </w:rPr>
        <w:t xml:space="preserve"> Г. С. Сковороди. Сер. : Літературознавство</w:t>
      </w:r>
      <w:r>
        <w:rPr>
          <w:rFonts w:ascii="Times New Roman" w:hAnsi="Times New Roman" w:cs="Times New Roman"/>
          <w:color w:val="000000" w:themeColor="text1"/>
          <w:sz w:val="28"/>
          <w:szCs w:val="28"/>
          <w:lang w:val="uk-UA"/>
        </w:rPr>
        <w:t xml:space="preserve">. – </w:t>
      </w:r>
      <w:r>
        <w:rPr>
          <w:rFonts w:ascii="Times New Roman" w:hAnsi="Times New Roman" w:cs="Times New Roman"/>
          <w:color w:val="000000" w:themeColor="text1"/>
          <w:sz w:val="28"/>
          <w:szCs w:val="28"/>
        </w:rPr>
        <w:t>2010. – С. 167 – 173.</w:t>
      </w:r>
    </w:p>
    <w:p w:rsidR="00F86A7D" w:rsidRDefault="00F86A7D" w:rsidP="00F86A7D">
      <w:pPr>
        <w:pStyle w:val="a4"/>
        <w:numPr>
          <w:ilvl w:val="0"/>
          <w:numId w:val="1"/>
        </w:numPr>
        <w:spacing w:after="160" w:line="360" w:lineRule="auto"/>
        <w:ind w:left="644"/>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Нагорная А. В. Креативные типы образного сравнения в прозе Стивена Кинга / А. В  Нагорная. – М.</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rPr>
        <w:t>2017. – С. 103 – 116.</w:t>
      </w:r>
    </w:p>
    <w:p w:rsidR="00F86A7D" w:rsidRDefault="00F86A7D" w:rsidP="00F86A7D">
      <w:pPr>
        <w:pStyle w:val="a4"/>
        <w:numPr>
          <w:ilvl w:val="0"/>
          <w:numId w:val="1"/>
        </w:numPr>
        <w:spacing w:after="160" w:line="360" w:lineRule="auto"/>
        <w:ind w:left="644"/>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shd w:val="clear" w:color="auto" w:fill="FFFFFF"/>
        </w:rPr>
        <w:t xml:space="preserve"> Пальцев Н. Страшные сказки Стивена Кинга : фантазии и реальность / Николай Пальцев. М., 2000.  – C. 46 – 49.</w:t>
      </w:r>
    </w:p>
    <w:p w:rsidR="00F86A7D" w:rsidRDefault="00F86A7D" w:rsidP="00F86A7D">
      <w:pPr>
        <w:pStyle w:val="a4"/>
        <w:numPr>
          <w:ilvl w:val="0"/>
          <w:numId w:val="1"/>
        </w:numPr>
        <w:spacing w:after="160" w:line="360" w:lineRule="auto"/>
        <w:ind w:left="644"/>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Попов Д. А. Творчество Стивена Кинга как художественное воплощение психоаналитических идей /</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rPr>
        <w:t>Д. А</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rPr>
        <w:t>Попов // Мир науки, культуры, образования. – С., 2014. –  С. 281 – 283.</w:t>
      </w:r>
    </w:p>
    <w:p w:rsidR="00F86A7D" w:rsidRDefault="00F86A7D" w:rsidP="00F86A7D">
      <w:pPr>
        <w:pStyle w:val="a4"/>
        <w:numPr>
          <w:ilvl w:val="0"/>
          <w:numId w:val="1"/>
        </w:numPr>
        <w:spacing w:after="160" w:line="360" w:lineRule="auto"/>
        <w:ind w:left="644"/>
        <w:contextualSpacing/>
        <w:jc w:val="both"/>
        <w:textAlignment w:val="top"/>
        <w:rPr>
          <w:rFonts w:ascii="Times New Roman" w:hAnsi="Times New Roman" w:cs="Times New Roman"/>
          <w:caps/>
          <w:color w:val="000000" w:themeColor="text1"/>
          <w:sz w:val="28"/>
          <w:szCs w:val="28"/>
          <w:lang w:eastAsia="ru-RU"/>
        </w:rPr>
      </w:pPr>
      <w:r>
        <w:rPr>
          <w:rFonts w:ascii="Times New Roman" w:hAnsi="Times New Roman" w:cs="Times New Roman"/>
          <w:color w:val="000000" w:themeColor="text1"/>
          <w:sz w:val="28"/>
          <w:szCs w:val="28"/>
        </w:rPr>
        <w:t xml:space="preserve"> Рабкина Н. В. Художественный универсум Стивена Кинга /</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rPr>
        <w:t>Н.</w:t>
      </w:r>
      <w:r>
        <w:rPr>
          <w:rFonts w:ascii="Times New Roman" w:hAnsi="Times New Roman" w:cs="Times New Roman"/>
          <w:color w:val="000000" w:themeColor="text1"/>
          <w:sz w:val="28"/>
          <w:szCs w:val="28"/>
          <w:lang w:val="uk-UA"/>
        </w:rPr>
        <w:t>  </w:t>
      </w:r>
      <w:r>
        <w:rPr>
          <w:rFonts w:ascii="Times New Roman" w:hAnsi="Times New Roman" w:cs="Times New Roman"/>
          <w:color w:val="000000" w:themeColor="text1"/>
          <w:sz w:val="28"/>
          <w:szCs w:val="28"/>
        </w:rPr>
        <w:t xml:space="preserve">В. </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rPr>
        <w:t>Рабкина</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rPr>
        <w:t xml:space="preserve"> </w:t>
      </w:r>
      <w:r w:rsidRPr="00861CBB">
        <w:rPr>
          <w:rFonts w:ascii="Times New Roman" w:hAnsi="Times New Roman" w:cs="Times New Roman"/>
          <w:sz w:val="28"/>
          <w:szCs w:val="28"/>
          <w:bdr w:val="none" w:sz="0" w:space="0" w:color="auto" w:frame="1"/>
          <w:lang w:eastAsia="ru-RU"/>
        </w:rPr>
        <w:t>Вестник Кемеровского государственного университета</w:t>
      </w:r>
      <w:r>
        <w:rPr>
          <w:rFonts w:ascii="Times New Roman" w:hAnsi="Times New Roman" w:cs="Times New Roman"/>
          <w:color w:val="000000" w:themeColor="text1"/>
          <w:sz w:val="28"/>
          <w:szCs w:val="28"/>
          <w:bdr w:val="none" w:sz="0" w:space="0" w:color="auto" w:frame="1"/>
          <w:lang w:eastAsia="ru-RU"/>
        </w:rPr>
        <w:t>.</w:t>
      </w:r>
      <w:r>
        <w:rPr>
          <w:rFonts w:ascii="Times New Roman" w:hAnsi="Times New Roman" w:cs="Times New Roman"/>
          <w:color w:val="000000" w:themeColor="text1"/>
          <w:sz w:val="28"/>
          <w:szCs w:val="28"/>
        </w:rPr>
        <w:t xml:space="preserve"> – К</w:t>
      </w:r>
      <w:r>
        <w:rPr>
          <w:rFonts w:ascii="Times New Roman" w:hAnsi="Times New Roman" w:cs="Times New Roman"/>
          <w:color w:val="000000" w:themeColor="text1"/>
          <w:sz w:val="28"/>
          <w:szCs w:val="28"/>
          <w:lang w:val="uk-UA"/>
        </w:rPr>
        <w:t>иїв,</w:t>
      </w:r>
      <w:r>
        <w:rPr>
          <w:rFonts w:ascii="Times New Roman" w:hAnsi="Times New Roman" w:cs="Times New Roman"/>
          <w:color w:val="000000" w:themeColor="text1"/>
          <w:sz w:val="28"/>
          <w:szCs w:val="28"/>
        </w:rPr>
        <w:t xml:space="preserve"> 2015. – С. 204 – 208</w:t>
      </w:r>
      <w:r>
        <w:rPr>
          <w:rFonts w:ascii="Times New Roman" w:hAnsi="Times New Roman" w:cs="Times New Roman"/>
          <w:color w:val="000000" w:themeColor="text1"/>
          <w:sz w:val="28"/>
          <w:szCs w:val="28"/>
          <w:lang w:val="uk-UA"/>
        </w:rPr>
        <w:t>.</w:t>
      </w:r>
    </w:p>
    <w:p w:rsidR="00F86A7D" w:rsidRDefault="00F86A7D" w:rsidP="00F86A7D">
      <w:pPr>
        <w:pStyle w:val="a4"/>
        <w:numPr>
          <w:ilvl w:val="0"/>
          <w:numId w:val="1"/>
        </w:numPr>
        <w:spacing w:after="160" w:line="360" w:lineRule="auto"/>
        <w:ind w:left="644"/>
        <w:contextualSpacing/>
        <w:jc w:val="both"/>
        <w:textAlignment w:val="top"/>
        <w:rPr>
          <w:rFonts w:ascii="Times New Roman" w:hAnsi="Times New Roman" w:cs="Times New Roman"/>
          <w:caps/>
          <w:color w:val="000000" w:themeColor="text1"/>
          <w:sz w:val="28"/>
          <w:szCs w:val="28"/>
          <w:lang w:eastAsia="ru-RU"/>
        </w:rPr>
      </w:pPr>
      <w:r>
        <w:rPr>
          <w:rFonts w:ascii="Times New Roman" w:hAnsi="Times New Roman" w:cs="Times New Roman"/>
          <w:color w:val="000000" w:themeColor="text1"/>
          <w:sz w:val="28"/>
          <w:szCs w:val="28"/>
        </w:rPr>
        <w:t xml:space="preserve"> Роугек Л. Сердце, в котором живет страх. Стивен Кинг : жизнь и творчество</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rPr>
        <w:t xml:space="preserve">/ Пер. с англ. – М. : Астрель, 2011. – 412 с. </w:t>
      </w:r>
    </w:p>
    <w:p w:rsidR="00F86A7D" w:rsidRDefault="00F86A7D" w:rsidP="00F86A7D">
      <w:pPr>
        <w:pStyle w:val="a4"/>
        <w:numPr>
          <w:ilvl w:val="0"/>
          <w:numId w:val="1"/>
        </w:numPr>
        <w:spacing w:after="160" w:line="360" w:lineRule="auto"/>
        <w:ind w:left="644"/>
        <w:contextualSpacing/>
        <w:jc w:val="both"/>
        <w:textAlignment w:val="top"/>
        <w:rPr>
          <w:rFonts w:ascii="Times New Roman" w:hAnsi="Times New Roman" w:cs="Times New Roman"/>
          <w:caps/>
          <w:color w:val="000000" w:themeColor="text1"/>
          <w:sz w:val="28"/>
          <w:szCs w:val="28"/>
          <w:lang w:eastAsia="ru-RU"/>
        </w:rPr>
      </w:pPr>
      <w:r>
        <w:rPr>
          <w:color w:val="000000" w:themeColor="text1"/>
          <w:sz w:val="28"/>
          <w:szCs w:val="28"/>
        </w:rPr>
        <w:t xml:space="preserve"> </w:t>
      </w:r>
      <w:r>
        <w:rPr>
          <w:rFonts w:ascii="Times New Roman" w:hAnsi="Times New Roman" w:cs="Times New Roman"/>
          <w:color w:val="000000" w:themeColor="text1"/>
          <w:sz w:val="28"/>
          <w:szCs w:val="28"/>
        </w:rPr>
        <w:t>Самарская Е. Г. Автобиографическое представление как репрезентант личности персонажа в художественном тексте</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rPr>
        <w:t>Е. Г Самарская</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rPr>
        <w:t>– К</w:t>
      </w:r>
      <w:r>
        <w:rPr>
          <w:rFonts w:ascii="Times New Roman" w:hAnsi="Times New Roman" w:cs="Times New Roman"/>
          <w:color w:val="000000" w:themeColor="text1"/>
          <w:sz w:val="28"/>
          <w:szCs w:val="28"/>
          <w:lang w:val="uk-UA"/>
        </w:rPr>
        <w:t>иїв</w:t>
      </w:r>
      <w:r>
        <w:rPr>
          <w:rFonts w:ascii="Times New Roman" w:hAnsi="Times New Roman" w:cs="Times New Roman"/>
          <w:color w:val="000000" w:themeColor="text1"/>
          <w:sz w:val="28"/>
          <w:szCs w:val="28"/>
        </w:rPr>
        <w:t>, 2008. –  137 с.</w:t>
      </w:r>
    </w:p>
    <w:p w:rsidR="00F86A7D" w:rsidRPr="00F86A7D" w:rsidRDefault="00F86A7D" w:rsidP="00E02503">
      <w:pPr>
        <w:pStyle w:val="a3"/>
        <w:spacing w:before="0" w:beforeAutospacing="0" w:after="0" w:afterAutospacing="0" w:line="360" w:lineRule="auto"/>
        <w:ind w:firstLine="708"/>
        <w:jc w:val="both"/>
        <w:rPr>
          <w:sz w:val="28"/>
          <w:szCs w:val="28"/>
          <w:lang w:val="ru-RU"/>
        </w:rPr>
      </w:pPr>
      <w:bookmarkStart w:id="0" w:name="_GoBack"/>
      <w:bookmarkEnd w:id="0"/>
    </w:p>
    <w:p w:rsidR="00643BE0" w:rsidRDefault="00643BE0"/>
    <w:sectPr w:rsidR="00643B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C2C6F33"/>
    <w:multiLevelType w:val="hybridMultilevel"/>
    <w:tmpl w:val="9CAA9044"/>
    <w:lvl w:ilvl="0" w:tplc="029A4B7A">
      <w:start w:val="1"/>
      <w:numFmt w:val="decimal"/>
      <w:lvlText w:val="%1."/>
      <w:lvlJc w:val="left"/>
      <w:pPr>
        <w:tabs>
          <w:tab w:val="num" w:pos="643"/>
        </w:tabs>
        <w:ind w:left="643" w:hanging="360"/>
      </w:pPr>
      <w:rPr>
        <w:b w:val="0"/>
        <w:i w:val="0"/>
        <w:sz w:val="28"/>
        <w:szCs w:val="28"/>
      </w:rPr>
    </w:lvl>
    <w:lvl w:ilvl="1" w:tplc="04190019">
      <w:start w:val="1"/>
      <w:numFmt w:val="decimal"/>
      <w:lvlText w:val="%2."/>
      <w:lvlJc w:val="left"/>
      <w:pPr>
        <w:tabs>
          <w:tab w:val="num" w:pos="1014"/>
        </w:tabs>
        <w:ind w:left="1014" w:hanging="360"/>
      </w:pPr>
    </w:lvl>
    <w:lvl w:ilvl="2" w:tplc="0419001B">
      <w:start w:val="1"/>
      <w:numFmt w:val="decimal"/>
      <w:lvlText w:val="%3."/>
      <w:lvlJc w:val="left"/>
      <w:pPr>
        <w:tabs>
          <w:tab w:val="num" w:pos="1734"/>
        </w:tabs>
        <w:ind w:left="1734" w:hanging="360"/>
      </w:pPr>
    </w:lvl>
    <w:lvl w:ilvl="3" w:tplc="0419000F">
      <w:start w:val="1"/>
      <w:numFmt w:val="decimal"/>
      <w:lvlText w:val="%4."/>
      <w:lvlJc w:val="left"/>
      <w:pPr>
        <w:tabs>
          <w:tab w:val="num" w:pos="2454"/>
        </w:tabs>
        <w:ind w:left="2454" w:hanging="360"/>
      </w:pPr>
    </w:lvl>
    <w:lvl w:ilvl="4" w:tplc="04190019">
      <w:start w:val="1"/>
      <w:numFmt w:val="decimal"/>
      <w:lvlText w:val="%5."/>
      <w:lvlJc w:val="left"/>
      <w:pPr>
        <w:tabs>
          <w:tab w:val="num" w:pos="3174"/>
        </w:tabs>
        <w:ind w:left="3174" w:hanging="360"/>
      </w:pPr>
    </w:lvl>
    <w:lvl w:ilvl="5" w:tplc="0419001B">
      <w:start w:val="1"/>
      <w:numFmt w:val="decimal"/>
      <w:lvlText w:val="%6."/>
      <w:lvlJc w:val="left"/>
      <w:pPr>
        <w:tabs>
          <w:tab w:val="num" w:pos="3894"/>
        </w:tabs>
        <w:ind w:left="3894" w:hanging="360"/>
      </w:pPr>
    </w:lvl>
    <w:lvl w:ilvl="6" w:tplc="0419000F">
      <w:start w:val="1"/>
      <w:numFmt w:val="decimal"/>
      <w:lvlText w:val="%7."/>
      <w:lvlJc w:val="left"/>
      <w:pPr>
        <w:tabs>
          <w:tab w:val="num" w:pos="4614"/>
        </w:tabs>
        <w:ind w:left="4614" w:hanging="360"/>
      </w:pPr>
    </w:lvl>
    <w:lvl w:ilvl="7" w:tplc="04190019">
      <w:start w:val="1"/>
      <w:numFmt w:val="decimal"/>
      <w:lvlText w:val="%8."/>
      <w:lvlJc w:val="left"/>
      <w:pPr>
        <w:tabs>
          <w:tab w:val="num" w:pos="5334"/>
        </w:tabs>
        <w:ind w:left="5334" w:hanging="360"/>
      </w:pPr>
    </w:lvl>
    <w:lvl w:ilvl="8" w:tplc="0419001B">
      <w:start w:val="1"/>
      <w:numFmt w:val="decimal"/>
      <w:lvlText w:val="%9."/>
      <w:lvlJc w:val="left"/>
      <w:pPr>
        <w:tabs>
          <w:tab w:val="num" w:pos="6054"/>
        </w:tabs>
        <w:ind w:left="6054"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DC5"/>
    <w:rsid w:val="00035C44"/>
    <w:rsid w:val="00643BE0"/>
    <w:rsid w:val="009B2DC5"/>
    <w:rsid w:val="00E02503"/>
    <w:rsid w:val="00F86A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37D35D-9142-400B-BC4D-56045E1AD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2503"/>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0250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w">
    <w:name w:val="w"/>
    <w:basedOn w:val="a0"/>
    <w:uiPriority w:val="99"/>
    <w:rsid w:val="00E02503"/>
  </w:style>
  <w:style w:type="paragraph" w:styleId="a4">
    <w:name w:val="List Paragraph"/>
    <w:basedOn w:val="a"/>
    <w:uiPriority w:val="34"/>
    <w:qFormat/>
    <w:rsid w:val="00E02503"/>
    <w:pPr>
      <w:spacing w:after="200" w:line="276" w:lineRule="auto"/>
      <w:ind w:left="720"/>
    </w:pPr>
    <w:rPr>
      <w:rFonts w:ascii="Calibri" w:eastAsia="Times New Roman" w:hAnsi="Calibri" w:cs="Calibri"/>
      <w:lang w:val="ru-RU" w:eastAsia="zh-CN"/>
    </w:rPr>
  </w:style>
  <w:style w:type="paragraph" w:styleId="a5">
    <w:name w:val="No Spacing"/>
    <w:uiPriority w:val="1"/>
    <w:qFormat/>
    <w:rsid w:val="00E02503"/>
    <w:pPr>
      <w:spacing w:after="0" w:line="240" w:lineRule="auto"/>
    </w:pPr>
    <w:rPr>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2419</Words>
  <Characters>13792</Characters>
  <Application>Microsoft Office Word</Application>
  <DocSecurity>0</DocSecurity>
  <Lines>114</Lines>
  <Paragraphs>32</Paragraphs>
  <ScaleCrop>false</ScaleCrop>
  <Company/>
  <LinksUpToDate>false</LinksUpToDate>
  <CharactersWithSpaces>16179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4</cp:revision>
  <dcterms:created xsi:type="dcterms:W3CDTF">2020-07-30T08:47:00Z</dcterms:created>
  <dcterms:modified xsi:type="dcterms:W3CDTF">2020-07-30T08:49:00Z</dcterms:modified>
</cp:coreProperties>
</file>