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17EE" w:rsidRPr="000A17EE" w:rsidRDefault="000A17EE" w:rsidP="000A17EE">
      <w:pPr>
        <w:spacing w:line="360" w:lineRule="auto"/>
        <w:jc w:val="center"/>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Одеський національний університет імені І.І. Мечникова</w:t>
      </w:r>
    </w:p>
    <w:p w:rsidR="000A17EE" w:rsidRPr="000A17EE" w:rsidRDefault="000A17EE" w:rsidP="000A17EE">
      <w:pPr>
        <w:spacing w:after="0" w:line="360" w:lineRule="auto"/>
        <w:jc w:val="center"/>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Економіко-правовий факультет</w:t>
      </w:r>
    </w:p>
    <w:p w:rsidR="000A17EE" w:rsidRPr="000A17EE" w:rsidRDefault="000A17EE" w:rsidP="000A17EE">
      <w:pPr>
        <w:spacing w:after="0" w:line="360" w:lineRule="auto"/>
        <w:jc w:val="center"/>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Кафедра цивільно-правових дисциплін</w:t>
      </w:r>
    </w:p>
    <w:p w:rsidR="000A17EE" w:rsidRPr="000A17EE" w:rsidRDefault="000A17EE" w:rsidP="000A17EE">
      <w:pPr>
        <w:spacing w:after="0" w:line="360" w:lineRule="auto"/>
        <w:jc w:val="both"/>
        <w:rPr>
          <w:rFonts w:ascii="Times New Roman" w:eastAsia="Times New Roman" w:hAnsi="Times New Roman" w:cs="Times New Roman"/>
          <w:sz w:val="28"/>
          <w:szCs w:val="28"/>
          <w:lang w:eastAsia="ru-RU"/>
        </w:rPr>
      </w:pPr>
    </w:p>
    <w:p w:rsidR="000A17EE" w:rsidRPr="000A17EE" w:rsidRDefault="000A17EE" w:rsidP="000A17EE">
      <w:pPr>
        <w:spacing w:after="0" w:line="360" w:lineRule="auto"/>
        <w:jc w:val="both"/>
        <w:rPr>
          <w:rFonts w:ascii="Times New Roman" w:eastAsia="Times New Roman" w:hAnsi="Times New Roman" w:cs="Times New Roman"/>
          <w:sz w:val="28"/>
          <w:szCs w:val="28"/>
          <w:lang w:eastAsia="ru-RU"/>
        </w:rPr>
      </w:pPr>
    </w:p>
    <w:p w:rsidR="000A17EE" w:rsidRPr="000A17EE" w:rsidRDefault="000A17EE" w:rsidP="000A17EE">
      <w:pPr>
        <w:spacing w:after="0" w:line="360" w:lineRule="auto"/>
        <w:jc w:val="center"/>
        <w:rPr>
          <w:rFonts w:ascii="Times New Roman" w:eastAsia="Times New Roman" w:hAnsi="Times New Roman" w:cs="Times New Roman"/>
          <w:b/>
          <w:sz w:val="28"/>
          <w:szCs w:val="28"/>
          <w:lang w:eastAsia="ru-RU"/>
        </w:rPr>
      </w:pPr>
    </w:p>
    <w:p w:rsidR="000A17EE" w:rsidRPr="000A17EE" w:rsidRDefault="000A17EE" w:rsidP="000A17EE">
      <w:pPr>
        <w:spacing w:after="0" w:line="360" w:lineRule="auto"/>
        <w:jc w:val="center"/>
        <w:rPr>
          <w:rFonts w:ascii="Times New Roman" w:eastAsia="Times New Roman" w:hAnsi="Times New Roman" w:cs="Times New Roman"/>
          <w:b/>
          <w:sz w:val="32"/>
          <w:szCs w:val="32"/>
          <w:lang w:eastAsia="ru-RU"/>
        </w:rPr>
      </w:pPr>
      <w:r w:rsidRPr="000A17EE">
        <w:rPr>
          <w:rFonts w:ascii="Times New Roman" w:eastAsia="Times New Roman" w:hAnsi="Times New Roman" w:cs="Times New Roman"/>
          <w:b/>
          <w:sz w:val="32"/>
          <w:szCs w:val="32"/>
          <w:lang w:eastAsia="ru-RU"/>
        </w:rPr>
        <w:t>Д и п л о м н а  р о б о т а</w:t>
      </w:r>
    </w:p>
    <w:p w:rsidR="000A17EE" w:rsidRPr="000A17EE" w:rsidRDefault="000A17EE" w:rsidP="000A17EE">
      <w:pPr>
        <w:spacing w:after="0" w:line="240" w:lineRule="auto"/>
        <w:jc w:val="center"/>
        <w:rPr>
          <w:rFonts w:ascii="Times New Roman" w:eastAsia="Times New Roman" w:hAnsi="Times New Roman" w:cs="Times New Roman"/>
          <w:b/>
          <w:sz w:val="28"/>
          <w:szCs w:val="28"/>
          <w:lang w:eastAsia="ru-RU"/>
        </w:rPr>
      </w:pPr>
      <w:r w:rsidRPr="000A17EE">
        <w:rPr>
          <w:rFonts w:ascii="Times New Roman" w:eastAsia="Times New Roman" w:hAnsi="Times New Roman" w:cs="Times New Roman"/>
          <w:b/>
          <w:sz w:val="28"/>
          <w:szCs w:val="28"/>
          <w:lang w:eastAsia="ru-RU"/>
        </w:rPr>
        <w:t>«Соціальний захист молоді в Україні»</w:t>
      </w:r>
    </w:p>
    <w:p w:rsidR="000A17EE" w:rsidRPr="000A17EE" w:rsidRDefault="000A17EE" w:rsidP="000A17EE">
      <w:pPr>
        <w:spacing w:after="0" w:line="240" w:lineRule="auto"/>
        <w:jc w:val="center"/>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w:t>
      </w:r>
      <w:r w:rsidRPr="000A17EE">
        <w:rPr>
          <w:rFonts w:ascii="Times New Roman" w:eastAsia="Times New Roman" w:hAnsi="Times New Roman" w:cs="Times New Roman"/>
          <w:bCs/>
          <w:iCs/>
          <w:sz w:val="28"/>
          <w:szCs w:val="28"/>
          <w:lang w:eastAsia="ru-RU"/>
        </w:rPr>
        <w:t>Social Protection of Youth in Ukraine</w:t>
      </w:r>
      <w:r w:rsidRPr="000A17EE">
        <w:rPr>
          <w:rFonts w:ascii="Times New Roman" w:eastAsia="Times New Roman" w:hAnsi="Times New Roman" w:cs="Times New Roman"/>
          <w:sz w:val="28"/>
          <w:szCs w:val="28"/>
          <w:lang w:eastAsia="ru-RU"/>
        </w:rPr>
        <w:t>»</w:t>
      </w:r>
    </w:p>
    <w:p w:rsidR="000A17EE" w:rsidRPr="000A17EE" w:rsidRDefault="000A17EE" w:rsidP="000A17EE">
      <w:pPr>
        <w:spacing w:after="0" w:line="240" w:lineRule="auto"/>
        <w:jc w:val="center"/>
        <w:rPr>
          <w:rFonts w:ascii="Times New Roman" w:eastAsia="Times New Roman" w:hAnsi="Times New Roman" w:cs="Times New Roman"/>
          <w:sz w:val="28"/>
          <w:szCs w:val="28"/>
          <w:lang w:eastAsia="ru-RU"/>
        </w:rPr>
      </w:pPr>
    </w:p>
    <w:p w:rsidR="000A17EE" w:rsidRPr="000A17EE" w:rsidRDefault="000A17EE" w:rsidP="000A17EE">
      <w:pPr>
        <w:spacing w:after="0" w:line="240" w:lineRule="auto"/>
        <w:jc w:val="center"/>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на здобуття ступеня вищої освіти «магістр»</w:t>
      </w:r>
    </w:p>
    <w:p w:rsidR="000A17EE" w:rsidRPr="000A17EE" w:rsidRDefault="000A17EE" w:rsidP="000A17EE">
      <w:pPr>
        <w:spacing w:after="0" w:line="240" w:lineRule="auto"/>
        <w:jc w:val="both"/>
        <w:rPr>
          <w:rFonts w:ascii="Times New Roman" w:eastAsia="Times New Roman" w:hAnsi="Times New Roman" w:cs="Times New Roman"/>
          <w:sz w:val="28"/>
          <w:szCs w:val="28"/>
          <w:lang w:eastAsia="ru-RU"/>
        </w:rPr>
      </w:pPr>
    </w:p>
    <w:p w:rsidR="000A17EE" w:rsidRPr="000A17EE" w:rsidRDefault="000A17EE" w:rsidP="000A17EE">
      <w:pPr>
        <w:spacing w:after="0" w:line="240" w:lineRule="auto"/>
        <w:jc w:val="both"/>
        <w:rPr>
          <w:rFonts w:ascii="Times New Roman" w:eastAsia="Times New Roman" w:hAnsi="Times New Roman" w:cs="Times New Roman"/>
          <w:b/>
          <w:sz w:val="28"/>
          <w:szCs w:val="28"/>
          <w:lang w:eastAsia="ru-RU"/>
        </w:rPr>
      </w:pPr>
    </w:p>
    <w:p w:rsidR="000A17EE" w:rsidRPr="000A17EE" w:rsidRDefault="000A17EE" w:rsidP="000A17EE">
      <w:pPr>
        <w:spacing w:after="0" w:line="240" w:lineRule="auto"/>
        <w:jc w:val="both"/>
        <w:rPr>
          <w:rFonts w:ascii="Times New Roman" w:eastAsia="Times New Roman" w:hAnsi="Times New Roman" w:cs="Times New Roman"/>
          <w:b/>
          <w:sz w:val="28"/>
          <w:szCs w:val="28"/>
          <w:lang w:eastAsia="ru-RU"/>
        </w:rPr>
      </w:pPr>
    </w:p>
    <w:p w:rsidR="000A17EE" w:rsidRPr="000A17EE" w:rsidRDefault="000A17EE" w:rsidP="000A17EE">
      <w:pPr>
        <w:spacing w:after="0" w:line="240" w:lineRule="auto"/>
        <w:jc w:val="both"/>
        <w:rPr>
          <w:rFonts w:ascii="Times New Roman" w:eastAsia="Times New Roman" w:hAnsi="Times New Roman" w:cs="Times New Roman"/>
          <w:b/>
          <w:sz w:val="28"/>
          <w:szCs w:val="28"/>
          <w:lang w:eastAsia="ru-RU"/>
        </w:rPr>
      </w:pPr>
    </w:p>
    <w:p w:rsidR="000A17EE" w:rsidRPr="000A17EE" w:rsidRDefault="000A17EE" w:rsidP="000A17EE">
      <w:pPr>
        <w:spacing w:after="0" w:line="240" w:lineRule="auto"/>
        <w:ind w:firstLine="3544"/>
        <w:jc w:val="both"/>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Виконала: студентка заочної форми навчання</w:t>
      </w:r>
    </w:p>
    <w:p w:rsidR="000A17EE" w:rsidRPr="000A17EE" w:rsidRDefault="000A17EE" w:rsidP="000A17EE">
      <w:pPr>
        <w:spacing w:after="0" w:line="240" w:lineRule="auto"/>
        <w:ind w:firstLine="3544"/>
        <w:jc w:val="both"/>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спеціальності 081 Право</w:t>
      </w:r>
    </w:p>
    <w:p w:rsidR="000A17EE" w:rsidRPr="000A17EE" w:rsidRDefault="000A17EE" w:rsidP="000A17EE">
      <w:pPr>
        <w:spacing w:after="0" w:line="240" w:lineRule="auto"/>
        <w:ind w:firstLine="3544"/>
        <w:jc w:val="both"/>
        <w:rPr>
          <w:rFonts w:ascii="Times New Roman" w:eastAsia="Times New Roman" w:hAnsi="Times New Roman" w:cs="Times New Roman"/>
          <w:b/>
          <w:sz w:val="28"/>
          <w:szCs w:val="28"/>
          <w:lang w:eastAsia="ru-RU"/>
        </w:rPr>
      </w:pPr>
      <w:r w:rsidRPr="000A17EE">
        <w:rPr>
          <w:rFonts w:ascii="Times New Roman" w:eastAsia="Times New Roman" w:hAnsi="Times New Roman" w:cs="Times New Roman"/>
          <w:b/>
          <w:sz w:val="28"/>
          <w:szCs w:val="28"/>
          <w:lang w:eastAsia="ru-RU"/>
        </w:rPr>
        <w:t>Левченко Юлія Валентинівна</w:t>
      </w:r>
    </w:p>
    <w:p w:rsidR="000A17EE" w:rsidRPr="000A17EE" w:rsidRDefault="000A17EE" w:rsidP="000A17EE">
      <w:pPr>
        <w:spacing w:after="0" w:line="240" w:lineRule="auto"/>
        <w:ind w:firstLine="3544"/>
        <w:jc w:val="both"/>
        <w:rPr>
          <w:rFonts w:ascii="Times New Roman" w:eastAsia="Times New Roman" w:hAnsi="Times New Roman" w:cs="Times New Roman"/>
          <w:sz w:val="28"/>
          <w:szCs w:val="28"/>
          <w:lang w:eastAsia="ru-RU"/>
        </w:rPr>
      </w:pPr>
    </w:p>
    <w:p w:rsidR="000A17EE" w:rsidRPr="000A17EE" w:rsidRDefault="000A17EE" w:rsidP="000A17EE">
      <w:pPr>
        <w:spacing w:after="0" w:line="240" w:lineRule="auto"/>
        <w:ind w:firstLine="3544"/>
        <w:jc w:val="both"/>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 xml:space="preserve">Науковий керівник: </w:t>
      </w:r>
    </w:p>
    <w:p w:rsidR="000A17EE" w:rsidRPr="000A17EE" w:rsidRDefault="000A17EE" w:rsidP="000A17EE">
      <w:pPr>
        <w:spacing w:after="0" w:line="240" w:lineRule="auto"/>
        <w:ind w:firstLine="3544"/>
        <w:jc w:val="both"/>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 xml:space="preserve">к.ю.н., доц.  Байло О.В. ____________                                                              </w:t>
      </w:r>
    </w:p>
    <w:p w:rsidR="000A17EE" w:rsidRPr="000A17EE" w:rsidRDefault="000A17EE" w:rsidP="000A17EE">
      <w:pPr>
        <w:spacing w:after="0" w:line="240" w:lineRule="auto"/>
        <w:ind w:firstLine="3544"/>
        <w:jc w:val="both"/>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 xml:space="preserve">Рецензент: </w:t>
      </w:r>
    </w:p>
    <w:p w:rsidR="000A17EE" w:rsidRPr="000A17EE" w:rsidRDefault="000A17EE" w:rsidP="000A17EE">
      <w:pPr>
        <w:spacing w:after="0" w:line="240" w:lineRule="auto"/>
        <w:ind w:firstLine="3544"/>
        <w:jc w:val="both"/>
        <w:rPr>
          <w:rFonts w:ascii="Times New Roman" w:eastAsia="Times New Roman" w:hAnsi="Times New Roman" w:cs="Times New Roman"/>
          <w:sz w:val="28"/>
          <w:szCs w:val="28"/>
          <w:lang w:eastAsia="ru-RU"/>
        </w:rPr>
      </w:pPr>
      <w:r w:rsidRPr="000A17EE">
        <w:rPr>
          <w:rFonts w:ascii="Times New Roman" w:eastAsia="Times New Roman" w:hAnsi="Times New Roman" w:cs="Times New Roman"/>
          <w:sz w:val="28"/>
          <w:szCs w:val="28"/>
          <w:lang w:eastAsia="ru-RU"/>
        </w:rPr>
        <w:t>к.ю.н., доц. Потопахіна О.М.</w:t>
      </w:r>
    </w:p>
    <w:p w:rsidR="000A17EE" w:rsidRPr="000A17EE" w:rsidRDefault="000A17EE" w:rsidP="000A17EE">
      <w:pPr>
        <w:spacing w:after="0" w:line="360" w:lineRule="auto"/>
        <w:ind w:firstLine="3544"/>
        <w:jc w:val="both"/>
        <w:rPr>
          <w:rFonts w:ascii="Times New Roman" w:eastAsia="Times New Roman" w:hAnsi="Times New Roman" w:cs="Times New Roman"/>
          <w:b/>
          <w:sz w:val="28"/>
          <w:szCs w:val="28"/>
          <w:lang w:eastAsia="ru-RU"/>
        </w:rPr>
      </w:pPr>
    </w:p>
    <w:p w:rsidR="000A17EE" w:rsidRPr="000A17EE" w:rsidRDefault="000A17EE" w:rsidP="000A17EE">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0A17EE" w:rsidRPr="000A17EE" w:rsidTr="000A17EE">
        <w:trPr>
          <w:jc w:val="center"/>
        </w:trPr>
        <w:tc>
          <w:tcPr>
            <w:tcW w:w="5233" w:type="dxa"/>
          </w:tcPr>
          <w:p w:rsidR="000A17EE" w:rsidRPr="000A17EE" w:rsidRDefault="000A17EE" w:rsidP="000A17EE">
            <w:pPr>
              <w:spacing w:after="0" w:line="360" w:lineRule="auto"/>
              <w:jc w:val="both"/>
              <w:rPr>
                <w:rFonts w:ascii="Times New Roman" w:eastAsia="Times New Roman" w:hAnsi="Times New Roman" w:cs="Times New Roman"/>
                <w:sz w:val="28"/>
                <w:szCs w:val="28"/>
                <w:lang w:val="ru-RU" w:eastAsia="ru-RU"/>
              </w:rPr>
            </w:pPr>
            <w:r w:rsidRPr="000A17EE">
              <w:rPr>
                <w:rFonts w:ascii="Times New Roman" w:eastAsia="Times New Roman" w:hAnsi="Times New Roman" w:cs="Times New Roman"/>
                <w:sz w:val="28"/>
                <w:szCs w:val="28"/>
                <w:lang w:val="ru-RU" w:eastAsia="ru-RU"/>
              </w:rPr>
              <w:t>Рекомендовано до захисту:</w:t>
            </w:r>
          </w:p>
          <w:p w:rsidR="000A17EE" w:rsidRPr="000A17EE" w:rsidRDefault="000A17EE" w:rsidP="000A17EE">
            <w:pPr>
              <w:spacing w:after="0" w:line="360" w:lineRule="auto"/>
              <w:jc w:val="both"/>
              <w:rPr>
                <w:rFonts w:ascii="Times New Roman" w:eastAsia="Times New Roman" w:hAnsi="Times New Roman" w:cs="Times New Roman"/>
                <w:sz w:val="28"/>
                <w:szCs w:val="28"/>
                <w:lang w:val="ru-RU" w:eastAsia="ru-RU"/>
              </w:rPr>
            </w:pPr>
            <w:r w:rsidRPr="000A17EE">
              <w:rPr>
                <w:rFonts w:ascii="Times New Roman" w:eastAsia="Times New Roman" w:hAnsi="Times New Roman" w:cs="Times New Roman"/>
                <w:sz w:val="28"/>
                <w:szCs w:val="28"/>
                <w:lang w:val="ru-RU" w:eastAsia="ru-RU"/>
              </w:rPr>
              <w:t>протокол засідання кафедри</w:t>
            </w:r>
          </w:p>
          <w:p w:rsidR="000A17EE" w:rsidRPr="000A17EE" w:rsidRDefault="000A17EE" w:rsidP="000A17EE">
            <w:pPr>
              <w:spacing w:after="0" w:line="360" w:lineRule="auto"/>
              <w:jc w:val="both"/>
              <w:rPr>
                <w:rFonts w:ascii="Times New Roman" w:eastAsia="Times New Roman" w:hAnsi="Times New Roman" w:cs="Times New Roman"/>
                <w:sz w:val="28"/>
                <w:szCs w:val="28"/>
                <w:lang w:val="ru-RU" w:eastAsia="ru-RU"/>
              </w:rPr>
            </w:pPr>
            <w:r w:rsidRPr="000A17EE">
              <w:rPr>
                <w:rFonts w:ascii="Times New Roman" w:eastAsia="Times New Roman" w:hAnsi="Times New Roman" w:cs="Times New Roman"/>
                <w:sz w:val="28"/>
                <w:szCs w:val="28"/>
                <w:lang w:val="ru-RU" w:eastAsia="ru-RU"/>
              </w:rPr>
              <w:t xml:space="preserve">№ 5 від 23.11.2018 р. </w:t>
            </w:r>
          </w:p>
          <w:p w:rsidR="000A17EE" w:rsidRPr="000A17EE" w:rsidRDefault="000A17EE" w:rsidP="000A17EE">
            <w:pPr>
              <w:spacing w:after="0" w:line="360" w:lineRule="auto"/>
              <w:jc w:val="both"/>
              <w:rPr>
                <w:rFonts w:ascii="Times New Roman" w:eastAsia="Times New Roman" w:hAnsi="Times New Roman" w:cs="Times New Roman"/>
                <w:sz w:val="28"/>
                <w:szCs w:val="28"/>
                <w:lang w:val="ru-RU" w:eastAsia="ru-RU"/>
              </w:rPr>
            </w:pPr>
          </w:p>
          <w:p w:rsidR="000A17EE" w:rsidRPr="000A17EE" w:rsidRDefault="000A17EE" w:rsidP="000A17EE">
            <w:pPr>
              <w:spacing w:after="0" w:line="360" w:lineRule="auto"/>
              <w:jc w:val="both"/>
              <w:rPr>
                <w:rFonts w:ascii="Times New Roman" w:eastAsia="Times New Roman" w:hAnsi="Times New Roman" w:cs="Times New Roman"/>
                <w:sz w:val="28"/>
                <w:szCs w:val="28"/>
                <w:lang w:val="ru-RU" w:eastAsia="ru-RU"/>
              </w:rPr>
            </w:pPr>
            <w:r w:rsidRPr="000A17EE">
              <w:rPr>
                <w:rFonts w:ascii="Times New Roman" w:eastAsia="Times New Roman" w:hAnsi="Times New Roman" w:cs="Times New Roman"/>
                <w:sz w:val="28"/>
                <w:szCs w:val="28"/>
                <w:lang w:val="ru-RU" w:eastAsia="ru-RU"/>
              </w:rPr>
              <w:t>Завідувач кафедри</w:t>
            </w:r>
          </w:p>
          <w:p w:rsidR="000A17EE" w:rsidRPr="000A17EE" w:rsidRDefault="000A17EE" w:rsidP="000A17EE">
            <w:pPr>
              <w:tabs>
                <w:tab w:val="left" w:pos="1168"/>
                <w:tab w:val="left" w:pos="3861"/>
              </w:tabs>
              <w:spacing w:after="0" w:line="240" w:lineRule="auto"/>
              <w:jc w:val="both"/>
              <w:rPr>
                <w:rFonts w:ascii="Times New Roman" w:eastAsia="Times New Roman" w:hAnsi="Times New Roman" w:cs="Times New Roman"/>
                <w:sz w:val="28"/>
                <w:szCs w:val="28"/>
                <w:u w:val="single"/>
                <w:lang w:val="ru-RU" w:eastAsia="ru-RU"/>
              </w:rPr>
            </w:pPr>
            <w:r w:rsidRPr="000A17EE">
              <w:rPr>
                <w:rFonts w:ascii="Times New Roman" w:eastAsia="Times New Roman" w:hAnsi="Times New Roman" w:cs="Times New Roman"/>
                <w:sz w:val="28"/>
                <w:szCs w:val="28"/>
                <w:u w:val="single"/>
                <w:lang w:val="ru-RU" w:eastAsia="ru-RU"/>
              </w:rPr>
              <w:tab/>
            </w:r>
            <w:r w:rsidRPr="000A17EE">
              <w:rPr>
                <w:rFonts w:ascii="Times New Roman" w:eastAsia="Times New Roman" w:hAnsi="Times New Roman" w:cs="Times New Roman"/>
                <w:sz w:val="28"/>
                <w:szCs w:val="28"/>
                <w:lang w:val="ru-RU" w:eastAsia="ru-RU"/>
              </w:rPr>
              <w:t xml:space="preserve"> проф.Канзафарова І.С.      </w:t>
            </w:r>
          </w:p>
          <w:p w:rsidR="000A17EE" w:rsidRPr="000A17EE" w:rsidRDefault="000A17EE" w:rsidP="000A17EE">
            <w:pPr>
              <w:tabs>
                <w:tab w:val="left" w:pos="284"/>
                <w:tab w:val="left" w:pos="1767"/>
              </w:tabs>
              <w:spacing w:after="0" w:line="240" w:lineRule="auto"/>
              <w:jc w:val="both"/>
              <w:rPr>
                <w:rFonts w:ascii="Times New Roman" w:eastAsia="Times New Roman" w:hAnsi="Times New Roman" w:cs="Times New Roman"/>
                <w:sz w:val="20"/>
                <w:szCs w:val="20"/>
                <w:lang w:val="ru-RU" w:eastAsia="ru-RU"/>
              </w:rPr>
            </w:pPr>
            <w:r w:rsidRPr="000A17EE">
              <w:rPr>
                <w:rFonts w:ascii="Times New Roman" w:eastAsia="Times New Roman" w:hAnsi="Times New Roman" w:cs="Times New Roman"/>
                <w:sz w:val="20"/>
                <w:szCs w:val="20"/>
                <w:lang w:val="ru-RU" w:eastAsia="ru-RU"/>
              </w:rPr>
              <w:tab/>
              <w:t>(підпис)</w:t>
            </w:r>
            <w:r w:rsidRPr="000A17EE">
              <w:rPr>
                <w:rFonts w:ascii="Times New Roman" w:eastAsia="Times New Roman" w:hAnsi="Times New Roman" w:cs="Times New Roman"/>
                <w:sz w:val="20"/>
                <w:szCs w:val="20"/>
                <w:lang w:val="ru-RU" w:eastAsia="ru-RU"/>
              </w:rPr>
              <w:tab/>
            </w:r>
          </w:p>
        </w:tc>
        <w:tc>
          <w:tcPr>
            <w:tcW w:w="4928" w:type="dxa"/>
          </w:tcPr>
          <w:p w:rsidR="000A17EE" w:rsidRPr="000A17EE" w:rsidRDefault="000A17EE" w:rsidP="000A17EE">
            <w:pPr>
              <w:tabs>
                <w:tab w:val="right" w:pos="4462"/>
              </w:tabs>
              <w:spacing w:after="0" w:line="360" w:lineRule="auto"/>
              <w:jc w:val="both"/>
              <w:rPr>
                <w:rFonts w:ascii="Times New Roman" w:eastAsia="Times New Roman" w:hAnsi="Times New Roman" w:cs="Times New Roman"/>
                <w:sz w:val="28"/>
                <w:szCs w:val="28"/>
                <w:lang w:val="ru-RU" w:eastAsia="ru-RU"/>
              </w:rPr>
            </w:pPr>
            <w:r w:rsidRPr="000A17EE">
              <w:rPr>
                <w:rFonts w:ascii="Times New Roman" w:eastAsia="Times New Roman" w:hAnsi="Times New Roman" w:cs="Times New Roman"/>
                <w:sz w:val="28"/>
                <w:szCs w:val="28"/>
                <w:lang w:val="ru-RU" w:eastAsia="ru-RU"/>
              </w:rPr>
              <w:t>Захищено на засіданні ЕК № 5</w:t>
            </w:r>
          </w:p>
          <w:p w:rsidR="000A17EE" w:rsidRPr="000A17EE" w:rsidRDefault="000A17EE" w:rsidP="000A17EE">
            <w:pPr>
              <w:tabs>
                <w:tab w:val="right" w:pos="4462"/>
              </w:tabs>
              <w:spacing w:after="0" w:line="360" w:lineRule="auto"/>
              <w:jc w:val="both"/>
              <w:rPr>
                <w:rFonts w:ascii="Times New Roman" w:eastAsia="Times New Roman" w:hAnsi="Times New Roman" w:cs="Times New Roman"/>
                <w:sz w:val="28"/>
                <w:szCs w:val="28"/>
                <w:lang w:val="ru-RU" w:eastAsia="ru-RU"/>
              </w:rPr>
            </w:pPr>
            <w:r w:rsidRPr="000A17EE">
              <w:rPr>
                <w:rFonts w:ascii="Times New Roman" w:eastAsia="Times New Roman" w:hAnsi="Times New Roman" w:cs="Times New Roman"/>
                <w:sz w:val="28"/>
                <w:szCs w:val="28"/>
                <w:lang w:val="ru-RU" w:eastAsia="ru-RU"/>
              </w:rPr>
              <w:t>протокол №      від _________2018 р.</w:t>
            </w:r>
            <w:r w:rsidRPr="000A17EE">
              <w:rPr>
                <w:rFonts w:ascii="Times New Roman" w:eastAsia="Times New Roman" w:hAnsi="Times New Roman" w:cs="Times New Roman"/>
                <w:sz w:val="28"/>
                <w:szCs w:val="28"/>
                <w:lang w:val="ru-RU" w:eastAsia="ru-RU"/>
              </w:rPr>
              <w:tab/>
            </w:r>
          </w:p>
          <w:p w:rsidR="000A17EE" w:rsidRPr="000A17EE" w:rsidRDefault="000A17EE" w:rsidP="000A17EE">
            <w:pPr>
              <w:tabs>
                <w:tab w:val="right" w:pos="4462"/>
              </w:tabs>
              <w:spacing w:after="0" w:line="240" w:lineRule="auto"/>
              <w:jc w:val="both"/>
              <w:rPr>
                <w:rFonts w:ascii="Times New Roman" w:eastAsia="Times New Roman" w:hAnsi="Times New Roman" w:cs="Times New Roman"/>
                <w:sz w:val="28"/>
                <w:szCs w:val="28"/>
                <w:lang w:val="ru-RU" w:eastAsia="ru-RU"/>
              </w:rPr>
            </w:pPr>
            <w:r w:rsidRPr="000A17EE">
              <w:rPr>
                <w:rFonts w:ascii="Times New Roman" w:eastAsia="Times New Roman" w:hAnsi="Times New Roman" w:cs="Times New Roman"/>
                <w:sz w:val="28"/>
                <w:szCs w:val="28"/>
                <w:lang w:val="ru-RU" w:eastAsia="ru-RU"/>
              </w:rPr>
              <w:t>Оцінка______________/___</w:t>
            </w:r>
            <w:r w:rsidRPr="000A17EE">
              <w:rPr>
                <w:rFonts w:ascii="Times New Roman" w:eastAsia="Times New Roman" w:hAnsi="Times New Roman" w:cs="Times New Roman"/>
                <w:sz w:val="20"/>
                <w:szCs w:val="20"/>
                <w:lang w:val="ru-RU" w:eastAsia="ru-RU"/>
              </w:rPr>
              <w:tab/>
            </w:r>
            <w:r w:rsidRPr="000A17EE">
              <w:rPr>
                <w:rFonts w:ascii="Times New Roman" w:eastAsia="Times New Roman" w:hAnsi="Times New Roman" w:cs="Times New Roman"/>
                <w:sz w:val="28"/>
                <w:szCs w:val="28"/>
                <w:lang w:val="ru-RU" w:eastAsia="ru-RU"/>
              </w:rPr>
              <w:t>___/_____</w:t>
            </w:r>
          </w:p>
          <w:p w:rsidR="000A17EE" w:rsidRPr="000A17EE" w:rsidRDefault="000A17EE" w:rsidP="000A17EE">
            <w:pPr>
              <w:spacing w:after="0" w:line="240" w:lineRule="auto"/>
              <w:jc w:val="both"/>
              <w:rPr>
                <w:rFonts w:ascii="Times New Roman" w:eastAsia="Times New Roman" w:hAnsi="Times New Roman" w:cs="Times New Roman"/>
                <w:sz w:val="20"/>
                <w:szCs w:val="20"/>
                <w:lang w:val="ru-RU" w:eastAsia="ru-RU"/>
              </w:rPr>
            </w:pPr>
            <w:r w:rsidRPr="000A17EE">
              <w:rPr>
                <w:rFonts w:ascii="Times New Roman" w:eastAsia="Times New Roman" w:hAnsi="Times New Roman" w:cs="Times New Roman"/>
                <w:sz w:val="20"/>
                <w:szCs w:val="20"/>
                <w:lang w:val="ru-RU" w:eastAsia="ru-RU"/>
              </w:rPr>
              <w:t>(за національною шкалою/шкалою ЕСТS/ бали)</w:t>
            </w:r>
          </w:p>
          <w:p w:rsidR="000A17EE" w:rsidRPr="000A17EE" w:rsidRDefault="000A17EE" w:rsidP="000A17EE">
            <w:pPr>
              <w:spacing w:after="0" w:line="360" w:lineRule="auto"/>
              <w:jc w:val="both"/>
              <w:rPr>
                <w:rFonts w:ascii="Times New Roman" w:eastAsia="Times New Roman" w:hAnsi="Times New Roman" w:cs="Times New Roman"/>
                <w:sz w:val="28"/>
                <w:szCs w:val="28"/>
                <w:lang w:val="ru-RU" w:eastAsia="ru-RU"/>
              </w:rPr>
            </w:pPr>
          </w:p>
          <w:p w:rsidR="000A17EE" w:rsidRPr="000A17EE" w:rsidRDefault="000A17EE" w:rsidP="000A17EE">
            <w:pPr>
              <w:spacing w:after="0" w:line="360" w:lineRule="auto"/>
              <w:jc w:val="both"/>
              <w:rPr>
                <w:rFonts w:ascii="Times New Roman" w:eastAsia="Times New Roman" w:hAnsi="Times New Roman" w:cs="Times New Roman"/>
                <w:sz w:val="20"/>
                <w:szCs w:val="20"/>
                <w:lang w:val="ru-RU" w:eastAsia="ru-RU"/>
              </w:rPr>
            </w:pPr>
            <w:r w:rsidRPr="000A17EE">
              <w:rPr>
                <w:rFonts w:ascii="Times New Roman" w:eastAsia="Times New Roman" w:hAnsi="Times New Roman" w:cs="Times New Roman"/>
                <w:sz w:val="28"/>
                <w:szCs w:val="28"/>
                <w:lang w:val="ru-RU" w:eastAsia="ru-RU"/>
              </w:rPr>
              <w:t>Голова ЕК</w:t>
            </w:r>
          </w:p>
          <w:p w:rsidR="000A17EE" w:rsidRPr="000A17EE" w:rsidRDefault="000A17EE" w:rsidP="000A17EE">
            <w:pPr>
              <w:spacing w:after="0" w:line="240" w:lineRule="auto"/>
              <w:jc w:val="both"/>
              <w:rPr>
                <w:rFonts w:ascii="Times New Roman" w:eastAsia="Times New Roman" w:hAnsi="Times New Roman" w:cs="Times New Roman"/>
                <w:sz w:val="20"/>
                <w:szCs w:val="20"/>
                <w:lang w:val="ru-RU" w:eastAsia="ru-RU"/>
              </w:rPr>
            </w:pPr>
            <w:r w:rsidRPr="000A17EE">
              <w:rPr>
                <w:rFonts w:ascii="Times New Roman" w:eastAsia="Times New Roman" w:hAnsi="Times New Roman" w:cs="Times New Roman"/>
                <w:sz w:val="28"/>
                <w:szCs w:val="28"/>
                <w:lang w:val="ru-RU" w:eastAsia="ru-RU"/>
              </w:rPr>
              <w:t>_________ проф. Миколенко О.І.</w:t>
            </w:r>
          </w:p>
          <w:p w:rsidR="000A17EE" w:rsidRPr="000A17EE" w:rsidRDefault="000A17EE" w:rsidP="000A17EE">
            <w:pPr>
              <w:tabs>
                <w:tab w:val="left" w:pos="454"/>
                <w:tab w:val="left" w:pos="2155"/>
              </w:tabs>
              <w:spacing w:after="0" w:line="240" w:lineRule="auto"/>
              <w:jc w:val="both"/>
              <w:rPr>
                <w:rFonts w:ascii="Times New Roman" w:eastAsia="Times New Roman" w:hAnsi="Times New Roman" w:cs="Times New Roman"/>
                <w:sz w:val="28"/>
                <w:szCs w:val="28"/>
                <w:lang w:val="ru-RU" w:eastAsia="ru-RU"/>
              </w:rPr>
            </w:pPr>
            <w:r w:rsidRPr="000A17EE">
              <w:rPr>
                <w:rFonts w:ascii="Times New Roman" w:eastAsia="Times New Roman" w:hAnsi="Times New Roman" w:cs="Times New Roman"/>
                <w:sz w:val="20"/>
                <w:szCs w:val="20"/>
                <w:lang w:val="ru-RU" w:eastAsia="ru-RU"/>
              </w:rPr>
              <w:tab/>
              <w:t>(підпис)</w:t>
            </w:r>
            <w:r w:rsidRPr="000A17EE">
              <w:rPr>
                <w:rFonts w:ascii="Times New Roman" w:eastAsia="Times New Roman" w:hAnsi="Times New Roman" w:cs="Times New Roman"/>
                <w:sz w:val="20"/>
                <w:szCs w:val="20"/>
                <w:lang w:val="ru-RU" w:eastAsia="ru-RU"/>
              </w:rPr>
              <w:tab/>
            </w:r>
          </w:p>
        </w:tc>
      </w:tr>
      <w:tr w:rsidR="000A17EE" w:rsidRPr="000A17EE" w:rsidTr="000A17EE">
        <w:trPr>
          <w:jc w:val="center"/>
        </w:trPr>
        <w:tc>
          <w:tcPr>
            <w:tcW w:w="5233" w:type="dxa"/>
          </w:tcPr>
          <w:p w:rsidR="000A17EE" w:rsidRPr="000A17EE" w:rsidRDefault="000A17EE" w:rsidP="000A17EE">
            <w:pPr>
              <w:spacing w:after="0" w:line="240" w:lineRule="auto"/>
              <w:jc w:val="both"/>
              <w:rPr>
                <w:rFonts w:ascii="Times New Roman" w:eastAsia="Times New Roman" w:hAnsi="Times New Roman" w:cs="Times New Roman"/>
                <w:sz w:val="28"/>
                <w:szCs w:val="28"/>
                <w:lang w:val="ru-RU" w:eastAsia="ru-RU"/>
              </w:rPr>
            </w:pPr>
          </w:p>
        </w:tc>
        <w:tc>
          <w:tcPr>
            <w:tcW w:w="4928" w:type="dxa"/>
          </w:tcPr>
          <w:p w:rsidR="000A17EE" w:rsidRPr="000A17EE" w:rsidRDefault="000A17EE" w:rsidP="000A17EE">
            <w:pPr>
              <w:spacing w:after="0" w:line="240" w:lineRule="auto"/>
              <w:jc w:val="both"/>
              <w:rPr>
                <w:rFonts w:ascii="Times New Roman" w:eastAsia="Times New Roman" w:hAnsi="Times New Roman" w:cs="Times New Roman"/>
                <w:sz w:val="28"/>
                <w:szCs w:val="28"/>
                <w:lang w:val="ru-RU" w:eastAsia="ru-RU"/>
              </w:rPr>
            </w:pPr>
          </w:p>
        </w:tc>
      </w:tr>
    </w:tbl>
    <w:p w:rsidR="000A17EE" w:rsidRPr="000A17EE" w:rsidRDefault="000A17EE" w:rsidP="000A17EE">
      <w:pPr>
        <w:spacing w:after="0" w:line="360" w:lineRule="auto"/>
        <w:jc w:val="center"/>
        <w:rPr>
          <w:rFonts w:ascii="Calibri" w:eastAsia="Calibri" w:hAnsi="Calibri" w:cs="Times New Roman"/>
          <w:sz w:val="28"/>
          <w:szCs w:val="28"/>
        </w:rPr>
      </w:pPr>
      <w:r w:rsidRPr="000A17EE">
        <w:rPr>
          <w:rFonts w:ascii="Times New Roman" w:eastAsia="Times New Roman" w:hAnsi="Times New Roman" w:cs="Times New Roman"/>
          <w:b/>
          <w:sz w:val="28"/>
          <w:szCs w:val="28"/>
          <w:lang w:eastAsia="ru-RU"/>
        </w:rPr>
        <w:t>Одеса – 2018</w:t>
      </w:r>
      <w:r w:rsidRPr="000A17EE">
        <w:rPr>
          <w:rFonts w:ascii="Times New Roman" w:eastAsia="Calibri" w:hAnsi="Times New Roman" w:cs="Times New Roman"/>
          <w:sz w:val="28"/>
          <w:szCs w:val="28"/>
        </w:rPr>
        <w:br w:type="page"/>
      </w:r>
    </w:p>
    <w:p w:rsidR="000A17EE" w:rsidRPr="000A17EE" w:rsidRDefault="000A17EE" w:rsidP="000A17EE">
      <w:pPr>
        <w:rPr>
          <w:rFonts w:ascii="Calibri" w:eastAsia="Calibri" w:hAnsi="Calibri" w:cs="Times New Roman"/>
        </w:rPr>
      </w:pPr>
    </w:p>
    <w:sdt>
      <w:sdtPr>
        <w:rPr>
          <w:rFonts w:ascii="Calibri" w:eastAsia="Calibri" w:hAnsi="Calibri" w:cs="Times New Roman"/>
        </w:rPr>
        <w:id w:val="3360141"/>
        <w:docPartObj>
          <w:docPartGallery w:val="Table of Contents"/>
          <w:docPartUnique/>
        </w:docPartObj>
      </w:sdtPr>
      <w:sdtContent>
        <w:p w:rsidR="000A17EE" w:rsidRPr="000A17EE" w:rsidRDefault="000A17EE" w:rsidP="000A17EE">
          <w:pPr>
            <w:keepNext/>
            <w:keepLines/>
            <w:spacing w:before="480" w:after="0"/>
            <w:jc w:val="center"/>
            <w:rPr>
              <w:rFonts w:ascii="Cambria" w:eastAsia="Times New Roman" w:hAnsi="Cambria" w:cs="Times New Roman"/>
              <w:b/>
              <w:bCs/>
              <w:color w:val="365F91"/>
              <w:sz w:val="28"/>
              <w:szCs w:val="28"/>
            </w:rPr>
          </w:pPr>
          <w:r w:rsidRPr="000A17EE">
            <w:rPr>
              <w:rFonts w:ascii="Times New Roman" w:eastAsia="Times New Roman" w:hAnsi="Times New Roman" w:cs="Times New Roman"/>
              <w:b/>
              <w:bCs/>
              <w:sz w:val="28"/>
              <w:szCs w:val="28"/>
            </w:rPr>
            <w:t>Зміст</w:t>
          </w:r>
        </w:p>
        <w:p w:rsidR="000A17EE" w:rsidRPr="000A17EE" w:rsidRDefault="000A17EE" w:rsidP="000A17EE">
          <w:pPr>
            <w:rPr>
              <w:rFonts w:ascii="Calibri" w:eastAsia="Calibri" w:hAnsi="Calibri" w:cs="Times New Roman"/>
            </w:rPr>
          </w:pPr>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r w:rsidRPr="000A17EE">
            <w:rPr>
              <w:rFonts w:ascii="Calibri" w:eastAsia="Calibri" w:hAnsi="Calibri" w:cs="Times New Roman"/>
              <w:lang w:val="ru-RU"/>
            </w:rPr>
            <w:fldChar w:fldCharType="begin"/>
          </w:r>
          <w:r w:rsidRPr="000A17EE">
            <w:rPr>
              <w:rFonts w:ascii="Calibri" w:eastAsia="Calibri" w:hAnsi="Calibri" w:cs="Times New Roman"/>
              <w:lang w:val="ru-RU"/>
            </w:rPr>
            <w:instrText xml:space="preserve"> TOC \o "1-3" \h \z \u </w:instrText>
          </w:r>
          <w:r w:rsidRPr="000A17EE">
            <w:rPr>
              <w:rFonts w:ascii="Calibri" w:eastAsia="Calibri" w:hAnsi="Calibri" w:cs="Times New Roman"/>
              <w:lang w:val="ru-RU"/>
            </w:rPr>
            <w:fldChar w:fldCharType="separate"/>
          </w:r>
          <w:hyperlink r:id="rId6" w:anchor="_Toc530562042" w:history="1">
            <w:r w:rsidRPr="000A17EE">
              <w:rPr>
                <w:rFonts w:ascii="Calibri" w:eastAsia="Calibri" w:hAnsi="Calibri" w:cs="Times New Roman"/>
                <w:noProof/>
                <w:color w:val="0000FF"/>
                <w:szCs w:val="28"/>
                <w:u w:val="single"/>
              </w:rPr>
              <w:t>ВСТУП</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_Toc530562042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3</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7" w:anchor="_Toc530562043" w:history="1">
            <w:r w:rsidRPr="000A17EE">
              <w:rPr>
                <w:rFonts w:ascii="Calibri" w:eastAsia="Calibri" w:hAnsi="Calibri" w:cs="Times New Roman"/>
                <w:noProof/>
                <w:color w:val="0000FF"/>
                <w:szCs w:val="28"/>
                <w:u w:val="single"/>
              </w:rPr>
              <w:t>Розділ 1. ТЕОРЕТИЧНА ТА НОРМАТИВНА ОСНОВИ СОЦІАЛЬНОГО ЗАХИСТУ МОЛОДІ</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_Toc530562043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7</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8" w:anchor="_Toc530562044" w:history="1">
            <w:r w:rsidRPr="000A17EE">
              <w:rPr>
                <w:rFonts w:ascii="Calibri" w:eastAsia="Calibri" w:hAnsi="Calibri" w:cs="Times New Roman"/>
                <w:noProof/>
                <w:color w:val="0000FF"/>
                <w:szCs w:val="28"/>
                <w:u w:val="single"/>
                <w:lang w:eastAsia="uk-UA"/>
              </w:rPr>
              <w:t>1.1. Молодь як правова категорія</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_Toc530562044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7</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9" w:anchor="_Toc530562045" w:history="1">
            <w:r w:rsidRPr="000A17EE">
              <w:rPr>
                <w:rFonts w:ascii="Calibri" w:eastAsia="Calibri" w:hAnsi="Calibri" w:cs="Times New Roman"/>
                <w:noProof/>
                <w:color w:val="0000FF"/>
                <w:szCs w:val="28"/>
                <w:u w:val="single"/>
              </w:rPr>
              <w:t>1.2.</w:t>
            </w:r>
            <w:r w:rsidRPr="000A17EE">
              <w:rPr>
                <w:rFonts w:ascii="Calibri" w:eastAsia="Calibri" w:hAnsi="Calibri" w:cs="Times New Roman"/>
                <w:noProof/>
                <w:color w:val="0000FF"/>
                <w:szCs w:val="28"/>
                <w:u w:val="single"/>
                <w:lang w:val="ru-RU"/>
              </w:rPr>
              <w:t xml:space="preserve"> </w:t>
            </w:r>
            <w:r w:rsidRPr="000A17EE">
              <w:rPr>
                <w:rFonts w:ascii="Calibri" w:eastAsia="Calibri" w:hAnsi="Calibri" w:cs="Times New Roman"/>
                <w:noProof/>
                <w:color w:val="0000FF"/>
                <w:szCs w:val="28"/>
                <w:u w:val="single"/>
              </w:rPr>
              <w:t>Становлення законодавства про соціальний захист молоді</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_Toc530562045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15</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0" w:anchor="_Toc530562046" w:history="1">
            <w:r w:rsidRPr="000A17EE">
              <w:rPr>
                <w:rFonts w:ascii="Calibri" w:eastAsia="Calibri" w:hAnsi="Calibri" w:cs="Times New Roman"/>
                <w:noProof/>
                <w:color w:val="0000FF"/>
                <w:szCs w:val="28"/>
                <w:u w:val="single"/>
              </w:rPr>
              <w:t>1.3. Поняття та ознаки соціального захисту молоді за законодавством України</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_Toc530562046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33</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1" w:anchor="_Toc530562047" w:history="1">
            <w:r w:rsidRPr="000A17EE">
              <w:rPr>
                <w:rFonts w:ascii="Calibri" w:eastAsia="Calibri" w:hAnsi="Calibri" w:cs="Times New Roman"/>
                <w:noProof/>
                <w:color w:val="0000FF"/>
                <w:szCs w:val="28"/>
                <w:u w:val="single"/>
              </w:rPr>
              <w:t>1.4. Форми та види соціального захисту молоді</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_Toc530562047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43</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2" w:anchor="_Toc530562048" w:history="1">
            <w:r w:rsidRPr="000A17EE">
              <w:rPr>
                <w:rFonts w:ascii="Calibri" w:eastAsia="Calibri" w:hAnsi="Calibri" w:cs="Times New Roman"/>
                <w:noProof/>
                <w:color w:val="0000FF"/>
                <w:szCs w:val="28"/>
                <w:u w:val="single"/>
                <w:bdr w:val="none" w:sz="0" w:space="0" w:color="auto" w:frame="1"/>
                <w:lang w:eastAsia="uk-UA"/>
              </w:rPr>
              <w:t>Висновки до Розділу 1</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_Toc530562048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61</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3" w:anchor="_Toc530562049" w:history="1">
            <w:r w:rsidRPr="000A17EE">
              <w:rPr>
                <w:rFonts w:ascii="Calibri" w:eastAsia="Calibri" w:hAnsi="Calibri" w:cs="Times New Roman"/>
                <w:noProof/>
                <w:color w:val="0000FF"/>
                <w:szCs w:val="28"/>
                <w:u w:val="single"/>
                <w:bdr w:val="none" w:sz="0" w:space="0" w:color="auto" w:frame="1"/>
                <w:lang w:eastAsia="uk-UA"/>
              </w:rPr>
              <w:t>Розділ 2. ПРАВОВЕ ЗАБЕЗПЕЧЕННЯ ОКРЕМИХ ВИДІВ СОЦІАЛЬНОГО ЗАХИСТУ МОЛОДІ</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_Toc530562049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63</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4" w:anchor="_Toc530562050" w:history="1">
            <w:r w:rsidRPr="000A17EE">
              <w:rPr>
                <w:rFonts w:ascii="Calibri" w:eastAsia="Calibri" w:hAnsi="Calibri" w:cs="Times New Roman"/>
                <w:noProof/>
                <w:color w:val="0000FF"/>
                <w:szCs w:val="28"/>
                <w:u w:val="single"/>
              </w:rPr>
              <w:t>2.1. Соціальний захист молоді у сферах зайнятості та праці</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_Toc530562050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63</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5" w:anchor="_Toc530562051" w:history="1">
            <w:r w:rsidRPr="000A17EE">
              <w:rPr>
                <w:rFonts w:ascii="Calibri" w:eastAsia="Calibri" w:hAnsi="Calibri" w:cs="Times New Roman"/>
                <w:noProof/>
                <w:color w:val="0000FF"/>
                <w:szCs w:val="28"/>
                <w:u w:val="single"/>
                <w:lang w:eastAsia="ar-SA"/>
              </w:rPr>
              <w:t>2.2. Матеріальне забезпечення та соціальні пільги молоді у сфері освіти</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_Toc530562051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80</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6" w:anchor="_Toc530562052" w:history="1">
            <w:r w:rsidRPr="000A17EE">
              <w:rPr>
                <w:rFonts w:ascii="Calibri" w:eastAsia="Calibri" w:hAnsi="Calibri" w:cs="Times New Roman"/>
                <w:noProof/>
                <w:color w:val="0000FF"/>
                <w:szCs w:val="28"/>
                <w:u w:val="single"/>
              </w:rPr>
              <w:t>2.3. Соціальне обслуговування молоді</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_Toc530562052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88</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7" w:anchor="_Toc530562053" w:history="1">
            <w:r w:rsidRPr="000A17EE">
              <w:rPr>
                <w:rFonts w:ascii="Calibri" w:eastAsia="Calibri" w:hAnsi="Calibri" w:cs="Times New Roman"/>
                <w:noProof/>
                <w:color w:val="0000FF"/>
                <w:szCs w:val="28"/>
                <w:u w:val="single"/>
              </w:rPr>
              <w:t>Висновки до Розділу 2</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_Toc530562053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101</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8" w:anchor="_Toc530562054" w:history="1">
            <w:r w:rsidRPr="000A17EE">
              <w:rPr>
                <w:rFonts w:ascii="Calibri" w:eastAsia="Calibri" w:hAnsi="Calibri" w:cs="Times New Roman"/>
                <w:noProof/>
                <w:color w:val="0000FF"/>
                <w:szCs w:val="28"/>
                <w:u w:val="single"/>
              </w:rPr>
              <w:t>Висновки</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_Toc530562054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103</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tabs>
              <w:tab w:val="right" w:leader="dot" w:pos="9345"/>
            </w:tabs>
            <w:spacing w:after="0" w:line="360" w:lineRule="auto"/>
            <w:rPr>
              <w:rFonts w:ascii="Calibri" w:eastAsia="Times New Roman" w:hAnsi="Calibri" w:cs="Times New Roman"/>
              <w:noProof/>
              <w:lang w:val="ru-RU" w:eastAsia="ru-RU"/>
            </w:rPr>
          </w:pPr>
          <w:hyperlink r:id="rId19" w:anchor="_Toc530562055" w:history="1">
            <w:r w:rsidRPr="000A17EE">
              <w:rPr>
                <w:rFonts w:ascii="Calibri" w:eastAsia="Calibri" w:hAnsi="Calibri" w:cs="Times New Roman"/>
                <w:noProof/>
                <w:color w:val="0000FF"/>
                <w:szCs w:val="28"/>
                <w:u w:val="single"/>
              </w:rPr>
              <w:t>Список використаної літератури</w:t>
            </w:r>
            <w:r w:rsidRPr="000A17EE">
              <w:rPr>
                <w:rFonts w:ascii="Calibri" w:eastAsia="Calibri" w:hAnsi="Calibri" w:cs="Times New Roman"/>
                <w:noProof/>
                <w:webHidden/>
                <w:color w:val="0000FF"/>
                <w:szCs w:val="28"/>
                <w:u w:val="single"/>
              </w:rPr>
              <w:tab/>
            </w:r>
            <w:r w:rsidRPr="000A17EE">
              <w:rPr>
                <w:rFonts w:ascii="Calibri" w:eastAsia="Calibri" w:hAnsi="Calibri" w:cs="Times New Roman"/>
                <w:noProof/>
                <w:webHidden/>
                <w:color w:val="0000FF"/>
                <w:szCs w:val="28"/>
                <w:u w:val="single"/>
              </w:rPr>
              <w:fldChar w:fldCharType="begin"/>
            </w:r>
            <w:r w:rsidRPr="000A17EE">
              <w:rPr>
                <w:rFonts w:ascii="Calibri" w:eastAsia="Calibri" w:hAnsi="Calibri" w:cs="Times New Roman"/>
                <w:noProof/>
                <w:webHidden/>
                <w:color w:val="0000FF"/>
                <w:szCs w:val="28"/>
                <w:u w:val="single"/>
              </w:rPr>
              <w:instrText xml:space="preserve"> PAGEREF _Toc530562055 \h </w:instrText>
            </w:r>
            <w:r w:rsidRPr="000A17EE">
              <w:rPr>
                <w:rFonts w:ascii="Calibri" w:eastAsia="Calibri" w:hAnsi="Calibri" w:cs="Times New Roman"/>
                <w:noProof/>
                <w:webHidden/>
                <w:color w:val="0000FF"/>
                <w:szCs w:val="28"/>
                <w:u w:val="single"/>
              </w:rPr>
            </w:r>
            <w:r w:rsidRPr="000A17EE">
              <w:rPr>
                <w:rFonts w:ascii="Calibri" w:eastAsia="Calibri" w:hAnsi="Calibri" w:cs="Times New Roman"/>
                <w:noProof/>
                <w:webHidden/>
                <w:color w:val="0000FF"/>
                <w:szCs w:val="28"/>
                <w:u w:val="single"/>
              </w:rPr>
              <w:fldChar w:fldCharType="separate"/>
            </w:r>
            <w:r w:rsidRPr="000A17EE">
              <w:rPr>
                <w:rFonts w:ascii="Calibri" w:eastAsia="Calibri" w:hAnsi="Calibri" w:cs="Times New Roman"/>
                <w:noProof/>
                <w:webHidden/>
                <w:color w:val="0000FF"/>
                <w:szCs w:val="28"/>
                <w:u w:val="single"/>
              </w:rPr>
              <w:t>107</w:t>
            </w:r>
            <w:r w:rsidRPr="000A17EE">
              <w:rPr>
                <w:rFonts w:ascii="Calibri" w:eastAsia="Calibri" w:hAnsi="Calibri" w:cs="Times New Roman"/>
                <w:noProof/>
                <w:webHidden/>
                <w:color w:val="0000FF"/>
                <w:szCs w:val="28"/>
                <w:u w:val="single"/>
              </w:rPr>
              <w:fldChar w:fldCharType="end"/>
            </w:r>
          </w:hyperlink>
        </w:p>
        <w:p w:rsidR="000A17EE" w:rsidRPr="000A17EE" w:rsidRDefault="000A17EE" w:rsidP="000A17EE">
          <w:pPr>
            <w:rPr>
              <w:rFonts w:ascii="Calibri" w:eastAsia="Calibri" w:hAnsi="Calibri" w:cs="Times New Roman"/>
              <w:lang w:val="ru-RU"/>
            </w:rPr>
          </w:pPr>
          <w:r w:rsidRPr="000A17EE">
            <w:rPr>
              <w:rFonts w:ascii="Calibri" w:eastAsia="Calibri" w:hAnsi="Calibri" w:cs="Times New Roman"/>
              <w:lang w:val="ru-RU"/>
            </w:rPr>
            <w:fldChar w:fldCharType="end"/>
          </w:r>
        </w:p>
      </w:sdtContent>
    </w:sdt>
    <w:p w:rsidR="000A17EE" w:rsidRPr="000A17EE" w:rsidRDefault="000A17EE" w:rsidP="000A17EE">
      <w:pPr>
        <w:rPr>
          <w:rFonts w:ascii="Calibri" w:eastAsia="Calibri" w:hAnsi="Calibri" w:cs="Times New Roman"/>
        </w:rPr>
      </w:pPr>
      <w:r w:rsidRPr="000A17EE">
        <w:rPr>
          <w:rFonts w:ascii="Calibri" w:eastAsia="Calibri" w:hAnsi="Calibri" w:cs="Times New Roman"/>
        </w:rPr>
        <w:t xml:space="preserve"> </w:t>
      </w:r>
      <w:r w:rsidRPr="000A17EE">
        <w:rPr>
          <w:rFonts w:ascii="Calibri" w:eastAsia="Calibri" w:hAnsi="Calibri" w:cs="Times New Roman"/>
        </w:rPr>
        <w:br w:type="page"/>
      </w:r>
    </w:p>
    <w:p w:rsidR="000A17EE" w:rsidRPr="000A17EE" w:rsidRDefault="000A17EE" w:rsidP="000A17EE">
      <w:pPr>
        <w:keepNext/>
        <w:spacing w:before="360" w:after="240" w:line="300" w:lineRule="auto"/>
        <w:jc w:val="center"/>
        <w:outlineLvl w:val="2"/>
        <w:rPr>
          <w:rFonts w:ascii="Times New Roman" w:eastAsia="Times New Roman" w:hAnsi="Times New Roman" w:cs="Times New Roman"/>
          <w:b/>
          <w:bCs/>
          <w:sz w:val="28"/>
          <w:szCs w:val="26"/>
        </w:rPr>
      </w:pPr>
      <w:bookmarkStart w:id="0" w:name="_Toc530562042"/>
      <w:r w:rsidRPr="000A17EE">
        <w:rPr>
          <w:rFonts w:ascii="Times New Roman" w:eastAsia="Times New Roman" w:hAnsi="Times New Roman" w:cs="Times New Roman"/>
          <w:b/>
          <w:bCs/>
          <w:sz w:val="28"/>
          <w:szCs w:val="26"/>
        </w:rPr>
        <w:lastRenderedPageBreak/>
        <w:t>ВСТУП</w:t>
      </w:r>
      <w:bookmarkEnd w:id="0"/>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b/>
          <w:color w:val="000000"/>
          <w:sz w:val="28"/>
          <w:szCs w:val="28"/>
        </w:rPr>
        <w:t xml:space="preserve">Актуальність теми. </w:t>
      </w:r>
      <w:r w:rsidRPr="000A17EE">
        <w:rPr>
          <w:rFonts w:ascii="Times New Roman" w:eastAsia="Calibri" w:hAnsi="Times New Roman" w:cs="Times New Roman"/>
          <w:color w:val="000000"/>
          <w:sz w:val="28"/>
          <w:szCs w:val="28"/>
        </w:rPr>
        <w:t>Молодь являє собою велику соціально-демографічну групу, що має специфічні соціальні й психологічні риси, наявність яких визначається як віковими особливостями молодих людей, так і тим, що їхнє соціально-економічне і суспільно-політичне становище, духовний світ перебувають у становленні, формуванні.</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У перші десятиріччя ХХІ століття відбулося різке загострення соціальних проблем молоді у різних країнах світу. В більшості з них молодь, приблизно вдвічі частіше, ніж представники старших вікових категорій, опиняється в маргінальному становищі при виборі місця роботи. Непропорційно великою є її частка в когорті безробітних, найнижчими показниками характеризується рівень її доходів й стартові можливості отримання освіти та самоствердження. Молодь залишається серед тих, кого криза робочих місць уразила найбільше.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В умовах формування ринкового середовища вітчизняна молодь вимагає особливої соціальної підтримки та соціального захисту як така, що перебуває в стані формування і утвердження життєвих позицій, складає більше половини працездатного населення держави, має свої орієнтації, інтереси і потреби, болісно відчуває на собі тягар економічної кризи та недостатність державних асигнувань на соціальні потреби. Водночас молодь є майбутнім держави, а тому від забезпечення стартових умов її діяльності залежить подальший розвиток сучасного суспільства, а також майбутніх поколінь.</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Прийняття Декларації «Про загальні засади державної молодіжної політики в Україні» від 15 грудня 1992 року забезпечило визнання державної молодіжної політики в Україні пріоритетним і специфічним напрямом діяльності держави. Одним із головних принципів державної молодіжної політики Декларацією проголошено принцип правового та соціального захисту молодих громадян, перш за все осіб, які не досягли 18 років, з метою створення необхідних стартових можливостей для їх повноцінного соціального становлення та розвитку. Для реалізації зазначеного принципу необхідною є розробка питань теорії права соціального забезпечення про поняття, форми, </w:t>
      </w:r>
      <w:r w:rsidRPr="000A17EE">
        <w:rPr>
          <w:rFonts w:ascii="Times New Roman" w:eastAsia="Calibri" w:hAnsi="Times New Roman" w:cs="Times New Roman"/>
          <w:color w:val="000000"/>
          <w:sz w:val="28"/>
          <w:szCs w:val="28"/>
        </w:rPr>
        <w:lastRenderedPageBreak/>
        <w:t xml:space="preserve">види та правові засоби соціального захисту молоді, які ще не були предметом спеціального дослідження у вітчизняній науці права соціального забезпечення.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Протягом останніх 20 років в Україні сформовано законодавчу базу з питань соціального становлення та розвитку молоді, утворено центральні і місцеві органи виконавчої влади, які забезпечують формування та реалізацію державної молодіжної політики, створено мережу установ і закладів для молоді, розроблено та забезпечено виконання державних і регіональних молодіжних програм, запроваджено механізм підтримки молодіжного руху та різних категорій молоді тощо. Водночас проблемами у реалізації молодіжної політики, як відзначається в Стратегії розвитку державної молодіжної політики на період до 2020 року, є: недосконалість правового регулювання; низький рівень наукового обґрунтування процесу реалізації державної молодіжної політики; низький рівень взаємодії центральних і місцевих органів виконавчої влади та громадських об’єднань, які представляють інтереси молоді; нечіткість визначення прав і обов’язків молоді та суб’єктів, які беруть участь у реалізації державної молодіжної політики.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Необхідність удосконалення чинного законодавства у сфері соціального захисту молоді як складової законодавства у сфері молодіжної політики з метою чіткого визначення прав молоді та обов’язків відповідних органів також обумовлює актуальність теми магістерської роботи.</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Проблемам правового статусу молоді присвячені праці радянських учених: О.А. Абрамової, Б.К. Бєгічева, Є.О. Голованової, З.Д. Григорьєвої, Д.О. Карпенка, Є.О. Монастирського, Ю.П. Орловського, В.Г. Сойфера, А.Ф. Трошина, О.І. Шебанової, І.А. Громова, С.Н. Іконнікової, В.І. Лісовського та ін., а також сучасних вітчизняних та зарубіжних вчених: Н.Б. Болотіної, М.О. Буянової, В.В. Жернакова, М.Л. Захарова, І.О. Лаврінчук, М.В. Лушнікової, А.М. Лушнікова, О.Є. Мачульської, А.В. Медведєва, К.Ю. Мельника, Є.В. Назаренко, П.Д. Пилипенка, О.М. Потопахіної, С.М. Прилипка, С.Б. Приходько, О.І. Процевського, І.М. Сироти, В.С. Тарасенко, М.Ю. Федорова, Ф.Р. Філіпова</w:t>
      </w:r>
      <w:r w:rsidRPr="000A17EE">
        <w:rPr>
          <w:rFonts w:ascii="Times New Roman" w:eastAsia="Calibri" w:hAnsi="Times New Roman" w:cs="Times New Roman"/>
          <w:b/>
          <w:color w:val="000000"/>
          <w:sz w:val="28"/>
          <w:szCs w:val="28"/>
        </w:rPr>
        <w:t>,</w:t>
      </w:r>
      <w:r w:rsidRPr="000A17EE">
        <w:rPr>
          <w:rFonts w:ascii="Times New Roman" w:eastAsia="Calibri" w:hAnsi="Times New Roman" w:cs="Times New Roman"/>
          <w:color w:val="000000"/>
          <w:sz w:val="28"/>
          <w:szCs w:val="28"/>
        </w:rPr>
        <w:t xml:space="preserve"> Н.М. Хуторян, Г.І. Чанишевої, В.Ш. Шайхатдінова, Г.Х. Шафікової, Ю.М. Щотової, О.М. Ярошенка та ін. </w:t>
      </w:r>
    </w:p>
    <w:p w:rsidR="000A17EE" w:rsidRPr="000A17EE" w:rsidRDefault="000A17EE" w:rsidP="000A17EE">
      <w:pPr>
        <w:spacing w:after="0" w:line="360" w:lineRule="auto"/>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b/>
          <w:color w:val="000000"/>
          <w:sz w:val="28"/>
          <w:szCs w:val="28"/>
        </w:rPr>
        <w:lastRenderedPageBreak/>
        <w:t>Мета та завдання дослідження</w:t>
      </w:r>
      <w:r w:rsidRPr="000A17EE">
        <w:rPr>
          <w:rFonts w:ascii="Times New Roman" w:eastAsia="Calibri" w:hAnsi="Times New Roman" w:cs="Times New Roman"/>
          <w:color w:val="000000"/>
          <w:sz w:val="28"/>
          <w:szCs w:val="28"/>
        </w:rPr>
        <w:t xml:space="preserve">. </w:t>
      </w:r>
      <w:r w:rsidRPr="000A17EE">
        <w:rPr>
          <w:rFonts w:ascii="Times New Roman" w:eastAsia="Calibri" w:hAnsi="Times New Roman" w:cs="Times New Roman"/>
          <w:b/>
          <w:color w:val="000000"/>
          <w:sz w:val="28"/>
          <w:szCs w:val="28"/>
        </w:rPr>
        <w:t>Мета</w:t>
      </w:r>
      <w:r w:rsidRPr="000A17EE">
        <w:rPr>
          <w:rFonts w:ascii="Times New Roman" w:eastAsia="Calibri" w:hAnsi="Times New Roman" w:cs="Times New Roman"/>
          <w:color w:val="000000"/>
          <w:sz w:val="28"/>
          <w:szCs w:val="28"/>
        </w:rPr>
        <w:t xml:space="preserve"> дипломної роботи полягає у комплексному дослідженні теоретичних і практичних проблем правового забезпечення соціального захисту молоді в Україні. </w:t>
      </w:r>
    </w:p>
    <w:p w:rsidR="000A17EE" w:rsidRPr="000A17EE" w:rsidRDefault="000A17EE" w:rsidP="000A17EE">
      <w:pPr>
        <w:spacing w:after="0" w:line="360" w:lineRule="auto"/>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Для досягнення поставленої мети вирішувалися наступні завдання:</w:t>
      </w:r>
    </w:p>
    <w:p w:rsidR="000A17EE" w:rsidRPr="000A17EE" w:rsidRDefault="000A17EE" w:rsidP="000A17EE">
      <w:pPr>
        <w:spacing w:after="0" w:line="360" w:lineRule="auto"/>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визначити поняття та ознаки молоді як правової категорії; </w:t>
      </w:r>
    </w:p>
    <w:p w:rsidR="000A17EE" w:rsidRPr="000A17EE" w:rsidRDefault="000A17EE" w:rsidP="000A17EE">
      <w:pPr>
        <w:spacing w:after="0" w:line="360" w:lineRule="auto"/>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охарактеризувати становлення, сучасний стан та перспективи розвитку законодавства України про соціальний захист молоді; </w:t>
      </w:r>
    </w:p>
    <w:p w:rsidR="000A17EE" w:rsidRPr="000A17EE" w:rsidRDefault="000A17EE" w:rsidP="000A17EE">
      <w:pPr>
        <w:spacing w:after="0" w:line="360" w:lineRule="auto"/>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визначити поняття та ознаки соціального захисту молоді в Україні; дослідити галузеву природу суспільних відносин у сфері соціального захисту молоді та сфери їх правової регламентації; </w:t>
      </w:r>
    </w:p>
    <w:p w:rsidR="000A17EE" w:rsidRPr="000A17EE" w:rsidRDefault="000A17EE" w:rsidP="000A17EE">
      <w:pPr>
        <w:spacing w:after="0" w:line="360" w:lineRule="auto"/>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виокремити форми та види соціального захисту молоді за законодавством України; охарактеризувати гарантії та соціальні пільги як правові засоби соціального захисту молоді за законодавством України; </w:t>
      </w:r>
    </w:p>
    <w:p w:rsidR="000A17EE" w:rsidRPr="000A17EE" w:rsidRDefault="000A17EE" w:rsidP="000A17EE">
      <w:pPr>
        <w:spacing w:after="0" w:line="360" w:lineRule="auto"/>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b/>
          <w:color w:val="000000"/>
          <w:sz w:val="28"/>
          <w:szCs w:val="28"/>
        </w:rPr>
        <w:t>Об’єктом дослідження</w:t>
      </w:r>
      <w:r w:rsidRPr="000A17EE">
        <w:rPr>
          <w:rFonts w:ascii="Times New Roman" w:eastAsia="Calibri" w:hAnsi="Times New Roman" w:cs="Times New Roman"/>
          <w:color w:val="000000"/>
          <w:sz w:val="28"/>
          <w:szCs w:val="28"/>
        </w:rPr>
        <w:t xml:space="preserve"> є правовідносини у сфері соціального захисту молоді.</w:t>
      </w:r>
    </w:p>
    <w:p w:rsidR="000A17EE" w:rsidRPr="000A17EE" w:rsidRDefault="000A17EE" w:rsidP="000A17EE">
      <w:pPr>
        <w:spacing w:after="0" w:line="360" w:lineRule="auto"/>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b/>
          <w:color w:val="000000"/>
          <w:sz w:val="28"/>
          <w:szCs w:val="28"/>
        </w:rPr>
        <w:t>Предметом дослідження</w:t>
      </w:r>
      <w:r w:rsidRPr="000A17EE">
        <w:rPr>
          <w:rFonts w:ascii="Times New Roman" w:eastAsia="Calibri" w:hAnsi="Times New Roman" w:cs="Times New Roman"/>
          <w:color w:val="000000"/>
          <w:sz w:val="28"/>
          <w:szCs w:val="28"/>
        </w:rPr>
        <w:t xml:space="preserve"> є правове забезпечення соціального захисту молоді в Україні. </w:t>
      </w:r>
    </w:p>
    <w:p w:rsidR="000A17EE" w:rsidRPr="000A17EE" w:rsidRDefault="000A17EE" w:rsidP="000A17EE">
      <w:pPr>
        <w:spacing w:after="0"/>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b/>
          <w:color w:val="000000"/>
          <w:sz w:val="28"/>
          <w:szCs w:val="28"/>
        </w:rPr>
        <w:t>Методи дослідження</w:t>
      </w:r>
      <w:r w:rsidRPr="000A17EE">
        <w:rPr>
          <w:rFonts w:ascii="Times New Roman" w:eastAsia="Calibri" w:hAnsi="Times New Roman" w:cs="Times New Roman"/>
          <w:i/>
          <w:color w:val="000000"/>
          <w:sz w:val="28"/>
          <w:szCs w:val="28"/>
        </w:rPr>
        <w:t>.</w:t>
      </w:r>
      <w:r w:rsidRPr="000A17EE">
        <w:rPr>
          <w:rFonts w:ascii="Times New Roman" w:eastAsia="Calibri" w:hAnsi="Times New Roman" w:cs="Times New Roman"/>
          <w:color w:val="000000"/>
          <w:sz w:val="28"/>
          <w:szCs w:val="28"/>
        </w:rPr>
        <w:t xml:space="preserve"> Методологічною основою дипломної роботи є загальнонаукові та спеціальні методи пізнання, вибір яких обумовлений особливостями мети і завдань, об’єкта і предмету роботи. За допомогою діалектичного методу досліджено проблеми правового забезпечення соціального захисту молоді в їх розвитку і взаємозв’язку. Застосування історико-правового методу дозволило проаналізувати становлення і розвиток інституту соціального захисту молоді.</w:t>
      </w:r>
    </w:p>
    <w:p w:rsidR="000A17EE" w:rsidRPr="000A17EE" w:rsidRDefault="000A17EE" w:rsidP="000A17EE">
      <w:pPr>
        <w:spacing w:after="0"/>
        <w:ind w:firstLine="709"/>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Формально-логічний та системний методи було використано при визначенні поняття соціального захисту молоді і характеристиці системи заходів із соціального захисту молоді за законодавством України. </w:t>
      </w:r>
    </w:p>
    <w:p w:rsidR="000A17EE" w:rsidRPr="000A17EE" w:rsidRDefault="000A17EE" w:rsidP="000A17EE">
      <w:pPr>
        <w:spacing w:after="0"/>
        <w:ind w:firstLine="709"/>
        <w:jc w:val="both"/>
        <w:rPr>
          <w:rFonts w:ascii="Times New Roman" w:eastAsia="Calibri" w:hAnsi="Times New Roman" w:cs="Times New Roman"/>
          <w:sz w:val="28"/>
          <w:szCs w:val="28"/>
        </w:rPr>
      </w:pPr>
      <w:r w:rsidRPr="000A17EE">
        <w:rPr>
          <w:rFonts w:ascii="Times New Roman" w:eastAsia="Calibri" w:hAnsi="Times New Roman" w:cs="Times New Roman"/>
          <w:sz w:val="28"/>
          <w:szCs w:val="28"/>
        </w:rPr>
        <w:t>Нормативну базу дослідження склали Конституція України, міжнародно-правові акти, законодавчі акти України, нормативно-правові акти Верховної Ради України, Президента України, Кабінету Міністрів України, міністерств та відомств, рішення Верховного Суду України.</w:t>
      </w:r>
    </w:p>
    <w:p w:rsidR="000A17EE" w:rsidRPr="000A17EE" w:rsidRDefault="000A17EE" w:rsidP="000A17EE">
      <w:pPr>
        <w:spacing w:after="0"/>
        <w:ind w:firstLine="709"/>
        <w:jc w:val="both"/>
        <w:rPr>
          <w:rFonts w:ascii="Times New Roman" w:eastAsia="Calibri" w:hAnsi="Times New Roman" w:cs="Times New Roman"/>
          <w:sz w:val="28"/>
          <w:szCs w:val="28"/>
        </w:rPr>
      </w:pPr>
      <w:r w:rsidRPr="000A17EE">
        <w:rPr>
          <w:rFonts w:ascii="Times New Roman" w:eastAsia="Calibri" w:hAnsi="Times New Roman" w:cs="Times New Roman"/>
          <w:b/>
          <w:sz w:val="28"/>
          <w:szCs w:val="28"/>
        </w:rPr>
        <w:t>Структура роботи</w:t>
      </w:r>
      <w:r w:rsidRPr="000A17EE">
        <w:rPr>
          <w:rFonts w:ascii="Times New Roman" w:eastAsia="Calibri" w:hAnsi="Times New Roman" w:cs="Times New Roman"/>
          <w:sz w:val="28"/>
          <w:szCs w:val="28"/>
        </w:rPr>
        <w:t>. Дипломна робота складається зі вступу, двох розділів, що об’єднують 7 підрозділів, з висновків і списку використаних джерел. Повний обсяг дипломної роботи становить        сторінок.</w:t>
      </w:r>
    </w:p>
    <w:p w:rsidR="000A17EE" w:rsidRPr="000A17EE" w:rsidRDefault="000A17EE" w:rsidP="000A17EE">
      <w:pPr>
        <w:spacing w:after="0" w:line="360" w:lineRule="auto"/>
        <w:ind w:firstLine="709"/>
        <w:jc w:val="both"/>
        <w:rPr>
          <w:rFonts w:ascii="Times New Roman" w:eastAsia="Calibri" w:hAnsi="Times New Roman" w:cs="Times New Roman"/>
          <w:color w:val="000000"/>
          <w:sz w:val="28"/>
          <w:szCs w:val="28"/>
        </w:rPr>
      </w:pPr>
    </w:p>
    <w:p w:rsidR="000A17EE" w:rsidRPr="000A17EE" w:rsidRDefault="000A17EE" w:rsidP="000A17EE">
      <w:pPr>
        <w:keepNext/>
        <w:spacing w:before="360" w:after="240" w:line="300" w:lineRule="auto"/>
        <w:jc w:val="center"/>
        <w:outlineLvl w:val="2"/>
        <w:rPr>
          <w:rFonts w:ascii="Times New Roman" w:eastAsia="Times New Roman" w:hAnsi="Times New Roman" w:cs="Times New Roman"/>
          <w:b/>
          <w:bCs/>
          <w:sz w:val="28"/>
          <w:szCs w:val="26"/>
        </w:rPr>
      </w:pPr>
      <w:bookmarkStart w:id="1" w:name="_Toc530562054"/>
      <w:r w:rsidRPr="000A17EE">
        <w:rPr>
          <w:rFonts w:ascii="Times New Roman" w:eastAsia="Times New Roman" w:hAnsi="Times New Roman" w:cs="Times New Roman"/>
          <w:b/>
          <w:bCs/>
          <w:sz w:val="28"/>
          <w:szCs w:val="26"/>
        </w:rPr>
        <w:lastRenderedPageBreak/>
        <w:t>ВИСНОВКИ</w:t>
      </w:r>
      <w:bookmarkEnd w:id="1"/>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Молодь − це велика соціально-демографічна група, що має специфічні соціальні й психологічні риси, наявність яких визначається як віковими особливостями молодих людей, так і тим, що їхнє соціально-економічне і суспільно-політичне становище, духовний світ перебувають у становленні та формуванні. В сучасних умовах формування ринкового середовища вітчизняна молодь вимагає особливої соціальної підтримки та соціального захисту як така, що перебуває в стані формування і утвердження життєвих позицій, та болісно відчуває на собі тягар економічної кризи та недостатність державних асигнувань на соціальні потреби.</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Молодь як правову категорію видається доцільним визначити як фізичних осіб віком від 14 до 35 років, які мають право на гарантії та пільги, передбачені законодавством для забезпечення їх нормальної життєдіяльності, створення умов для соціального становлення та розвитку. Позиція законодавства щодо встановлення вікових меж молоді від 14 до 35 років заслуговує на підтримку, оскільки ґрунтується на поєднанні соціологічного та фізіологічного підходів.</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lang w:val="ru-RU"/>
        </w:rPr>
      </w:pPr>
      <w:r w:rsidRPr="000A17EE">
        <w:rPr>
          <w:rFonts w:ascii="Times New Roman" w:eastAsia="Calibri" w:hAnsi="Times New Roman" w:cs="Times New Roman"/>
          <w:color w:val="000000"/>
          <w:sz w:val="28"/>
          <w:szCs w:val="28"/>
        </w:rPr>
        <w:t xml:space="preserve">Поняття соціального захисту молоді можна розглядати у декількох значеннях: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lang w:val="ru-RU"/>
        </w:rPr>
      </w:pPr>
      <w:r w:rsidRPr="000A17EE">
        <w:rPr>
          <w:rFonts w:ascii="Times New Roman" w:eastAsia="Calibri" w:hAnsi="Times New Roman" w:cs="Times New Roman"/>
          <w:color w:val="000000"/>
          <w:sz w:val="28"/>
          <w:szCs w:val="28"/>
        </w:rPr>
        <w:t xml:space="preserve">1) як систему суспільних відносин;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lang w:val="ru-RU"/>
        </w:rPr>
      </w:pPr>
      <w:r w:rsidRPr="000A17EE">
        <w:rPr>
          <w:rFonts w:ascii="Times New Roman" w:eastAsia="Calibri" w:hAnsi="Times New Roman" w:cs="Times New Roman"/>
          <w:color w:val="000000"/>
          <w:sz w:val="28"/>
          <w:szCs w:val="28"/>
        </w:rPr>
        <w:t xml:space="preserve">2) як результат практичної реалізації соціальної політики держави щодо молоді;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lang w:val="ru-RU"/>
        </w:rPr>
      </w:pPr>
      <w:r w:rsidRPr="000A17EE">
        <w:rPr>
          <w:rFonts w:ascii="Times New Roman" w:eastAsia="Calibri" w:hAnsi="Times New Roman" w:cs="Times New Roman"/>
          <w:color w:val="000000"/>
          <w:sz w:val="28"/>
          <w:szCs w:val="28"/>
        </w:rPr>
        <w:t xml:space="preserve">3) як комплекс організаційних, юридичних, економічних і фінансових заходів;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4) як правовий інститут у системі права соціального забезпечення.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Суспільні відносини у сфері соціального захисту молоді є складними за своєю правовою природою і належать до сфер публічного та приватноправового регулювання. Елементи соціального захисту молоді властиві різним сферам суспільних відносин, а відтак правова регламентація зазначених відносин здійснюється нормами таких галузей права, як конституційне, адміністративне, податкове, екологічне право, право </w:t>
      </w:r>
      <w:r w:rsidRPr="000A17EE">
        <w:rPr>
          <w:rFonts w:ascii="Times New Roman" w:eastAsia="Calibri" w:hAnsi="Times New Roman" w:cs="Times New Roman"/>
          <w:color w:val="000000"/>
          <w:sz w:val="28"/>
          <w:szCs w:val="28"/>
        </w:rPr>
        <w:lastRenderedPageBreak/>
        <w:t xml:space="preserve">соціального забезпечення, трудове, цивільне, сімейне, підприємницьке, медичне, житлове право та ін. Однак більша частина відносин у сфері соціального захисту молоді належить до предмету права соціального забезпечення і регулюється відповідними нормами даної галузі права, які в сукупності утворюють самостійний правовий інститут у системі права соціального забезпечення.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Акти національного законодавства у сфері соціального захисту молоді в цілому відповідають міжнародним актам (актам ООН, МОП, Ради Європи, Європейського Союзу). Водночас законодавство України у цій сфері вирізняється чисельністю і наявністю суперечностей, дублюванням окремих норм, їх декларативністю, недостатньо чітким визначенням конкретних прав молоді та обов’язків відповідних органів. Зазначені недоліки обумовлюють необхідність систематизації чинного законодавства у цій сфері, результатом якої може стати прийняття Молодіжного кодексу України як базового акту в сфері державної молодіжної політики та соціального захисту молоді, в якому слід закріпити загальні поняття, терміни, повноваження у сфері соціального захисту молоді органів державної влади та органів місцевого самоврядування, громадських об’єднань, що представляють інтереси молоді, конкретні заходи соціального захисту молоді, норми про контроль за виконанням зазначених заходів, відповідальність за порушення законодавства у цій сфері.</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Формами соціального захисту молоді є загальнообов’язкове державне соціальне страхування, державна соціальна допомога, додатковий соціальний захист, недержавне соціальне забезпечення. У сучасних соціальноекономічних умовах потребує подальшого розвитку додатковий соціальний захист.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Видами соціального захисту молоді слід вважати: грошові (готівкові) виплати; натуральну соціальну допомогу; соціальні пільги; соціальне обслуговування; медичну допомогу; житлово-комунальні субсидії.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 xml:space="preserve">З метою удосконалення правового забезпечення соціального захисту молоді у сфері зайнятості та працевлаштування видається доцільним: встановлення додаткових гарантій у сприянні працевлаштуванню молоді в цілому, а не її окремим категоріям, як це передбачено частиною першою ст. 14 </w:t>
      </w:r>
      <w:r w:rsidRPr="000A17EE">
        <w:rPr>
          <w:rFonts w:ascii="Times New Roman" w:eastAsia="Calibri" w:hAnsi="Times New Roman" w:cs="Times New Roman"/>
          <w:color w:val="000000"/>
          <w:sz w:val="28"/>
          <w:szCs w:val="28"/>
        </w:rPr>
        <w:lastRenderedPageBreak/>
        <w:t xml:space="preserve">Закону України «Про зайнятість населення»; забезпечення державою надання першого робочого місця працездатній молоді віком від 15 до 35 років на строк не менше двох років після закінчення або припинення навчання у загальноосвітніх, професійно-технічних і вищих навчальних закладах, завершення професійної підготовки і перепідготовки, а також після звільнення зі строкової військової або альтернативної (невійськової) служби; створення механізму стимулювання роботодавців для створення ними першого робочого місця для молоді (встановлення податкових пільг, компенсація єдиного соціального внеску, надання дотацій роботодавцям з відновленням норм, що були передбачені Законом України «Про забезпечення молоді, яка отримала вищу або професійно-технічну освіту, першим робочим місцем з наданням дотації роботодавцю» та ін.); виконання державою обов’язку надання роботи за фахом на період не менше трьох років молодим спеціалістам – випускникам державних професійно-технічних та вищих навчальних закладів, потреба в яких була визначена державним замовленням; правове забезпечення і створення умов для вторинної зайнятості молоді; сприяння підприємницькій діяльності молоді, визначення механізмів її підтримки; поширення нетипових форм зайнятості (дистанційної роботи, надомної, домашньої, позикової праці та ін.) з їх належною правовою регламентацією відповідно до міжнародних трудових стандартів та ін. </w:t>
      </w:r>
    </w:p>
    <w:p w:rsidR="000A17EE" w:rsidRPr="000A17EE" w:rsidRDefault="000A17EE" w:rsidP="000A17EE">
      <w:pPr>
        <w:spacing w:after="0" w:line="360" w:lineRule="auto"/>
        <w:ind w:firstLine="851"/>
        <w:jc w:val="both"/>
        <w:rPr>
          <w:rFonts w:ascii="Times New Roman" w:eastAsia="Calibri" w:hAnsi="Times New Roman" w:cs="Times New Roman"/>
          <w:color w:val="000000"/>
          <w:sz w:val="28"/>
          <w:szCs w:val="28"/>
        </w:rPr>
      </w:pPr>
      <w:r w:rsidRPr="000A17EE">
        <w:rPr>
          <w:rFonts w:ascii="Times New Roman" w:eastAsia="Calibri" w:hAnsi="Times New Roman" w:cs="Times New Roman"/>
          <w:color w:val="000000"/>
          <w:sz w:val="28"/>
          <w:szCs w:val="28"/>
        </w:rPr>
        <w:t>Для посилення соціального захисту молоді у сферах освіти, пропонується вжиття наступних заходів: збереження в умовах соціально-економічної кризи стипендій та пільгового проїзду в транспорті студентам вищих навчальних закладів; збільшення кількості та розміру премій, передбачених чинним законодавством; законодавче врегулювання практики укладання тристоронніх договорів між вищим навчальним закладом, підприємством, установою, організацією і студентом відповідного закладу; удосконалення механізму стажування студентів вищих навчальних закладів та учнів професійно-технічних навчальних закладів на підприємствах, в установах та організаціях, а також стажування у провідних вітчизняних наукових установах та за кордоном.</w:t>
      </w:r>
      <w:r w:rsidRPr="000A17EE">
        <w:rPr>
          <w:rFonts w:ascii="Times New Roman" w:eastAsia="Calibri" w:hAnsi="Times New Roman" w:cs="Times New Roman"/>
          <w:color w:val="000000"/>
          <w:sz w:val="28"/>
          <w:szCs w:val="28"/>
        </w:rPr>
        <w:br w:type="page"/>
      </w:r>
    </w:p>
    <w:p w:rsidR="000A17EE" w:rsidRPr="000A17EE" w:rsidRDefault="000A17EE" w:rsidP="000A17EE">
      <w:pPr>
        <w:keepNext/>
        <w:spacing w:before="360" w:after="240" w:line="300" w:lineRule="auto"/>
        <w:jc w:val="center"/>
        <w:outlineLvl w:val="2"/>
        <w:rPr>
          <w:rFonts w:ascii="Times New Roman" w:eastAsia="Times New Roman" w:hAnsi="Times New Roman" w:cs="Times New Roman"/>
          <w:b/>
          <w:bCs/>
          <w:sz w:val="28"/>
          <w:szCs w:val="26"/>
        </w:rPr>
      </w:pPr>
      <w:bookmarkStart w:id="2" w:name="_Toc530562055"/>
      <w:r w:rsidRPr="000A17EE">
        <w:rPr>
          <w:rFonts w:ascii="Times New Roman" w:eastAsia="Times New Roman" w:hAnsi="Times New Roman" w:cs="Times New Roman"/>
          <w:b/>
          <w:bCs/>
          <w:sz w:val="28"/>
          <w:szCs w:val="26"/>
        </w:rPr>
        <w:lastRenderedPageBreak/>
        <w:t>Список використаної літератури</w:t>
      </w:r>
      <w:bookmarkEnd w:id="2"/>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Громов И.А., Иконникова С.Н., Лисовский В.Т. Молодежь в обществе //Человек и общество. Социальные проблемы молодежи /И.А. Громов, С.Н. Иконникова, В.Т. Лисовский. – Л.: Изд-во Ленингр. ун-та, 1969.</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Кон И. С. Краткий словарь по социологии /И.С. Кон. – М., 1998. – 164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 Кодекс законів про працю України: Затв. Законом УРСР від 10 грудня 1971 р. №322-</w:t>
      </w:r>
      <w:r w:rsidRPr="000A17EE">
        <w:rPr>
          <w:rFonts w:ascii="Times New Roman" w:eastAsia="Calibri" w:hAnsi="Times New Roman" w:cs="Times New Roman"/>
          <w:sz w:val="28"/>
          <w:szCs w:val="28"/>
          <w:lang w:val="en-US"/>
        </w:rPr>
        <w:t>VIII</w:t>
      </w:r>
      <w:r w:rsidRPr="000A17EE">
        <w:rPr>
          <w:rFonts w:ascii="Times New Roman" w:eastAsia="Calibri" w:hAnsi="Times New Roman" w:cs="Times New Roman"/>
          <w:sz w:val="28"/>
          <w:szCs w:val="28"/>
          <w:lang w:val="ru-RU"/>
        </w:rPr>
        <w:t xml:space="preserve"> //Відомості Верховної Ради України. – 1971. – Додаток до №50. – Ст. 375.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Филипов Ф. Социолог о молодежи /Ф. Филипов. – М.: Научная мысль, 1977 – c. 9 -11.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Соціологія: терміни, поняття, персоналії. Навчальний словник-довідник. Укладачі: В.М. Піча, Ю.В. Піча, Н.М. Хома та ін.. За заг. ред. В.М. Пічі. 2-ге видання, стереотипне. – Львів: «Новий Світ-2000», 2004. - 480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Черниш Н. Соціологія. Курс лекцій /Н. Черниш. – Львів: ЛБА, 1998. – 89 c.</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Тихомиров Н., Гордон Л., Клопов Э. Изучение образа жизни рабочих и некоторые вопросы социального планирования //Рабочий класс и современный мир. – 1971. – №1. – С. 99-112.</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Боряз В.Н. Молодежь. Методологические проблемы исследования /В.Н. Боряз. – Л.: Наука, 1973.</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Головатий М. Ф. Молодіжна політика в Україні: проблеми оновлення //Укр. наук. дослід. ін-т проблем молоді. – К.: Наукова думка, 1993. – С. 6 – 10</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Паніна Н. Молодь України: структура цінностей, соціальне самопочуття та морально психологічний стан за умов тотальної аномії //Соціологія: теорія, методи, маркетинг. – 2001. – №1. – С. 41 – 48</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Каретна О.О. Молодь як специфічна соціальна група /О.О. Каретна //Правове життя сучасної України: матеріали Міжнародної наукової конференції професорсько-викладацького та аспірантського складу, 20-21 травня 2011 р., м. Одеса. Т.1 /відп. ред. д-р юрид. наук В.М. Дрьомін //Національний університет «Одеська юридична академія». – О.: «Фенікс», 2011. – С. 226–228.</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Арнольди И.Ф., Кондратьева И.И. Труд и здоровье подростка /И.Ф. Арнольди, И.И. Кондратьева. – М., 1972.- 64 c.</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lastRenderedPageBreak/>
        <w:t>Про сприяння соціальному становленню та розвитку молоді в Україні: Закон України від 05.02.1993 р. №2998-XII //Відомості Верховної Ради України. – 1993. – №16. – Ст. 167.</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зайнятість населення: Закон України від 05.07.2012 №5067-VI //Офіційний вісник України. – 2012. - №63. – Ст. 2565.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Баразгова Е.С. Идеологическое воспитание молодежи в США /Е.С. Баразгова. – Свердловск, 1989. – 116 c.</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Медведев А.В. Социальная защита молодежи в Российской Федерации: правовые аспекты /А.В. Медведев: Автореф. дисс. …канд. юрид. наук: специальность 12.00.05. – Екатеринбург, 2009. – 26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Щотова Ю.М. Соціальний та правовий аспект змісту поняття «молодь» /Ю.М. Щотова //Бюлетень Міністерства юстиції України. – 2005. - №4(42). – С. 96–100.</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Прилипко С.М., Ярошенко О.М. Трудове право України: Підручник. – 4-те вид., перероб. і доп. /О.М. Ярошенко, С.М. Прилипко. – Харків: Видавництво «ФІНН», 2011. – 800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Стратегія розвитку державної молодіжної політики на період до 2020 року: Схвалено Указом Президента України від 27 вересня 2013 року №532/2013 //Офіційний вісник України. – 2013. - №76. – Ст. 2815.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Рекомендації парламентських слухань про становище молоді в Україні на тему: «Участь молоді в суспільному житті: економічна активність»: Схвалено Постановою Верховної Ради України від 18 червня 2014 року №1521-VII //Відомості Верховної Ради України. – 2014. - №32. – Ст. 1145.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загальні засади державної молодіжної політики в Україні: Декларація від 15.12.1999 №2859-ХІІ //Відомості Верховної Ради України. – 1993. - №16. – Ст. 166.</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Конституція України від 28 червня 1996 року //Відомості Верховної Ради України. – 1996. - №30. – Ст. 141.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Конституція України. Науково-практичний коментар /редкол. В.Я. Тацій (голова редкол.), О.В. Петришин (відп. секретар), Ю.Г. Барабаш та ін.; Нац. акад. прав. наук України. – 2-ге вид., переробл. і допов. – Х.: Право, 2011. – 1128 c.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Конвенція МОП №124 про медичний огляд молодих людей з метою визначення їхньої придатності до праці на підземних роботах у шахтах та копальнях 1965 р. //Конвенції та рекомендації, ухвалені Міжнародною організацією праці. 1965-1999. Том ІІ. – Женева: Міжнародне бюро праці, 1999. – С.791-795.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lastRenderedPageBreak/>
        <w:t>Рекомендація щодо умов праці молодих людей, зайнятих на підземних роботах у шахтах і копальнях 1965 р. //Конвенції та рекомендації, ухвалені Міжнародною організацією праці. 1965-1999. Том ІІ. – Женева: Міжнародне бюро праці, 1999. – С.795-797</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Європейська соціальна хартія (переглянута) (Страсбург, 3 травня 1996 р.) //Відомості Верховної Ради України. – 2007. - №12. – Ст. 51.</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Хартия основных социальных прав работников от 9 декабря 1989 р. //В кн.: Сравнительное и международное трудовое право. Учебник для вузов. – М.: Дело, 1999. – 728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сприяння соціальному становленню та розвитку молоді в Україні: Закон України від 05.02.1993 р. №2998-XII //Відомості Верховної Ради України. – 1993. – №16. – Ст. 167.</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молодіжні та дитячі громадські організації: Закон України від 01.12.1998 р. №281-XIV //Відомості Верховної Ради України. – 1999. – №1. – Ст. 2.</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Про соціальну роботу з сім’ями, дітьми та молоддю: Закон України від 21.06.2001 р. №2558-III //Голос України. – 2001. – №132.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Загальнодержавну програму підтримки молоді на 2004 - 2008 роки: Закон України від 18.11.2003 р. №1281-IV //Голос України. – 2003. – №239.</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забезпечення молоді, яка отримала вищу або професійно-технічну освіту, першим робочим місцем з наданням дотації роботодавцю: Закон України від 04.11.2004 р. №2150-IV //Урядовий кур’єр. – 2004. – №224.</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Державна цільова соціальна програма «Молодь України» на 2009-2015 роки: Затв. постановою Кабінету Міністрів України від 28.01.2009 №41 //Офіційний вісник України.-2009 р. - № 7. – Ст. 217.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затвердження Державної цільової соціальної програми “Молодь України” на 2016-2020 роки та внесення змін до деяких постанов Кабінету Міністрів України: Постанова Кабінету МіністрівУкраїни № 148 від 18.02.2016 р. // Офіційний вісник України від 22.03.2016 – 2016 р., № 21, стор. 9, стаття 828</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Загальнодержавну програму підтримки молоді на 2004-2008 роки: Закон України від 18.11.2003 №1281-IV //Відомості Верховної Ради України. – 2004. - №11. – Ст. 144.</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Рекомендації парламентських слухань про становище молоді в Україні «Соціальне становлення молоді як один із </w:t>
      </w:r>
      <w:r w:rsidRPr="000A17EE">
        <w:rPr>
          <w:rFonts w:ascii="Times New Roman" w:eastAsia="Calibri" w:hAnsi="Times New Roman" w:cs="Times New Roman"/>
          <w:sz w:val="28"/>
          <w:szCs w:val="28"/>
          <w:lang w:val="ru-RU"/>
        </w:rPr>
        <w:lastRenderedPageBreak/>
        <w:t>головних чинників підвищення добробуту народу»: Схвалено Постановою Верховної Ради України від 13.07.2000 №1873-ІІІ //Офіційний вісник України. – 2000. - №30. – Ст. 1250.</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Рекомендації парламентських слухань про становище молоді в Україні «Сільська молодь: стан, проблеми та шляхи їх вирішення»: Схвалено Постановою Верховної Ради України від 20.12.2005 №3238-IV //Відомості Верховної Ради України. – 2006. - №16. – Ст. 145.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Рекомендації парламентських слухань про становище молоді в Україні «Молодь за здоровий спосіб життя»: Схвалено Постановою Верховної Ради України від 03.02.2011 №2992-VI /Відомості Верховної Ради України. – 2011. - №24. – Ст. 173.</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Рекомендації парламентських слухань з питань оздоровлення та відпочинку дітей і молоді: Схвалено Постановою Верховної Ради України від 05.11.2013 №678-VII //Відомості Верховної Ради України. – 2014. - №22. – Ст. 849.</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Рекомендації парламентських слухань про становище молоді в Україні на тему: «Участь молоді в суспільному житті: економічна активність»: Схвалено Постановою Верховної Ради України від 18.06.2014 №1521-VII //Відомості Верховної Ради України. – 2014. - №32. – Ст. 1145.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Рекомендації парламентських слухань про становище молоді в Україні на тему: «Ціннісні орієнтації сучасної української молоді»: Схвалено Постановою Верховної Ради України від 23.02.2017 № 1908-VIII //Голос України від 11.03.2017 — № 45.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Положення про порядок надання грантів Президента України для підтримки наукових досліджень молодих учених: Указ Президента України від 24.12.2002 р. №1210/2002 //Урядовий кур’єр. – 2003. – №2.</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Положення про гранти Президента України для випускників професійно-технічних навчальних закладів: Указ Президента України від 28.12.2004 р. №1561/2004 //Урядовий кур’єр. – 2005. – №3.</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Положення про щорічну премію Президента України для молодих вчених: Указ Президента України від 12.06.2000 р. №779/2000 //Офіційний вісник України. – 2000. - №24. – Ст. 990.</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Стратегію розвитку державної молодіжної політики на період до 2020 року: Указ Президента України від 27.09.2013 №532/2013 //Офіційний вісник України. – 2013. - №76. – Ст. 2815.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lastRenderedPageBreak/>
        <w:t>Про порядок надання пільгових довготермінових кредитів молодим сім'ям та одиноким молодим громадянам на будівництво (реконструкцію) і придбання житла: Постанова Кабінету Міністрів України від 29.05.2001 р. №584 //Офіційний вісник України. – 2001. - №22. – Ст. 996.</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затвердження Порядку часткової компенсації відсоткової ставки кредитів комерційних банків молодим сім'ям та одиноким молодим громадянам на будів¬ництво (реконструкцію) і придбання житла: Постанова Кабінету Міністрів України від 04.06.2003 р. №853 //Офіційний вісник України. – 2003. - №23. – Ст. 1065.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затвердження Порядку надання молодим громадянам пільгових довгострокових кредитів на здобуття освіти у вищих навчальних закладах за різними формами навчання незалеж¬но від форм власності: Постанова Кабінету Міністрів України від 27.05.2000 р. №844 //Офіційний вісник України. – 2000. - №22. – Ст. 898.</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Стратегія розвитку державної молодіжної політики на період до 2020 року: Затв. Указом Президента України від 27.09.2013 №532/2013 //Офіційний вісник України. – 2013. - №76. – Ст. 2815.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Про соціальні послуги: Закон України від 19 червня 2003 року //Урядовий кур’єр. – 10 вересня 2003 року.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Основи законодавства України про охорону здоров’я від 19.11.1992 №2901-ХІІ //Відомості Верховної Ради України. – 1993. - №4. – Ст. 19.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Про освіту: Закон України від 05.09.2017 //Відомості Верховної Ради України 2017, № 38-39, ст.380.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Про загальну середню освіту: Закон України 13.05.1999 №651-XIV //Відомості Верховної Ради України. – 1999. - №28. – Ст. 210.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Про вищу освіту: Закон України від 01.07.2014 №1556-VII //Відомості Верховної Ради України. – 2014. - №37-38. – Ст. 2004.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Забелин Л. Теория социального обеспечения. – М.: Издание ВЦРПС, 1924. –  203 c.</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Дурденевский В. Лекции по праву социальной культуры. - М.; Л.: Государственное издательство, 1929. – 324 c.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Семашко Н.А. Право на социальное обеспечение. – М.: Юр. изд. НКЮ СССР, 1938. – 48c.</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lastRenderedPageBreak/>
        <w:t>Андреев В.С. Право социального обеспечения в СССР: учебник /В.С. Андреев. – М.: Юрид. лит., 1980. – 352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Иванова Р.И. Правоотношения по социальному обеспечению в СССР: [монография] /Р.И. Иванова. – М.: Изд-во МГУ, 1986. – 176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Батыгин К.С.Право социального обеспечения. Общая часть: Учеб. пособие /К.С. Батыгин. – М., 1998.</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Шайхатдинов В.Ш. Система социальной защиты и обеспечения населения современной России /В.Ш. Шайхатдинов //Социальная защита населения в регионе: Учеб. пособие. – Екатеринбург, 1999</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Сташків Б.І. Поняття права соціального забезпечення //Право України. – 2000. - №5. – С. 25.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Сташків Б.І. Право людини на соціальне забезпечення та його реалізація в Україні /Б.І. Сташків //Захист соціальних прав людини і громадянина в Україні: проблеми юридичного забезпечення: матеріали науково-практичної конференції (30 січня 2003 р., Київ) /за ред. Н.Б. Болотіної. - К.: МП Леся, 2003. - С. 40-44.</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Прилипко С.М. Проблеми теорії права соціального забезпечення: монографія /С.М. Прилипко.–.Х.: ПП «Берека-Нова», 2006.– 264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Захаров М.Л., Тучкова Э.Г. Право социального обеспечения России: Учебник /М.Л. Захаров, Э.Г. Тучкова. – 2-е изд., испр. и перераб. – М.: БЕК, 2002. – 560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Право социального обеспечения: учебник для бакалавров /под ред. В.Ш. Шайхатдинова. – М.: Издательство Юрайт, 2012. – 573 с.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Синчук С.М. Правовідносини соціального забезпечення: суб’єкти, зміст, об’єкти: монографія /С.М. Синчук. – Львів: ЛНУ імені Івана Франка, 2015. – 422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Мачульская Е.Е. Право социального обеспечения: учебник /Е.Е. Мачульская. – М.: ИД Юрайт, 2010. – 582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Право соціального забезпечення України: підруч. [для студ. юрид. спец. вищ. навч. закл.] /[П.Д. Пилипенко, В.Я. Бурак, С.М. Синчук та ін.]; за ред. П.Д. Пилипенка. – [3-те вид., переробл. і доповн.]. – К.: Ін Юре, 2010. – 504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Болотіна Н.Б. Право соціального захисту України: Навч. посіб. /Н.Б. Болотіна. – К.: Знання, 2005. – 615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Право социального обеспечения России: учебник /[М.О. Буянова, К.Н. Гусов, Ф.О. Дзгоева и др.]; отв. ред. К.Н. Гусов. – [4-е </w:t>
      </w:r>
      <w:r w:rsidRPr="000A17EE">
        <w:rPr>
          <w:rFonts w:ascii="Times New Roman" w:eastAsia="Calibri" w:hAnsi="Times New Roman" w:cs="Times New Roman"/>
          <w:sz w:val="28"/>
          <w:szCs w:val="28"/>
          <w:lang w:val="ru-RU"/>
        </w:rPr>
        <w:lastRenderedPageBreak/>
        <w:t>изд., перераб. и доп.]. – М.: ТК Велби, Изд-во Проспект, 2008. – 640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Стаховська Н.М. Відносини в праві соціального забезпечення: дис. …канд. юрид наук: 12.00.05 /Н.М. Стаховська. – К., 2000. – 203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органи і служби у справах дітей та спеціальні установи для дітей: Закон України від 24 січня 1995 р. №20/95-ВР //Відомості Верховної Ради України. – 1995. - №6. – Ст. 35.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Кайтанський О.С. Правове забезпечення соціального захисту молоді: дис. …канд. юрид наук: 12.00.05 /О.С. Кайтанський. – О, 2015. – 182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Общетеоретическая юриспруденция: учебный курс: учебник /под ред. Ю.Н. Оборотова. – Одесса: Феникс, 2013. – 436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Право соціального забезпечення в Україні: підручник /Т.А. Занфірова, М.І. Іншин, С.М. Прилипко та ін.; за заг. ред. Т.А. Занфірової, С.М. Прилипка, О.М. Ярошенка.–2-ге вид., переробл. і доповн. – Х.: ФІНН, 2012. – 640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Бориченко К.В. Соціальний захист сімей з дітьми за законодавством України: автореф. дис. …канд. юрид. наук: 12.00.05 /К.В. Бориченко. – Одеса, 2015. – 20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Основи законодавства України про загальнообов’язкове державне соціальне страхування від 14 січня 1998 року //Офіційний вісник України. – 1998. - №6. – Ст. 219.</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загальнообов’язкове державне пенсійне страхування: Закон України від 9 липня 2003 року //Урядовий кур’єр. – 14 серпня 2003 року</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загальнообов’язкове державне соціальне страхування на випадок безробіття: Закон України від 2 березня 2000 року //Відомості Верховної Ради України. – 2000. - №22. – Ст. 171.</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rPr>
        <w:t>Лушников А.М. Курс трудового права: Учебник в 2 т. Т. 2. Коллективное трудовое право. Индивидуальное трудовое право. Процессуальное трудовое право / А.М. Лушников, М.В. Лушникова. – М.: Статут, 2009. – 1151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загальнообов’язкове державне соціальне страхування: Закон України від 23 вересня 1999 року (в ред. Закону України від 28 грудня 2014 року №77-VIII) //Офіційний вісник України. – 2015. - №3. – Ст. 52.</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Життлер А.В. Організація соціального забезпечення у Франції: Конспект лекції /А.В. Життлер. – К. : Ін-т держ. упр. і самоврядування при. Каб. Міністрів України, 1993. – 46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lastRenderedPageBreak/>
        <w:t>Про недержавне пенсійне забезпечення: Закон України від 9 липня 2003 року №1057-IV //Відомості Верховної Ради України. – 2003. - №47-48. – Ст. 372.</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Скакун О.Ф. Теория государства и права (энциклопедический курс): Учебник. Перевод с украинского. – Харьков: Эспада, 2007. – 840 c.</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Бахрах Д.Н. Правовые льготы /Справедливость и право /Д.Н. Бахрах. – Свердловск, 1989 – c. 74-83.</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Щотова Ю.М. Правове регулювання працевлаштування молоді в Україні: автореф. дис. … канд. юрид. наук: 12.00.05  / Ю.М. Щотова. – X., 2006. – 19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Ярошенко О.М. Проблеми та перспективи правового регулювання зайнятості та праці молоді /О.М. Ярошенко //Вісник Академії правових наук України. - 2004. - №4. - c. 206- 210.</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Венедіктов В.С. До трудового статусу неповнолітніх в Україні: стан та юридичні гарантії /В.С. Венедіктов //Вісник Національного університету внутрішніх справ.- 2003. - c. 123-128/</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Кравченко В.Л. Оцінка зрушень у молодіжному сегменті ринку праці за формами власності України /В.Л. Кравченко //Вісник Академії праці і соціальних відносин Федерації профспілок України. – 2005. – №3. – c. 130-134.</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Реус О. С. Правове регулювання трудової діяльності неповнолітніх в Україні: автореф. дис. … канд. юрид. наук: 12.00.05 /О. С Реус. -X., 2003. – 19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Коляда Т.А. Працевлаштування молоді: проблеми правового регулювання //[Електронний ресурс]. – Режим доступу до ресурсу: http://www.nbuv.gov.ua/portal/soc_gum/pib/2010_2/PB-2/PB-2_36.pdf</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44. Іншин М. І. Особливості правового регулювання прийняття на роботу молоді /М. І. Іншин //Форум права. – 2009. – №1. – c. 232- 234.</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Порядок компенсації роботодавцям частини фактичних витрат, пов’язаних із сплатою єдиного внеску на загальнообов’язкове державне соціальне страхування: Затв. постановою Кабінету Міністрів України від 13 березня 2013 року №153 //Офіційний вісник України. – 2013. - №21. – Ст. 706.</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Порядок компенсації роботодавцям витрат у розмірі єдиного внеску на загальнообов’язкове державне соціальне страхування: Затв. постановою Кабінету Міністрів України від 15 квітня 2013 року №347 //Офіційний вісник України. – 2013. - №39. – Ст. 1364.</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lastRenderedPageBreak/>
        <w:t>Порядок надання одноразової адресної допомоги молодим працівникам, залученим до роботи в селах і селищах: Затв. постановою Кабінету Міністрів України від 11 липня 2013 року №587 //Офіційний вісник України. – 2013. - №66. – Ст. 2395.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Рішення Конституційного Суду України у справі за конституційним поданням 50 народних депутатів України про офіційне тлумачення положень частини третьої статті 53 Конституції України «держава забезпечує доступність і безоплатність дошкільної, повної загальної середньої, професійно-технічної, вищої освіти в державних і комунальних навчальних закладах» (справа про доступність і безоплатність освіти) від 4 березня 2004 року №5-рп/2004 //Офіційний вісник України. – 2004. - №11. – Ст. 674.</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забезпечення організаційно-правових умов соціального захисту дітей-сиріт та дітей, позбавлених батьківського піклування: Закон України від 13.01.2005 №2342-IV //Відомості Верховної Ради України. – 2005. - №6. – Ст. 147.</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Кузьмина Т.Н. Советское право социального обеспечения /Т.Н. Кузьмина; под ред. В.Н. Демьяненко. – Саратов: Изд-во Саратовского ун-та, 1982. – 128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Право социального обеспечения: учебник /[Доброхотова Е.Н., Иванкина Т.В., Лаврикова М.Ю. и др.]; под ред. М.В. Филиповой. – М.: Юрист, 2006. – 446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Стичинський Б. Право соціального забезпечення: проблеми становлення і розвитку/ Б. Стичинський //Право України. – 2002. - №6. – С. 85-89.</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Тищенко О.В. Право соціального забезпечення України: теоретичні та практичні проблеми формування і розвитку галузі: монографія /О.В. Тищенко. – К.: ДП «Прінт Сервіс», 2014. – 394 с.</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соціальні послуги: Закон України від 19.06.2003 №966-IV //Відомості Верховної Ради України. – 2003. - №45. – Ст. 358.</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соціальну роботу з сім’ями, дітьми та молоддю: Закон України від 21.06.2001 р. №2558-III //Відомості Верховної Ради України. – 2001. – №42. – Ст. 213.</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Типове положення про територіальний центр соціального обслуговування (надання соціальних послуг): Затв. постановою Кабінету Міністрів України від 29.12.2009 №1417 //Урядовий кур’єр. – 20 січня 2010 року.</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Загальне положення про центр соціальних служб для сім’ї, дітей та молоді: Затв. постановою Кабінету Міністрів України </w:t>
      </w:r>
      <w:r w:rsidRPr="000A17EE">
        <w:rPr>
          <w:rFonts w:ascii="Times New Roman" w:eastAsia="Calibri" w:hAnsi="Times New Roman" w:cs="Times New Roman"/>
          <w:sz w:val="28"/>
          <w:szCs w:val="28"/>
          <w:lang w:val="ru-RU"/>
        </w:rPr>
        <w:lastRenderedPageBreak/>
        <w:t>від 01.08.2013 №573 //Офіційний вісник України. – 2013. - №66. – Ст. 2381.</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Положення про центральну та республіканську (Автономна Республіка Крим), Київську та Севастопольську міські, районні (міські) психолого-медико-педагогічні консультації: Затв. спільним наказом МОН України та АПН України від 7 липня 2004 р. №569/38 //Офіційний вісник України. – 2004. - №30. – Т.2. – Ст. 2056.</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Положення про психологічну службу системи освіти України: Затв. наказом Міністерства освіти України 03.05.1999 №127 //Офіційний вісник України. – 2000. - №1.- Ст.18.</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охорону дитинства: Закон України від 26 квітня 2001 року №2402-ІІІ //Відомості Верховної Ради України. – 2001. - №30. – Ст. 142.</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Положення про дитячі будинки і загальноосвітні школи-інтернати для дітей-сиріт і дітей, позбавлених батьківського піклування: Затв. наказом Міністерства освіти і науки, молоді та спорту України, Міністерства соціальної політики України від 10 вересня 2012 року №995/557 //Офіційний вісник України. – 2012. - №76.- Ст. 387.</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 xml:space="preserve">Положення про професійне училище соціальної реабілітації: Затв. постановою Кабінету Міністрів України від 13 жовтня 1993 року №859 (в ред. постанови Кабінету Міністрів України від 8 серпня 2012 р. №734 Офіційний вісник України. – 2012. - №60. – Ст.2437. </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Положення про навчально-реабілітаційний центр: Затв. наказом Міністерства освіти і науки, молоді та спорту України від 16 серпня 2012 р. №920 //Офіційний вісник України. – 2012. - №70. – Ст. 2849.</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Про органи і служби у справах дітей та спеціальні установи для дітей:  Закон України від 24.01.1995 р. №  N 20/95-ВР // Відомості Верховної Ради України, 1995, N 6, ст. 35</w:t>
      </w:r>
    </w:p>
    <w:p w:rsidR="000A17EE" w:rsidRPr="000A17EE" w:rsidRDefault="000A17EE" w:rsidP="000A17EE">
      <w:pPr>
        <w:numPr>
          <w:ilvl w:val="0"/>
          <w:numId w:val="1"/>
        </w:numPr>
        <w:ind w:firstLine="851"/>
        <w:contextualSpacing/>
        <w:jc w:val="both"/>
        <w:rPr>
          <w:rFonts w:ascii="Times New Roman" w:eastAsia="Calibri" w:hAnsi="Times New Roman" w:cs="Times New Roman"/>
          <w:sz w:val="28"/>
          <w:szCs w:val="28"/>
          <w:lang w:val="ru-RU"/>
        </w:rPr>
      </w:pPr>
      <w:r w:rsidRPr="000A17EE">
        <w:rPr>
          <w:rFonts w:ascii="Times New Roman" w:eastAsia="Calibri" w:hAnsi="Times New Roman" w:cs="Times New Roman"/>
          <w:sz w:val="28"/>
          <w:szCs w:val="28"/>
          <w:lang w:val="ru-RU"/>
        </w:rPr>
        <w:t>Типове положення про центр соціально-психологічної реабілітації дітей: Затв. постановою Кабінету Міністрів України від 28.01.2004 №87 // Офіційний вісник України від 13.02.2004 — 2004 р., № 4, том 1, стор. 230, стаття 168.</w:t>
      </w:r>
    </w:p>
    <w:p w:rsidR="000A17EE" w:rsidRPr="000A17EE" w:rsidRDefault="000A17EE" w:rsidP="000A17EE">
      <w:pPr>
        <w:numPr>
          <w:ilvl w:val="0"/>
          <w:numId w:val="1"/>
        </w:numPr>
        <w:ind w:firstLine="851"/>
        <w:contextualSpacing/>
        <w:jc w:val="both"/>
        <w:rPr>
          <w:rFonts w:ascii="Times New Roman" w:eastAsia="Calibri" w:hAnsi="Times New Roman" w:cs="Times New Roman"/>
          <w:color w:val="000000"/>
          <w:sz w:val="28"/>
          <w:szCs w:val="28"/>
        </w:rPr>
      </w:pPr>
      <w:r w:rsidRPr="000A17EE">
        <w:rPr>
          <w:rFonts w:ascii="Times New Roman" w:eastAsia="Calibri" w:hAnsi="Times New Roman" w:cs="Times New Roman"/>
          <w:sz w:val="28"/>
          <w:szCs w:val="28"/>
          <w:lang w:val="ru-RU"/>
        </w:rPr>
        <w:t>Типове положення про центр соціально-психологічної реабілітації дітей та молоді з функціональними обмеженнями: Затв. постановою Кабінету Міністрів України від 08.09.2005 р. №877 //Офіційний вісник України. – 2005. - №37. – Ст. 2275.</w:t>
      </w:r>
    </w:p>
    <w:p w:rsidR="006C223C" w:rsidRDefault="006C223C">
      <w:bookmarkStart w:id="3" w:name="_GoBack"/>
      <w:bookmarkEnd w:id="3"/>
    </w:p>
    <w:sectPr w:rsidR="006C223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C27BA9"/>
    <w:multiLevelType w:val="hybridMultilevel"/>
    <w:tmpl w:val="FB1885F6"/>
    <w:lvl w:ilvl="0" w:tplc="9B162976">
      <w:start w:val="1"/>
      <w:numFmt w:val="decimal"/>
      <w:lvlText w:val="%1."/>
      <w:lvlJc w:val="left"/>
      <w:pPr>
        <w:ind w:left="1406" w:hanging="555"/>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1B97"/>
    <w:rsid w:val="000A17EE"/>
    <w:rsid w:val="00311B97"/>
    <w:rsid w:val="006C223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A17E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A17E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A17E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A17E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0096939">
      <w:bodyDiv w:val="1"/>
      <w:marLeft w:val="0"/>
      <w:marRight w:val="0"/>
      <w:marTop w:val="0"/>
      <w:marBottom w:val="0"/>
      <w:divBdr>
        <w:top w:val="none" w:sz="0" w:space="0" w:color="auto"/>
        <w:left w:val="none" w:sz="0" w:space="0" w:color="auto"/>
        <w:bottom w:val="none" w:sz="0" w:space="0" w:color="auto"/>
        <w:right w:val="none" w:sz="0" w:space="0" w:color="auto"/>
      </w:divBdr>
    </w:div>
    <w:div w:id="1584025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1;&#1077;&#1074;&#1095;&#1077;&#1085;&#1082;&#1086;%20&#1070;&#1083;&#1110;&#1103;%20&#1042;&#1072;&#1083;&#1077;&#1085;&#1090;&#1080;&#1085;&#1110;&#1074;&#1085;&#1072;.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24104</Words>
  <Characters>13740</Characters>
  <Application>Microsoft Office Word</Application>
  <DocSecurity>0</DocSecurity>
  <Lines>114</Lines>
  <Paragraphs>75</Paragraphs>
  <ScaleCrop>false</ScaleCrop>
  <Company/>
  <LinksUpToDate>false</LinksUpToDate>
  <CharactersWithSpaces>37769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2019-11-21T11:08:00Z</dcterms:created>
  <dcterms:modified xsi:type="dcterms:W3CDTF">2019-11-21T11:09:00Z</dcterms:modified>
</cp:coreProperties>
</file>