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3404E0" w14:textId="77777777" w:rsidR="003B553E" w:rsidRPr="00913129" w:rsidRDefault="003B553E" w:rsidP="003B553E">
      <w:pPr>
        <w:spacing w:line="300" w:lineRule="auto"/>
        <w:jc w:val="center"/>
        <w:rPr>
          <w:sz w:val="28"/>
          <w:szCs w:val="28"/>
          <w:lang w:val="uk-UA"/>
        </w:rPr>
      </w:pPr>
      <w:bookmarkStart w:id="0" w:name="_GoBack"/>
      <w:bookmarkEnd w:id="0"/>
      <w:r w:rsidRPr="00913129">
        <w:rPr>
          <w:sz w:val="28"/>
          <w:szCs w:val="28"/>
          <w:lang w:val="uk-UA"/>
        </w:rPr>
        <w:t>ОДЕСЬКИЙ НАЦІОНАЛЬНИЙ УНІВЕРСИТЕТ ІМЕНІ І. І. МЕЧНИКОВА</w:t>
      </w:r>
    </w:p>
    <w:p w14:paraId="47ABF432" w14:textId="77777777" w:rsidR="003B553E" w:rsidRPr="00913129" w:rsidRDefault="003B553E" w:rsidP="003B553E">
      <w:pPr>
        <w:spacing w:line="300" w:lineRule="auto"/>
        <w:jc w:val="center"/>
        <w:rPr>
          <w:sz w:val="28"/>
          <w:szCs w:val="28"/>
          <w:lang w:val="uk-UA"/>
        </w:rPr>
      </w:pPr>
      <w:r w:rsidRPr="00913129">
        <w:rPr>
          <w:sz w:val="28"/>
          <w:szCs w:val="28"/>
          <w:lang w:val="uk-UA"/>
        </w:rPr>
        <w:t>Факультет міжнародних відносин, політології та соціології</w:t>
      </w:r>
    </w:p>
    <w:p w14:paraId="2AC3EE71" w14:textId="77777777" w:rsidR="003B553E" w:rsidRPr="00913129" w:rsidRDefault="003B553E" w:rsidP="003B553E">
      <w:pPr>
        <w:spacing w:line="300" w:lineRule="auto"/>
        <w:jc w:val="center"/>
        <w:rPr>
          <w:sz w:val="28"/>
          <w:szCs w:val="28"/>
          <w:lang w:val="uk-UA"/>
        </w:rPr>
      </w:pPr>
      <w:r w:rsidRPr="00913129">
        <w:rPr>
          <w:sz w:val="28"/>
          <w:szCs w:val="28"/>
          <w:lang w:val="uk-UA"/>
        </w:rPr>
        <w:t>Кафедра світового господарства і міжнародних економічних відносин</w:t>
      </w:r>
    </w:p>
    <w:p w14:paraId="399F3B72" w14:textId="77777777" w:rsidR="003B553E" w:rsidRPr="00913129" w:rsidRDefault="003B553E" w:rsidP="003B553E">
      <w:pPr>
        <w:spacing w:line="360" w:lineRule="auto"/>
        <w:jc w:val="center"/>
        <w:rPr>
          <w:sz w:val="28"/>
          <w:szCs w:val="28"/>
          <w:lang w:val="uk-UA"/>
        </w:rPr>
      </w:pPr>
    </w:p>
    <w:p w14:paraId="2CB84873" w14:textId="77777777" w:rsidR="003B553E" w:rsidRPr="00913129" w:rsidRDefault="003B553E" w:rsidP="003B553E">
      <w:pPr>
        <w:spacing w:line="360" w:lineRule="auto"/>
        <w:jc w:val="center"/>
        <w:rPr>
          <w:sz w:val="28"/>
          <w:szCs w:val="28"/>
          <w:lang w:val="uk-UA"/>
        </w:rPr>
      </w:pPr>
    </w:p>
    <w:p w14:paraId="34C03AEC" w14:textId="77777777" w:rsidR="003B553E" w:rsidRPr="00913129" w:rsidRDefault="003B553E" w:rsidP="003B553E">
      <w:pPr>
        <w:spacing w:line="360" w:lineRule="auto"/>
        <w:jc w:val="center"/>
        <w:rPr>
          <w:sz w:val="28"/>
          <w:szCs w:val="28"/>
          <w:lang w:val="uk-UA"/>
        </w:rPr>
      </w:pPr>
    </w:p>
    <w:p w14:paraId="4DA12CBA" w14:textId="77777777" w:rsidR="003B553E" w:rsidRPr="00913129" w:rsidRDefault="003B553E" w:rsidP="003B553E">
      <w:pPr>
        <w:spacing w:line="360" w:lineRule="auto"/>
        <w:jc w:val="center"/>
        <w:rPr>
          <w:b/>
          <w:sz w:val="28"/>
          <w:szCs w:val="28"/>
          <w:lang w:val="uk-UA"/>
        </w:rPr>
      </w:pPr>
      <w:r w:rsidRPr="00913129">
        <w:rPr>
          <w:b/>
          <w:sz w:val="28"/>
          <w:szCs w:val="28"/>
          <w:lang w:val="uk-UA"/>
        </w:rPr>
        <w:t>Кваліфікаційна робота</w:t>
      </w:r>
    </w:p>
    <w:p w14:paraId="3B3DAFDE" w14:textId="314383EA" w:rsidR="003B553E" w:rsidRPr="00913129" w:rsidRDefault="003B553E" w:rsidP="003B553E">
      <w:pPr>
        <w:spacing w:line="360" w:lineRule="auto"/>
        <w:jc w:val="center"/>
        <w:rPr>
          <w:sz w:val="28"/>
          <w:szCs w:val="28"/>
          <w:lang w:val="uk-UA"/>
        </w:rPr>
      </w:pPr>
      <w:r w:rsidRPr="00913129">
        <w:rPr>
          <w:sz w:val="28"/>
          <w:szCs w:val="28"/>
          <w:lang w:val="uk-UA"/>
        </w:rPr>
        <w:t>на здобуття ступеня вищої освіти «бакалавр»</w:t>
      </w:r>
    </w:p>
    <w:p w14:paraId="48909863" w14:textId="5EA0358C" w:rsidR="003B553E" w:rsidRPr="00913129" w:rsidRDefault="003B553E" w:rsidP="003B553E">
      <w:pPr>
        <w:spacing w:line="360" w:lineRule="auto"/>
        <w:jc w:val="center"/>
        <w:rPr>
          <w:sz w:val="28"/>
          <w:szCs w:val="28"/>
          <w:lang w:val="uk-UA"/>
        </w:rPr>
      </w:pPr>
      <w:r w:rsidRPr="00913129">
        <w:rPr>
          <w:b/>
          <w:bCs/>
          <w:color w:val="000000"/>
          <w:lang w:val="uk-UA"/>
        </w:rPr>
        <w:t xml:space="preserve"> </w:t>
      </w:r>
      <w:r w:rsidRPr="00913129">
        <w:rPr>
          <w:b/>
          <w:bCs/>
          <w:lang w:val="uk-UA"/>
        </w:rPr>
        <w:t>«</w:t>
      </w:r>
      <w:r w:rsidR="00503690" w:rsidRPr="00913129">
        <w:rPr>
          <w:b/>
          <w:sz w:val="28"/>
          <w:szCs w:val="28"/>
          <w:lang w:val="uk-UA"/>
        </w:rPr>
        <w:t>Соціально відповідальне інвестування міжнародних компаній: сучасні пріоритети та ризики</w:t>
      </w:r>
      <w:r w:rsidRPr="00913129">
        <w:rPr>
          <w:sz w:val="28"/>
          <w:szCs w:val="28"/>
          <w:lang w:val="uk-UA"/>
        </w:rPr>
        <w:t>»</w:t>
      </w:r>
    </w:p>
    <w:p w14:paraId="6E32E567" w14:textId="0C5D9FE0" w:rsidR="003B553E" w:rsidRPr="00913129" w:rsidRDefault="003B553E" w:rsidP="003B553E">
      <w:pPr>
        <w:spacing w:line="360" w:lineRule="auto"/>
        <w:jc w:val="center"/>
        <w:rPr>
          <w:sz w:val="28"/>
          <w:szCs w:val="28"/>
          <w:lang w:val="uk-UA"/>
        </w:rPr>
      </w:pPr>
      <w:r w:rsidRPr="00913129">
        <w:rPr>
          <w:sz w:val="28"/>
          <w:szCs w:val="28"/>
          <w:lang w:val="uk-UA"/>
        </w:rPr>
        <w:t>«</w:t>
      </w:r>
      <w:r w:rsidR="00503690" w:rsidRPr="00913129">
        <w:rPr>
          <w:b/>
          <w:sz w:val="28"/>
          <w:szCs w:val="28"/>
          <w:lang w:val="uk-UA"/>
        </w:rPr>
        <w:t>ESG investing of international corporations: current priorities and risks</w:t>
      </w:r>
      <w:r w:rsidRPr="00913129">
        <w:rPr>
          <w:sz w:val="28"/>
          <w:szCs w:val="28"/>
          <w:lang w:val="uk-UA"/>
        </w:rPr>
        <w:t>»</w:t>
      </w:r>
    </w:p>
    <w:p w14:paraId="31979FA6" w14:textId="77777777" w:rsidR="003B553E" w:rsidRPr="00913129" w:rsidRDefault="003B553E" w:rsidP="003B553E">
      <w:pPr>
        <w:spacing w:line="360" w:lineRule="auto"/>
        <w:textAlignment w:val="baseline"/>
        <w:rPr>
          <w:b/>
          <w:sz w:val="28"/>
          <w:szCs w:val="28"/>
          <w:lang w:val="uk-UA"/>
        </w:rPr>
      </w:pPr>
    </w:p>
    <w:p w14:paraId="20D46744" w14:textId="77777777" w:rsidR="003B553E" w:rsidRPr="00913129" w:rsidRDefault="003B553E" w:rsidP="003B553E">
      <w:pPr>
        <w:spacing w:line="360" w:lineRule="auto"/>
        <w:jc w:val="center"/>
        <w:rPr>
          <w:sz w:val="28"/>
          <w:szCs w:val="28"/>
          <w:lang w:val="uk-UA"/>
        </w:rPr>
      </w:pPr>
    </w:p>
    <w:p w14:paraId="0F8A6BE1" w14:textId="0AE53F23" w:rsidR="003B553E" w:rsidRPr="00913129" w:rsidRDefault="003B553E" w:rsidP="003B553E">
      <w:pPr>
        <w:spacing w:line="360" w:lineRule="auto"/>
        <w:rPr>
          <w:sz w:val="26"/>
          <w:szCs w:val="26"/>
          <w:lang w:val="uk-UA"/>
        </w:rPr>
      </w:pPr>
      <w:r w:rsidRPr="00913129">
        <w:rPr>
          <w:sz w:val="28"/>
          <w:szCs w:val="28"/>
          <w:lang w:val="uk-UA"/>
        </w:rPr>
        <w:t xml:space="preserve">                                          </w:t>
      </w:r>
      <w:r w:rsidRPr="00913129">
        <w:rPr>
          <w:sz w:val="26"/>
          <w:szCs w:val="26"/>
          <w:lang w:val="uk-UA"/>
        </w:rPr>
        <w:t>Виконала: здобува</w:t>
      </w:r>
      <w:r w:rsidR="00503690" w:rsidRPr="00913129">
        <w:rPr>
          <w:sz w:val="26"/>
          <w:szCs w:val="26"/>
          <w:lang w:val="uk-UA"/>
        </w:rPr>
        <w:t>чка</w:t>
      </w:r>
      <w:r w:rsidRPr="00913129">
        <w:rPr>
          <w:sz w:val="26"/>
          <w:szCs w:val="26"/>
          <w:lang w:val="uk-UA"/>
        </w:rPr>
        <w:t xml:space="preserve"> денної форми навчання </w:t>
      </w:r>
    </w:p>
    <w:p w14:paraId="4C5957DA" w14:textId="77777777" w:rsidR="003B553E" w:rsidRPr="00913129" w:rsidRDefault="003B553E" w:rsidP="003B553E">
      <w:pPr>
        <w:spacing w:line="360" w:lineRule="auto"/>
        <w:rPr>
          <w:sz w:val="26"/>
          <w:szCs w:val="26"/>
          <w:lang w:val="uk-UA"/>
        </w:rPr>
      </w:pPr>
      <w:r w:rsidRPr="00913129">
        <w:rPr>
          <w:sz w:val="26"/>
          <w:szCs w:val="26"/>
          <w:lang w:val="uk-UA"/>
        </w:rPr>
        <w:t xml:space="preserve">                                             Спеціальності 292 «Міжнародні економічні відносини»</w:t>
      </w:r>
    </w:p>
    <w:p w14:paraId="1A8C1A1E" w14:textId="77777777" w:rsidR="003B553E" w:rsidRPr="00913129" w:rsidRDefault="003B553E" w:rsidP="003B553E">
      <w:pPr>
        <w:spacing w:line="360" w:lineRule="auto"/>
        <w:rPr>
          <w:sz w:val="26"/>
          <w:szCs w:val="26"/>
          <w:lang w:val="uk-UA"/>
        </w:rPr>
      </w:pPr>
      <w:r w:rsidRPr="00913129">
        <w:rPr>
          <w:sz w:val="26"/>
          <w:szCs w:val="26"/>
          <w:lang w:val="uk-UA"/>
        </w:rPr>
        <w:t xml:space="preserve">                                             Освітня програма міжнародні економічні відносини</w:t>
      </w:r>
    </w:p>
    <w:p w14:paraId="0BD2B529" w14:textId="23780420" w:rsidR="003B553E" w:rsidRPr="00913129" w:rsidRDefault="003B553E" w:rsidP="003B553E">
      <w:pPr>
        <w:spacing w:line="360" w:lineRule="auto"/>
        <w:jc w:val="center"/>
        <w:rPr>
          <w:sz w:val="26"/>
          <w:szCs w:val="26"/>
          <w:lang w:val="uk-UA"/>
        </w:rPr>
      </w:pPr>
      <w:r w:rsidRPr="00913129">
        <w:rPr>
          <w:sz w:val="26"/>
          <w:szCs w:val="26"/>
          <w:lang w:val="uk-UA"/>
        </w:rPr>
        <w:t xml:space="preserve"> Сєдніна Олександра Вікторівна</w:t>
      </w:r>
    </w:p>
    <w:p w14:paraId="2D7CAB94" w14:textId="75099D4C" w:rsidR="003B553E" w:rsidRPr="00913129" w:rsidRDefault="003B553E" w:rsidP="003B553E">
      <w:pPr>
        <w:spacing w:line="360" w:lineRule="auto"/>
        <w:rPr>
          <w:sz w:val="26"/>
          <w:szCs w:val="26"/>
          <w:lang w:val="uk-UA"/>
        </w:rPr>
      </w:pPr>
      <w:r w:rsidRPr="00913129">
        <w:rPr>
          <w:sz w:val="26"/>
          <w:szCs w:val="26"/>
          <w:lang w:val="uk-UA"/>
        </w:rPr>
        <w:t xml:space="preserve">                                             Науковий керівник: к.е.н. доц. Бичкова Н.В._________</w:t>
      </w:r>
    </w:p>
    <w:p w14:paraId="22CF23C2" w14:textId="444A23C5" w:rsidR="003B553E" w:rsidRPr="00913129" w:rsidRDefault="003B553E" w:rsidP="003B553E">
      <w:pPr>
        <w:spacing w:line="360" w:lineRule="auto"/>
        <w:rPr>
          <w:lang w:val="uk-UA"/>
        </w:rPr>
      </w:pPr>
      <w:r w:rsidRPr="00913129">
        <w:rPr>
          <w:sz w:val="26"/>
          <w:szCs w:val="26"/>
          <w:lang w:val="uk-UA"/>
        </w:rPr>
        <w:t xml:space="preserve">                                             Рецензент: к.е.н. доц. </w:t>
      </w:r>
      <w:r w:rsidR="00503690" w:rsidRPr="00913129">
        <w:rPr>
          <w:sz w:val="26"/>
          <w:szCs w:val="26"/>
          <w:lang w:val="uk-UA"/>
        </w:rPr>
        <w:t>Коцюрубенко Г.Н.</w:t>
      </w:r>
    </w:p>
    <w:p w14:paraId="7F9B9EE4" w14:textId="77777777" w:rsidR="003B553E" w:rsidRPr="00913129" w:rsidRDefault="003B553E" w:rsidP="003B553E">
      <w:pPr>
        <w:rPr>
          <w:sz w:val="28"/>
          <w:szCs w:val="28"/>
          <w:lang w:val="uk-UA"/>
        </w:rPr>
      </w:pPr>
      <w:r w:rsidRPr="00913129">
        <w:rPr>
          <w:sz w:val="28"/>
          <w:szCs w:val="28"/>
          <w:lang w:val="uk-UA"/>
        </w:rPr>
        <w:t xml:space="preserve"> </w:t>
      </w:r>
    </w:p>
    <w:p w14:paraId="102B93BB" w14:textId="77777777" w:rsidR="003B553E" w:rsidRPr="00913129" w:rsidRDefault="003B553E" w:rsidP="003B553E">
      <w:pPr>
        <w:spacing w:line="360" w:lineRule="auto"/>
        <w:rPr>
          <w:sz w:val="28"/>
          <w:szCs w:val="28"/>
          <w:lang w:val="uk-UA"/>
        </w:rPr>
      </w:pPr>
      <w:r w:rsidRPr="00913129">
        <w:rPr>
          <w:sz w:val="28"/>
          <w:szCs w:val="28"/>
          <w:lang w:val="uk-UA"/>
        </w:rPr>
        <w:t>Рекомендовано до захисту:                          Захищено на засіданні ЕК №_____</w:t>
      </w:r>
    </w:p>
    <w:p w14:paraId="72CF2CFF" w14:textId="77777777" w:rsidR="003B553E" w:rsidRPr="00913129" w:rsidRDefault="003B553E" w:rsidP="003B553E">
      <w:pPr>
        <w:spacing w:line="360" w:lineRule="auto"/>
        <w:rPr>
          <w:sz w:val="28"/>
          <w:szCs w:val="28"/>
          <w:lang w:val="uk-UA"/>
        </w:rPr>
      </w:pPr>
      <w:r w:rsidRPr="00913129">
        <w:rPr>
          <w:sz w:val="28"/>
          <w:szCs w:val="28"/>
          <w:lang w:val="uk-UA"/>
        </w:rPr>
        <w:t>Протокол засідання кафедри                       Протокол № __ від ___.___.2025 р.</w:t>
      </w:r>
    </w:p>
    <w:p w14:paraId="10FE1818" w14:textId="77777777" w:rsidR="003B553E" w:rsidRPr="00913129" w:rsidRDefault="003B553E" w:rsidP="003B553E">
      <w:pPr>
        <w:spacing w:line="360" w:lineRule="auto"/>
        <w:rPr>
          <w:sz w:val="28"/>
          <w:szCs w:val="28"/>
          <w:lang w:val="uk-UA"/>
        </w:rPr>
      </w:pPr>
      <w:r w:rsidRPr="00913129">
        <w:rPr>
          <w:sz w:val="28"/>
          <w:szCs w:val="28"/>
          <w:lang w:val="uk-UA"/>
        </w:rPr>
        <w:t>світового господарства і</w:t>
      </w:r>
    </w:p>
    <w:p w14:paraId="7EEF0218" w14:textId="77777777" w:rsidR="003B553E" w:rsidRPr="00913129" w:rsidRDefault="003B553E" w:rsidP="003B553E">
      <w:pPr>
        <w:spacing w:line="360" w:lineRule="auto"/>
        <w:rPr>
          <w:sz w:val="28"/>
          <w:szCs w:val="28"/>
          <w:lang w:val="uk-UA"/>
        </w:rPr>
      </w:pPr>
      <w:r w:rsidRPr="00913129">
        <w:rPr>
          <w:sz w:val="28"/>
          <w:szCs w:val="28"/>
          <w:lang w:val="uk-UA"/>
        </w:rPr>
        <w:t>міжнародних економічних відносин           Оцінка_____________/_____/_____</w:t>
      </w:r>
    </w:p>
    <w:p w14:paraId="32304775" w14:textId="76E2743B" w:rsidR="003B553E" w:rsidRPr="00913129" w:rsidRDefault="003B553E" w:rsidP="003B553E">
      <w:pPr>
        <w:spacing w:line="360" w:lineRule="auto"/>
        <w:rPr>
          <w:sz w:val="28"/>
          <w:szCs w:val="28"/>
          <w:lang w:val="uk-UA"/>
        </w:rPr>
      </w:pPr>
      <w:r w:rsidRPr="00913129">
        <w:rPr>
          <w:sz w:val="28"/>
          <w:szCs w:val="28"/>
          <w:lang w:val="uk-UA"/>
        </w:rPr>
        <w:t>№__від___</w:t>
      </w:r>
      <w:r w:rsidR="000B4F8B" w:rsidRPr="00913129">
        <w:rPr>
          <w:sz w:val="28"/>
          <w:szCs w:val="28"/>
          <w:lang w:val="uk-UA"/>
        </w:rPr>
        <w:t xml:space="preserve">. </w:t>
      </w:r>
      <w:r w:rsidRPr="00913129">
        <w:rPr>
          <w:sz w:val="28"/>
          <w:szCs w:val="28"/>
          <w:lang w:val="uk-UA"/>
        </w:rPr>
        <w:t xml:space="preserve">___.2025 р.                                       </w:t>
      </w:r>
    </w:p>
    <w:p w14:paraId="01322D59" w14:textId="77777777" w:rsidR="003B553E" w:rsidRPr="00913129" w:rsidRDefault="003B553E" w:rsidP="003B553E">
      <w:pPr>
        <w:spacing w:line="360" w:lineRule="auto"/>
        <w:rPr>
          <w:sz w:val="28"/>
          <w:szCs w:val="28"/>
          <w:lang w:val="uk-UA"/>
        </w:rPr>
      </w:pPr>
      <w:r w:rsidRPr="00913129">
        <w:rPr>
          <w:sz w:val="28"/>
          <w:szCs w:val="28"/>
          <w:lang w:val="uk-UA"/>
        </w:rPr>
        <w:t>Завідувач кафедри                                          Голова ЕК</w:t>
      </w:r>
    </w:p>
    <w:p w14:paraId="7D025AA3" w14:textId="6D804A0F" w:rsidR="003B553E" w:rsidRPr="00913129" w:rsidRDefault="003B553E" w:rsidP="003B553E">
      <w:pPr>
        <w:spacing w:line="360" w:lineRule="auto"/>
        <w:rPr>
          <w:sz w:val="28"/>
          <w:szCs w:val="28"/>
          <w:lang w:val="uk-UA"/>
        </w:rPr>
      </w:pPr>
      <w:r w:rsidRPr="00913129">
        <w:rPr>
          <w:sz w:val="28"/>
          <w:szCs w:val="28"/>
          <w:lang w:val="uk-UA"/>
        </w:rPr>
        <w:t xml:space="preserve">________     </w:t>
      </w:r>
      <w:r w:rsidR="00FD213F" w:rsidRPr="00913129">
        <w:rPr>
          <w:sz w:val="28"/>
          <w:szCs w:val="28"/>
          <w:lang w:val="uk-UA"/>
        </w:rPr>
        <w:t xml:space="preserve">Cергій ЯКУБОВСЬКИЙ         </w:t>
      </w:r>
      <w:r w:rsidRPr="00913129">
        <w:rPr>
          <w:sz w:val="28"/>
          <w:szCs w:val="28"/>
          <w:lang w:val="uk-UA"/>
        </w:rPr>
        <w:t xml:space="preserve">________  </w:t>
      </w:r>
      <w:r w:rsidR="00FD213F" w:rsidRPr="00913129">
        <w:rPr>
          <w:sz w:val="28"/>
          <w:szCs w:val="28"/>
          <w:lang w:val="uk-UA"/>
        </w:rPr>
        <w:t xml:space="preserve"> Сергій </w:t>
      </w:r>
      <w:r w:rsidRPr="00913129">
        <w:rPr>
          <w:sz w:val="28"/>
          <w:szCs w:val="28"/>
          <w:lang w:val="uk-UA"/>
        </w:rPr>
        <w:t xml:space="preserve"> </w:t>
      </w:r>
      <w:r w:rsidR="00FD213F" w:rsidRPr="00913129">
        <w:rPr>
          <w:sz w:val="28"/>
          <w:szCs w:val="28"/>
          <w:lang w:val="uk-UA"/>
        </w:rPr>
        <w:t xml:space="preserve">ЯКУБОВСЬКИЙ </w:t>
      </w:r>
    </w:p>
    <w:p w14:paraId="5E5C1EF8" w14:textId="77777777" w:rsidR="003B553E" w:rsidRPr="00913129" w:rsidRDefault="003B553E" w:rsidP="003B553E">
      <w:pPr>
        <w:jc w:val="both"/>
        <w:rPr>
          <w:sz w:val="28"/>
          <w:szCs w:val="28"/>
          <w:lang w:val="uk-UA"/>
        </w:rPr>
      </w:pPr>
    </w:p>
    <w:p w14:paraId="0F1CE9F0" w14:textId="77777777" w:rsidR="003B553E" w:rsidRPr="00913129" w:rsidRDefault="003B553E" w:rsidP="003B553E">
      <w:pPr>
        <w:jc w:val="both"/>
        <w:rPr>
          <w:sz w:val="28"/>
          <w:szCs w:val="28"/>
          <w:lang w:val="uk-UA"/>
        </w:rPr>
      </w:pPr>
    </w:p>
    <w:p w14:paraId="6347477F" w14:textId="77777777" w:rsidR="003B553E" w:rsidRPr="00913129" w:rsidRDefault="003B553E" w:rsidP="003B553E">
      <w:pPr>
        <w:jc w:val="both"/>
        <w:rPr>
          <w:sz w:val="28"/>
          <w:szCs w:val="28"/>
          <w:lang w:val="uk-UA"/>
        </w:rPr>
      </w:pPr>
    </w:p>
    <w:p w14:paraId="408EAC87" w14:textId="77777777" w:rsidR="003B553E" w:rsidRPr="00913129" w:rsidRDefault="003B553E" w:rsidP="003B553E">
      <w:pPr>
        <w:jc w:val="center"/>
        <w:rPr>
          <w:b/>
          <w:sz w:val="28"/>
          <w:szCs w:val="28"/>
          <w:lang w:val="uk-UA"/>
        </w:rPr>
      </w:pPr>
      <w:r w:rsidRPr="00913129">
        <w:rPr>
          <w:b/>
          <w:sz w:val="28"/>
          <w:szCs w:val="28"/>
          <w:lang w:val="uk-UA"/>
        </w:rPr>
        <w:t>Одеса 2025</w:t>
      </w:r>
    </w:p>
    <w:p w14:paraId="09982CC7" w14:textId="77777777" w:rsidR="00AA0E17" w:rsidRPr="00913129" w:rsidRDefault="00AA0E17" w:rsidP="001D63D0">
      <w:pPr>
        <w:pStyle w:val="paragraph"/>
        <w:spacing w:before="0" w:beforeAutospacing="0" w:after="0" w:afterAutospacing="0" w:line="360" w:lineRule="auto"/>
        <w:ind w:right="-2" w:firstLine="851"/>
        <w:jc w:val="center"/>
        <w:textAlignment w:val="baseline"/>
        <w:rPr>
          <w:rStyle w:val="normaltextrun"/>
          <w:b/>
          <w:bCs/>
          <w:color w:val="000000" w:themeColor="text1"/>
          <w:sz w:val="28"/>
          <w:szCs w:val="28"/>
          <w:lang w:val="uk-UA"/>
        </w:rPr>
      </w:pPr>
    </w:p>
    <w:p w14:paraId="7CC1A636" w14:textId="77777777" w:rsidR="00AA0E17" w:rsidRPr="00913129" w:rsidRDefault="00AA0E17" w:rsidP="001D63D0">
      <w:pPr>
        <w:pStyle w:val="paragraph"/>
        <w:spacing w:before="0" w:beforeAutospacing="0" w:after="0" w:afterAutospacing="0" w:line="360" w:lineRule="auto"/>
        <w:ind w:right="-2" w:firstLine="851"/>
        <w:jc w:val="center"/>
        <w:textAlignment w:val="baseline"/>
        <w:rPr>
          <w:rStyle w:val="normaltextrun"/>
          <w:b/>
          <w:bCs/>
          <w:color w:val="000000" w:themeColor="text1"/>
          <w:sz w:val="28"/>
          <w:szCs w:val="28"/>
          <w:lang w:val="uk-UA"/>
        </w:rPr>
      </w:pPr>
    </w:p>
    <w:p w14:paraId="6DA12E47" w14:textId="4441423D" w:rsidR="00D83493" w:rsidRPr="00913129" w:rsidRDefault="00AA0E17" w:rsidP="00AC7C06">
      <w:pPr>
        <w:spacing w:line="360" w:lineRule="auto"/>
        <w:ind w:right="-2"/>
        <w:jc w:val="center"/>
        <w:rPr>
          <w:b/>
          <w:bCs/>
          <w:color w:val="000000"/>
          <w:kern w:val="36"/>
          <w:sz w:val="28"/>
          <w:szCs w:val="28"/>
          <w:lang w:val="uk-UA"/>
        </w:rPr>
      </w:pPr>
      <w:r w:rsidRPr="00913129">
        <w:rPr>
          <w:b/>
          <w:bCs/>
          <w:color w:val="000000"/>
          <w:kern w:val="36"/>
          <w:sz w:val="28"/>
          <w:szCs w:val="28"/>
          <w:lang w:val="uk-UA"/>
        </w:rPr>
        <w:lastRenderedPageBreak/>
        <w:t>ЗМІСТ</w:t>
      </w:r>
    </w:p>
    <w:p w14:paraId="2AD62BD2" w14:textId="525F3FC7" w:rsidR="00F87CE4" w:rsidRPr="00913129" w:rsidRDefault="00F87CE4" w:rsidP="00113400">
      <w:pPr>
        <w:spacing w:line="360" w:lineRule="auto"/>
        <w:ind w:right="-2"/>
        <w:jc w:val="both"/>
        <w:rPr>
          <w:color w:val="000000" w:themeColor="text1"/>
          <w:sz w:val="28"/>
          <w:szCs w:val="28"/>
          <w:lang w:val="uk-UA"/>
        </w:rPr>
      </w:pPr>
      <w:r w:rsidRPr="00913129">
        <w:rPr>
          <w:color w:val="000000"/>
          <w:kern w:val="36"/>
          <w:sz w:val="28"/>
          <w:szCs w:val="28"/>
          <w:lang w:val="uk-UA"/>
        </w:rPr>
        <w:t>ВСТУП</w:t>
      </w:r>
      <w:r w:rsidRPr="00913129">
        <w:rPr>
          <w:rStyle w:val="ac"/>
          <w:rFonts w:eastAsiaTheme="majorEastAsia"/>
          <w:b w:val="0"/>
          <w:bCs w:val="0"/>
          <w:color w:val="000000"/>
          <w:sz w:val="28"/>
          <w:szCs w:val="28"/>
          <w:lang w:val="uk-UA"/>
        </w:rPr>
        <w:t>……………………………………………………………………………</w:t>
      </w:r>
      <w:r w:rsidR="003466C3" w:rsidRPr="00913129">
        <w:rPr>
          <w:rStyle w:val="ac"/>
          <w:rFonts w:eastAsiaTheme="majorEastAsia"/>
          <w:b w:val="0"/>
          <w:bCs w:val="0"/>
          <w:color w:val="000000"/>
          <w:sz w:val="28"/>
          <w:szCs w:val="28"/>
          <w:lang w:val="uk-UA"/>
        </w:rPr>
        <w:t>..3</w:t>
      </w:r>
      <w:r w:rsidR="00AA0E17" w:rsidRPr="00913129">
        <w:rPr>
          <w:color w:val="000000"/>
          <w:kern w:val="36"/>
          <w:sz w:val="28"/>
          <w:szCs w:val="28"/>
          <w:lang w:val="uk-UA"/>
        </w:rPr>
        <w:br/>
      </w:r>
      <w:r w:rsidRPr="00913129">
        <w:rPr>
          <w:rStyle w:val="ac"/>
          <w:rFonts w:eastAsiaTheme="majorEastAsia"/>
          <w:b w:val="0"/>
          <w:bCs w:val="0"/>
          <w:color w:val="000000"/>
          <w:sz w:val="28"/>
          <w:szCs w:val="28"/>
          <w:lang w:val="uk-UA"/>
        </w:rPr>
        <w:t>РОЗДІЛ 1. ТЕОРЕТИЧНІ ОСНОВИ СОЦІАЛЬНО ВІДПОВІДАЛЬНОГО ІНВЕСТУВАННЯ МІЖНАРОДНИХ КОМПАНІЙ…………………</w:t>
      </w:r>
      <w:r w:rsidR="00AC7C06" w:rsidRPr="00913129">
        <w:rPr>
          <w:rStyle w:val="ac"/>
          <w:rFonts w:eastAsiaTheme="majorEastAsia"/>
          <w:b w:val="0"/>
          <w:bCs w:val="0"/>
          <w:color w:val="000000"/>
          <w:sz w:val="28"/>
          <w:szCs w:val="28"/>
          <w:lang w:val="uk-UA"/>
        </w:rPr>
        <w:t>.</w:t>
      </w:r>
      <w:r w:rsidRPr="00913129">
        <w:rPr>
          <w:rStyle w:val="ac"/>
          <w:rFonts w:eastAsiaTheme="majorEastAsia"/>
          <w:b w:val="0"/>
          <w:bCs w:val="0"/>
          <w:color w:val="000000"/>
          <w:sz w:val="28"/>
          <w:szCs w:val="28"/>
          <w:lang w:val="uk-UA"/>
        </w:rPr>
        <w:t>……</w:t>
      </w:r>
      <w:r w:rsidR="003466C3" w:rsidRPr="00913129">
        <w:rPr>
          <w:rStyle w:val="ac"/>
          <w:rFonts w:eastAsiaTheme="majorEastAsia"/>
          <w:b w:val="0"/>
          <w:bCs w:val="0"/>
          <w:color w:val="000000"/>
          <w:sz w:val="28"/>
          <w:szCs w:val="28"/>
          <w:lang w:val="uk-UA"/>
        </w:rPr>
        <w:t>6</w:t>
      </w:r>
      <w:r w:rsidRPr="00913129">
        <w:rPr>
          <w:color w:val="000000"/>
          <w:sz w:val="28"/>
          <w:szCs w:val="28"/>
          <w:lang w:val="uk-UA"/>
        </w:rPr>
        <w:br/>
        <w:t>1.1. Поняття, еволюція та основні принципи соціально відповідального інвестування</w:t>
      </w:r>
      <w:r w:rsidRPr="00913129">
        <w:rPr>
          <w:rStyle w:val="ac"/>
          <w:rFonts w:eastAsiaTheme="majorEastAsia"/>
          <w:b w:val="0"/>
          <w:bCs w:val="0"/>
          <w:color w:val="000000"/>
          <w:sz w:val="28"/>
          <w:szCs w:val="28"/>
          <w:lang w:val="uk-UA"/>
        </w:rPr>
        <w:t>………………………………………………………</w:t>
      </w:r>
      <w:r w:rsidR="00F362A0" w:rsidRPr="00913129">
        <w:rPr>
          <w:rStyle w:val="ac"/>
          <w:rFonts w:eastAsiaTheme="majorEastAsia"/>
          <w:b w:val="0"/>
          <w:bCs w:val="0"/>
          <w:color w:val="000000"/>
          <w:sz w:val="28"/>
          <w:szCs w:val="28"/>
          <w:lang w:val="uk-UA"/>
        </w:rPr>
        <w:t>……</w:t>
      </w:r>
      <w:r w:rsidRPr="00913129">
        <w:rPr>
          <w:rStyle w:val="ac"/>
          <w:rFonts w:eastAsiaTheme="majorEastAsia"/>
          <w:b w:val="0"/>
          <w:bCs w:val="0"/>
          <w:color w:val="000000"/>
          <w:sz w:val="28"/>
          <w:szCs w:val="28"/>
          <w:lang w:val="uk-UA"/>
        </w:rPr>
        <w:t>………</w:t>
      </w:r>
      <w:r w:rsidR="003466C3" w:rsidRPr="00913129">
        <w:rPr>
          <w:rStyle w:val="ac"/>
          <w:rFonts w:eastAsiaTheme="majorEastAsia"/>
          <w:b w:val="0"/>
          <w:bCs w:val="0"/>
          <w:color w:val="000000"/>
          <w:sz w:val="28"/>
          <w:szCs w:val="28"/>
          <w:lang w:val="uk-UA"/>
        </w:rPr>
        <w:t>….6</w:t>
      </w:r>
      <w:r w:rsidRPr="00913129">
        <w:rPr>
          <w:color w:val="000000"/>
          <w:sz w:val="28"/>
          <w:szCs w:val="28"/>
          <w:lang w:val="uk-UA"/>
        </w:rPr>
        <w:br/>
        <w:t>1.2. Теоретичні підходи та типологія соціально відповідального інвестування</w:t>
      </w:r>
      <w:r w:rsidRPr="00913129">
        <w:rPr>
          <w:rStyle w:val="ac"/>
          <w:rFonts w:eastAsiaTheme="majorEastAsia"/>
          <w:b w:val="0"/>
          <w:bCs w:val="0"/>
          <w:color w:val="000000"/>
          <w:sz w:val="28"/>
          <w:szCs w:val="28"/>
          <w:lang w:val="uk-UA"/>
        </w:rPr>
        <w:t>………………………………………………………………………</w:t>
      </w:r>
      <w:r w:rsidR="007A0625" w:rsidRPr="00913129">
        <w:rPr>
          <w:rStyle w:val="ac"/>
          <w:rFonts w:eastAsiaTheme="majorEastAsia"/>
          <w:b w:val="0"/>
          <w:bCs w:val="0"/>
          <w:color w:val="000000"/>
          <w:sz w:val="28"/>
          <w:szCs w:val="28"/>
          <w:lang w:val="uk-UA"/>
        </w:rPr>
        <w:t>.9</w:t>
      </w:r>
      <w:r w:rsidRPr="00913129">
        <w:rPr>
          <w:color w:val="000000"/>
          <w:sz w:val="28"/>
          <w:szCs w:val="28"/>
          <w:lang w:val="uk-UA"/>
        </w:rPr>
        <w:br/>
        <w:t>1.3. Огляд сучасних досліджень соціально відповідального інвестування у міжнародних компаніях</w:t>
      </w:r>
      <w:r w:rsidRPr="00913129">
        <w:rPr>
          <w:rStyle w:val="ac"/>
          <w:rFonts w:eastAsiaTheme="majorEastAsia"/>
          <w:b w:val="0"/>
          <w:bCs w:val="0"/>
          <w:color w:val="000000"/>
          <w:sz w:val="28"/>
          <w:szCs w:val="28"/>
          <w:lang w:val="uk-UA"/>
        </w:rPr>
        <w:t>…………………………………………………………</w:t>
      </w:r>
      <w:r w:rsidR="007A0625" w:rsidRPr="00913129">
        <w:rPr>
          <w:rStyle w:val="ac"/>
          <w:rFonts w:eastAsiaTheme="majorEastAsia"/>
          <w:b w:val="0"/>
          <w:bCs w:val="0"/>
          <w:color w:val="000000"/>
          <w:sz w:val="28"/>
          <w:szCs w:val="28"/>
          <w:lang w:val="uk-UA"/>
        </w:rPr>
        <w:t>14</w:t>
      </w:r>
    </w:p>
    <w:p w14:paraId="755BE2F7" w14:textId="01B85E80" w:rsidR="002D32E8" w:rsidRPr="00913129" w:rsidRDefault="00F87CE4" w:rsidP="00113400">
      <w:pPr>
        <w:pStyle w:val="ae"/>
        <w:spacing w:before="0" w:beforeAutospacing="0" w:after="0" w:afterAutospacing="0" w:line="360" w:lineRule="auto"/>
        <w:ind w:right="-2"/>
        <w:jc w:val="both"/>
        <w:rPr>
          <w:rStyle w:val="ac"/>
          <w:rFonts w:eastAsiaTheme="majorEastAsia"/>
          <w:b w:val="0"/>
          <w:bCs w:val="0"/>
          <w:color w:val="000000"/>
          <w:sz w:val="28"/>
          <w:szCs w:val="28"/>
          <w:lang w:val="uk-UA"/>
        </w:rPr>
      </w:pPr>
      <w:r w:rsidRPr="00913129">
        <w:rPr>
          <w:rStyle w:val="ac"/>
          <w:rFonts w:eastAsiaTheme="majorEastAsia"/>
          <w:b w:val="0"/>
          <w:bCs w:val="0"/>
          <w:color w:val="000000"/>
          <w:sz w:val="28"/>
          <w:szCs w:val="28"/>
          <w:lang w:val="uk-UA"/>
        </w:rPr>
        <w:t>РОЗДІЛ 2. ДИНАМІКА РИНКУ СОЦІАЛЬНО ВІДПОВІДАЛЬНОГО ІНВЕСТУВАННЯ У СВІТІ ТА УКРАЇНІ……………………</w:t>
      </w:r>
      <w:r w:rsidR="00F362A0" w:rsidRPr="00913129">
        <w:rPr>
          <w:rStyle w:val="ac"/>
          <w:rFonts w:eastAsiaTheme="majorEastAsia"/>
          <w:b w:val="0"/>
          <w:bCs w:val="0"/>
          <w:color w:val="000000"/>
          <w:sz w:val="28"/>
          <w:szCs w:val="28"/>
          <w:lang w:val="uk-UA"/>
        </w:rPr>
        <w:t>…</w:t>
      </w:r>
      <w:r w:rsidRPr="00913129">
        <w:rPr>
          <w:rStyle w:val="ac"/>
          <w:rFonts w:eastAsiaTheme="majorEastAsia"/>
          <w:b w:val="0"/>
          <w:bCs w:val="0"/>
          <w:color w:val="000000"/>
          <w:sz w:val="28"/>
          <w:szCs w:val="28"/>
          <w:lang w:val="uk-UA"/>
        </w:rPr>
        <w:t>………………</w:t>
      </w:r>
      <w:r w:rsidR="007A0625" w:rsidRPr="00913129">
        <w:rPr>
          <w:rStyle w:val="ac"/>
          <w:rFonts w:eastAsiaTheme="majorEastAsia"/>
          <w:b w:val="0"/>
          <w:bCs w:val="0"/>
          <w:color w:val="000000"/>
          <w:sz w:val="28"/>
          <w:szCs w:val="28"/>
          <w:lang w:val="uk-UA"/>
        </w:rPr>
        <w:t>18</w:t>
      </w:r>
      <w:r w:rsidRPr="00913129">
        <w:rPr>
          <w:color w:val="000000"/>
          <w:sz w:val="28"/>
          <w:szCs w:val="28"/>
          <w:lang w:val="uk-UA"/>
        </w:rPr>
        <w:br/>
        <w:t>2.1. Динаміка та структурні трансформації світового ринку соціально відповідального інвестування</w:t>
      </w:r>
      <w:r w:rsidRPr="00913129">
        <w:rPr>
          <w:rStyle w:val="ac"/>
          <w:rFonts w:eastAsiaTheme="majorEastAsia"/>
          <w:b w:val="0"/>
          <w:bCs w:val="0"/>
          <w:color w:val="000000"/>
          <w:sz w:val="28"/>
          <w:szCs w:val="28"/>
          <w:lang w:val="uk-UA"/>
        </w:rPr>
        <w:t>……………………………………………</w:t>
      </w:r>
      <w:r w:rsidR="00F362A0" w:rsidRPr="00913129">
        <w:rPr>
          <w:rStyle w:val="ac"/>
          <w:rFonts w:eastAsiaTheme="majorEastAsia"/>
          <w:b w:val="0"/>
          <w:bCs w:val="0"/>
          <w:color w:val="000000"/>
          <w:sz w:val="28"/>
          <w:szCs w:val="28"/>
          <w:lang w:val="uk-UA"/>
        </w:rPr>
        <w:t>…...</w:t>
      </w:r>
      <w:r w:rsidRPr="00913129">
        <w:rPr>
          <w:rStyle w:val="ac"/>
          <w:rFonts w:eastAsiaTheme="majorEastAsia"/>
          <w:b w:val="0"/>
          <w:bCs w:val="0"/>
          <w:color w:val="000000"/>
          <w:sz w:val="28"/>
          <w:szCs w:val="28"/>
          <w:lang w:val="uk-UA"/>
        </w:rPr>
        <w:t>…</w:t>
      </w:r>
      <w:r w:rsidR="00F362A0" w:rsidRPr="00913129">
        <w:rPr>
          <w:rStyle w:val="ac"/>
          <w:rFonts w:eastAsiaTheme="majorEastAsia"/>
          <w:b w:val="0"/>
          <w:bCs w:val="0"/>
          <w:color w:val="000000"/>
          <w:sz w:val="28"/>
          <w:szCs w:val="28"/>
          <w:lang w:val="uk-UA"/>
        </w:rPr>
        <w:t>18</w:t>
      </w:r>
      <w:r w:rsidRPr="00913129">
        <w:rPr>
          <w:color w:val="000000"/>
          <w:sz w:val="28"/>
          <w:szCs w:val="28"/>
          <w:lang w:val="uk-UA"/>
        </w:rPr>
        <w:br/>
        <w:t>2.2. Трансформація інструментів у системі СВІ</w:t>
      </w:r>
      <w:r w:rsidRPr="00913129">
        <w:rPr>
          <w:rStyle w:val="ac"/>
          <w:rFonts w:eastAsiaTheme="majorEastAsia"/>
          <w:b w:val="0"/>
          <w:bCs w:val="0"/>
          <w:color w:val="000000"/>
          <w:sz w:val="28"/>
          <w:szCs w:val="28"/>
          <w:lang w:val="uk-UA"/>
        </w:rPr>
        <w:t>……………</w:t>
      </w:r>
      <w:r w:rsidR="00F362A0" w:rsidRPr="00913129">
        <w:rPr>
          <w:rStyle w:val="ac"/>
          <w:rFonts w:eastAsiaTheme="majorEastAsia"/>
          <w:b w:val="0"/>
          <w:bCs w:val="0"/>
          <w:color w:val="000000"/>
          <w:sz w:val="28"/>
          <w:szCs w:val="28"/>
          <w:lang w:val="uk-UA"/>
        </w:rPr>
        <w:t>…………………..2</w:t>
      </w:r>
      <w:r w:rsidR="000D6B04" w:rsidRPr="00913129">
        <w:rPr>
          <w:rStyle w:val="ac"/>
          <w:rFonts w:eastAsiaTheme="majorEastAsia"/>
          <w:b w:val="0"/>
          <w:bCs w:val="0"/>
          <w:color w:val="000000"/>
          <w:sz w:val="28"/>
          <w:szCs w:val="28"/>
          <w:lang w:val="uk-UA"/>
        </w:rPr>
        <w:t>4</w:t>
      </w:r>
      <w:r w:rsidRPr="00913129">
        <w:rPr>
          <w:color w:val="000000"/>
          <w:sz w:val="28"/>
          <w:szCs w:val="28"/>
          <w:lang w:val="uk-UA"/>
        </w:rPr>
        <w:br/>
        <w:t xml:space="preserve">2.3. </w:t>
      </w:r>
      <w:r w:rsidR="006B38B0" w:rsidRPr="00913129">
        <w:rPr>
          <w:color w:val="000000"/>
          <w:sz w:val="28"/>
          <w:szCs w:val="28"/>
          <w:lang w:val="uk-UA"/>
        </w:rPr>
        <w:t>С</w:t>
      </w:r>
      <w:r w:rsidRPr="00913129">
        <w:rPr>
          <w:color w:val="000000"/>
          <w:sz w:val="28"/>
          <w:szCs w:val="28"/>
          <w:lang w:val="uk-UA"/>
        </w:rPr>
        <w:t>оціально відповідальн</w:t>
      </w:r>
      <w:r w:rsidR="006B38B0" w:rsidRPr="00913129">
        <w:rPr>
          <w:color w:val="000000"/>
          <w:sz w:val="28"/>
          <w:szCs w:val="28"/>
          <w:lang w:val="uk-UA"/>
        </w:rPr>
        <w:t>е</w:t>
      </w:r>
      <w:r w:rsidRPr="00913129">
        <w:rPr>
          <w:color w:val="000000"/>
          <w:sz w:val="28"/>
          <w:szCs w:val="28"/>
          <w:lang w:val="uk-UA"/>
        </w:rPr>
        <w:t xml:space="preserve"> інвестування в Україні</w:t>
      </w:r>
      <w:r w:rsidRPr="00913129">
        <w:rPr>
          <w:rStyle w:val="ac"/>
          <w:rFonts w:eastAsiaTheme="majorEastAsia"/>
          <w:b w:val="0"/>
          <w:bCs w:val="0"/>
          <w:color w:val="000000"/>
          <w:sz w:val="28"/>
          <w:szCs w:val="28"/>
          <w:lang w:val="uk-UA"/>
        </w:rPr>
        <w:t>…</w:t>
      </w:r>
      <w:r w:rsidR="006B38B0" w:rsidRPr="00913129">
        <w:rPr>
          <w:rStyle w:val="ac"/>
          <w:rFonts w:eastAsiaTheme="majorEastAsia"/>
          <w:b w:val="0"/>
          <w:bCs w:val="0"/>
          <w:color w:val="000000"/>
          <w:sz w:val="28"/>
          <w:szCs w:val="28"/>
          <w:lang w:val="uk-UA"/>
        </w:rPr>
        <w:t>……………………..</w:t>
      </w:r>
      <w:r w:rsidR="00F362A0" w:rsidRPr="00913129">
        <w:rPr>
          <w:rStyle w:val="ac"/>
          <w:rFonts w:eastAsiaTheme="majorEastAsia"/>
          <w:b w:val="0"/>
          <w:bCs w:val="0"/>
          <w:color w:val="000000"/>
          <w:sz w:val="28"/>
          <w:szCs w:val="28"/>
          <w:lang w:val="uk-UA"/>
        </w:rPr>
        <w:t>..29</w:t>
      </w:r>
    </w:p>
    <w:p w14:paraId="5E3BB43F" w14:textId="31C8F96B" w:rsidR="00F87CE4" w:rsidRPr="00913129" w:rsidRDefault="00F87CE4" w:rsidP="00113400">
      <w:pPr>
        <w:pStyle w:val="ae"/>
        <w:spacing w:before="0" w:beforeAutospacing="0" w:after="0" w:afterAutospacing="0" w:line="360" w:lineRule="auto"/>
        <w:ind w:right="-2"/>
        <w:jc w:val="both"/>
        <w:rPr>
          <w:rStyle w:val="ac"/>
          <w:rFonts w:eastAsiaTheme="majorEastAsia"/>
          <w:sz w:val="28"/>
          <w:szCs w:val="28"/>
          <w:lang w:val="uk-UA"/>
        </w:rPr>
      </w:pPr>
      <w:r w:rsidRPr="00913129">
        <w:rPr>
          <w:rStyle w:val="ac"/>
          <w:rFonts w:eastAsiaTheme="majorEastAsia"/>
          <w:b w:val="0"/>
          <w:bCs w:val="0"/>
          <w:color w:val="000000"/>
          <w:sz w:val="28"/>
          <w:szCs w:val="28"/>
          <w:lang w:val="uk-UA"/>
        </w:rPr>
        <w:t xml:space="preserve">РОЗДІЛ 3. </w:t>
      </w:r>
      <w:r w:rsidR="002D32E8" w:rsidRPr="00913129">
        <w:rPr>
          <w:rStyle w:val="ac"/>
          <w:rFonts w:eastAsiaTheme="majorEastAsia"/>
          <w:b w:val="0"/>
          <w:bCs w:val="0"/>
          <w:color w:val="000000"/>
          <w:sz w:val="28"/>
          <w:szCs w:val="28"/>
          <w:lang w:val="uk-UA"/>
        </w:rPr>
        <w:t>СОЦ</w:t>
      </w:r>
      <w:r w:rsidR="002D32E8" w:rsidRPr="00913129">
        <w:rPr>
          <w:rStyle w:val="ac"/>
          <w:rFonts w:eastAsiaTheme="majorEastAsia"/>
          <w:b w:val="0"/>
          <w:bCs w:val="0"/>
          <w:sz w:val="28"/>
          <w:szCs w:val="28"/>
          <w:lang w:val="uk-UA"/>
        </w:rPr>
        <w:t>ІАЛЬНО ВІДПОВІДАЛЬНЕ ІНВЕСТУВАННЯ МІЖНАРОДНИХ КОМПАНІЙ</w:t>
      </w:r>
      <w:r w:rsidR="002D32E8" w:rsidRPr="00913129">
        <w:rPr>
          <w:rStyle w:val="ac"/>
          <w:rFonts w:eastAsiaTheme="majorEastAsia"/>
          <w:b w:val="0"/>
          <w:bCs w:val="0"/>
          <w:color w:val="000000"/>
          <w:sz w:val="28"/>
          <w:szCs w:val="28"/>
          <w:lang w:val="uk-UA"/>
        </w:rPr>
        <w:t>…………………………………………………………………</w:t>
      </w:r>
      <w:r w:rsidR="00AC7C06" w:rsidRPr="00913129">
        <w:rPr>
          <w:rStyle w:val="ac"/>
          <w:rFonts w:eastAsiaTheme="majorEastAsia"/>
          <w:b w:val="0"/>
          <w:bCs w:val="0"/>
          <w:color w:val="000000"/>
          <w:sz w:val="28"/>
          <w:szCs w:val="28"/>
          <w:lang w:val="uk-UA"/>
        </w:rPr>
        <w:t>...</w:t>
      </w:r>
      <w:r w:rsidR="002D32E8" w:rsidRPr="00913129">
        <w:rPr>
          <w:rStyle w:val="ac"/>
          <w:rFonts w:eastAsiaTheme="majorEastAsia"/>
          <w:b w:val="0"/>
          <w:bCs w:val="0"/>
          <w:color w:val="000000"/>
          <w:sz w:val="28"/>
          <w:szCs w:val="28"/>
          <w:lang w:val="uk-UA"/>
        </w:rPr>
        <w:t>…36</w:t>
      </w:r>
      <w:r w:rsidRPr="00913129">
        <w:rPr>
          <w:color w:val="000000"/>
          <w:sz w:val="28"/>
          <w:szCs w:val="28"/>
          <w:lang w:val="uk-UA"/>
        </w:rPr>
        <w:br/>
        <w:t>3.1. Компаративний аналіз впровадження СВІ-стратегій у провідних міжнародних компаніях</w:t>
      </w:r>
      <w:r w:rsidRPr="00913129">
        <w:rPr>
          <w:rStyle w:val="ac"/>
          <w:rFonts w:eastAsiaTheme="majorEastAsia"/>
          <w:b w:val="0"/>
          <w:bCs w:val="0"/>
          <w:color w:val="000000"/>
          <w:sz w:val="28"/>
          <w:szCs w:val="28"/>
          <w:lang w:val="uk-UA"/>
        </w:rPr>
        <w:t>……………………………………………………</w:t>
      </w:r>
      <w:r w:rsidR="00AC7C06" w:rsidRPr="00913129">
        <w:rPr>
          <w:rStyle w:val="ac"/>
          <w:rFonts w:eastAsiaTheme="majorEastAsia"/>
          <w:b w:val="0"/>
          <w:bCs w:val="0"/>
          <w:color w:val="000000"/>
          <w:sz w:val="28"/>
          <w:szCs w:val="28"/>
          <w:lang w:val="uk-UA"/>
        </w:rPr>
        <w:t>…</w:t>
      </w:r>
      <w:r w:rsidRPr="00913129">
        <w:rPr>
          <w:rStyle w:val="ac"/>
          <w:rFonts w:eastAsiaTheme="majorEastAsia"/>
          <w:b w:val="0"/>
          <w:bCs w:val="0"/>
          <w:color w:val="000000"/>
          <w:sz w:val="28"/>
          <w:szCs w:val="28"/>
          <w:lang w:val="uk-UA"/>
        </w:rPr>
        <w:t>…</w:t>
      </w:r>
      <w:r w:rsidR="002D32E8" w:rsidRPr="00913129">
        <w:rPr>
          <w:rStyle w:val="ac"/>
          <w:rFonts w:eastAsiaTheme="majorEastAsia"/>
          <w:b w:val="0"/>
          <w:bCs w:val="0"/>
          <w:color w:val="000000"/>
          <w:sz w:val="28"/>
          <w:szCs w:val="28"/>
          <w:lang w:val="uk-UA"/>
        </w:rPr>
        <w:t>36</w:t>
      </w:r>
    </w:p>
    <w:p w14:paraId="1D782894" w14:textId="47DF4FD1" w:rsidR="00F87CE4" w:rsidRPr="00913129" w:rsidRDefault="00F87CE4" w:rsidP="00113400">
      <w:pPr>
        <w:pStyle w:val="ae"/>
        <w:spacing w:before="0" w:beforeAutospacing="0" w:after="0" w:afterAutospacing="0" w:line="360" w:lineRule="auto"/>
        <w:ind w:right="-2"/>
        <w:jc w:val="both"/>
        <w:rPr>
          <w:rStyle w:val="ac"/>
          <w:rFonts w:eastAsiaTheme="majorEastAsia"/>
          <w:b w:val="0"/>
          <w:bCs w:val="0"/>
          <w:color w:val="000000"/>
          <w:sz w:val="28"/>
          <w:szCs w:val="28"/>
          <w:lang w:val="uk-UA"/>
        </w:rPr>
      </w:pPr>
      <w:r w:rsidRPr="00913129">
        <w:rPr>
          <w:color w:val="000000"/>
          <w:sz w:val="28"/>
          <w:szCs w:val="28"/>
          <w:lang w:val="uk-UA"/>
        </w:rPr>
        <w:t>3.2. Системні ризики, антикризові практики та перспективи впровадження СВІ у міжнародному бізнесі</w:t>
      </w:r>
      <w:r w:rsidRPr="00913129">
        <w:rPr>
          <w:rStyle w:val="ac"/>
          <w:rFonts w:eastAsiaTheme="majorEastAsia"/>
          <w:b w:val="0"/>
          <w:bCs w:val="0"/>
          <w:color w:val="000000"/>
          <w:sz w:val="28"/>
          <w:szCs w:val="28"/>
          <w:lang w:val="uk-UA"/>
        </w:rPr>
        <w:t>………………………………………………</w:t>
      </w:r>
      <w:r w:rsidR="002D32E8" w:rsidRPr="00913129">
        <w:rPr>
          <w:rStyle w:val="ac"/>
          <w:rFonts w:eastAsiaTheme="majorEastAsia"/>
          <w:b w:val="0"/>
          <w:bCs w:val="0"/>
          <w:color w:val="000000"/>
          <w:sz w:val="28"/>
          <w:szCs w:val="28"/>
          <w:lang w:val="uk-UA"/>
        </w:rPr>
        <w:t>.</w:t>
      </w:r>
      <w:r w:rsidRPr="00913129">
        <w:rPr>
          <w:rStyle w:val="ac"/>
          <w:rFonts w:eastAsiaTheme="majorEastAsia"/>
          <w:b w:val="0"/>
          <w:bCs w:val="0"/>
          <w:color w:val="000000"/>
          <w:sz w:val="28"/>
          <w:szCs w:val="28"/>
          <w:lang w:val="uk-UA"/>
        </w:rPr>
        <w:t>………</w:t>
      </w:r>
      <w:r w:rsidR="002D32E8" w:rsidRPr="00913129">
        <w:rPr>
          <w:rStyle w:val="ac"/>
          <w:rFonts w:eastAsiaTheme="majorEastAsia"/>
          <w:b w:val="0"/>
          <w:bCs w:val="0"/>
          <w:color w:val="000000"/>
          <w:sz w:val="28"/>
          <w:szCs w:val="28"/>
          <w:lang w:val="uk-UA"/>
        </w:rPr>
        <w:t>…4</w:t>
      </w:r>
      <w:r w:rsidR="000D6B04" w:rsidRPr="00913129">
        <w:rPr>
          <w:rStyle w:val="ac"/>
          <w:rFonts w:eastAsiaTheme="majorEastAsia"/>
          <w:b w:val="0"/>
          <w:bCs w:val="0"/>
          <w:color w:val="000000"/>
          <w:sz w:val="28"/>
          <w:szCs w:val="28"/>
          <w:lang w:val="uk-UA"/>
        </w:rPr>
        <w:t>3</w:t>
      </w:r>
    </w:p>
    <w:p w14:paraId="57C4A1A3" w14:textId="4829E130" w:rsidR="00F87CE4" w:rsidRPr="00913129" w:rsidRDefault="00F87CE4" w:rsidP="00113400">
      <w:pPr>
        <w:pStyle w:val="ae"/>
        <w:spacing w:before="0" w:beforeAutospacing="0" w:after="0" w:afterAutospacing="0" w:line="360" w:lineRule="auto"/>
        <w:ind w:right="-2"/>
        <w:jc w:val="both"/>
        <w:rPr>
          <w:rStyle w:val="ac"/>
          <w:rFonts w:eastAsiaTheme="majorEastAsia"/>
          <w:b w:val="0"/>
          <w:bCs w:val="0"/>
          <w:color w:val="000000"/>
          <w:sz w:val="28"/>
          <w:szCs w:val="28"/>
          <w:lang w:val="uk-UA"/>
        </w:rPr>
      </w:pPr>
      <w:r w:rsidRPr="00913129">
        <w:rPr>
          <w:rStyle w:val="ac"/>
          <w:rFonts w:eastAsiaTheme="majorEastAsia"/>
          <w:b w:val="0"/>
          <w:bCs w:val="0"/>
          <w:color w:val="000000"/>
          <w:sz w:val="28"/>
          <w:szCs w:val="28"/>
          <w:lang w:val="uk-UA"/>
        </w:rPr>
        <w:t>ВИСНОВКИ……………………………………………</w:t>
      </w:r>
      <w:r w:rsidR="002D32E8" w:rsidRPr="00913129">
        <w:rPr>
          <w:rStyle w:val="ac"/>
          <w:rFonts w:eastAsiaTheme="majorEastAsia"/>
          <w:b w:val="0"/>
          <w:bCs w:val="0"/>
          <w:color w:val="000000"/>
          <w:sz w:val="28"/>
          <w:szCs w:val="28"/>
          <w:lang w:val="uk-UA"/>
        </w:rPr>
        <w:t>...</w:t>
      </w:r>
      <w:r w:rsidRPr="00913129">
        <w:rPr>
          <w:rStyle w:val="ac"/>
          <w:rFonts w:eastAsiaTheme="majorEastAsia"/>
          <w:b w:val="0"/>
          <w:bCs w:val="0"/>
          <w:color w:val="000000"/>
          <w:sz w:val="28"/>
          <w:szCs w:val="28"/>
          <w:lang w:val="uk-UA"/>
        </w:rPr>
        <w:t>………………………</w:t>
      </w:r>
      <w:r w:rsidR="000D6B04" w:rsidRPr="00913129">
        <w:rPr>
          <w:rStyle w:val="ac"/>
          <w:rFonts w:eastAsiaTheme="majorEastAsia"/>
          <w:b w:val="0"/>
          <w:bCs w:val="0"/>
          <w:color w:val="000000"/>
          <w:sz w:val="28"/>
          <w:szCs w:val="28"/>
          <w:lang w:val="uk-UA"/>
        </w:rPr>
        <w:t>49</w:t>
      </w:r>
    </w:p>
    <w:p w14:paraId="45944E05" w14:textId="12B71D07" w:rsidR="00F87CE4" w:rsidRPr="00913129" w:rsidRDefault="00F87CE4" w:rsidP="00113400">
      <w:pPr>
        <w:pStyle w:val="ae"/>
        <w:spacing w:before="0" w:beforeAutospacing="0" w:after="0" w:afterAutospacing="0" w:line="360" w:lineRule="auto"/>
        <w:ind w:right="-2"/>
        <w:jc w:val="both"/>
        <w:rPr>
          <w:color w:val="000000"/>
          <w:sz w:val="28"/>
          <w:szCs w:val="28"/>
          <w:lang w:val="uk-UA"/>
        </w:rPr>
      </w:pPr>
      <w:r w:rsidRPr="00913129">
        <w:rPr>
          <w:rStyle w:val="ac"/>
          <w:rFonts w:eastAsiaTheme="majorEastAsia"/>
          <w:b w:val="0"/>
          <w:bCs w:val="0"/>
          <w:color w:val="000000"/>
          <w:sz w:val="28"/>
          <w:szCs w:val="28"/>
          <w:lang w:val="uk-UA"/>
        </w:rPr>
        <w:t>СПИСОК ВИКОРИСТАНИХ ДЖЕРЕЛ……………………………………</w:t>
      </w:r>
      <w:r w:rsidR="002D32E8" w:rsidRPr="00913129">
        <w:rPr>
          <w:rStyle w:val="ac"/>
          <w:rFonts w:eastAsiaTheme="majorEastAsia"/>
          <w:b w:val="0"/>
          <w:bCs w:val="0"/>
          <w:color w:val="000000"/>
          <w:sz w:val="28"/>
          <w:szCs w:val="28"/>
          <w:lang w:val="uk-UA"/>
        </w:rPr>
        <w:t>…..5</w:t>
      </w:r>
      <w:r w:rsidR="000D6B04" w:rsidRPr="00913129">
        <w:rPr>
          <w:rStyle w:val="ac"/>
          <w:rFonts w:eastAsiaTheme="majorEastAsia"/>
          <w:b w:val="0"/>
          <w:bCs w:val="0"/>
          <w:color w:val="000000"/>
          <w:sz w:val="28"/>
          <w:szCs w:val="28"/>
          <w:lang w:val="uk-UA"/>
        </w:rPr>
        <w:t>2</w:t>
      </w:r>
      <w:r w:rsidRPr="00913129">
        <w:rPr>
          <w:rStyle w:val="ac"/>
          <w:rFonts w:eastAsiaTheme="majorEastAsia"/>
          <w:b w:val="0"/>
          <w:bCs w:val="0"/>
          <w:color w:val="000000"/>
          <w:sz w:val="28"/>
          <w:szCs w:val="28"/>
          <w:lang w:val="uk-UA"/>
        </w:rPr>
        <w:br/>
        <w:t>ДОДАТКИ………………………………………………………………</w:t>
      </w:r>
      <w:r w:rsidR="00AC7C06" w:rsidRPr="00913129">
        <w:rPr>
          <w:rStyle w:val="ac"/>
          <w:rFonts w:eastAsiaTheme="majorEastAsia"/>
          <w:b w:val="0"/>
          <w:bCs w:val="0"/>
          <w:color w:val="000000"/>
          <w:sz w:val="28"/>
          <w:szCs w:val="28"/>
          <w:lang w:val="uk-UA"/>
        </w:rPr>
        <w:t>…</w:t>
      </w:r>
      <w:r w:rsidRPr="00913129">
        <w:rPr>
          <w:rStyle w:val="ac"/>
          <w:rFonts w:eastAsiaTheme="majorEastAsia"/>
          <w:b w:val="0"/>
          <w:bCs w:val="0"/>
          <w:color w:val="000000"/>
          <w:sz w:val="28"/>
          <w:szCs w:val="28"/>
          <w:lang w:val="uk-UA"/>
        </w:rPr>
        <w:t>……</w:t>
      </w:r>
      <w:r w:rsidR="002D32E8" w:rsidRPr="00913129">
        <w:rPr>
          <w:rStyle w:val="ac"/>
          <w:rFonts w:eastAsiaTheme="majorEastAsia"/>
          <w:b w:val="0"/>
          <w:bCs w:val="0"/>
          <w:color w:val="000000"/>
          <w:sz w:val="28"/>
          <w:szCs w:val="28"/>
          <w:lang w:val="uk-UA"/>
        </w:rPr>
        <w:t>..6</w:t>
      </w:r>
      <w:r w:rsidR="000D6B04" w:rsidRPr="00913129">
        <w:rPr>
          <w:rStyle w:val="ac"/>
          <w:rFonts w:eastAsiaTheme="majorEastAsia"/>
          <w:b w:val="0"/>
          <w:bCs w:val="0"/>
          <w:color w:val="000000"/>
          <w:sz w:val="28"/>
          <w:szCs w:val="28"/>
          <w:lang w:val="uk-UA"/>
        </w:rPr>
        <w:t>0</w:t>
      </w:r>
    </w:p>
    <w:p w14:paraId="05CB3C23" w14:textId="77777777" w:rsidR="003466C3" w:rsidRPr="00913129" w:rsidRDefault="00F87CE4" w:rsidP="00261DCA">
      <w:pPr>
        <w:spacing w:line="360" w:lineRule="auto"/>
        <w:jc w:val="center"/>
        <w:rPr>
          <w:b/>
          <w:bCs/>
          <w:color w:val="000000" w:themeColor="text1"/>
          <w:kern w:val="36"/>
          <w:sz w:val="28"/>
          <w:szCs w:val="28"/>
          <w:lang w:val="uk-UA"/>
        </w:rPr>
      </w:pPr>
      <w:r w:rsidRPr="00913129">
        <w:rPr>
          <w:b/>
          <w:bCs/>
          <w:color w:val="000000"/>
          <w:kern w:val="36"/>
          <w:sz w:val="28"/>
          <w:szCs w:val="28"/>
          <w:lang w:val="uk-UA"/>
        </w:rPr>
        <w:br w:type="page"/>
      </w:r>
      <w:r w:rsidR="003466C3" w:rsidRPr="00913129">
        <w:rPr>
          <w:b/>
          <w:bCs/>
          <w:color w:val="000000" w:themeColor="text1"/>
          <w:kern w:val="36"/>
          <w:sz w:val="28"/>
          <w:szCs w:val="28"/>
          <w:lang w:val="uk-UA"/>
        </w:rPr>
        <w:lastRenderedPageBreak/>
        <w:t>ВСТУП</w:t>
      </w:r>
    </w:p>
    <w:p w14:paraId="689733A0" w14:textId="77777777" w:rsidR="003466C3" w:rsidRPr="00913129" w:rsidRDefault="003466C3" w:rsidP="00261DCA">
      <w:pPr>
        <w:spacing w:line="360" w:lineRule="auto"/>
        <w:jc w:val="center"/>
        <w:rPr>
          <w:b/>
          <w:bCs/>
          <w:color w:val="000000" w:themeColor="text1"/>
          <w:kern w:val="36"/>
          <w:sz w:val="28"/>
          <w:szCs w:val="28"/>
          <w:lang w:val="uk-UA"/>
        </w:rPr>
      </w:pPr>
    </w:p>
    <w:p w14:paraId="7554F30D" w14:textId="7967DBB1" w:rsidR="003466C3"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Сучасний етап розвитку фінансових ринків характеризується глибокими трансформаціями, зумовленими процесами глобалізації, активною інтеграцією принципів сталого розвитку та підвищенням значущості екологічних, соціальних і управлінських критеріїв у прийнятті інвестиційних рішень. У таких умовах соціально відповідальне інвестування розглядається не лише як механізм підвищення фінансової ефективності, але й як ключовий інструмент забезпечення збалансованості між економічними інтересами та суспільною відповідальністю бізнесу.</w:t>
      </w:r>
    </w:p>
    <w:p w14:paraId="56FD1FB3" w14:textId="0BB4C49C" w:rsidR="003466C3"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Актуальність теми дослідження обумовлюється необхідністю розробки комплексного підходу до оцінки сучасних пріоритетів і ризиків соціально відповідального інвестування в міжнародних компаніях, враховуючи тенденції розвитку глобального ринку, зміну вимог до прозорості діяльності корпорацій, а також розширення сфери застосування ESG-стратегій. Впровадження СВІ супроводжується появою нових фінансових інструментів, ускладненням ринкових структур, підвищенням стандартів нефінансової звітності й загостренням питань ефективності та результативності інвестицій.</w:t>
      </w:r>
    </w:p>
    <w:p w14:paraId="47B5F81C" w14:textId="0FFCBCFB" w:rsidR="003466C3"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 xml:space="preserve">Особливої ця проблематика набуває </w:t>
      </w:r>
      <w:r w:rsidR="00A70E41" w:rsidRPr="00913129">
        <w:rPr>
          <w:color w:val="000000" w:themeColor="text1"/>
          <w:sz w:val="28"/>
          <w:szCs w:val="28"/>
          <w:lang w:val="uk-UA"/>
        </w:rPr>
        <w:t xml:space="preserve">актуальності </w:t>
      </w:r>
      <w:r w:rsidRPr="00913129">
        <w:rPr>
          <w:color w:val="000000" w:themeColor="text1"/>
          <w:sz w:val="28"/>
          <w:szCs w:val="28"/>
          <w:lang w:val="uk-UA"/>
        </w:rPr>
        <w:t>для країн із трансформаційною економікою, зокрема для України, яка перебуває на етапі інтеграції до глобальних фінансових ринків. У цьому контексті дослідження соціально відповідального інвестування має значне прикладне значення для подальшого розвитку національної фінансової системи, формування сприятливого інвестиційного середовища та підвищення стійкості економіки до глобальних викликів.</w:t>
      </w:r>
    </w:p>
    <w:p w14:paraId="2AFC1B19" w14:textId="15D43DA8" w:rsidR="003466C3" w:rsidRPr="00913129" w:rsidRDefault="003466C3" w:rsidP="00261DCA">
      <w:pPr>
        <w:pStyle w:val="ae"/>
        <w:spacing w:before="0" w:beforeAutospacing="0" w:after="0" w:afterAutospacing="0" w:line="360" w:lineRule="auto"/>
        <w:ind w:firstLine="851"/>
        <w:jc w:val="both"/>
        <w:rPr>
          <w:rStyle w:val="ac"/>
          <w:rFonts w:eastAsiaTheme="majorEastAsia"/>
          <w:b w:val="0"/>
          <w:bCs w:val="0"/>
          <w:color w:val="000000" w:themeColor="text1"/>
          <w:sz w:val="28"/>
          <w:szCs w:val="28"/>
          <w:lang w:val="uk-UA"/>
        </w:rPr>
      </w:pPr>
      <w:r w:rsidRPr="00913129">
        <w:rPr>
          <w:rStyle w:val="ac"/>
          <w:rFonts w:eastAsiaTheme="majorEastAsia"/>
          <w:b w:val="0"/>
          <w:bCs w:val="0"/>
          <w:color w:val="000000" w:themeColor="text1"/>
          <w:sz w:val="28"/>
          <w:szCs w:val="28"/>
          <w:lang w:val="uk-UA"/>
        </w:rPr>
        <w:t xml:space="preserve">Метою роботи є визначення сучасних пріоритетів, ризиків та ефективності соціально відповідального інвестування міжнародних компаній з урахуванням світових тенденцій </w:t>
      </w:r>
      <w:r w:rsidR="00A70E41" w:rsidRPr="00913129">
        <w:rPr>
          <w:rStyle w:val="ac"/>
          <w:rFonts w:eastAsiaTheme="majorEastAsia"/>
          <w:b w:val="0"/>
          <w:bCs w:val="0"/>
          <w:color w:val="000000" w:themeColor="text1"/>
          <w:sz w:val="28"/>
          <w:szCs w:val="28"/>
          <w:lang w:val="uk-UA"/>
        </w:rPr>
        <w:t>та</w:t>
      </w:r>
      <w:r w:rsidRPr="00913129">
        <w:rPr>
          <w:rStyle w:val="ac"/>
          <w:rFonts w:eastAsiaTheme="majorEastAsia"/>
          <w:b w:val="0"/>
          <w:bCs w:val="0"/>
          <w:color w:val="000000" w:themeColor="text1"/>
          <w:sz w:val="28"/>
          <w:szCs w:val="28"/>
          <w:lang w:val="uk-UA"/>
        </w:rPr>
        <w:t xml:space="preserve"> особливостей розвитку цього ринку в Україні.</w:t>
      </w:r>
    </w:p>
    <w:p w14:paraId="42C8A786" w14:textId="77777777" w:rsidR="00BA7B15" w:rsidRPr="00913129" w:rsidRDefault="00BA7B15" w:rsidP="00261DCA">
      <w:pPr>
        <w:pStyle w:val="ae"/>
        <w:spacing w:before="0" w:beforeAutospacing="0" w:after="0" w:afterAutospacing="0" w:line="360" w:lineRule="auto"/>
        <w:ind w:firstLine="851"/>
        <w:jc w:val="both"/>
        <w:rPr>
          <w:color w:val="000000" w:themeColor="text1"/>
          <w:sz w:val="28"/>
          <w:szCs w:val="28"/>
          <w:lang w:val="uk-UA"/>
        </w:rPr>
      </w:pPr>
    </w:p>
    <w:p w14:paraId="24A84827" w14:textId="77777777" w:rsidR="003466C3"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lastRenderedPageBreak/>
        <w:t>Для досягнення поставленої мети у роботі визначено такі завдання:</w:t>
      </w:r>
    </w:p>
    <w:p w14:paraId="66E4D13D" w14:textId="77777777" w:rsidR="003466C3" w:rsidRPr="00913129" w:rsidRDefault="003466C3" w:rsidP="00261DCA">
      <w:pPr>
        <w:pStyle w:val="ae"/>
        <w:numPr>
          <w:ilvl w:val="0"/>
          <w:numId w:val="20"/>
        </w:numPr>
        <w:tabs>
          <w:tab w:val="left" w:pos="993"/>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розкрити поняття, еволюцію та основні принципи соціально відповідального інвестування;</w:t>
      </w:r>
    </w:p>
    <w:p w14:paraId="733BFF87" w14:textId="77777777" w:rsidR="003466C3" w:rsidRPr="00913129" w:rsidRDefault="003466C3" w:rsidP="00261DCA">
      <w:pPr>
        <w:pStyle w:val="ae"/>
        <w:numPr>
          <w:ilvl w:val="0"/>
          <w:numId w:val="20"/>
        </w:numPr>
        <w:tabs>
          <w:tab w:val="left" w:pos="993"/>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проаналізувати теоретичні підходи та типологію соціально відповідального інвестування;</w:t>
      </w:r>
    </w:p>
    <w:p w14:paraId="5FC6CD3C" w14:textId="77777777" w:rsidR="003466C3" w:rsidRPr="00913129" w:rsidRDefault="003466C3" w:rsidP="00261DCA">
      <w:pPr>
        <w:pStyle w:val="ae"/>
        <w:numPr>
          <w:ilvl w:val="0"/>
          <w:numId w:val="20"/>
        </w:numPr>
        <w:tabs>
          <w:tab w:val="left" w:pos="993"/>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провести огляд сучасних досліджень СВІ у міжнародних компаніях;</w:t>
      </w:r>
    </w:p>
    <w:p w14:paraId="68BC65EA" w14:textId="77777777" w:rsidR="003466C3" w:rsidRPr="00913129" w:rsidRDefault="003466C3" w:rsidP="00261DCA">
      <w:pPr>
        <w:pStyle w:val="ae"/>
        <w:numPr>
          <w:ilvl w:val="0"/>
          <w:numId w:val="20"/>
        </w:numPr>
        <w:tabs>
          <w:tab w:val="left" w:pos="993"/>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оцінити динаміку та структурні трансформації світового ринку соціально відповідального інвестування;</w:t>
      </w:r>
    </w:p>
    <w:p w14:paraId="1E9EAA29" w14:textId="77777777" w:rsidR="003466C3" w:rsidRPr="00913129" w:rsidRDefault="003466C3" w:rsidP="00261DCA">
      <w:pPr>
        <w:pStyle w:val="ae"/>
        <w:numPr>
          <w:ilvl w:val="0"/>
          <w:numId w:val="20"/>
        </w:numPr>
        <w:tabs>
          <w:tab w:val="left" w:pos="993"/>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проаналізувати трансформацію інструментів у системі СВІ;</w:t>
      </w:r>
    </w:p>
    <w:p w14:paraId="47F2ACCD" w14:textId="77777777" w:rsidR="003466C3" w:rsidRPr="00913129" w:rsidRDefault="003466C3" w:rsidP="00261DCA">
      <w:pPr>
        <w:pStyle w:val="ae"/>
        <w:numPr>
          <w:ilvl w:val="0"/>
          <w:numId w:val="20"/>
        </w:numPr>
        <w:tabs>
          <w:tab w:val="left" w:pos="993"/>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провести емпіричний огляд соціально відповідального інвестування в Україні;</w:t>
      </w:r>
    </w:p>
    <w:p w14:paraId="43DC205F" w14:textId="77777777" w:rsidR="003466C3" w:rsidRPr="00913129" w:rsidRDefault="003466C3" w:rsidP="00261DCA">
      <w:pPr>
        <w:pStyle w:val="ae"/>
        <w:numPr>
          <w:ilvl w:val="0"/>
          <w:numId w:val="20"/>
        </w:numPr>
        <w:tabs>
          <w:tab w:val="left" w:pos="993"/>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здійснити компаративний аналіз впровадження СВІ-стратегій у провідних міжнародних компаніях;</w:t>
      </w:r>
    </w:p>
    <w:p w14:paraId="6ED2A590" w14:textId="77777777" w:rsidR="003466C3" w:rsidRPr="00913129" w:rsidRDefault="003466C3" w:rsidP="00261DCA">
      <w:pPr>
        <w:pStyle w:val="ae"/>
        <w:numPr>
          <w:ilvl w:val="0"/>
          <w:numId w:val="20"/>
        </w:numPr>
        <w:tabs>
          <w:tab w:val="left" w:pos="993"/>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оцінити ефективність та ризики соціально відповідального інвестування у міжнародних компаніях.</w:t>
      </w:r>
    </w:p>
    <w:p w14:paraId="22268957" w14:textId="77777777" w:rsidR="003466C3"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rStyle w:val="ac"/>
          <w:rFonts w:eastAsiaTheme="majorEastAsia"/>
          <w:b w:val="0"/>
          <w:bCs w:val="0"/>
          <w:color w:val="000000" w:themeColor="text1"/>
          <w:sz w:val="28"/>
          <w:szCs w:val="28"/>
          <w:lang w:val="uk-UA"/>
        </w:rPr>
        <w:t>Об’єктом дослідження</w:t>
      </w:r>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виступають процеси соціально відповідального інвестування у сучасних реаліях.</w:t>
      </w:r>
    </w:p>
    <w:p w14:paraId="3B6F8408" w14:textId="37945142" w:rsidR="003466C3"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rStyle w:val="ac"/>
          <w:rFonts w:eastAsiaTheme="majorEastAsia"/>
          <w:b w:val="0"/>
          <w:bCs w:val="0"/>
          <w:color w:val="000000" w:themeColor="text1"/>
          <w:sz w:val="28"/>
          <w:szCs w:val="28"/>
          <w:lang w:val="uk-UA"/>
        </w:rPr>
        <w:t>Предмет дослідження</w:t>
      </w:r>
      <w:r w:rsidRPr="00913129">
        <w:rPr>
          <w:rStyle w:val="apple-converted-space"/>
          <w:rFonts w:eastAsiaTheme="majorEastAsia"/>
          <w:color w:val="000000" w:themeColor="text1"/>
          <w:sz w:val="28"/>
          <w:szCs w:val="28"/>
          <w:lang w:val="uk-UA"/>
        </w:rPr>
        <w:t> </w:t>
      </w:r>
      <w:r w:rsidR="00A70E41" w:rsidRPr="00913129">
        <w:rPr>
          <w:color w:val="000000" w:themeColor="text1"/>
          <w:sz w:val="28"/>
          <w:szCs w:val="28"/>
          <w:lang w:val="uk-UA"/>
        </w:rPr>
        <w:t>–</w:t>
      </w:r>
      <w:r w:rsidR="001E60EF" w:rsidRPr="00913129">
        <w:rPr>
          <w:color w:val="000000" w:themeColor="text1"/>
          <w:sz w:val="28"/>
          <w:szCs w:val="28"/>
          <w:lang w:val="uk-UA"/>
        </w:rPr>
        <w:t xml:space="preserve"> </w:t>
      </w:r>
      <w:r w:rsidRPr="00913129">
        <w:rPr>
          <w:color w:val="000000" w:themeColor="text1"/>
          <w:sz w:val="28"/>
          <w:szCs w:val="28"/>
          <w:lang w:val="uk-UA"/>
        </w:rPr>
        <w:t>сучасні пріоритети, ризики, механізми та результати впровадження соціально відповідального інвестування на світовому та українському ринках.</w:t>
      </w:r>
    </w:p>
    <w:p w14:paraId="4028EDF0" w14:textId="77777777" w:rsidR="003466C3"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У першому розділі дипломної роботи розкрито теоретичні основи соціально відповідального інвестування міжнародних компаній, проаналізовано еволюцію поняття, основні принципи та підходи до визначення СВІ, представлено класифікацію його основних типів, а також здійснено огляд сучасних наукових досліджень у цій сфері.</w:t>
      </w:r>
    </w:p>
    <w:p w14:paraId="7D3CF184" w14:textId="77777777" w:rsidR="003466C3"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У другому розділі роботи проаналізовано динаміку розвитку ринку соціально відповідального інвестування у світі та в Україні, структурні трансформації, зміни обсягів і географічної структури, трансформацію інструментів у системі СВІ, а також проведено емпіричний огляд розвитку українського ринку соціально відповідального інвестування.</w:t>
      </w:r>
    </w:p>
    <w:p w14:paraId="260A5349" w14:textId="77777777" w:rsidR="003466C3"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lastRenderedPageBreak/>
        <w:t>У третьому розділі дослідження здійснено аналіз практик впровадження СВІ у провідних міжнародних компаніях, проведено компаративний аналіз стратегій, а також оцінено ефективність і ризики реалізації соціально відповідального інвестування на міжнародному рівні.</w:t>
      </w:r>
    </w:p>
    <w:p w14:paraId="76DEE3AE" w14:textId="24BB9869" w:rsidR="00AA0E17" w:rsidRPr="00913129" w:rsidRDefault="003466C3" w:rsidP="00261DC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Під час проведення дослідження було використано комплекс загальнонаукових і спеціальних методів, зокрема метод теоретичного аналізу та узагальнення для систематизації наукових підходів до СВІ</w:t>
      </w:r>
      <w:r w:rsidR="00A70E41" w:rsidRPr="00913129">
        <w:rPr>
          <w:color w:val="000000" w:themeColor="text1"/>
          <w:sz w:val="28"/>
          <w:szCs w:val="28"/>
          <w:lang w:val="uk-UA"/>
        </w:rPr>
        <w:t>,</w:t>
      </w:r>
      <w:r w:rsidRPr="00913129">
        <w:rPr>
          <w:color w:val="000000" w:themeColor="text1"/>
          <w:sz w:val="28"/>
          <w:szCs w:val="28"/>
          <w:lang w:val="uk-UA"/>
        </w:rPr>
        <w:t xml:space="preserve"> метод порівняльного аналізу для оцінки динаміки ринку та компаративного вивчення міжнародних компаній</w:t>
      </w:r>
      <w:r w:rsidR="00A70E41" w:rsidRPr="00913129">
        <w:rPr>
          <w:color w:val="000000" w:themeColor="text1"/>
          <w:sz w:val="28"/>
          <w:szCs w:val="28"/>
          <w:lang w:val="uk-UA"/>
        </w:rPr>
        <w:t>,</w:t>
      </w:r>
      <w:r w:rsidRPr="00913129">
        <w:rPr>
          <w:color w:val="000000" w:themeColor="text1"/>
          <w:sz w:val="28"/>
          <w:szCs w:val="28"/>
          <w:lang w:val="uk-UA"/>
        </w:rPr>
        <w:t xml:space="preserve"> статистичні методи для аналізу динаміки обсягів СВІ та структури ринку</w:t>
      </w:r>
      <w:r w:rsidR="00A70E41" w:rsidRPr="00913129">
        <w:rPr>
          <w:color w:val="000000" w:themeColor="text1"/>
          <w:sz w:val="28"/>
          <w:szCs w:val="28"/>
          <w:lang w:val="uk-UA"/>
        </w:rPr>
        <w:t xml:space="preserve">, </w:t>
      </w:r>
      <w:r w:rsidRPr="00913129">
        <w:rPr>
          <w:color w:val="000000" w:themeColor="text1"/>
          <w:sz w:val="28"/>
          <w:szCs w:val="28"/>
          <w:lang w:val="uk-UA"/>
        </w:rPr>
        <w:t>емпіричні і графічні методи для візуалізації тенденцій, а також регресійний аналіз для оцінки впливу</w:t>
      </w:r>
      <w:r w:rsidR="00A70E41" w:rsidRPr="00913129">
        <w:rPr>
          <w:color w:val="000000" w:themeColor="text1"/>
          <w:sz w:val="28"/>
          <w:szCs w:val="28"/>
          <w:lang w:val="uk-UA"/>
        </w:rPr>
        <w:t xml:space="preserve"> СВІ</w:t>
      </w:r>
      <w:r w:rsidRPr="00913129">
        <w:rPr>
          <w:color w:val="000000" w:themeColor="text1"/>
          <w:sz w:val="28"/>
          <w:szCs w:val="28"/>
          <w:lang w:val="uk-UA"/>
        </w:rPr>
        <w:t xml:space="preserve"> на </w:t>
      </w:r>
      <w:r w:rsidR="00A70E41" w:rsidRPr="00913129">
        <w:rPr>
          <w:color w:val="000000" w:themeColor="text1"/>
          <w:sz w:val="28"/>
          <w:szCs w:val="28"/>
          <w:lang w:val="uk-UA"/>
        </w:rPr>
        <w:t>фінансові показники міжнародних компаній</w:t>
      </w:r>
      <w:r w:rsidRPr="00913129">
        <w:rPr>
          <w:color w:val="000000" w:themeColor="text1"/>
          <w:sz w:val="28"/>
          <w:szCs w:val="28"/>
          <w:lang w:val="uk-UA"/>
        </w:rPr>
        <w:t>.</w:t>
      </w:r>
    </w:p>
    <w:p w14:paraId="7D3F8196" w14:textId="77777777" w:rsidR="003466C3" w:rsidRPr="00913129" w:rsidRDefault="003466C3" w:rsidP="00261DCA">
      <w:pPr>
        <w:spacing w:line="360" w:lineRule="auto"/>
        <w:ind w:firstLine="851"/>
        <w:rPr>
          <w:b/>
          <w:bCs/>
          <w:color w:val="000000"/>
          <w:kern w:val="36"/>
          <w:sz w:val="28"/>
          <w:szCs w:val="28"/>
          <w:lang w:val="uk-UA"/>
        </w:rPr>
      </w:pPr>
      <w:r w:rsidRPr="00913129">
        <w:rPr>
          <w:b/>
          <w:bCs/>
          <w:color w:val="000000"/>
          <w:kern w:val="36"/>
          <w:sz w:val="28"/>
          <w:szCs w:val="28"/>
          <w:lang w:val="uk-UA"/>
        </w:rPr>
        <w:br w:type="page"/>
      </w:r>
    </w:p>
    <w:p w14:paraId="5588B440" w14:textId="5F2A850F" w:rsidR="00AA0E17" w:rsidRPr="00913129" w:rsidRDefault="00AA0E17" w:rsidP="00261DCA">
      <w:pPr>
        <w:spacing w:line="360" w:lineRule="auto"/>
        <w:ind w:right="-2"/>
        <w:jc w:val="center"/>
        <w:rPr>
          <w:color w:val="000000" w:themeColor="text1"/>
          <w:lang w:val="uk-UA"/>
        </w:rPr>
      </w:pPr>
      <w:r w:rsidRPr="00913129">
        <w:rPr>
          <w:b/>
          <w:bCs/>
          <w:color w:val="000000"/>
          <w:kern w:val="36"/>
          <w:sz w:val="28"/>
          <w:szCs w:val="28"/>
          <w:lang w:val="uk-UA"/>
        </w:rPr>
        <w:lastRenderedPageBreak/>
        <w:t>РОЗДІЛ 1</w:t>
      </w:r>
    </w:p>
    <w:p w14:paraId="7877E439" w14:textId="77777777" w:rsidR="00AA0E17" w:rsidRPr="00913129" w:rsidRDefault="00AA0E17" w:rsidP="00261DCA">
      <w:pPr>
        <w:pStyle w:val="a7"/>
        <w:spacing w:after="0" w:line="360" w:lineRule="auto"/>
        <w:ind w:left="0" w:right="-2"/>
        <w:jc w:val="center"/>
        <w:outlineLvl w:val="0"/>
        <w:rPr>
          <w:rFonts w:ascii="Times New Roman" w:hAnsi="Times New Roman" w:cs="Times New Roman"/>
          <w:b/>
          <w:bCs/>
          <w:color w:val="000000"/>
          <w:sz w:val="28"/>
          <w:szCs w:val="28"/>
          <w:lang w:val="uk-UA"/>
        </w:rPr>
      </w:pPr>
      <w:r w:rsidRPr="00913129">
        <w:rPr>
          <w:rFonts w:ascii="Times New Roman" w:hAnsi="Times New Roman" w:cs="Times New Roman"/>
          <w:b/>
          <w:bCs/>
          <w:color w:val="000000"/>
          <w:sz w:val="28"/>
          <w:szCs w:val="28"/>
          <w:lang w:val="uk-UA"/>
        </w:rPr>
        <w:t>ТЕОРЕТИЧНІ ОСНОВИ СОЦІАЛЬНО ВІДПОВІДАЛЬНОГО ІНВЕСТУВАННЯ МІЖНАРОДНИХ КОМПАНІЙ</w:t>
      </w:r>
    </w:p>
    <w:p w14:paraId="2A7B4AE8" w14:textId="77777777" w:rsidR="00AA0E17" w:rsidRPr="00913129" w:rsidRDefault="00AA0E17" w:rsidP="00261DCA">
      <w:pPr>
        <w:pStyle w:val="a7"/>
        <w:spacing w:after="0" w:line="360" w:lineRule="auto"/>
        <w:ind w:left="0" w:right="-2" w:firstLine="851"/>
        <w:jc w:val="both"/>
        <w:outlineLvl w:val="0"/>
        <w:rPr>
          <w:rFonts w:ascii="Times New Roman" w:eastAsia="Times New Roman" w:hAnsi="Times New Roman" w:cs="Times New Roman"/>
          <w:b/>
          <w:bCs/>
          <w:color w:val="000000"/>
          <w:kern w:val="36"/>
          <w:sz w:val="28"/>
          <w:szCs w:val="28"/>
          <w:lang w:val="uk-UA" w:eastAsia="en-GB"/>
          <w14:ligatures w14:val="none"/>
        </w:rPr>
      </w:pPr>
    </w:p>
    <w:p w14:paraId="7320E68B" w14:textId="77777777" w:rsidR="00BA7B15" w:rsidRPr="00913129" w:rsidRDefault="00BA7B15" w:rsidP="00261DCA">
      <w:pPr>
        <w:pStyle w:val="a7"/>
        <w:spacing w:after="0" w:line="360" w:lineRule="auto"/>
        <w:ind w:left="0" w:right="-2" w:firstLine="851"/>
        <w:jc w:val="both"/>
        <w:outlineLvl w:val="0"/>
        <w:rPr>
          <w:rFonts w:ascii="Times New Roman" w:eastAsia="Times New Roman" w:hAnsi="Times New Roman" w:cs="Times New Roman"/>
          <w:b/>
          <w:bCs/>
          <w:color w:val="000000"/>
          <w:kern w:val="36"/>
          <w:sz w:val="28"/>
          <w:szCs w:val="28"/>
          <w:lang w:val="uk-UA" w:eastAsia="en-GB"/>
          <w14:ligatures w14:val="none"/>
        </w:rPr>
      </w:pPr>
    </w:p>
    <w:p w14:paraId="56F564D8" w14:textId="77777777" w:rsidR="00AA0E17" w:rsidRPr="00913129" w:rsidRDefault="00AA0E17" w:rsidP="00261DCA">
      <w:pPr>
        <w:pStyle w:val="a7"/>
        <w:numPr>
          <w:ilvl w:val="1"/>
          <w:numId w:val="5"/>
        </w:numPr>
        <w:spacing w:after="0" w:line="360" w:lineRule="auto"/>
        <w:ind w:left="0" w:right="-2" w:firstLine="851"/>
        <w:jc w:val="both"/>
        <w:outlineLvl w:val="0"/>
        <w:rPr>
          <w:rFonts w:ascii="Times New Roman" w:eastAsia="Times New Roman" w:hAnsi="Times New Roman" w:cs="Times New Roman"/>
          <w:b/>
          <w:bCs/>
          <w:color w:val="000000" w:themeColor="text1"/>
          <w:kern w:val="36"/>
          <w:sz w:val="28"/>
          <w:szCs w:val="28"/>
          <w:lang w:val="uk-UA" w:eastAsia="en-GB"/>
          <w14:ligatures w14:val="none"/>
        </w:rPr>
      </w:pPr>
      <w:r w:rsidRPr="00913129">
        <w:rPr>
          <w:rFonts w:ascii="Times New Roman" w:eastAsia="Times New Roman" w:hAnsi="Times New Roman" w:cs="Times New Roman"/>
          <w:b/>
          <w:bCs/>
          <w:color w:val="000000" w:themeColor="text1"/>
          <w:kern w:val="36"/>
          <w:sz w:val="28"/>
          <w:szCs w:val="28"/>
          <w:lang w:val="uk-UA" w:eastAsia="en-GB"/>
          <w14:ligatures w14:val="none"/>
        </w:rPr>
        <w:t>Поняття, еволюція та основні принципи соціально відповідального інвестування</w:t>
      </w:r>
    </w:p>
    <w:p w14:paraId="40564F32" w14:textId="77777777" w:rsidR="00BA7B15" w:rsidRPr="00913129" w:rsidRDefault="00BA7B15" w:rsidP="00BA7B15">
      <w:pPr>
        <w:pStyle w:val="a7"/>
        <w:spacing w:after="0" w:line="360" w:lineRule="auto"/>
        <w:ind w:left="851" w:right="-2"/>
        <w:jc w:val="both"/>
        <w:outlineLvl w:val="0"/>
        <w:rPr>
          <w:rFonts w:ascii="Times New Roman" w:eastAsia="Times New Roman" w:hAnsi="Times New Roman" w:cs="Times New Roman"/>
          <w:b/>
          <w:bCs/>
          <w:color w:val="000000" w:themeColor="text1"/>
          <w:kern w:val="36"/>
          <w:sz w:val="28"/>
          <w:szCs w:val="28"/>
          <w:lang w:val="uk-UA" w:eastAsia="en-GB"/>
          <w14:ligatures w14:val="none"/>
        </w:rPr>
      </w:pPr>
    </w:p>
    <w:p w14:paraId="1F2AA603" w14:textId="05D74953" w:rsidR="00AA0E17" w:rsidRPr="00913129" w:rsidRDefault="00AA0E17" w:rsidP="00261DCA">
      <w:pPr>
        <w:spacing w:line="360" w:lineRule="auto"/>
        <w:ind w:right="-2" w:firstLine="851"/>
        <w:jc w:val="both"/>
        <w:outlineLvl w:val="0"/>
        <w:rPr>
          <w:color w:val="000000" w:themeColor="text1"/>
          <w:sz w:val="28"/>
          <w:szCs w:val="28"/>
          <w:lang w:val="uk-UA"/>
        </w:rPr>
      </w:pPr>
      <w:r w:rsidRPr="00913129">
        <w:rPr>
          <w:rStyle w:val="ac"/>
          <w:rFonts w:eastAsiaTheme="majorEastAsia"/>
          <w:b w:val="0"/>
          <w:bCs w:val="0"/>
          <w:color w:val="000000" w:themeColor="text1"/>
          <w:sz w:val="28"/>
          <w:szCs w:val="28"/>
          <w:lang w:val="uk-UA"/>
        </w:rPr>
        <w:t>Соціально відповідальне інвестування або СВІ</w:t>
      </w:r>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 xml:space="preserve">визначається як інвестиційна діяльність, що поряд із досягненням фінансової віддачі передбачає урахування соціальних, екологічних та етичних аспектів впливу вкладених коштів. Даний підхід ґрунтується на пріоритеті не лише прибутковості, але й відповідності інвестицій принципам сталого розвитку та суспільної відповідальності. СВІ охоплює інвестиційні стратегії, у межах яких екологічні, соціальні та управлінські фактори (ESG) інтегруються у процеси прийняття рішень щодо розміщення та управління активами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{"citationID":"LYNQTKy6","properties":{"formattedCitation":"\\super [1]\\nosupersub{}","plainCitation":"[1]","noteIndex":0},"citationItems":[{"id":576,"uris":["http://zotero.org/users/10910668/items/66PC7WUE"],"itemData":{"id":576,"type":"article-journal","abstract":"In this work, we present an overview of the historical development of socially responsible investing (SRI). We will argue that such a financial activity has been boosting in recent decades from a niche, mainly as a religious-led exclusionary practice, towards a mainstream strategy of risk analysis for institutional and retail investors. We also discuss the advances and possible drawbacks that regulatory activity and harmonization process on such industry have achieved at international level in recent years, with a special focus on the European Union. The study shows that the lack of a globally accepted taxonomy on what constitutes sustainable activities, of regulatory clarity and of high-quality data allowing for comparisons across industries and regions, together with practical and behavioural complexities are major critical issues that discourage SRI industry at the global level.","container-title":"Environment, Development and Sustainability","DOI":"10.1007/s10668-021-01375-3","ISSN":"1387-585X","issue":"11","journalAbbreviation":"Environ Dev Sustain","note":"PMID: 33841043\nPMCID: PMC8025062","page":"16874-16890","source":"PubMed Central","title":"Socially responsible investing: from the ethical origins to the sustainable development framework of the European Union","title-short":"Socially responsible investing","volume":"23","author":[{"family":"Martini","given":"Alice"}],"issued":{"date-parts":[["2021"]]}}}],"schema":"https://github.com/citation-style-language/schema/raw/master/csl-citation.json"}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[1]</w:t>
      </w:r>
      <w:r w:rsidRPr="00913129">
        <w:rPr>
          <w:color w:val="000000" w:themeColor="text1"/>
          <w:sz w:val="28"/>
          <w:szCs w:val="28"/>
          <w:lang w:val="uk-UA"/>
        </w:rPr>
        <w:fldChar w:fldCharType="end"/>
      </w:r>
      <w:r w:rsidRPr="00913129">
        <w:rPr>
          <w:color w:val="000000" w:themeColor="text1"/>
          <w:sz w:val="28"/>
          <w:szCs w:val="28"/>
          <w:lang w:val="uk-UA"/>
        </w:rPr>
        <w:t>.</w:t>
      </w:r>
    </w:p>
    <w:p w14:paraId="422F7803" w14:textId="72B9FB31" w:rsidR="00AA0E17" w:rsidRPr="00913129" w:rsidRDefault="00AA0E17" w:rsidP="00261DCA">
      <w:pPr>
        <w:spacing w:line="360" w:lineRule="auto"/>
        <w:ind w:right="-2" w:firstLine="851"/>
        <w:jc w:val="both"/>
        <w:outlineLvl w:val="0"/>
        <w:rPr>
          <w:color w:val="000000" w:themeColor="text1"/>
          <w:kern w:val="36"/>
          <w:sz w:val="28"/>
          <w:szCs w:val="28"/>
          <w:lang w:val="uk-UA"/>
        </w:rPr>
      </w:pPr>
      <w:r w:rsidRPr="00913129">
        <w:rPr>
          <w:color w:val="000000" w:themeColor="text1"/>
          <w:sz w:val="28"/>
          <w:szCs w:val="28"/>
          <w:lang w:val="uk-UA"/>
        </w:rPr>
        <w:t>У міжнародній практиці соціально відповідальне інвестування охоплює також суміжні концепції, зокрема етичне інвестування, сталий розвиток капіталу, відповідальне та стале-інвестування, що розглядаються як взаємопов</w:t>
      </w:r>
      <w:r w:rsidR="00340D11" w:rsidRPr="00913129">
        <w:rPr>
          <w:color w:val="000000" w:themeColor="text1"/>
          <w:sz w:val="28"/>
          <w:szCs w:val="28"/>
          <w:lang w:val="uk-UA"/>
        </w:rPr>
        <w:t>’</w:t>
      </w:r>
      <w:r w:rsidRPr="00913129">
        <w:rPr>
          <w:color w:val="000000" w:themeColor="text1"/>
          <w:sz w:val="28"/>
          <w:szCs w:val="28"/>
          <w:lang w:val="uk-UA"/>
        </w:rPr>
        <w:t xml:space="preserve">язані елементи єдиного системного підходу до інтеграції нефінансових критеріїв у інвестиційну діяльність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{"citationID":"vIrphcH1","properties":{"formattedCitation":"\\super [1]\\nosupersub{}","plainCitation":"[1]","noteIndex":0},"citationItems":[{"id":576,"uris":["http://zotero.org/users/10910668/items/66PC7WUE"],"itemData":{"id":576,"type":"article-journal","abstract":"In this work, we present an overview of the historical development of socially responsible investing (SRI). We will argue that such a financial activity has been boosting in recent decades from a niche, mainly as a religious-led exclusionary practice, towards a mainstream strategy of risk analysis for institutional and retail investors. We also discuss the advances and possible drawbacks that regulatory activity and harmonization process on such industry have achieved at international level in recent years, with a special focus on the European Union. The study shows that the lack of a globally accepted taxonomy on what constitutes sustainable activities, of regulatory clarity and of high-quality data allowing for comparisons across industries and regions, together with practical and behavioural complexities are major critical issues that discourage SRI industry at the global level.","container-title":"Environment, Development and Sustainability","DOI":"10.1007/s10668-021-01375-3","ISSN":"1387-585X","issue":"11","journalAbbreviation":"Environ Dev Sustain","note":"PMID: 33841043\nPMCID: PMC8025062","page":"16874-16890","source":"PubMed Central","title":"Socially responsible investing: from the ethical origins to the sustainable development framework of the European Union","title-short":"Socially responsible investing","volume":"23","author":[{"family":"Martini","given":"Alice"}],"issued":{"date-parts":[["2021"]]}}}],"schema":"https://github.com/citation-style-language/schema/raw/master/csl-citation.json"}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[1]</w:t>
      </w:r>
      <w:r w:rsidRPr="00913129">
        <w:rPr>
          <w:color w:val="000000" w:themeColor="text1"/>
          <w:sz w:val="28"/>
          <w:szCs w:val="28"/>
          <w:lang w:val="uk-UA"/>
        </w:rPr>
        <w:fldChar w:fldCharType="end"/>
      </w:r>
      <w:r w:rsidRPr="00913129">
        <w:rPr>
          <w:color w:val="000000" w:themeColor="text1"/>
          <w:sz w:val="28"/>
          <w:szCs w:val="28"/>
          <w:lang w:val="uk-UA"/>
        </w:rPr>
        <w:t>.</w:t>
      </w:r>
    </w:p>
    <w:p w14:paraId="321BEA66" w14:textId="77777777" w:rsidR="00AA0E17" w:rsidRPr="00913129" w:rsidRDefault="00AA0E17" w:rsidP="00261DCA">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Сутність концепції соціально відповідального інвестування полягає у спрямованості інвестиційної діяльності не лише на отримання фінансового прибутку, але й на вирішення актуальних соціальних та екологічних проблем. Таким чином, інвестори, які дотримуються принципів СВІ, орієнтують свої капіталовкладення на підтримку сталого розвитку суспільства, зниження негативного впливу на навколишнє середовище та підвищення якості життя, забезпечуючи при цьому досягнення конкурентоспроможних фінансових результатів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{"citationID":"xYuZndrn","properties":{"formattedCitation":"\\super [2]\\nosupersub{}","plainCitation":"[2]","noteIndex":0},"citationItems":[{"id":579,"uris":["http://zotero.org/users/10910668/items/M8NEJ7RQ"],"itemData":{"id":579,"type":"article-journal","abstract":"In the article the theoretical concepts and models of socially responsible investment are analyzed. The evolution of the concept of socially responsible investment is studied, which is conventionally divided into four periods: the period of the birth of the concept, when investing was based on ethical considerations; the period of formation of the concept of corporate social responsibility and the emergence of socially responsible investment as an aspect of its practical implementation; the period of development of the concept based on the principles of corporate social responsibility and sustainable development; the modern period of development of the concept of socially responsible investment on its own basis. Types of socially responsible investment are systematized (impact investing, mission-based investing, triple bottom line investing, double bottom line investing, eco investing/green investing, ethical investing, sustainable investing). Models of socially responsible investment based on the following methods are singled out: screening, shareholder advocacy, community investing, social venture capital, sustainability themed investing, combined approaches.","container-title":"Економіка і організація управління","DOI":"10.31558/2307-2318.2024.2.17","ISSN":"2707-9899","language":"uk","license":"Авторське право (c) 2024","page":"182-190","source":"jeou.donnu.edu.ua","title":"Теоретичні концепції та моделі соціально відповідального інвестування","author":[{"family":"Шевердін","given":"О. О."}],"issued":{"date-parts":[["2024",9,5]]}}}],"schema":"https://github.com/citation-style-language/schema/raw/master/csl-citation.json"}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[2]</w:t>
      </w:r>
      <w:r w:rsidRPr="00913129">
        <w:rPr>
          <w:color w:val="000000" w:themeColor="text1"/>
          <w:sz w:val="28"/>
          <w:szCs w:val="28"/>
          <w:lang w:val="uk-UA"/>
        </w:rPr>
        <w:fldChar w:fldCharType="end"/>
      </w:r>
      <w:r w:rsidRPr="00913129">
        <w:rPr>
          <w:color w:val="000000" w:themeColor="text1"/>
          <w:sz w:val="28"/>
          <w:szCs w:val="28"/>
          <w:lang w:val="uk-UA"/>
        </w:rPr>
        <w:t>.</w:t>
      </w:r>
    </w:p>
    <w:p w14:paraId="73FC26B0" w14:textId="77777777" w:rsidR="00AA0E17" w:rsidRPr="00913129" w:rsidRDefault="00AA0E17" w:rsidP="00261DCA">
      <w:pPr>
        <w:spacing w:line="360" w:lineRule="auto"/>
        <w:ind w:right="-2" w:firstLine="851"/>
        <w:jc w:val="both"/>
        <w:rPr>
          <w:color w:val="000000" w:themeColor="text1"/>
          <w:sz w:val="28"/>
          <w:szCs w:val="28"/>
          <w:lang w:val="uk-UA"/>
        </w:rPr>
      </w:pPr>
      <w:r w:rsidRPr="00913129">
        <w:rPr>
          <w:color w:val="000000" w:themeColor="text1"/>
          <w:sz w:val="28"/>
          <w:szCs w:val="28"/>
          <w:lang w:val="uk-UA"/>
        </w:rPr>
        <w:lastRenderedPageBreak/>
        <w:t xml:space="preserve">На сучасному етапі соціально відповідальне інвестування виступає як комплексний підхід, що поєднує досягнення фінансової ефективності з прагненням підтримувати суспільно значущі цінності. Застосування цього підходу забезпечує інвесторам можливість сприяти створенню більш справедливого, безпечного та сталого глобального середовища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{"citationID":"Bz360bSq","properties":{"formattedCitation":"\\super [2]\\nosupersub{}","plainCitation":"[2]","noteIndex":0},"citationItems":[{"id":579,"uris":["http://zotero.org/users/10910668/items/M8NEJ7RQ"],"itemData":{"id":579,"type":"article-journal","abstract":"In the article the theoretical concepts and models of socially responsible investment are analyzed. The evolution of the concept of socially responsible investment is studied, which is conventionally divided into four periods: the period of the birth of the concept, when investing was based on ethical considerations; the period of formation of the concept of corporate social responsibility and the emergence of socially responsible investment as an aspect of its practical implementation; the period of development of the concept based on the principles of corporate social responsibility and sustainable development; the modern period of development of the concept of socially responsible investment on its own basis. Types of socially responsible investment are systematized (impact investing, mission-based investing, triple bottom line investing, double bottom line investing, eco investing/green investing, ethical investing, sustainable investing). Models of socially responsible investment based on the following methods are singled out: screening, shareholder advocacy, community investing, social venture capital, sustainability themed investing, combined approaches.","container-title":"Економіка і організація управління","DOI":"10.31558/2307-2318.2024.2.17","ISSN":"2707-9899","language":"uk","license":"Авторське право (c) 2024","page":"182-190","source":"jeou.donnu.edu.ua","title":"Теоретичні концепції та моделі соціально відповідального інвестування","author":[{"family":"Шевердін","given":"О. О."}],"issued":{"date-parts":[["2024",9,5]]}}}],"schema":"https://github.com/citation-style-language/schema/raw/master/csl-citation.json"}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[2]</w:t>
      </w:r>
      <w:r w:rsidRPr="00913129">
        <w:rPr>
          <w:color w:val="000000" w:themeColor="text1"/>
          <w:sz w:val="28"/>
          <w:szCs w:val="28"/>
          <w:lang w:val="uk-UA"/>
        </w:rPr>
        <w:fldChar w:fldCharType="end"/>
      </w:r>
      <w:r w:rsidRPr="00913129">
        <w:rPr>
          <w:color w:val="000000" w:themeColor="text1"/>
          <w:sz w:val="28"/>
          <w:szCs w:val="28"/>
          <w:lang w:val="uk-UA"/>
        </w:rPr>
        <w:t xml:space="preserve">. </w:t>
      </w:r>
    </w:p>
    <w:p w14:paraId="2B6533C3" w14:textId="77777777" w:rsidR="00AA0E17" w:rsidRPr="00913129" w:rsidRDefault="00AA0E17" w:rsidP="00261DCA">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Слід зазначити, що на сьогодні не існує єдиного загальноприйнятого визначення соціально відповідального інвестування, оскільки різні науковці, організації та регулятори пропонують власні трактування цього поняття, акцентуючи увагу на різних його аспектах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{"citationID":"L9u2fsDC","properties":{"formattedCitation":"\\super [3]\\nosupersub{}","plainCitation":"[3]","dontUpdate":true,"noteIndex":0},"citationItems":[{"id":582,"uris":["http://zotero.org/users/10910668/items/JTPMNZFC"],"itemData":{"id":582,"type":"article-journal","abstract":"Purpose – The purpose of this paper is to examine the performance of portfolios that are constructed based on environmental, social and governance (ESG) scores and consist of stocks located in Europe and Turkey. Design/methodology/approach – In order to form the portfolios, firstly all stocks are ranked in a descending way based on ESG-based (ESG, environmental, social and governance) scores, separately. Then, 10% of stocks with the highest scores are included in the “Top” portfolio and 10% of stocks with the lowest scores are included in “Bottom” portfolio and totally performance of eight portfolios are investigated. Finally, capital asset pricing model (CAPM) and Fama-French three-factor model are employed as performance measurement benchmarks.","container-title":"Journal of Capital Markets Studies","DOI":"10.1108/JCMS-09-2020-0034","ISSN":"2514-4774","issue":"2","journalAbbreviation":"JCMS","language":"en","license":"https://www.emerald.com/insight/site-policies","page":"129-143","source":"DOI.org (Crossref)","title":"Is there any effect of ESG scores on portfolio performance? Evidence from Europe and Turkey","title-short":"Is there any effect of ESG scores on portfolio performance?","volume":"4","author":[{"family":"Zehir","given":"Emre"},{"family":"Aybars","given":"Aslı"}],"issued":{"date-parts":[["2020",11,5]]}}}],"schema":"https://github.com/citation-style-language/schema/raw/master/csl-citation.json"}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[1-3]</w:t>
      </w:r>
      <w:r w:rsidRPr="00913129">
        <w:rPr>
          <w:color w:val="000000" w:themeColor="text1"/>
          <w:sz w:val="28"/>
          <w:szCs w:val="28"/>
          <w:lang w:val="uk-UA"/>
        </w:rPr>
        <w:fldChar w:fldCharType="end"/>
      </w:r>
      <w:r w:rsidRPr="00913129">
        <w:rPr>
          <w:color w:val="000000" w:themeColor="text1"/>
          <w:sz w:val="28"/>
          <w:szCs w:val="28"/>
          <w:lang w:val="uk-UA"/>
        </w:rPr>
        <w:t>.</w:t>
      </w:r>
    </w:p>
    <w:p w14:paraId="647F830C" w14:textId="1BE4B969" w:rsidR="00AA0E17" w:rsidRPr="00913129" w:rsidRDefault="00AA0E17" w:rsidP="00261DCA">
      <w:pPr>
        <w:spacing w:line="360" w:lineRule="auto"/>
        <w:ind w:right="-2" w:firstLine="851"/>
        <w:jc w:val="both"/>
        <w:rPr>
          <w:color w:val="000000" w:themeColor="text1"/>
          <w:sz w:val="28"/>
          <w:szCs w:val="28"/>
          <w:lang w:val="uk-UA"/>
        </w:rPr>
      </w:pPr>
      <w:r w:rsidRPr="00913129">
        <w:rPr>
          <w:color w:val="000000" w:themeColor="text1"/>
          <w:sz w:val="28"/>
          <w:szCs w:val="28"/>
          <w:lang w:val="uk-UA"/>
        </w:rPr>
        <w:t>Проте, незважаючи на різноманіття підходів до реалізації соціально відповідального інвестування, їх об</w:t>
      </w:r>
      <w:r w:rsidR="00340D11" w:rsidRPr="00913129">
        <w:rPr>
          <w:color w:val="000000" w:themeColor="text1"/>
          <w:sz w:val="28"/>
          <w:szCs w:val="28"/>
          <w:lang w:val="uk-UA"/>
        </w:rPr>
        <w:t>’</w:t>
      </w:r>
      <w:r w:rsidRPr="00913129">
        <w:rPr>
          <w:color w:val="000000" w:themeColor="text1"/>
          <w:sz w:val="28"/>
          <w:szCs w:val="28"/>
          <w:lang w:val="uk-UA"/>
        </w:rPr>
        <w:t>єднує спільна мета у вигляді інтеграції принципів етичної, соціальної та екологічної відповідальності у процес ухвалення фінансових рішень. У сучасних умовах концепція СВІ тісно корелює із глобальними зусиллями щодо забезпечення сталого розвитку, зокрема із цілями сталого розвитку, прийнятими ООН. Окрім того, СВІ активно ґрунтується на критеріях екологічного, соціального та корпоративного управління, які стали універсальними орієнтирами для оцінки рівня відповідальності компаній у різних секторах економіки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{"citationID":"57ulgabc","properties":{"formattedCitation":"\\super [3]\\nosupersub{}","plainCitation":"[3]","noteIndex":0},"citationItems":[{"id":582,"uris":["http://zotero.org/users/10910668/items/JTPMNZFC"],"itemData":{"id":582,"type":"article-journal","abstract":"Purpose – The purpose of this paper is to examine the performance of portfolios that are constructed based on environmental, social and governance (ESG) scores and consist of stocks located in Europe and Turkey. Design/methodology/approach – In order to form the portfolios, firstly all stocks are ranked in a descending way based on ESG-based (ESG, environmental, social and governance) scores, separately. Then, 10% of stocks with the highest scores are included in the “Top” portfolio and 10% of stocks with the lowest scores are included in “Bottom” portfolio and totally performance of eight portfolios are investigated. Finally, capital asset pricing model (CAPM) and Fama-French three-factor model are employed as performance measurement benchmarks.","container-title":"Journal of Capital Markets Studies","DOI":"10.1108/JCMS-09-2020-0034","ISSN":"2514-4774","issue":"2","journalAbbreviation":"JCMS","language":"en","license":"https://www.emerald.com/insight/site-policies","page":"129-143","source":"DOI.org (Crossref)","title":"Is there any effect of ESG scores on portfolio performance? Evidence from Europe and Turkey","title-short":"Is there any effect of ESG scores on portfolio performance?","volume":"4","author":[{"family":"Zehir","given":"Emre"},{"family":"Aybars","given":"Aslı"}],"issued":{"date-parts":[["2020",11,5]]}}}],"schema":"https://github.com/citation-style-language/schema/raw/master/csl-citation.json"}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[3]</w:t>
      </w:r>
      <w:r w:rsidRPr="00913129">
        <w:rPr>
          <w:color w:val="000000" w:themeColor="text1"/>
          <w:sz w:val="28"/>
          <w:szCs w:val="28"/>
          <w:lang w:val="uk-UA"/>
        </w:rPr>
        <w:fldChar w:fldCharType="end"/>
      </w:r>
      <w:r w:rsidRPr="00913129">
        <w:rPr>
          <w:color w:val="000000" w:themeColor="text1"/>
          <w:sz w:val="28"/>
          <w:szCs w:val="28"/>
          <w:lang w:val="uk-UA"/>
        </w:rPr>
        <w:t>.</w:t>
      </w:r>
    </w:p>
    <w:p w14:paraId="0AD360F1" w14:textId="7A67738A" w:rsidR="00AA0E17" w:rsidRPr="00913129" w:rsidRDefault="00AA0E17" w:rsidP="00261DCA">
      <w:pPr>
        <w:spacing w:line="360" w:lineRule="auto"/>
        <w:ind w:right="-2" w:firstLine="851"/>
        <w:jc w:val="both"/>
        <w:rPr>
          <w:color w:val="000000" w:themeColor="text1"/>
          <w:sz w:val="28"/>
          <w:szCs w:val="28"/>
          <w:lang w:val="uk-UA"/>
        </w:rPr>
      </w:pPr>
      <w:r w:rsidRPr="00913129">
        <w:rPr>
          <w:color w:val="000000" w:themeColor="text1"/>
          <w:sz w:val="28"/>
          <w:szCs w:val="28"/>
          <w:lang w:val="uk-UA"/>
        </w:rPr>
        <w:t>У зв</w:t>
      </w:r>
      <w:r w:rsidR="00340D11" w:rsidRPr="00913129">
        <w:rPr>
          <w:color w:val="000000" w:themeColor="text1"/>
          <w:sz w:val="28"/>
          <w:szCs w:val="28"/>
          <w:lang w:val="uk-UA"/>
        </w:rPr>
        <w:t>’</w:t>
      </w:r>
      <w:r w:rsidRPr="00913129">
        <w:rPr>
          <w:color w:val="000000" w:themeColor="text1"/>
          <w:sz w:val="28"/>
          <w:szCs w:val="28"/>
          <w:lang w:val="uk-UA"/>
        </w:rPr>
        <w:t>язку з цим механізми і підходи до соціально відповідального інвестування зазнавали поступової еволюції. Далі наведено основні етапи цього процесу в міжнародному контексті:</w:t>
      </w:r>
    </w:p>
    <w:p w14:paraId="6A3AC182" w14:textId="3B7E761E" w:rsidR="00AA0E17" w:rsidRPr="00913129" w:rsidRDefault="00AA0E17" w:rsidP="00261DCA">
      <w:pPr>
        <w:pStyle w:val="a7"/>
        <w:numPr>
          <w:ilvl w:val="0"/>
          <w:numId w:val="14"/>
        </w:numPr>
        <w:tabs>
          <w:tab w:val="left" w:pos="709"/>
        </w:tabs>
        <w:spacing w:after="0" w:line="360" w:lineRule="auto"/>
        <w:ind w:left="0" w:right="-2" w:firstLine="851"/>
        <w:jc w:val="both"/>
        <w:rPr>
          <w:rFonts w:ascii="Times New Roman" w:eastAsia="Times New Roman" w:hAnsi="Times New Roman" w:cs="Times New Roman"/>
          <w:color w:val="000000" w:themeColor="text1"/>
          <w:kern w:val="0"/>
          <w:sz w:val="28"/>
          <w:szCs w:val="28"/>
          <w:lang w:val="uk-UA" w:eastAsia="en-GB"/>
          <w14:ligatures w14:val="none"/>
        </w:rPr>
      </w:pPr>
      <w:r w:rsidRPr="00913129">
        <w:rPr>
          <w:rFonts w:ascii="Times New Roman" w:eastAsia="Times New Roman" w:hAnsi="Times New Roman" w:cs="Times New Roman"/>
          <w:color w:val="000000" w:themeColor="text1"/>
          <w:kern w:val="0"/>
          <w:sz w:val="28"/>
          <w:szCs w:val="28"/>
          <w:lang w:val="uk-UA" w:eastAsia="en-GB"/>
          <w14:ligatures w14:val="none"/>
        </w:rPr>
        <w:t>Первинні імпульси формування СВІ пов</w:t>
      </w:r>
      <w:r w:rsidR="00340D11" w:rsidRPr="00913129">
        <w:rPr>
          <w:rFonts w:ascii="Times New Roman" w:eastAsia="Times New Roman" w:hAnsi="Times New Roman" w:cs="Times New Roman"/>
          <w:color w:val="000000" w:themeColor="text1"/>
          <w:kern w:val="0"/>
          <w:sz w:val="28"/>
          <w:szCs w:val="28"/>
          <w:lang w:val="uk-UA" w:eastAsia="en-GB"/>
          <w14:ligatures w14:val="none"/>
        </w:rPr>
        <w:t>’</w:t>
      </w:r>
      <w:r w:rsidRPr="00913129">
        <w:rPr>
          <w:rFonts w:ascii="Times New Roman" w:eastAsia="Times New Roman" w:hAnsi="Times New Roman" w:cs="Times New Roman"/>
          <w:color w:val="000000" w:themeColor="text1"/>
          <w:kern w:val="0"/>
          <w:sz w:val="28"/>
          <w:szCs w:val="28"/>
          <w:lang w:val="uk-UA" w:eastAsia="en-GB"/>
          <w14:ligatures w14:val="none"/>
        </w:rPr>
        <w:t xml:space="preserve">язані з етичними нормами 18-19 століть, що визначали уникнення інвестицій у галузі, які суперечили моральним цінностям. Інституціоналізація таких підходів розпочалася зі створення перших етичних інвестиційних фондів, що інтегрували соціальні та екологічні чинники у фінансову практику </w:t>
      </w:r>
      <w:r w:rsidRPr="00913129">
        <w:rPr>
          <w:rFonts w:ascii="Times New Roman" w:eastAsia="Times New Roman" w:hAnsi="Times New Roman" w:cs="Times New Roman"/>
          <w:color w:val="000000" w:themeColor="text1"/>
          <w:kern w:val="0"/>
          <w:sz w:val="28"/>
          <w:szCs w:val="28"/>
          <w:lang w:val="uk-UA" w:eastAsia="en-GB"/>
          <w14:ligatures w14:val="none"/>
        </w:rPr>
        <w:fldChar w:fldCharType="begin"/>
      </w:r>
      <w:r w:rsidRPr="00913129">
        <w:rPr>
          <w:rFonts w:ascii="Times New Roman" w:eastAsia="Times New Roman" w:hAnsi="Times New Roman" w:cs="Times New Roman"/>
          <w:color w:val="000000" w:themeColor="text1"/>
          <w:kern w:val="0"/>
          <w:sz w:val="28"/>
          <w:szCs w:val="28"/>
          <w:lang w:val="uk-UA" w:eastAsia="en-GB"/>
          <w14:ligatures w14:val="none"/>
        </w:rPr>
        <w:instrText xml:space="preserve"> ADDIN ZOTERO_ITEM CSL_CITATION {"citationID":"rZsn5bGd","properties":{"formattedCitation":"\\super [4\\uc0\\u8211{}6]\\nosupersub{}","plainCitation":"[4–6]","noteIndex":0},"citationItems":[{"id":583,"uris":["http://zotero.org/users/10910668/items/4GKWE4DP"],"itemData":{"id":583,"type":"article-journal","abstract":"This paper assesses whether shareholders drive the environmental and social (E&amp;S) performance of firms worldwide. Across 41 countries, institutional ownership is positively associated with E&amp;S performance with additional tests suggesting this relation is causal. Institutions are motivated by both financial and social returns. Investors increase firms’ E&amp;S performance following shocks that reveal financial benefits to E&amp;S improvements. In cross section, investors increase firms’ E&amp;S performance when they come from countries with a strong community belief in the importance of E&amp;S issues, but not otherwise. As such, these institutional investors transplant their social norms regarding E&amp;S issues around the world.","container-title":"Journal of Financial Economics","DOI":"10.1016/j.jfineco.2018.08.013","ISSN":"0304-405X","issue":"3","journalAbbreviation":"Journal of Financial Economics","page":"693-714","source":"ScienceDirect","title":"Do institutional investors drive corporate social responsibility? International evidence","title-short":"Do institutional investors drive corporate social responsibility?","volume":"131","author":[{"family":"Dyck","given":"Alexander"},{"family":"Lins","given":"Karl V."},{"family":"Roth","given":"Lukas"},{"family":"Wagner","given":"Hannes F."}],"issued":{"date-parts":[["2019",3,1]]}}},{"id":584,"uris":["http://zotero.org/users/10910668/items/DC7S3XMR"],"itemData":{"id":584,"type":"article-journal","abstract":"The impact of climate change on organizations and economies remains one of the most significant yet underestimated threats. Although the consequences of climate change have started to gain attention among policy makers, international business research on this issue is lagging behind. Drawing from the knowledge and innovation literatures, we explore the impact of a country’s degree of innovation on its vulnerability to climate change. Using a longitudinal sample of 73 countries for the years of 1998–2013, we examine the impact of innovation, openness to trade, and regulatory quality on a country’s vulnerability to climate change. We find that R&amp;D expenditures as a percentage of GDP (innovation input), openness to trade, and regulatory quality decrease a country’s vulnerability to climate change. We also find that openness to trade moderates the effect of patenting rates (innovation output) on a country’s vulnerability to climate change.","container-title":"Research in International Business and Finance","DOI":"10.1016/j.ribaf.2019.101098","ISSN":"0275-5319","journalAbbreviation":"Research in International Business and Finance","page":"101098","source":"ScienceDirect","title":"Vulnerability to climate change: Are innovative countries in a better position?","title-short":"Vulnerability to climate change","volume":"51","author":[{"family":"Abdelzaher","given":"Dina M."},{"family":"Martynov","given":"Aleksey"},{"family":"Abdel Zaher","given":"Angie M."}],"issued":{"date-parts":[["2020",1,1]]}}},{"id":586,"uris":["http://zotero.org/users/10910668/items/AUL359H7"],"itemData":{"id":586,"type":"article","abstract":"Corporate Social Responsibility (CSR) refers to the incorporation of Environmental, Social, and Governance (ESG) considerations into corporate management, financial decision making, and investors’ portfolio decisions. Socially responsible firms are expected to internalize the externalities (e.g. pollution) they create, and are willing to be accountable to shareholders as well as a broader group of stakeholders (employees, customers, suppliers, local communities,…).  Over the past two decades,  various rating agencies developed firm-level measures of ESG performance, which are widely used in the literature. A problem for past and a challenge for future research is that these ratings show inconsistencies, which depend on the rating agencies’ preferences, weights of the constituting factors, and rating methodology.CSR also deals with sustainable, responsible, and impact investing (SRI). The return implications of investing in the stocks of socially responsible firms, the search for an EGS factor, as well as the performance of SRI funds are the dominant topics. SR funds apply negative screening (exclusion of ‘sin’ industries), positive screening, as well as activism through proxy voting or direct engagement. In this context, one wonders whether responsible investors are willing to  trade off financial returns with a ‘moral’ dividend (the return given up in exchange for an increase in utility driven by the knowledge that one invests ethically). A recent literature concentrates on green financing (the financing of environmentally friendly investment projects by means of green bonds) and on how to foster economic de-carbonization as climate change affects financial markets and investor behavior.","DOI":"10.2139/ssrn.3698631","event-place":"Rochester, NY","genre":"SSRN Scholarly Paper","language":"en","number":"3698631","publisher-place":"Rochester, NY","source":"Social Science Research Network","title":"Corporate Social Responsibility and Sustainable Finance: A Review of the Literature","title-short":"Corporate Social Responsibility and Sustainable Finance","URL":"https://papers.ssrn.com/abstract=3698631","author":[{"family":"Liang","given":"Hao"},{"family":"Renneboog","given":"Luc"}],"accessed":{"date-parts":[["2025",4,28]]},"issued":{"date-parts":[["2020",9,24]]}},"label":"page"}],"schema":"https://github.com/citation-style-language/schema/raw/master/csl-citation.json"} </w:instrText>
      </w:r>
      <w:r w:rsidRPr="00913129">
        <w:rPr>
          <w:rFonts w:ascii="Times New Roman" w:eastAsia="Times New Roman" w:hAnsi="Times New Roman" w:cs="Times New Roman"/>
          <w:color w:val="000000" w:themeColor="text1"/>
          <w:kern w:val="0"/>
          <w:sz w:val="28"/>
          <w:szCs w:val="28"/>
          <w:lang w:val="uk-UA" w:eastAsia="en-GB"/>
          <w14:ligatures w14:val="none"/>
        </w:rPr>
        <w:fldChar w:fldCharType="separate"/>
      </w:r>
      <w:r w:rsidRPr="00913129">
        <w:rPr>
          <w:rFonts w:ascii="Times New Roman" w:eastAsia="Times New Roman" w:hAnsi="Times New Roman" w:cs="Times New Roman"/>
          <w:color w:val="000000" w:themeColor="text1"/>
          <w:kern w:val="0"/>
          <w:sz w:val="28"/>
          <w:szCs w:val="28"/>
          <w:lang w:val="uk-UA" w:eastAsia="en-GB"/>
          <w14:ligatures w14:val="none"/>
        </w:rPr>
        <w:t>[4–6]</w:t>
      </w:r>
      <w:r w:rsidRPr="00913129">
        <w:rPr>
          <w:rFonts w:ascii="Times New Roman" w:eastAsia="Times New Roman" w:hAnsi="Times New Roman" w:cs="Times New Roman"/>
          <w:color w:val="000000" w:themeColor="text1"/>
          <w:kern w:val="0"/>
          <w:sz w:val="28"/>
          <w:szCs w:val="28"/>
          <w:lang w:val="uk-UA" w:eastAsia="en-GB"/>
          <w14:ligatures w14:val="none"/>
        </w:rPr>
        <w:fldChar w:fldCharType="end"/>
      </w:r>
      <w:r w:rsidRPr="00913129">
        <w:rPr>
          <w:rFonts w:ascii="Times New Roman" w:eastAsia="Times New Roman" w:hAnsi="Times New Roman" w:cs="Times New Roman"/>
          <w:color w:val="000000" w:themeColor="text1"/>
          <w:kern w:val="0"/>
          <w:sz w:val="28"/>
          <w:szCs w:val="28"/>
          <w:lang w:val="uk-UA" w:eastAsia="en-GB"/>
          <w14:ligatures w14:val="none"/>
        </w:rPr>
        <w:t>.</w:t>
      </w:r>
    </w:p>
    <w:p w14:paraId="6B1E8EC3" w14:textId="1F6D93AA" w:rsidR="00AA0E17" w:rsidRPr="00913129" w:rsidRDefault="00AA0E17" w:rsidP="00261DCA">
      <w:pPr>
        <w:pStyle w:val="a7"/>
        <w:numPr>
          <w:ilvl w:val="0"/>
          <w:numId w:val="14"/>
        </w:numPr>
        <w:tabs>
          <w:tab w:val="left" w:pos="709"/>
        </w:tabs>
        <w:spacing w:after="0" w:line="360" w:lineRule="auto"/>
        <w:ind w:left="0" w:right="-2" w:firstLine="851"/>
        <w:jc w:val="both"/>
        <w:rPr>
          <w:rFonts w:ascii="Times New Roman" w:eastAsia="Times New Roman" w:hAnsi="Times New Roman" w:cs="Times New Roman"/>
          <w:color w:val="000000" w:themeColor="text1"/>
          <w:kern w:val="0"/>
          <w:sz w:val="28"/>
          <w:szCs w:val="28"/>
          <w:lang w:val="uk-UA" w:eastAsia="en-GB"/>
          <w14:ligatures w14:val="none"/>
        </w:rPr>
      </w:pPr>
      <w:r w:rsidRPr="00913129">
        <w:rPr>
          <w:rFonts w:ascii="Times New Roman" w:eastAsia="Times New Roman" w:hAnsi="Times New Roman" w:cs="Times New Roman"/>
          <w:color w:val="000000" w:themeColor="text1"/>
          <w:kern w:val="0"/>
          <w:sz w:val="28"/>
          <w:szCs w:val="28"/>
          <w:lang w:val="uk-UA" w:eastAsia="en-GB"/>
          <w14:ligatures w14:val="none"/>
        </w:rPr>
        <w:t>У період 1960-1970 років під впливом суспільних рухів і наукових праць дослідників К. Дейвіса, В. Баумоля, А. Керрола, було сформовано концепцію корпоративної соціальної відповідальності, що поєднала економічні, правові та етичні зобов</w:t>
      </w:r>
      <w:r w:rsidR="00340D11" w:rsidRPr="00913129">
        <w:rPr>
          <w:rFonts w:ascii="Times New Roman" w:eastAsia="Times New Roman" w:hAnsi="Times New Roman" w:cs="Times New Roman"/>
          <w:color w:val="000000" w:themeColor="text1"/>
          <w:kern w:val="0"/>
          <w:sz w:val="28"/>
          <w:szCs w:val="28"/>
          <w:lang w:val="uk-UA" w:eastAsia="en-GB"/>
          <w14:ligatures w14:val="none"/>
        </w:rPr>
        <w:t>’</w:t>
      </w:r>
      <w:r w:rsidRPr="00913129">
        <w:rPr>
          <w:rFonts w:ascii="Times New Roman" w:eastAsia="Times New Roman" w:hAnsi="Times New Roman" w:cs="Times New Roman"/>
          <w:color w:val="000000" w:themeColor="text1"/>
          <w:kern w:val="0"/>
          <w:sz w:val="28"/>
          <w:szCs w:val="28"/>
          <w:lang w:val="uk-UA" w:eastAsia="en-GB"/>
          <w14:ligatures w14:val="none"/>
        </w:rPr>
        <w:t xml:space="preserve">язання бізнесу. Паралельно створювались </w:t>
      </w:r>
      <w:r w:rsidRPr="00913129">
        <w:rPr>
          <w:rFonts w:ascii="Times New Roman" w:eastAsia="Times New Roman" w:hAnsi="Times New Roman" w:cs="Times New Roman"/>
          <w:color w:val="000000" w:themeColor="text1"/>
          <w:kern w:val="0"/>
          <w:sz w:val="28"/>
          <w:szCs w:val="28"/>
          <w:lang w:val="uk-UA" w:eastAsia="en-GB"/>
          <w14:ligatures w14:val="none"/>
        </w:rPr>
        <w:lastRenderedPageBreak/>
        <w:t xml:space="preserve">перші інститути незалежної оцінки соціальних та екологічних аспектів корпоративної діяльності, зокрема EIRIS у 1983 </w:t>
      </w:r>
      <w:r w:rsidRPr="00913129">
        <w:rPr>
          <w:rFonts w:ascii="Times New Roman" w:eastAsia="Times New Roman" w:hAnsi="Times New Roman" w:cs="Times New Roman"/>
          <w:color w:val="000000" w:themeColor="text1"/>
          <w:kern w:val="0"/>
          <w:sz w:val="28"/>
          <w:szCs w:val="28"/>
          <w:lang w:val="uk-UA" w:eastAsia="en-GB"/>
          <w14:ligatures w14:val="none"/>
        </w:rPr>
        <w:fldChar w:fldCharType="begin"/>
      </w:r>
      <w:r w:rsidRPr="00913129">
        <w:rPr>
          <w:rFonts w:ascii="Times New Roman" w:eastAsia="Times New Roman" w:hAnsi="Times New Roman" w:cs="Times New Roman"/>
          <w:color w:val="000000" w:themeColor="text1"/>
          <w:kern w:val="0"/>
          <w:sz w:val="28"/>
          <w:szCs w:val="28"/>
          <w:lang w:val="uk-UA" w:eastAsia="en-GB"/>
          <w14:ligatures w14:val="none"/>
        </w:rPr>
        <w:instrText xml:space="preserve"> ADDIN ZOTERO_ITEM CSL_CITATION {"citationID":"WuoRAdL0","properties":{"unsorted":true,"formattedCitation":"\\super [7]\\nosupersub{}","plainCitation":"[7]","noteIndex":0},"citationItems":[{"id":590,"uris":["http://zotero.org/users/10910668/items/IQNFFTCG"],"itemData":{"id":590,"type":"article-journal","abstract":"There is a long and varied history associated with the evolution of the concept of Corporate Social Responsibility (CSR). However, a historical review is missing in the academic literature that portrays the evolution of the academic understanding of the concept alongside with the public and international events that influenced the social expectations with regards to corporate behavior. The aim of this paper is to provide a distinctive historical perspective on the evolution of CSR as a conceptual paradigm by reviewing the most relevant factors that have shaped its understanding and definition, such as academic contributions, international policies and significant social and political events. To do so, the method used is a comprehensive literature review that explores the most relevant academic contributions and public events that have influenced the evolutionary process of CSR and how they have done so. The findings show that the understanding of corporate responsibility has evolved from being limited to the generation of profit to include a broader set of responsibilities to the latest belief that the main responsibility of companies should be the generation of shared value. The findings also indicate that as social expectations of corporate behavior changed, so did the concept of Corporate Social Responsibility. The findings suggest that CSR continues to be relevant within the academic literature and can be expected to remain part of the business vocabulary at least in the short term and as a result, the authors present a plausible future for CSR that takes into consideration its historical evolution. Finally, this paper gives way for future academic research to explore how CSR can help address the latest social expectations of generating shared value as a main business objective, which in turn may have practical implications if CSR is implemented with this in mind.","container-title":"International Journal of Corporate Social Responsibility","DOI":"10.1186/s40991-018-0039-y","ISSN":"2366-0066, 2366-0074","issue":"1","journalAbbreviation":"Int J Corporate Soc Responsibility","language":"en","page":"1","source":"DOI.org (Crossref)","title":"A literature review of the history and evolution of corporate social responsibility","volume":"4","author":[{"family":"Latapí Agudelo","given":"Mauricio Andrés"},{"family":"Jóhannsdóttir","given":"Lára"},{"family":"Davídsdóttir","given":"Brynhildur"}],"issued":{"date-parts":[["2019",12]]}}}],"schema":"https://github.com/citation-style-language/schema/raw/master/csl-citation.json"} </w:instrText>
      </w:r>
      <w:r w:rsidRPr="00913129">
        <w:rPr>
          <w:rFonts w:ascii="Times New Roman" w:eastAsia="Times New Roman" w:hAnsi="Times New Roman" w:cs="Times New Roman"/>
          <w:color w:val="000000" w:themeColor="text1"/>
          <w:kern w:val="0"/>
          <w:sz w:val="28"/>
          <w:szCs w:val="28"/>
          <w:lang w:val="uk-UA" w:eastAsia="en-GB"/>
          <w14:ligatures w14:val="none"/>
        </w:rPr>
        <w:fldChar w:fldCharType="separate"/>
      </w:r>
      <w:r w:rsidRPr="00913129">
        <w:rPr>
          <w:rFonts w:ascii="Times New Roman" w:eastAsia="Times New Roman" w:hAnsi="Times New Roman" w:cs="Times New Roman"/>
          <w:color w:val="000000" w:themeColor="text1"/>
          <w:kern w:val="0"/>
          <w:sz w:val="28"/>
          <w:szCs w:val="28"/>
          <w:lang w:val="uk-UA" w:eastAsia="en-GB"/>
          <w14:ligatures w14:val="none"/>
        </w:rPr>
        <w:t>[7]</w:t>
      </w:r>
      <w:r w:rsidRPr="00913129">
        <w:rPr>
          <w:rFonts w:ascii="Times New Roman" w:eastAsia="Times New Roman" w:hAnsi="Times New Roman" w:cs="Times New Roman"/>
          <w:color w:val="000000" w:themeColor="text1"/>
          <w:kern w:val="0"/>
          <w:sz w:val="28"/>
          <w:szCs w:val="28"/>
          <w:lang w:val="uk-UA" w:eastAsia="en-GB"/>
          <w14:ligatures w14:val="none"/>
        </w:rPr>
        <w:fldChar w:fldCharType="end"/>
      </w:r>
      <w:r w:rsidRPr="00913129">
        <w:rPr>
          <w:rFonts w:ascii="Times New Roman" w:eastAsia="Times New Roman" w:hAnsi="Times New Roman" w:cs="Times New Roman"/>
          <w:color w:val="000000" w:themeColor="text1"/>
          <w:kern w:val="0"/>
          <w:sz w:val="28"/>
          <w:szCs w:val="28"/>
          <w:lang w:val="uk-UA" w:eastAsia="en-GB"/>
          <w14:ligatures w14:val="none"/>
        </w:rPr>
        <w:t>.</w:t>
      </w:r>
    </w:p>
    <w:p w14:paraId="0E57B652" w14:textId="6464FA1E" w:rsidR="00AA0E17" w:rsidRPr="00913129" w:rsidRDefault="00AA0E17" w:rsidP="00261DCA">
      <w:pPr>
        <w:pStyle w:val="a7"/>
        <w:numPr>
          <w:ilvl w:val="0"/>
          <w:numId w:val="14"/>
        </w:numPr>
        <w:tabs>
          <w:tab w:val="left" w:pos="709"/>
        </w:tabs>
        <w:spacing w:after="0" w:line="360" w:lineRule="auto"/>
        <w:ind w:left="0" w:right="-2" w:firstLine="851"/>
        <w:jc w:val="both"/>
        <w:rPr>
          <w:rFonts w:ascii="Times New Roman" w:eastAsia="Times New Roman" w:hAnsi="Times New Roman" w:cs="Times New Roman"/>
          <w:color w:val="000000" w:themeColor="text1"/>
          <w:kern w:val="0"/>
          <w:sz w:val="28"/>
          <w:szCs w:val="28"/>
          <w:lang w:val="uk-UA" w:eastAsia="en-GB"/>
          <w14:ligatures w14:val="none"/>
        </w:rPr>
      </w:pPr>
      <w:r w:rsidRPr="00913129">
        <w:rPr>
          <w:rFonts w:ascii="Times New Roman" w:eastAsia="Times New Roman" w:hAnsi="Times New Roman" w:cs="Times New Roman"/>
          <w:color w:val="000000" w:themeColor="text1"/>
          <w:kern w:val="0"/>
          <w:sz w:val="28"/>
          <w:szCs w:val="28"/>
          <w:lang w:val="uk-UA" w:eastAsia="en-GB"/>
          <w14:ligatures w14:val="none"/>
        </w:rPr>
        <w:t>У період 1990-2000 років СВІ трансформується у модель сталого розвитку, орієнтовану на поєднання економічної, соціальної та екологічної ефективності. В цей період з</w:t>
      </w:r>
      <w:r w:rsidR="00340D11" w:rsidRPr="00913129">
        <w:rPr>
          <w:rFonts w:ascii="Times New Roman" w:eastAsia="Times New Roman" w:hAnsi="Times New Roman" w:cs="Times New Roman"/>
          <w:color w:val="000000" w:themeColor="text1"/>
          <w:kern w:val="0"/>
          <w:sz w:val="28"/>
          <w:szCs w:val="28"/>
          <w:lang w:val="uk-UA" w:eastAsia="en-GB"/>
          <w14:ligatures w14:val="none"/>
        </w:rPr>
        <w:t>’</w:t>
      </w:r>
      <w:r w:rsidRPr="00913129">
        <w:rPr>
          <w:rFonts w:ascii="Times New Roman" w:eastAsia="Times New Roman" w:hAnsi="Times New Roman" w:cs="Times New Roman"/>
          <w:color w:val="000000" w:themeColor="text1"/>
          <w:kern w:val="0"/>
          <w:sz w:val="28"/>
          <w:szCs w:val="28"/>
          <w:lang w:val="uk-UA" w:eastAsia="en-GB"/>
          <w14:ligatures w14:val="none"/>
        </w:rPr>
        <w:t>являються концепція авторства Дж. Елкінгтона, міжнародна ініціатива «Глобальний договір ООН», та програмний документ «Зелений папір» від Європейської комісії. [7]. Ці ініціативи заклали нормативні основи для інтеграції СВІ у стратегії компаній та фінансових установ.</w:t>
      </w:r>
    </w:p>
    <w:p w14:paraId="55FA156B" w14:textId="5783EA7C" w:rsidR="00AA0E17" w:rsidRPr="00913129" w:rsidRDefault="00AA0E17" w:rsidP="00261DCA">
      <w:pPr>
        <w:pStyle w:val="a7"/>
        <w:numPr>
          <w:ilvl w:val="0"/>
          <w:numId w:val="14"/>
        </w:numPr>
        <w:tabs>
          <w:tab w:val="left" w:pos="709"/>
        </w:tabs>
        <w:spacing w:after="0" w:line="360" w:lineRule="auto"/>
        <w:ind w:left="0" w:right="-2" w:firstLine="851"/>
        <w:jc w:val="both"/>
        <w:rPr>
          <w:rFonts w:ascii="Times New Roman" w:eastAsia="Times New Roman" w:hAnsi="Times New Roman" w:cs="Times New Roman"/>
          <w:color w:val="000000" w:themeColor="text1"/>
          <w:kern w:val="0"/>
          <w:sz w:val="28"/>
          <w:szCs w:val="28"/>
          <w:lang w:val="uk-UA" w:eastAsia="en-GB"/>
          <w14:ligatures w14:val="none"/>
        </w:rPr>
      </w:pPr>
      <w:r w:rsidRPr="00913129">
        <w:rPr>
          <w:rFonts w:ascii="Times New Roman" w:eastAsia="Times New Roman" w:hAnsi="Times New Roman" w:cs="Times New Roman"/>
          <w:color w:val="000000" w:themeColor="text1"/>
          <w:kern w:val="0"/>
          <w:sz w:val="28"/>
          <w:szCs w:val="28"/>
          <w:lang w:val="uk-UA" w:eastAsia="en-GB"/>
          <w14:ligatures w14:val="none"/>
        </w:rPr>
        <w:t xml:space="preserve">У період 2010-2020 років відбувається перехід до ESG-парадигми, в межах якої нефінансові чинники стали фундаментальною складовою корпоративного управління. Впроваджено міжнародні стандарти (GRI, SASB, TCFD) і регуляторні ініціативи (Директива 2014/95/ЄС), що уніфікували нефінансову звітність і підвищили прозорість бізнесу </w:t>
      </w:r>
      <w:r w:rsidRPr="00913129">
        <w:rPr>
          <w:rFonts w:ascii="Times New Roman" w:eastAsia="Times New Roman" w:hAnsi="Times New Roman" w:cs="Times New Roman"/>
          <w:color w:val="000000" w:themeColor="text1"/>
          <w:kern w:val="0"/>
          <w:sz w:val="28"/>
          <w:szCs w:val="28"/>
          <w:lang w:val="uk-UA" w:eastAsia="en-GB"/>
          <w14:ligatures w14:val="none"/>
        </w:rPr>
        <w:fldChar w:fldCharType="begin"/>
      </w:r>
      <w:r w:rsidRPr="00913129">
        <w:rPr>
          <w:rFonts w:ascii="Times New Roman" w:eastAsia="Times New Roman" w:hAnsi="Times New Roman" w:cs="Times New Roman"/>
          <w:color w:val="000000" w:themeColor="text1"/>
          <w:kern w:val="0"/>
          <w:sz w:val="28"/>
          <w:szCs w:val="28"/>
          <w:lang w:val="uk-UA" w:eastAsia="en-GB"/>
          <w14:ligatures w14:val="none"/>
        </w:rPr>
        <w:instrText xml:space="preserve"> ADDIN ZOTERO_ITEM CSL_CITATION {"citationID":"EcHFoXtw","properties":{"formattedCitation":"\\super [2,7\\uc0\\u8211{}9]\\nosupersub{}","plainCitation":"[2,7–9]","dontUpdate":true,"noteIndex":0},"citationItems":[{"id":579,"uris":["http://zotero.org/users/10910668/items/M8NEJ7RQ"],"itemData":{"id":579,"type":"article-journal","abstract":"In the article the theoretical concepts and models of socially responsible investment are analyzed. The evolution of the concept of socially responsible investment is studied, which is conventionally divided into four periods: the period of the birth of the concept, when investing was based on ethical considerations; the period of formation of the concept of corporate social responsibility and the emergence of socially responsible investment as an aspect of its practical implementation; the period of development of the concept based on the principles of corporate social responsibility and sustainable development; the modern period of development of the concept of socially responsible investment on its own basis. Types of socially responsible investment are systematized (impact investing, mission-based investing, triple bottom line investing, double bottom line investing, eco investing/green investing, ethical investing, sustainable investing). Models of socially responsible investment based on the following methods are singled out: screening, shareholder advocacy, community investing, social venture capital, sustainability themed investing, combined approaches.","container-title":"Економіка і організація управління","DOI":"10.31558/2307-2318.2024.2.17","ISSN":"2707-9899","language":"uk","license":"Авторське право (c) 2024","page":"182-190","source":"jeou.donnu.edu.ua","title":"Теоретичні концепції та моделі соціально відповідального інвестування","author":[{"family":"Шевердін","given":"О. О."}],"issued":{"date-parts":[["2024",9,5]]}}},{"id":590,"uris":["http://zotero.org/users/10910668/items/IQNFFTCG"],"itemData":{"id":590,"type":"article-journal","abstract":"There is a long and varied history associated with the evolution of the concept of Corporate Social Responsibility (CSR). However, a historical review is missing in the academic literature that portrays the evolution of the academic understanding of the concept alongside with the public and international events that influenced the social expectations with regards to corporate behavior. The aim of this paper is to provide a distinctive historical perspective on the evolution of CSR as a conceptual paradigm by reviewing the most relevant factors that have shaped its understanding and definition, such as academic contributions, international policies and significant social and political events. To do so, the method used is a comprehensive literature review that explores the most relevant academic contributions and public events that have influenced the evolutionary process of CSR and how they have done so. The findings show that the understanding of corporate responsibility has evolved from being limited to the generation of profit to include a broader set of responsibilities to the latest belief that the main responsibility of companies should be the generation of shared value. The findings also indicate that as social expectations of corporate behavior changed, so did the concept of Corporate Social Responsibility. The findings suggest that CSR continues to be relevant within the academic literature and can be expected to remain part of the business vocabulary at least in the short term and as a result, the authors present a plausible future for CSR that takes into consideration its historical evolution. Finally, this paper gives way for future academic research to explore how CSR can help address the latest social expectations of generating shared value as a main business objective, which in turn may have practical implications if CSR is implemented with this in mind.","container-title":"International Journal of Corporate Social Responsibility","DOI":"10.1186/s40991-018-0039-y","ISSN":"2366-0066, 2366-0074","issue":"1","journalAbbreviation":"Int J Corporate Soc Responsibility","language":"en","page":"1","source":"DOI.org (Crossref)","title":"A literature review of the history and evolution of corporate social responsibility","volume":"4","author":[{"family":"Latapí Agudelo","given":"Mauricio Andrés"},{"family":"Jóhannsdóttir","given":"Lára"},{"family":"Davídsdóttir","given":"Brynhildur"}],"issued":{"date-parts":[["2019",12]]}},"label":"page"},{"id":593,"uris":["http://zotero.org/users/10910668/items/JYMZSDRJ"],"itemData":{"id":593,"type":"document","title":"Plastun_responsible_investment.pdf","URL":"https://essuir.sumdu.edu.ua/bitstream-download/123456789/94199/1/Plastun_responsible_investment.pdf;jsessionid=184605D57F2F32C5D832728494ADCC9A","accessed":{"date-parts":[["2025",4,28]]}}},{"id":591,"uris":["http://zotero.org/users/10910668/items/T637VRL7"],"itemData":{"id":591,"type":"article-journal","container-title":"The Journal of Impact and ESG Investing","DOI":"10.3905/jesg.2020.1.1.010","journalAbbreviation":"The Journal of Impact and ESG Investing","page":"10-25","source":"ResearchGate","title":"From SRI to ESG: The Origins of Socially Responsible and Sustainable Investing","title-short":"From SRI to ESG","volume":"1","author":[{"family":"Townsend","given":"Blaine"}],"issued":{"date-parts":[["2020",8,31]]}}}],"schema":"https://github.com/citation-style-language/schema/raw/master/csl-citation.json"} </w:instrText>
      </w:r>
      <w:r w:rsidRPr="00913129">
        <w:rPr>
          <w:rFonts w:ascii="Times New Roman" w:eastAsia="Times New Roman" w:hAnsi="Times New Roman" w:cs="Times New Roman"/>
          <w:color w:val="000000" w:themeColor="text1"/>
          <w:kern w:val="0"/>
          <w:sz w:val="28"/>
          <w:szCs w:val="28"/>
          <w:lang w:val="uk-UA" w:eastAsia="en-GB"/>
          <w14:ligatures w14:val="none"/>
        </w:rPr>
        <w:fldChar w:fldCharType="separate"/>
      </w:r>
      <w:r w:rsidRPr="00913129">
        <w:rPr>
          <w:rFonts w:ascii="Times New Roman" w:eastAsia="Times New Roman" w:hAnsi="Times New Roman" w:cs="Times New Roman"/>
          <w:color w:val="000000" w:themeColor="text1"/>
          <w:kern w:val="0"/>
          <w:sz w:val="28"/>
          <w:szCs w:val="28"/>
          <w:lang w:val="uk-UA" w:eastAsia="en-GB"/>
          <w14:ligatures w14:val="none"/>
        </w:rPr>
        <w:t>[2, 7–9]</w:t>
      </w:r>
      <w:r w:rsidRPr="00913129">
        <w:rPr>
          <w:rFonts w:ascii="Times New Roman" w:eastAsia="Times New Roman" w:hAnsi="Times New Roman" w:cs="Times New Roman"/>
          <w:color w:val="000000" w:themeColor="text1"/>
          <w:kern w:val="0"/>
          <w:sz w:val="28"/>
          <w:szCs w:val="28"/>
          <w:lang w:val="uk-UA" w:eastAsia="en-GB"/>
          <w14:ligatures w14:val="none"/>
        </w:rPr>
        <w:fldChar w:fldCharType="end"/>
      </w:r>
      <w:r w:rsidRPr="00913129">
        <w:rPr>
          <w:rFonts w:ascii="Times New Roman" w:eastAsia="Times New Roman" w:hAnsi="Times New Roman" w:cs="Times New Roman"/>
          <w:color w:val="000000" w:themeColor="text1"/>
          <w:kern w:val="0"/>
          <w:sz w:val="28"/>
          <w:szCs w:val="28"/>
          <w:lang w:val="uk-UA" w:eastAsia="en-GB"/>
          <w14:ligatures w14:val="none"/>
        </w:rPr>
        <w:t xml:space="preserve">. </w:t>
      </w:r>
    </w:p>
    <w:p w14:paraId="76149B76" w14:textId="5D3F88F9" w:rsidR="00AA0E17" w:rsidRPr="00913129" w:rsidRDefault="00AA0E17" w:rsidP="00261DCA">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На сучасному етапі СВІ інтегрує інвестиційну ефективність із соціально-екологічною відповідальністю та визначає його як загальносвітовий стандарт діяльності корпорацій і фінансових інститутів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{"citationID":"gYnOigyv","properties":{"formattedCitation":"\\super [2,7\\uc0\\u8211{}9]\\nosupersub{}","plainCitation":"[2,7–9]","dontUpdate":true,"noteIndex":0},"citationItems":[{"id":579,"uris":["http://zotero.org/users/10910668/items/M8NEJ7RQ"],"itemData":{"id":579,"type":"article-journal","abstract":"In the article the theoretical concepts and models of socially responsible investment are analyzed. The evolution of the concept of socially responsible investment is studied, which is conventionally divided into four periods: the period of the birth of the concept, when investing was based on ethical considerations; the period of formation of the concept of corporate social responsibility and the emergence of socially responsible investment as an aspect of its practical implementation; the period of development of the concept based on the principles of corporate social responsibility and sustainable development; the modern period of development of the concept of socially responsible investment on its own basis. Types of socially responsible investment are systematized (impact investing, mission-based investing, triple bottom line investing, double bottom line investing, eco investing/green investing, ethical investing, sustainable investing). Models of socially responsible investment based on the following methods are singled out: screening, shareholder advocacy, community investing, social venture capital, sustainability themed investing, combined approaches.","container-title":"Економіка і організація управління","DOI":"10.31558/2307-2318.2024.2.17","ISSN":"2707-9899","language":"uk","license":"Авторське право (c) 2024","page":"182-190","source":"jeou.donnu.edu.ua","title":"Теоретичні концепції та моделі соціально відповідального інвестування","author":[{"family":"Шевердін","given":"О. О."}],"issued":{"date-parts":[["2024",9,5]]}}},{"id":590,"uris":["http://zotero.org/users/10910668/items/IQNFFTCG"],"itemData":{"id":590,"type":"article-journal","abstract":"There is a long and varied history associated with the evolution of the concept of Corporate Social Responsibility (CSR). However, a historical review is missing in the academic literature that portrays the evolution of the academic understanding of the concept alongside with the public and international events that influenced the social expectations with regards to corporate behavior. The aim of this paper is to provide a distinctive historical perspective on the evolution of CSR as a conceptual paradigm by reviewing the most relevant factors that have shaped its understanding and definition, such as academic contributions, international policies and significant social and political events. To do so, the method used is a comprehensive literature review that explores the most relevant academic contributions and public events that have influenced the evolutionary process of CSR and how they have done so. The findings show that the understanding of corporate responsibility has evolved from being limited to the generation of profit to include a broader set of responsibilities to the latest belief that the main responsibility of companies should be the generation of shared value. The findings also indicate that as social expectations of corporate behavior changed, so did the concept of Corporate Social Responsibility. The findings suggest that CSR continues to be relevant within the academic literature and can be expected to remain part of the business vocabulary at least in the short term and as a result, the authors present a plausible future for CSR that takes into consideration its historical evolution. Finally, this paper gives way for future academic research to explore how CSR can help address the latest social expectations of generating shared value as a main business objective, which in turn may have practical implications if CSR is implemented with this in mind.","container-title":"International Journal of Corporate Social Responsibility","DOI":"10.1186/s40991-018-0039-y","ISSN":"2366-0066, 2366-0074","issue":"1","journalAbbreviation":"Int J Corporate Soc Responsibility","language":"en","page":"1","source":"DOI.org (Crossref)","title":"A literature review of the history and evolution of corporate social responsibility","volume":"4","author":[{"family":"Latapí Agudelo","given":"Mauricio Andrés"},{"family":"Jóhannsdóttir","given":"Lára"},{"family":"Davídsdóttir","given":"Brynhildur"}],"issued":{"date-parts":[["2019",12]]}},"label":"page"},{"id":593,"uris":["http://zotero.org/users/10910668/items/JYMZSDRJ"],"itemData":{"id":593,"type":"document","title":"Plastun_responsible_investment.pdf","URL":"https://essuir.sumdu.edu.ua/bitstream-download/123456789/94199/1/Plastun_responsible_investment.pdf;jsessionid=184605D57F2F32C5D832728494ADCC9A","accessed":{"date-parts":[["2025",4,28]]}}},{"id":591,"uris":["http://zotero.org/users/10910668/items/T637VRL7"],"itemData":{"id":591,"type":"article-journal","container-title":"The Journal of Impact and ESG Investing","DOI":"10.3905/jesg.2020.1.1.010","journalAbbreviation":"The Journal of Impact and ESG Investing","page":"10-25","source":"ResearchGate","title":"From SRI to ESG: The Origins of Socially Responsible and Sustainable Investing","title-short":"From SRI to ESG","volume":"1","author":[{"family":"Townsend","given":"Blaine"}],"issued":{"date-parts":[["2020",8,31]]}}}],"schema":"https://github.com/citation-style-language/schema/raw/master/csl-citation.json"}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[2, 7–10]</w:t>
      </w:r>
      <w:r w:rsidRPr="00913129">
        <w:rPr>
          <w:color w:val="000000" w:themeColor="text1"/>
          <w:sz w:val="28"/>
          <w:szCs w:val="28"/>
          <w:lang w:val="uk-UA"/>
        </w:rPr>
        <w:fldChar w:fldCharType="end"/>
      </w:r>
      <w:r w:rsidRPr="00913129">
        <w:rPr>
          <w:color w:val="000000" w:themeColor="text1"/>
          <w:sz w:val="28"/>
          <w:szCs w:val="28"/>
          <w:lang w:val="uk-UA"/>
        </w:rPr>
        <w:t xml:space="preserve">. </w:t>
      </w:r>
    </w:p>
    <w:p w14:paraId="0F9CE5CC" w14:textId="6EBE6883" w:rsidR="00AA0E17" w:rsidRPr="00913129" w:rsidRDefault="00CC3642" w:rsidP="00261DCA">
      <w:pPr>
        <w:spacing w:line="360" w:lineRule="auto"/>
        <w:ind w:right="-2" w:firstLine="851"/>
        <w:jc w:val="both"/>
        <w:rPr>
          <w:color w:val="000000" w:themeColor="text1"/>
          <w:sz w:val="28"/>
          <w:szCs w:val="28"/>
          <w:lang w:val="uk-UA"/>
        </w:rPr>
      </w:pPr>
      <w:r w:rsidRPr="00913129">
        <w:rPr>
          <w:color w:val="000000" w:themeColor="text1"/>
          <w:sz w:val="28"/>
          <w:szCs w:val="28"/>
          <w:lang w:val="uk-UA"/>
        </w:rPr>
        <w:t>За визначенням</w:t>
      </w:r>
      <w:r w:rsidR="00AA0E17" w:rsidRPr="00913129">
        <w:rPr>
          <w:color w:val="000000" w:themeColor="text1"/>
          <w:sz w:val="28"/>
          <w:szCs w:val="28"/>
          <w:lang w:val="uk-UA"/>
        </w:rPr>
        <w:t xml:space="preserve"> ОЕСР ефективна інтеграція ESG-факторів у інвестиційні стратегії ґрунтується на п</w:t>
      </w:r>
      <w:r w:rsidR="00340D11" w:rsidRPr="00913129">
        <w:rPr>
          <w:color w:val="000000" w:themeColor="text1"/>
          <w:sz w:val="28"/>
          <w:szCs w:val="28"/>
          <w:lang w:val="uk-UA"/>
        </w:rPr>
        <w:t>’</w:t>
      </w:r>
      <w:r w:rsidR="00AA0E17" w:rsidRPr="00913129">
        <w:rPr>
          <w:color w:val="000000" w:themeColor="text1"/>
          <w:sz w:val="28"/>
          <w:szCs w:val="28"/>
          <w:lang w:val="uk-UA"/>
        </w:rPr>
        <w:t>яти фундаментальних принципах:</w:t>
      </w:r>
    </w:p>
    <w:p w14:paraId="11287431" w14:textId="4639709E" w:rsidR="00AA0E17" w:rsidRPr="00913129" w:rsidRDefault="00AA0E17" w:rsidP="00261DCA">
      <w:pPr>
        <w:numPr>
          <w:ilvl w:val="0"/>
          <w:numId w:val="6"/>
        </w:numPr>
        <w:spacing w:line="360" w:lineRule="auto"/>
        <w:ind w:left="0" w:right="-2" w:firstLine="851"/>
        <w:jc w:val="both"/>
        <w:rPr>
          <w:color w:val="000000" w:themeColor="text1"/>
          <w:sz w:val="28"/>
          <w:szCs w:val="28"/>
          <w:lang w:val="uk-UA"/>
        </w:rPr>
      </w:pPr>
      <w:r w:rsidRPr="00913129">
        <w:rPr>
          <w:rStyle w:val="ac"/>
          <w:rFonts w:eastAsiaTheme="majorEastAsia"/>
          <w:b w:val="0"/>
          <w:bCs w:val="0"/>
          <w:color w:val="000000" w:themeColor="text1"/>
          <w:sz w:val="28"/>
          <w:szCs w:val="28"/>
          <w:lang w:val="uk-UA"/>
        </w:rPr>
        <w:t>Принцип системної інтеграції ESG-факторів</w:t>
      </w:r>
      <w:r w:rsidR="00CC3642" w:rsidRPr="00913129">
        <w:rPr>
          <w:rStyle w:val="ac"/>
          <w:rFonts w:eastAsiaTheme="majorEastAsia"/>
          <w:b w:val="0"/>
          <w:bCs w:val="0"/>
          <w:color w:val="000000" w:themeColor="text1"/>
          <w:sz w:val="28"/>
          <w:szCs w:val="28"/>
          <w:lang w:val="uk-UA"/>
        </w:rPr>
        <w:t>, який</w:t>
      </w:r>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полягає у послідовному врахуванні екологічних, соціальних та управлінських аспектів на всіх етапах інвестиційного аналізу й прийняття рішень. Реалізація цього принципу вимагає розробки відповідних методологій, які забезпечують оцінку довгострокових нефінансових ризиків і можливостей поряд із традиційними фінансовими показниками;</w:t>
      </w:r>
    </w:p>
    <w:p w14:paraId="57FE2E4D" w14:textId="58721FDD" w:rsidR="00AA0E17" w:rsidRPr="00913129" w:rsidRDefault="00AA0E17" w:rsidP="00261DCA">
      <w:pPr>
        <w:numPr>
          <w:ilvl w:val="0"/>
          <w:numId w:val="6"/>
        </w:numPr>
        <w:spacing w:line="360" w:lineRule="auto"/>
        <w:ind w:left="0" w:right="-2" w:firstLine="851"/>
        <w:jc w:val="both"/>
        <w:rPr>
          <w:color w:val="000000" w:themeColor="text1"/>
          <w:sz w:val="28"/>
          <w:szCs w:val="28"/>
          <w:lang w:val="uk-UA"/>
        </w:rPr>
      </w:pPr>
      <w:r w:rsidRPr="00913129">
        <w:rPr>
          <w:rStyle w:val="ac"/>
          <w:rFonts w:eastAsiaTheme="majorEastAsia"/>
          <w:b w:val="0"/>
          <w:bCs w:val="0"/>
          <w:color w:val="000000" w:themeColor="text1"/>
          <w:sz w:val="28"/>
          <w:szCs w:val="28"/>
          <w:lang w:val="uk-UA"/>
        </w:rPr>
        <w:t>Принцип активного власництва</w:t>
      </w:r>
      <w:r w:rsidR="00CC3642" w:rsidRPr="00913129">
        <w:rPr>
          <w:rStyle w:val="ac"/>
          <w:rFonts w:eastAsiaTheme="majorEastAsia"/>
          <w:b w:val="0"/>
          <w:bCs w:val="0"/>
          <w:color w:val="000000" w:themeColor="text1"/>
          <w:sz w:val="28"/>
          <w:szCs w:val="28"/>
          <w:lang w:val="uk-UA"/>
        </w:rPr>
        <w:t>, який</w:t>
      </w:r>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передбачає здійснення інвесторами ролі відповідальних акціонерів шляхом безпосередньої взаємодії з компаніями, ініціювання або підтримки ESG-резолюцій на загальних зборах акціонерів, а також участі у голосуванні щодо рішень, спрямованих на підвищення екологічних та соціальних стандартів корпоративної діяльності;</w:t>
      </w:r>
    </w:p>
    <w:p w14:paraId="4D432A25" w14:textId="421450F5" w:rsidR="00AA0E17" w:rsidRPr="00913129" w:rsidRDefault="00AA0E17" w:rsidP="00261DCA">
      <w:pPr>
        <w:numPr>
          <w:ilvl w:val="0"/>
          <w:numId w:val="6"/>
        </w:numPr>
        <w:spacing w:line="360" w:lineRule="auto"/>
        <w:ind w:left="0" w:right="-2" w:firstLine="851"/>
        <w:jc w:val="both"/>
        <w:rPr>
          <w:color w:val="000000" w:themeColor="text1"/>
          <w:sz w:val="28"/>
          <w:szCs w:val="28"/>
          <w:lang w:val="uk-UA"/>
        </w:rPr>
      </w:pPr>
      <w:r w:rsidRPr="00913129">
        <w:rPr>
          <w:rStyle w:val="ac"/>
          <w:rFonts w:eastAsiaTheme="majorEastAsia"/>
          <w:b w:val="0"/>
          <w:bCs w:val="0"/>
          <w:color w:val="000000" w:themeColor="text1"/>
          <w:sz w:val="28"/>
          <w:szCs w:val="28"/>
          <w:lang w:val="uk-UA"/>
        </w:rPr>
        <w:lastRenderedPageBreak/>
        <w:t>Принцип співпраці та координації</w:t>
      </w:r>
      <w:r w:rsidR="0052616F" w:rsidRPr="00913129">
        <w:rPr>
          <w:rStyle w:val="ac"/>
          <w:rFonts w:eastAsiaTheme="majorEastAsia"/>
          <w:b w:val="0"/>
          <w:bCs w:val="0"/>
          <w:color w:val="000000" w:themeColor="text1"/>
          <w:sz w:val="28"/>
          <w:szCs w:val="28"/>
          <w:lang w:val="uk-UA"/>
        </w:rPr>
        <w:t>, що</w:t>
      </w:r>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 xml:space="preserve">передбачає консолідацію зусиль декількох інвесторів з метою спільного впливу на корпоративну поведінку або регуляторне середовище, зокрема шляхом підписання спільних ініціатив чи участі в галузевих </w:t>
      </w:r>
      <w:r w:rsidR="00CC3642" w:rsidRPr="00913129">
        <w:rPr>
          <w:color w:val="000000" w:themeColor="text1"/>
          <w:sz w:val="28"/>
          <w:szCs w:val="28"/>
          <w:lang w:val="uk-UA"/>
        </w:rPr>
        <w:t>ініціативах</w:t>
      </w:r>
      <w:r w:rsidRPr="00913129">
        <w:rPr>
          <w:color w:val="000000" w:themeColor="text1"/>
          <w:sz w:val="28"/>
          <w:szCs w:val="28"/>
          <w:lang w:val="uk-UA"/>
        </w:rPr>
        <w:t>. Така взаємодія сприяє підвищенню ефективності окремих дій та поширенню практик у сфері інвестування</w:t>
      </w:r>
      <w:r w:rsidR="00CC3642" w:rsidRPr="00913129">
        <w:rPr>
          <w:color w:val="000000" w:themeColor="text1"/>
          <w:sz w:val="28"/>
          <w:szCs w:val="28"/>
          <w:lang w:val="uk-UA"/>
        </w:rPr>
        <w:t>;</w:t>
      </w:r>
    </w:p>
    <w:p w14:paraId="24B4B60B" w14:textId="2934B447" w:rsidR="00AA0E17" w:rsidRPr="00913129" w:rsidRDefault="00AA0E17" w:rsidP="00261DCA">
      <w:pPr>
        <w:numPr>
          <w:ilvl w:val="0"/>
          <w:numId w:val="6"/>
        </w:numPr>
        <w:spacing w:line="360" w:lineRule="auto"/>
        <w:ind w:left="0" w:right="-2" w:firstLine="851"/>
        <w:jc w:val="both"/>
        <w:rPr>
          <w:color w:val="000000" w:themeColor="text1"/>
          <w:sz w:val="28"/>
          <w:szCs w:val="28"/>
          <w:lang w:val="uk-UA"/>
        </w:rPr>
      </w:pPr>
      <w:r w:rsidRPr="00913129">
        <w:rPr>
          <w:rStyle w:val="ac"/>
          <w:rFonts w:eastAsiaTheme="majorEastAsia"/>
          <w:b w:val="0"/>
          <w:bCs w:val="0"/>
          <w:color w:val="000000" w:themeColor="text1"/>
          <w:sz w:val="28"/>
          <w:szCs w:val="28"/>
          <w:lang w:val="uk-UA"/>
        </w:rPr>
        <w:t>Принцип прозорості та уніфікованого звітування</w:t>
      </w:r>
      <w:r w:rsidR="0052616F" w:rsidRPr="00913129">
        <w:rPr>
          <w:rStyle w:val="ac"/>
          <w:rFonts w:eastAsiaTheme="majorEastAsia"/>
          <w:b w:val="0"/>
          <w:bCs w:val="0"/>
          <w:color w:val="000000" w:themeColor="text1"/>
          <w:sz w:val="28"/>
          <w:szCs w:val="28"/>
          <w:lang w:val="uk-UA"/>
        </w:rPr>
        <w:t>,</w:t>
      </w:r>
      <w:r w:rsidR="003E5626" w:rsidRPr="00913129">
        <w:rPr>
          <w:rStyle w:val="ac"/>
          <w:rFonts w:eastAsiaTheme="majorEastAsia"/>
          <w:b w:val="0"/>
          <w:bCs w:val="0"/>
          <w:color w:val="000000" w:themeColor="text1"/>
          <w:sz w:val="28"/>
          <w:szCs w:val="28"/>
          <w:lang w:val="uk-UA"/>
        </w:rPr>
        <w:t xml:space="preserve"> </w:t>
      </w:r>
      <w:r w:rsidR="0052616F" w:rsidRPr="00913129">
        <w:rPr>
          <w:rStyle w:val="ac"/>
          <w:rFonts w:eastAsiaTheme="majorEastAsia"/>
          <w:b w:val="0"/>
          <w:bCs w:val="0"/>
          <w:color w:val="000000" w:themeColor="text1"/>
          <w:sz w:val="28"/>
          <w:szCs w:val="28"/>
          <w:lang w:val="uk-UA"/>
        </w:rPr>
        <w:t>який</w:t>
      </w:r>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вимагає відкритості щодо застосовуваних підходів до оцінки ESG-факторів, а також регулярного оприлюднення результатів інтеграції нефінансових показників у звітність. Звіти мають відповідати загальновизнаним стандартам</w:t>
      </w:r>
      <w:r w:rsidR="00CC3642" w:rsidRPr="00913129">
        <w:rPr>
          <w:color w:val="000000" w:themeColor="text1"/>
          <w:sz w:val="28"/>
          <w:szCs w:val="28"/>
          <w:lang w:val="uk-UA"/>
        </w:rPr>
        <w:t>;</w:t>
      </w:r>
    </w:p>
    <w:p w14:paraId="43B88D5A" w14:textId="4B8E9EAD" w:rsidR="00AA0E17" w:rsidRPr="00913129" w:rsidRDefault="00AA0E17" w:rsidP="00261DCA">
      <w:pPr>
        <w:numPr>
          <w:ilvl w:val="0"/>
          <w:numId w:val="6"/>
        </w:numPr>
        <w:spacing w:line="360" w:lineRule="auto"/>
        <w:ind w:left="0" w:right="-2" w:firstLine="851"/>
        <w:jc w:val="both"/>
        <w:rPr>
          <w:color w:val="000000" w:themeColor="text1"/>
          <w:sz w:val="28"/>
          <w:szCs w:val="28"/>
          <w:lang w:val="uk-UA"/>
        </w:rPr>
      </w:pPr>
      <w:r w:rsidRPr="00913129">
        <w:rPr>
          <w:rStyle w:val="ac"/>
          <w:rFonts w:eastAsiaTheme="majorEastAsia"/>
          <w:b w:val="0"/>
          <w:bCs w:val="0"/>
          <w:color w:val="000000" w:themeColor="text1"/>
          <w:sz w:val="28"/>
          <w:szCs w:val="28"/>
          <w:lang w:val="uk-UA"/>
        </w:rPr>
        <w:t>Принцип узгодження з цілями сталого розвитку</w:t>
      </w:r>
      <w:r w:rsidR="003E5626" w:rsidRPr="00913129">
        <w:rPr>
          <w:rStyle w:val="ac"/>
          <w:rFonts w:eastAsiaTheme="majorEastAsia"/>
          <w:b w:val="0"/>
          <w:bCs w:val="0"/>
          <w:color w:val="000000" w:themeColor="text1"/>
          <w:sz w:val="28"/>
          <w:szCs w:val="28"/>
          <w:lang w:val="uk-UA"/>
        </w:rPr>
        <w:t>, що</w:t>
      </w:r>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 xml:space="preserve">передбачає інтеграцію інвестиційних стратегій із національними та міжнародними цілями сталого розвитку, що дозволяє чітко ідентифікувати внесок інвестиційної діяльності у досягнення суспільно значущих результатів, таких як зменшення шкідливих викидів та підвищення якості життя населення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{"citationID":"BJVO5rBh","properties":{"formattedCitation":"\\super [10]\\nosupersub{}","plainCitation":"[10]","noteIndex":0},"citationItems":[{"id":596,"uris":["http://zotero.org/users/10910668/items/IXX4YJMH"],"itemData":{"id":596,"type":"webpage","abstract":"This report provides an overview of concepts, assessments, and conducts quantitative analysis to shed light on both the progress and challenges with respect to the current state of ESG investing. It highlights the wide variety of metrics, methodologies, and approaches that, while valid, contribute to disparate outcomes, adding to a range of ESG investment practices that, in aggregate, arrive at an industry consensus on the performance of high-ESG portfolios, which may remain open to interpretation.","container-title":"OECD","language":"en","title":"ESG Investing: Practices, Progress and Challenges","title-short":"ESG Investing","URL":"https://www.oecd.org/en/publications/esg-investing-practices-progress-and-challenges_b4f71091-en.html","accessed":{"date-parts":[["2025",4,29]]},"issued":{"date-parts":[["2020",9,24]]}}}],"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[10]</w:t>
      </w:r>
      <w:r w:rsidRPr="00913129">
        <w:rPr>
          <w:color w:val="000000" w:themeColor="text1"/>
          <w:sz w:val="28"/>
          <w:szCs w:val="28"/>
          <w:lang w:val="uk-UA"/>
        </w:rPr>
        <w:fldChar w:fldCharType="end"/>
      </w:r>
      <w:r w:rsidRPr="00913129">
        <w:rPr>
          <w:color w:val="000000" w:themeColor="text1"/>
          <w:sz w:val="28"/>
          <w:szCs w:val="28"/>
          <w:lang w:val="uk-UA"/>
        </w:rPr>
        <w:t>.</w:t>
      </w:r>
    </w:p>
    <w:p w14:paraId="1A1388DE" w14:textId="77777777" w:rsidR="00AA0E17" w:rsidRPr="00913129" w:rsidRDefault="00AA0E17" w:rsidP="00261DCA">
      <w:pPr>
        <w:spacing w:line="360" w:lineRule="auto"/>
        <w:ind w:right="-2" w:firstLine="851"/>
        <w:jc w:val="both"/>
        <w:rPr>
          <w:color w:val="000000" w:themeColor="text1"/>
          <w:sz w:val="28"/>
          <w:szCs w:val="28"/>
          <w:lang w:val="uk-UA"/>
        </w:rPr>
      </w:pPr>
      <w:r w:rsidRPr="00913129">
        <w:rPr>
          <w:color w:val="000000" w:themeColor="text1"/>
          <w:sz w:val="28"/>
          <w:szCs w:val="28"/>
          <w:lang w:val="uk-UA"/>
        </w:rPr>
        <w:t>У сукупності ці принципи відображають провідні підходи до сталого інвестування та сприяють поширенню прозорих, ефективних і соціально відповідальних практик у фінансовому секторі. Їх дотримання дозволяє інвесторам мінімізувати нефінансові ризики та водночас підвищувати позитивний вплив інвестицій на довкілля та суспільство.</w:t>
      </w:r>
    </w:p>
    <w:p w14:paraId="7A7677F3" w14:textId="77777777" w:rsidR="00AA0E17" w:rsidRPr="00913129" w:rsidRDefault="00AA0E17" w:rsidP="00261DCA">
      <w:pPr>
        <w:spacing w:line="360" w:lineRule="auto"/>
        <w:ind w:right="-2" w:firstLine="851"/>
        <w:jc w:val="both"/>
        <w:rPr>
          <w:color w:val="000000"/>
          <w:sz w:val="28"/>
          <w:szCs w:val="28"/>
          <w:lang w:val="uk-UA"/>
        </w:rPr>
      </w:pPr>
    </w:p>
    <w:p w14:paraId="6AC54A81" w14:textId="77777777" w:rsidR="0017649D" w:rsidRPr="00913129" w:rsidRDefault="0017649D" w:rsidP="00261DCA">
      <w:pPr>
        <w:spacing w:line="360" w:lineRule="auto"/>
        <w:ind w:right="-2" w:firstLine="851"/>
        <w:jc w:val="both"/>
        <w:rPr>
          <w:color w:val="000000"/>
          <w:sz w:val="28"/>
          <w:szCs w:val="28"/>
          <w:lang w:val="uk-UA"/>
        </w:rPr>
      </w:pPr>
    </w:p>
    <w:p w14:paraId="35152F3B" w14:textId="596392D9" w:rsidR="00AA0E17" w:rsidRPr="00913129" w:rsidRDefault="00AA0E17" w:rsidP="00261DCA">
      <w:pPr>
        <w:spacing w:line="360" w:lineRule="auto"/>
        <w:ind w:right="-2" w:firstLine="851"/>
        <w:jc w:val="both"/>
        <w:outlineLvl w:val="2"/>
        <w:rPr>
          <w:b/>
          <w:bCs/>
          <w:color w:val="000000"/>
          <w:sz w:val="28"/>
          <w:szCs w:val="28"/>
          <w:lang w:val="uk-UA"/>
        </w:rPr>
      </w:pPr>
      <w:r w:rsidRPr="00913129">
        <w:rPr>
          <w:b/>
          <w:bCs/>
          <w:color w:val="000000"/>
          <w:sz w:val="28"/>
          <w:szCs w:val="28"/>
          <w:lang w:val="uk-UA"/>
        </w:rPr>
        <w:t>1.2 Теоретичні підходи та типологія соціально відповідального інвестування</w:t>
      </w:r>
    </w:p>
    <w:p w14:paraId="706EECF7" w14:textId="77777777" w:rsidR="0017649D" w:rsidRPr="00913129" w:rsidRDefault="0017649D" w:rsidP="00261DCA">
      <w:pPr>
        <w:spacing w:line="360" w:lineRule="auto"/>
        <w:ind w:right="-2" w:firstLine="851"/>
        <w:jc w:val="both"/>
        <w:outlineLvl w:val="2"/>
        <w:rPr>
          <w:b/>
          <w:bCs/>
          <w:color w:val="000000"/>
          <w:sz w:val="28"/>
          <w:szCs w:val="28"/>
          <w:lang w:val="uk-UA"/>
        </w:rPr>
      </w:pPr>
    </w:p>
    <w:p w14:paraId="08C1BCB5" w14:textId="418A2545" w:rsidR="00AA0E17" w:rsidRPr="00913129" w:rsidRDefault="00AA0E17" w:rsidP="00261DCA">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Соціально відповідальне інвестування у сучасних дослідженнях розглядається як складна система прийняття інвестиційних рішень, що ґрунтується не лише на класичних фінансових критеріях прибутковості та ризику, але й на нефінансових параметрах, зокрема екологічних, соціальних та управлінських аспектах. Протягом останніх десятиліть у науковій літературі сформувався широкий спектр підходів до пояснення мотивацій, моделей </w:t>
      </w:r>
      <w:r w:rsidRPr="00913129">
        <w:rPr>
          <w:color w:val="000000"/>
          <w:sz w:val="28"/>
          <w:szCs w:val="28"/>
          <w:lang w:val="uk-UA"/>
        </w:rPr>
        <w:lastRenderedPageBreak/>
        <w:t>поведінки та очікуваних результатів учасників ринку, що обирають стратегії СВІ. Серед них особливу роль відіграють як класичні теорії корпоративного управління, так і сучасні концепції, розроблені спеціально для аналізу ESG-факторів у фінансах.</w:t>
      </w:r>
    </w:p>
    <w:p w14:paraId="0B71302B" w14:textId="77777777" w:rsidR="00AA0E17" w:rsidRPr="00913129" w:rsidRDefault="00AA0E17" w:rsidP="00261DCA">
      <w:pPr>
        <w:pStyle w:val="ae"/>
        <w:spacing w:before="0" w:beforeAutospacing="0" w:after="0" w:afterAutospacing="0" w:line="360" w:lineRule="auto"/>
        <w:ind w:right="-2" w:firstLine="851"/>
        <w:jc w:val="right"/>
        <w:rPr>
          <w:color w:val="000000"/>
          <w:sz w:val="28"/>
          <w:szCs w:val="28"/>
          <w:lang w:val="uk-UA"/>
        </w:rPr>
      </w:pPr>
      <w:r w:rsidRPr="00913129">
        <w:rPr>
          <w:color w:val="000000"/>
          <w:sz w:val="28"/>
          <w:szCs w:val="28"/>
          <w:lang w:val="uk-UA"/>
        </w:rPr>
        <w:t>Таблиця 1.1</w:t>
      </w:r>
    </w:p>
    <w:p w14:paraId="10518EE2" w14:textId="77777777" w:rsidR="00AA0E17" w:rsidRPr="00913129" w:rsidRDefault="00AA0E17" w:rsidP="00261DCA">
      <w:pPr>
        <w:pStyle w:val="ae"/>
        <w:spacing w:before="0" w:beforeAutospacing="0" w:after="0" w:afterAutospacing="0" w:line="360" w:lineRule="auto"/>
        <w:ind w:right="-2"/>
        <w:jc w:val="center"/>
        <w:rPr>
          <w:color w:val="000000"/>
          <w:sz w:val="28"/>
          <w:szCs w:val="28"/>
          <w:lang w:val="uk-UA"/>
        </w:rPr>
      </w:pPr>
      <w:r w:rsidRPr="00913129">
        <w:rPr>
          <w:color w:val="000000"/>
          <w:sz w:val="28"/>
          <w:szCs w:val="28"/>
          <w:lang w:val="uk-UA"/>
        </w:rPr>
        <w:t>Основні теорії соціально відповідального інвестування</w:t>
      </w:r>
    </w:p>
    <w:tbl>
      <w:tblPr>
        <w:tblStyle w:val="af"/>
        <w:tblW w:w="0" w:type="auto"/>
        <w:tblLook w:val="04A0" w:firstRow="1" w:lastRow="0" w:firstColumn="1" w:lastColumn="0" w:noHBand="0" w:noVBand="1"/>
      </w:tblPr>
      <w:tblGrid>
        <w:gridCol w:w="3681"/>
        <w:gridCol w:w="5663"/>
      </w:tblGrid>
      <w:tr w:rsidR="00AA0E17" w:rsidRPr="00913129" w14:paraId="621DAC42" w14:textId="77777777" w:rsidTr="00D66D29">
        <w:tc>
          <w:tcPr>
            <w:tcW w:w="3681" w:type="dxa"/>
            <w:vAlign w:val="center"/>
            <w:hideMark/>
          </w:tcPr>
          <w:p w14:paraId="23E31C7D" w14:textId="77777777" w:rsidR="00AA0E17" w:rsidRPr="00913129" w:rsidRDefault="00AA0E17" w:rsidP="001D63D0">
            <w:pPr>
              <w:spacing w:before="60" w:after="60"/>
              <w:ind w:right="-2"/>
              <w:jc w:val="center"/>
              <w:rPr>
                <w:color w:val="000000"/>
                <w:lang w:val="uk-UA"/>
              </w:rPr>
            </w:pPr>
            <w:r w:rsidRPr="00913129">
              <w:rPr>
                <w:color w:val="000000"/>
                <w:lang w:val="uk-UA"/>
              </w:rPr>
              <w:t>Теорія</w:t>
            </w:r>
          </w:p>
        </w:tc>
        <w:tc>
          <w:tcPr>
            <w:tcW w:w="5663" w:type="dxa"/>
            <w:vAlign w:val="center"/>
            <w:hideMark/>
          </w:tcPr>
          <w:p w14:paraId="5AC8BD94" w14:textId="77777777" w:rsidR="00AA0E17" w:rsidRPr="00913129" w:rsidRDefault="00AA0E17" w:rsidP="001D63D0">
            <w:pPr>
              <w:spacing w:before="60" w:after="60"/>
              <w:ind w:right="-2"/>
              <w:jc w:val="center"/>
              <w:rPr>
                <w:color w:val="000000"/>
                <w:lang w:val="uk-UA"/>
              </w:rPr>
            </w:pPr>
            <w:r w:rsidRPr="00913129">
              <w:rPr>
                <w:color w:val="000000"/>
                <w:lang w:val="uk-UA"/>
              </w:rPr>
              <w:t>Ключова ідея</w:t>
            </w:r>
          </w:p>
        </w:tc>
      </w:tr>
      <w:tr w:rsidR="00AA0E17" w:rsidRPr="00913129" w14:paraId="07319ADF" w14:textId="77777777" w:rsidTr="00D66D29">
        <w:tc>
          <w:tcPr>
            <w:tcW w:w="3681" w:type="dxa"/>
            <w:vAlign w:val="center"/>
            <w:hideMark/>
          </w:tcPr>
          <w:p w14:paraId="2766437C" w14:textId="77777777" w:rsidR="00AA0E17" w:rsidRPr="00913129" w:rsidRDefault="00AA0E17" w:rsidP="001D63D0">
            <w:pPr>
              <w:spacing w:before="60" w:after="60"/>
              <w:ind w:right="-2"/>
              <w:jc w:val="both"/>
              <w:rPr>
                <w:color w:val="000000"/>
                <w:lang w:val="uk-UA"/>
              </w:rPr>
            </w:pPr>
            <w:r w:rsidRPr="00913129">
              <w:rPr>
                <w:color w:val="000000"/>
                <w:lang w:val="uk-UA"/>
              </w:rPr>
              <w:t>Теорія зацікавлених сторін</w:t>
            </w:r>
          </w:p>
        </w:tc>
        <w:tc>
          <w:tcPr>
            <w:tcW w:w="5663" w:type="dxa"/>
            <w:vAlign w:val="center"/>
            <w:hideMark/>
          </w:tcPr>
          <w:p w14:paraId="1937A7EB" w14:textId="77E2B5B8" w:rsidR="00AA0E17" w:rsidRPr="00913129" w:rsidRDefault="00AA0E17" w:rsidP="001D63D0">
            <w:pPr>
              <w:spacing w:before="60" w:after="60"/>
              <w:ind w:right="-2"/>
              <w:jc w:val="both"/>
              <w:rPr>
                <w:color w:val="000000"/>
                <w:lang w:val="uk-UA"/>
              </w:rPr>
            </w:pPr>
            <w:r w:rsidRPr="00913129">
              <w:rPr>
                <w:color w:val="000000"/>
                <w:lang w:val="uk-UA"/>
              </w:rPr>
              <w:t>Орієнтація компанії на інтереси всіх стейкхолдерів, а не лише акціонерів</w:t>
            </w:r>
          </w:p>
        </w:tc>
      </w:tr>
      <w:tr w:rsidR="00AA0E17" w:rsidRPr="00913129" w14:paraId="420AAE6D" w14:textId="77777777" w:rsidTr="00D66D29">
        <w:tc>
          <w:tcPr>
            <w:tcW w:w="3681" w:type="dxa"/>
            <w:vAlign w:val="center"/>
            <w:hideMark/>
          </w:tcPr>
          <w:p w14:paraId="150F0ED8" w14:textId="77777777" w:rsidR="00AA0E17" w:rsidRPr="00913129" w:rsidRDefault="00AA0E17" w:rsidP="001D63D0">
            <w:pPr>
              <w:spacing w:before="60" w:after="60"/>
              <w:ind w:right="-2"/>
              <w:jc w:val="both"/>
              <w:rPr>
                <w:color w:val="000000"/>
                <w:lang w:val="uk-UA"/>
              </w:rPr>
            </w:pPr>
            <w:r w:rsidRPr="00913129">
              <w:rPr>
                <w:color w:val="000000"/>
                <w:lang w:val="uk-UA"/>
              </w:rPr>
              <w:t>Теорія легітимності</w:t>
            </w:r>
          </w:p>
        </w:tc>
        <w:tc>
          <w:tcPr>
            <w:tcW w:w="5663" w:type="dxa"/>
            <w:vAlign w:val="center"/>
            <w:hideMark/>
          </w:tcPr>
          <w:p w14:paraId="7DB91FEC" w14:textId="4F623EB1" w:rsidR="00AA0E17" w:rsidRPr="00913129" w:rsidRDefault="00AA0E17" w:rsidP="001D63D0">
            <w:pPr>
              <w:spacing w:before="60" w:after="60"/>
              <w:ind w:right="-2"/>
              <w:jc w:val="both"/>
              <w:rPr>
                <w:color w:val="000000"/>
                <w:lang w:val="uk-UA"/>
              </w:rPr>
            </w:pPr>
            <w:r w:rsidRPr="00913129">
              <w:rPr>
                <w:color w:val="000000"/>
                <w:lang w:val="uk-UA"/>
              </w:rPr>
              <w:t>Підтримка суспільної довіри через прозору діяльність і ESG-звітність</w:t>
            </w:r>
          </w:p>
        </w:tc>
      </w:tr>
      <w:tr w:rsidR="00AA0E17" w:rsidRPr="00913129" w14:paraId="13DCAEAE" w14:textId="77777777" w:rsidTr="00D66D29">
        <w:tc>
          <w:tcPr>
            <w:tcW w:w="3681" w:type="dxa"/>
            <w:vAlign w:val="center"/>
            <w:hideMark/>
          </w:tcPr>
          <w:p w14:paraId="2ED251A8" w14:textId="77777777" w:rsidR="00AA0E17" w:rsidRPr="00913129" w:rsidRDefault="00AA0E17" w:rsidP="001D63D0">
            <w:pPr>
              <w:spacing w:before="60" w:after="60"/>
              <w:ind w:right="-2"/>
              <w:jc w:val="both"/>
              <w:rPr>
                <w:color w:val="000000"/>
                <w:lang w:val="uk-UA"/>
              </w:rPr>
            </w:pPr>
            <w:r w:rsidRPr="00913129">
              <w:rPr>
                <w:color w:val="000000"/>
                <w:lang w:val="uk-UA"/>
              </w:rPr>
              <w:t>Агентська теорія</w:t>
            </w:r>
          </w:p>
        </w:tc>
        <w:tc>
          <w:tcPr>
            <w:tcW w:w="5663" w:type="dxa"/>
            <w:vAlign w:val="center"/>
            <w:hideMark/>
          </w:tcPr>
          <w:p w14:paraId="55936D80" w14:textId="070BE6E5" w:rsidR="00AA0E17" w:rsidRPr="00913129" w:rsidRDefault="00AA0E17" w:rsidP="001D63D0">
            <w:pPr>
              <w:spacing w:before="60" w:after="60"/>
              <w:ind w:right="-2"/>
              <w:jc w:val="both"/>
              <w:rPr>
                <w:color w:val="000000"/>
                <w:lang w:val="uk-UA"/>
              </w:rPr>
            </w:pPr>
            <w:r w:rsidRPr="00913129">
              <w:rPr>
                <w:color w:val="000000"/>
                <w:lang w:val="uk-UA"/>
              </w:rPr>
              <w:t>Зменшення конфліктів між власниками й менеджментом через відповідальну політику</w:t>
            </w:r>
          </w:p>
        </w:tc>
      </w:tr>
      <w:tr w:rsidR="00AA0E17" w:rsidRPr="00913129" w14:paraId="714D1E64" w14:textId="77777777" w:rsidTr="00D66D29">
        <w:tc>
          <w:tcPr>
            <w:tcW w:w="3681" w:type="dxa"/>
            <w:vAlign w:val="center"/>
            <w:hideMark/>
          </w:tcPr>
          <w:p w14:paraId="14260143" w14:textId="77777777" w:rsidR="00AA0E17" w:rsidRPr="00913129" w:rsidRDefault="00AA0E17" w:rsidP="001D63D0">
            <w:pPr>
              <w:spacing w:before="60" w:after="60"/>
              <w:ind w:right="-2"/>
              <w:jc w:val="both"/>
              <w:rPr>
                <w:color w:val="000000"/>
                <w:lang w:val="uk-UA"/>
              </w:rPr>
            </w:pPr>
            <w:r w:rsidRPr="00913129">
              <w:rPr>
                <w:color w:val="000000"/>
                <w:lang w:val="uk-UA"/>
              </w:rPr>
              <w:t>Теорія сигналів</w:t>
            </w:r>
          </w:p>
        </w:tc>
        <w:tc>
          <w:tcPr>
            <w:tcW w:w="5663" w:type="dxa"/>
            <w:vAlign w:val="center"/>
            <w:hideMark/>
          </w:tcPr>
          <w:p w14:paraId="110B15B9" w14:textId="6EA58374" w:rsidR="00AA0E17" w:rsidRPr="00913129" w:rsidRDefault="00AA0E17" w:rsidP="001D63D0">
            <w:pPr>
              <w:spacing w:before="60" w:after="60"/>
              <w:ind w:right="-2"/>
              <w:jc w:val="both"/>
              <w:rPr>
                <w:color w:val="000000"/>
                <w:lang w:val="uk-UA"/>
              </w:rPr>
            </w:pPr>
            <w:r w:rsidRPr="00913129">
              <w:rPr>
                <w:color w:val="000000"/>
                <w:lang w:val="uk-UA"/>
              </w:rPr>
              <w:t>ESG-ініціативи як позитивний сигнал для інвесторів і ринку</w:t>
            </w:r>
          </w:p>
        </w:tc>
      </w:tr>
      <w:tr w:rsidR="00AA0E17" w:rsidRPr="00913129" w14:paraId="1A18F51C" w14:textId="77777777" w:rsidTr="00D66D29">
        <w:tc>
          <w:tcPr>
            <w:tcW w:w="3681" w:type="dxa"/>
            <w:vAlign w:val="center"/>
            <w:hideMark/>
          </w:tcPr>
          <w:p w14:paraId="3693C768" w14:textId="77777777" w:rsidR="00AA0E17" w:rsidRPr="00913129" w:rsidRDefault="00AA0E17" w:rsidP="001D63D0">
            <w:pPr>
              <w:spacing w:before="60" w:after="60"/>
              <w:ind w:right="-2"/>
              <w:jc w:val="both"/>
              <w:rPr>
                <w:color w:val="000000"/>
                <w:lang w:val="uk-UA"/>
              </w:rPr>
            </w:pPr>
            <w:r w:rsidRPr="00913129">
              <w:rPr>
                <w:color w:val="000000"/>
                <w:lang w:val="uk-UA"/>
              </w:rPr>
              <w:t>Теорія фінансової ефективності</w:t>
            </w:r>
          </w:p>
        </w:tc>
        <w:tc>
          <w:tcPr>
            <w:tcW w:w="5663" w:type="dxa"/>
            <w:vAlign w:val="center"/>
            <w:hideMark/>
          </w:tcPr>
          <w:p w14:paraId="5E55BBF8" w14:textId="5EB0F60B" w:rsidR="00AA0E17" w:rsidRPr="00913129" w:rsidRDefault="00AA0E17" w:rsidP="001D63D0">
            <w:pPr>
              <w:spacing w:before="60" w:after="60"/>
              <w:ind w:right="-2"/>
              <w:jc w:val="both"/>
              <w:rPr>
                <w:color w:val="000000"/>
                <w:lang w:val="uk-UA"/>
              </w:rPr>
            </w:pPr>
            <w:r w:rsidRPr="00913129">
              <w:rPr>
                <w:color w:val="000000"/>
                <w:lang w:val="uk-UA"/>
              </w:rPr>
              <w:t>Оцінка впливу ESG/СВІ на ризик, дохідність і стійкість компанії чи портфеля</w:t>
            </w:r>
          </w:p>
        </w:tc>
      </w:tr>
      <w:tr w:rsidR="00AA0E17" w:rsidRPr="00913129" w14:paraId="2516C826" w14:textId="77777777" w:rsidTr="00D66D29">
        <w:tc>
          <w:tcPr>
            <w:tcW w:w="3681" w:type="dxa"/>
            <w:vAlign w:val="center"/>
            <w:hideMark/>
          </w:tcPr>
          <w:p w14:paraId="4A7FE8BF" w14:textId="77777777" w:rsidR="00AA0E17" w:rsidRPr="00913129" w:rsidRDefault="00AA0E17" w:rsidP="001D63D0">
            <w:pPr>
              <w:spacing w:before="60" w:after="60"/>
              <w:ind w:right="-2"/>
              <w:jc w:val="both"/>
              <w:rPr>
                <w:color w:val="000000"/>
                <w:lang w:val="uk-UA"/>
              </w:rPr>
            </w:pPr>
            <w:r w:rsidRPr="00913129">
              <w:rPr>
                <w:color w:val="000000"/>
                <w:lang w:val="uk-UA"/>
              </w:rPr>
              <w:t>Теорія поведінкових фінансів</w:t>
            </w:r>
          </w:p>
        </w:tc>
        <w:tc>
          <w:tcPr>
            <w:tcW w:w="5663" w:type="dxa"/>
            <w:vAlign w:val="center"/>
            <w:hideMark/>
          </w:tcPr>
          <w:p w14:paraId="2810BC5B" w14:textId="45DBFC68" w:rsidR="00AA0E17" w:rsidRPr="00913129" w:rsidRDefault="00AA0E17" w:rsidP="001D63D0">
            <w:pPr>
              <w:spacing w:before="60" w:after="60"/>
              <w:ind w:right="-2"/>
              <w:jc w:val="both"/>
              <w:rPr>
                <w:color w:val="000000"/>
                <w:lang w:val="uk-UA"/>
              </w:rPr>
            </w:pPr>
            <w:r w:rsidRPr="00913129">
              <w:rPr>
                <w:color w:val="000000"/>
                <w:lang w:val="uk-UA"/>
              </w:rPr>
              <w:t>Вибір СВІ під впливом цінностей, етики, моди чи соціального тиску</w:t>
            </w:r>
          </w:p>
        </w:tc>
      </w:tr>
      <w:tr w:rsidR="00AA0E17" w:rsidRPr="00913129" w14:paraId="1929B624" w14:textId="77777777" w:rsidTr="00D66D29">
        <w:tc>
          <w:tcPr>
            <w:tcW w:w="3681" w:type="dxa"/>
            <w:vAlign w:val="center"/>
            <w:hideMark/>
          </w:tcPr>
          <w:p w14:paraId="76093284" w14:textId="43B71F8F" w:rsidR="00AA0E17" w:rsidRPr="00913129" w:rsidRDefault="00AA0E17" w:rsidP="001D63D0">
            <w:pPr>
              <w:spacing w:before="60" w:after="60"/>
              <w:ind w:right="-2"/>
              <w:jc w:val="both"/>
              <w:rPr>
                <w:color w:val="000000"/>
                <w:lang w:val="uk-UA"/>
              </w:rPr>
            </w:pPr>
            <w:r w:rsidRPr="00913129">
              <w:rPr>
                <w:color w:val="000000"/>
                <w:lang w:val="uk-UA"/>
              </w:rPr>
              <w:t>Теорія портфельного управління</w:t>
            </w:r>
          </w:p>
        </w:tc>
        <w:tc>
          <w:tcPr>
            <w:tcW w:w="5663" w:type="dxa"/>
            <w:vAlign w:val="center"/>
            <w:hideMark/>
          </w:tcPr>
          <w:p w14:paraId="59E3F48D" w14:textId="236EF7A7" w:rsidR="00AA0E17" w:rsidRPr="00913129" w:rsidRDefault="00AA0E17" w:rsidP="001D63D0">
            <w:pPr>
              <w:spacing w:before="60" w:after="60"/>
              <w:ind w:right="-2"/>
              <w:jc w:val="both"/>
              <w:rPr>
                <w:color w:val="000000"/>
                <w:lang w:val="uk-UA"/>
              </w:rPr>
            </w:pPr>
            <w:r w:rsidRPr="00913129">
              <w:rPr>
                <w:color w:val="000000"/>
                <w:lang w:val="uk-UA"/>
              </w:rPr>
              <w:t>ESG-фактори як інструмент диверсифікації й зниження ризиків у портфелі</w:t>
            </w:r>
          </w:p>
        </w:tc>
      </w:tr>
    </w:tbl>
    <w:p w14:paraId="703D52A6" w14:textId="6830D1C7" w:rsidR="00AA0E17" w:rsidRPr="00913129" w:rsidRDefault="00AA0E17" w:rsidP="001D63D0">
      <w:pPr>
        <w:pStyle w:val="ae"/>
        <w:spacing w:before="12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Джерело: складено на основі даних </w:t>
      </w:r>
      <w:r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{"citationID":"kBGbLv2T","properties":{"formattedCitation":"\\super [11\\uc0\\u8211{}17]\\nosupersub{}","plainCitation":"[11–17]","noteIndex":0},"citationItems":[{"id":794,"uris":["http://zotero.org/users/10910668/items/5MR6MB67"],"itemData":{"id":794,"type":"article-journal","abstract":"Stakeholder theory calls for effective stakeholder management in the interest of sustainable businesses. Whilst there is a need to redefine ‘stakeholders’, investors (i.e. shareholders) can play an essential role in bringing a paradigm shift in shaping current business practices. In recent times, the ‘Environment, Society and Governance’ (ESG) approach has emerged as an alternative form of investment for key investors seeking change. However, certain deficiencies have been identified when it comes to ESG strategies, which have led to disagreements among sustainable investors. To plug this gap and overcome this challenge, we propose an alternative framework based on sustainable business practices that holistically adds value that is inclusive of all stakeholders. To this end, we conducted semi-structured interviews with social entrepreneurs, academics, and experts from the financial services industry in an emerging country context, namely India. Based on our text analysis of interview data, we propose a ‘Holistic Value Addition’ (HVA) framework of sustainable investment that builds on value-addition by businesses towards its stakeholders. We envisage that adoption of this framework will help sustain the sustainable agenda.","container-title":"International Review of Economics &amp; Finance","DOI":"10.1016/j.iref.2024.103530","ISSN":"1059-0560","journalAbbreviation":"International Review of Economics &amp; Finance","page":"103530","source":"ScienceDirect","title":"From ESG to holistic value addition: Rethinking sustainable investment from the lens of stakeholder theory","title-short":"From ESG to holistic value addition","volume":"96","author":[{"family":"Talan","given":"Gaurav"},{"family":"Sharma","given":"Gagan Deep"},{"family":"Pereira","given":"Vijay"},{"family":"Muschert","given":"Glenn W."}],"issued":{"date-parts":[["2024",11,1]]}}},{"id":792,"uris":["http://zotero.org/users/10910668/items/SIFU6N6J"],"itemData":{"id":792,"type":"article-journal","abstract":"Socially responsible investing (SRI) has gained significant popularity, with investors and institutions increasingly prioritizing sustainability and ethical considerations. However, during crises such as the COVID-19 pandemic and the Russia–Ukraine conflict, investor preferences often shift toward conventional assets, raising the question of whether SRI is a true priority or a luxury for stable markets. This paper investigates the relationship between socially responsible funds (SRFs) and conventional indices (CIs) across different market conditions, assessing whether SRFs maintain their appeal during financial distress. Using data from 2014 to 2024, we identify two volatility regimes via a Hidden Markov model and exploit copula models to assess tail dependence, cointegration tests to examine long-term price relationships, fuzzy clustering to classify assets by risk dynamics, and spillover analysis to measure asset interconnectedness. Our findings show that SRF and CI performance converge in performance during market turmoil, suggesting that SRI loses prominence in unstable conditions. Moreover, systemic, geographic, and issuer-specific risks overshadow ESG-related factors, challenging the notion of SRI as a resilient investment strategy in turbulent markets.","container-title":"Annals of Operations Research","DOI":"10.1007/s10479-025-06613-9","ISSN":"1572-9338","journalAbbreviation":"Ann Oper Res","language":"en","source":"Springer Link","title":"Socially responsible investing: a fair-weather commitment","title-short":"Socially responsible investing","URL":"https://doi.org/10.1007/s10479-025-06613-9","author":[{"family":"Stefanelli","given":"Kevyn"},{"family":"Storani","given":"Saverio"}],"accessed":{"date-parts":[["2025",6,2]]},"issued":{"date-parts":[["2025",5,14]]}}},{"id":790,"uris":["http://zotero.org/users/10910668/items/5GYF9VMF"],"itemData":{"id":790,"type":"article-journal","abstract":"The purpose of this research is to investigate the current state of the literature on environmental, social, and governance (ESG) investing, and study the impact of ESG ratings on firm performance. Corporate sustainability has evolved as a concept and is increasingly being integrated with investment analysis. The present study performs a systematic literature review (SLR) using the theory, context, characteristics, and methodology (TCCM) framework to provide valuable insights and research directions in the context of ESG investing. The review is based on 198 articles published from 2010 to 2022 and follows the scientific procedures and rationales for systematic literature reviews (SPAR-4-SLR) protocol using the Scopus database. Further, the research also re-examines the empirical studies based on ESG as a determinant of firm performance using a meta-analytical approach. The research findings suggest a positive impact of ESG ratings on firm performance. However, an intriguing discovery surfaced when empirical studies were segmented according to the ESG rating methodologies provided by Bloomberg and Thomson Reuters. The purpose of this research is to offer a comprehensive and collective scholarship of the subject by adopting a mixed-method approach. Further, it provides a conceptual framework, thereby linking the various elements of ESG investing and explaining the channels of transmission of ESG translates into value creation for the shareholders. It encompasses extensive research agendas discussing barriers to ESG implementation, the materiality of ESG practices, informativeness of sustainability reporting, sustainability performance, and sustainable underpinnings.","container-title":"Corporate Social Responsibility and Environmental Management","DOI":"10.1002/csr.2982","ISSN":"1535-3966","issue":"1","language":"en","license":"© 2024 The Author(s). Corporate Social Responsibility and Environmental Management published by ERP Environment and John Wiley &amp; Sons Ltd.","note":"_eprint: https://onlinelibrary.wiley.com/doi/pdf/10.1002/csr.2982","page":"1096-1121","source":"Wiley Online Library","title":"ESG investing &amp; firm performance: Retrospections of past &amp; reflections of future","title-short":"ESG investing &amp; firm performance","volume":"32","author":[{"family":"Narula","given":"Radhika"},{"family":"Rao","given":"Purnima"},{"family":"Kumar","given":"Satish"},{"family":"Paltrinieri","given":"Andrea"}],"issued":{"date-parts":[["2025"]]}}},{"id":788,"uris":["http://zotero.org/users/10910668/items/K94YWRXX"],"itemData":{"id":788,"type":"article-journal","abstract":"This paper aims to examine the publication metrics of literature related to the influential aspects of ESG (environmental, social, and governance), SRI (socially responsible investing), ethical, and impact investing on the portfolio and financial performance literature. It also seeks to identify major patterns and core themes in this topic and draw lessons from the past literature for future directions. Data from the SCOPUS database were used in this study. The ‘biblioshiny’ R package, also known as ‘bibliometrix 3.0’, was employed to conduct bibliometric analysis, utilising mapping and clustering techniques on 260 articles, in order to distil the comprehensive knowledge and identify emerging trends in ESG, SRI, ethical, and impact investing. The thematic map classified the ESG, SRI, ethical, impact investing and performance relationship themes into four categories of themes: niche themes (SRI, engagement and ESG), motor themes (corporate financial performance, corporate social performance, ESG, ESG factors, sustainability, performance, integrated reporting, gender diversity, and board size), emerging or declining themes (social responsibility, environmental performance, socially responsible investment, ethical investment, and SRI), and basic or transversal themes (financial performance, corporate social performance, ESG performance, environmental, social, and governance). Socially responsible investing, engagement, and ESG imply a position between niche themes and a highly developed topic/emerging or a decreasing theme, while the impact of COVID-19 on sustainability and financial performance implies a position between a highly developed topic/emerging or decreasing theme and a basic theme. The findings contribute to the enhanced understanding of ESG, SRI, ethical, impact investing and performance, which are crucial for an efficient capital market in promoting sustainability and sustainable development. The study offers vital practical implications and future research directions.","container-title":"Journal of Risk and Financial Management","DOI":"10.3390/jrfm16070321","ISSN":"1911-8074","issue":"7","language":"en","license":"http://creativecommons.org/licenses/by/3.0/","note":"number: 7\npublisher: Multidisciplinary Digital Publishing Institute","page":"321","source":"www.mdpi.com","title":"The Influence of ESG, SRI, Ethical, and Impact Investing Activities on Portfolio and Financial Performance—Bibliometric Analysis/Mapping and Clustering Analysis","volume":"16","author":[{"family":"Marzuki","given":"Ainulashikin"},{"family":"Nor","given":"Fauzias Mat"},{"family":"Ramli","given":"Nur Ainna"},{"family":"Basah","given":"Mohamad Yazis Ali"},{"family":"Aziz","given":"Muhammad Ridhwan Ab"}],"issued":{"date-parts":[["2023",7]]}}},{"id":785,"uris":["http://zotero.org/users/10910668/items/M9XPL8K4"],"itemData":{"id":785,"type":"article","abstract":"The growing interest in sustainable investing calls for an axiomatic approach to measures of risk and reward that focus not only on financial returns, but also on measures of environmental and social sustainability, i.e. environmental, social, and governance (ESG) scores. We propose definitions for ESG-coherent risk measures and ESG reward-risk ratios based on functions of bivariate random variables that are applied to financial returns and ESG scores, extending the traditional univariate measures to the ESG case. We provide examples and present an empirical analysis in which the ESG-coherent risk measures and ESG reward-risk ratios are used to rank stocks.","DOI":"10.48550/arXiv.2309.05866","note":"arXiv:2309.05866 [q-fin]","number":"arXiv:2309.05866","publisher":"arXiv","source":"arXiv.org","title":"ESG-coherent risk measures for sustainable investing","URL":"http://arxiv.org/abs/2309.05866","author":[{"family":"Torri","given":"Gabriele"},{"family":"Giacometti","given":"Rosella"},{"family":"Dentcheva","given":"Darinka"},{"family":"Rachev","given":"Svetlozar T."},{"family":"Lindquist","given":"W. Brent"}],"accessed":{"date-parts":[["2025",6,2]]},"issued":{"date-parts":[["2025",3,24]]}}},{"id":781,"uris":["http://zotero.org/users/10910668/items/HKKEJCVB"],"itemData":{"id":781,"type":"article-journal","abstract":"This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O'"}],"issued":{"date-parts":[["2022"]]}},"label":"page"}],"schema":"https://github.com/citation-style-language/schema/raw/master/csl-citation.json"} </w:instrText>
      </w:r>
      <w:r w:rsidRPr="00913129">
        <w:rPr>
          <w:color w:val="000000"/>
          <w:sz w:val="28"/>
          <w:szCs w:val="28"/>
          <w:lang w:val="uk-UA"/>
        </w:rPr>
        <w:fldChar w:fldCharType="separate"/>
      </w:r>
      <w:r w:rsidR="008B4A9E" w:rsidRPr="00913129">
        <w:rPr>
          <w:color w:val="000000"/>
          <w:sz w:val="28"/>
          <w:lang w:val="uk-UA"/>
        </w:rPr>
        <w:t>[11–17]</w:t>
      </w:r>
      <w:r w:rsidRPr="00913129">
        <w:rPr>
          <w:color w:val="000000"/>
          <w:sz w:val="28"/>
          <w:szCs w:val="28"/>
          <w:lang w:val="uk-UA"/>
        </w:rPr>
        <w:fldChar w:fldCharType="end"/>
      </w:r>
    </w:p>
    <w:p w14:paraId="2A425571" w14:textId="42F43C5F" w:rsidR="00AA0E17" w:rsidRPr="00913129" w:rsidRDefault="00AA0E17" w:rsidP="00C03370">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Відповідно до </w:t>
      </w:r>
      <w:r w:rsidR="00CC3642" w:rsidRPr="00913129">
        <w:rPr>
          <w:color w:val="000000"/>
          <w:sz w:val="28"/>
          <w:szCs w:val="28"/>
          <w:lang w:val="uk-UA"/>
        </w:rPr>
        <w:t>проаналізованих</w:t>
      </w:r>
      <w:r w:rsidRPr="00913129">
        <w:rPr>
          <w:color w:val="000000"/>
          <w:sz w:val="28"/>
          <w:szCs w:val="28"/>
          <w:lang w:val="uk-UA"/>
        </w:rPr>
        <w:t xml:space="preserve"> досліджень, основні теорії СВІ можна розглядати у міждисциплінарному контексті, де поєднуються принципи економіки, етики, поведінкових фінансів і стратегічного менеджменту</w:t>
      </w:r>
      <w:r w:rsidR="00CC3642" w:rsidRPr="00913129">
        <w:rPr>
          <w:color w:val="000000"/>
          <w:sz w:val="28"/>
          <w:szCs w:val="28"/>
          <w:lang w:val="uk-UA"/>
        </w:rPr>
        <w:t xml:space="preserve"> </w:t>
      </w:r>
      <w:r w:rsidR="00CC3642"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{"citationID":"qvuZy2uX","properties":{"formattedCitation":"\\super [16,17]\\nosupersub{}","plainCitation":"[16,17]","noteIndex":0},"citationItems":[{"id":781,"uris":["http://zotero.org/users/10910668/items/HKKEJCVB"],"itemData":{"id":781,"type":"article-journal","abstract":"This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Decision-Making","volume":"20","author":[{"family":"Alhamis","given":"Innocentus"}],"issued":{"date-parts":[["2024",11,17]]}},"label":"page"},{"id":779,"uris":["http://zotero.org/users/10910668/items/XNGDMJBV"],"itemData":{"id":779,"type":"article-journal","abstract":"The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O'"}],"issued":{"date-parts":[["2022"]]}},"label":"page"}],"schema":"https://github.com/citation-style-language/schema/raw/master/csl-citation.json"} </w:instrText>
      </w:r>
      <w:r w:rsidR="00CC3642" w:rsidRPr="00913129">
        <w:rPr>
          <w:color w:val="000000"/>
          <w:sz w:val="28"/>
          <w:szCs w:val="28"/>
          <w:lang w:val="uk-UA"/>
        </w:rPr>
        <w:fldChar w:fldCharType="separate"/>
      </w:r>
      <w:r w:rsidR="008B4A9E" w:rsidRPr="00913129">
        <w:rPr>
          <w:color w:val="000000"/>
          <w:sz w:val="28"/>
          <w:lang w:val="uk-UA"/>
        </w:rPr>
        <w:t>[16,17]</w:t>
      </w:r>
      <w:r w:rsidR="00CC3642" w:rsidRPr="00913129">
        <w:rPr>
          <w:color w:val="000000"/>
          <w:sz w:val="28"/>
          <w:szCs w:val="28"/>
          <w:lang w:val="uk-UA"/>
        </w:rPr>
        <w:fldChar w:fldCharType="end"/>
      </w:r>
      <w:r w:rsidRPr="00913129">
        <w:rPr>
          <w:color w:val="000000"/>
          <w:sz w:val="28"/>
          <w:szCs w:val="28"/>
          <w:lang w:val="uk-UA"/>
        </w:rPr>
        <w:t>.</w:t>
      </w:r>
    </w:p>
    <w:p w14:paraId="4DD4985B" w14:textId="0676B9E1" w:rsidR="00AA0E17" w:rsidRPr="00913129" w:rsidRDefault="00CC3642" w:rsidP="00C03370">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Одним з фундаментальних підходів</w:t>
      </w:r>
      <w:r w:rsidR="00AA0E17" w:rsidRPr="00913129">
        <w:rPr>
          <w:color w:val="000000"/>
          <w:sz w:val="28"/>
          <w:szCs w:val="28"/>
          <w:lang w:val="uk-UA"/>
        </w:rPr>
        <w:t xml:space="preserve"> </w:t>
      </w:r>
      <w:r w:rsidRPr="00913129">
        <w:rPr>
          <w:color w:val="000000"/>
          <w:sz w:val="28"/>
          <w:szCs w:val="28"/>
          <w:lang w:val="uk-UA"/>
        </w:rPr>
        <w:t>вважається</w:t>
      </w:r>
      <w:r w:rsidR="00AA0E17" w:rsidRPr="00913129">
        <w:rPr>
          <w:rStyle w:val="apple-converted-space"/>
          <w:rFonts w:eastAsiaTheme="majorEastAsia"/>
          <w:color w:val="000000"/>
          <w:sz w:val="28"/>
          <w:szCs w:val="28"/>
          <w:lang w:val="uk-UA"/>
        </w:rPr>
        <w:t> </w:t>
      </w:r>
      <w:r w:rsidR="00AA0E17" w:rsidRPr="00913129">
        <w:rPr>
          <w:rStyle w:val="ac"/>
          <w:rFonts w:eastAsiaTheme="majorEastAsia"/>
          <w:b w:val="0"/>
          <w:bCs w:val="0"/>
          <w:color w:val="000000"/>
          <w:sz w:val="28"/>
          <w:szCs w:val="28"/>
          <w:lang w:val="uk-UA"/>
        </w:rPr>
        <w:t>теорія зацікавлених сторін</w:t>
      </w:r>
      <w:r w:rsidR="00AA0E17" w:rsidRPr="00913129">
        <w:rPr>
          <w:color w:val="000000"/>
          <w:sz w:val="28"/>
          <w:szCs w:val="28"/>
          <w:lang w:val="uk-UA"/>
        </w:rPr>
        <w:t xml:space="preserve">, </w:t>
      </w:r>
      <w:r w:rsidRPr="00913129">
        <w:rPr>
          <w:color w:val="000000"/>
          <w:sz w:val="28"/>
          <w:szCs w:val="28"/>
          <w:lang w:val="uk-UA"/>
        </w:rPr>
        <w:t>що</w:t>
      </w:r>
      <w:r w:rsidR="00AA0E17" w:rsidRPr="00913129">
        <w:rPr>
          <w:color w:val="000000"/>
          <w:sz w:val="28"/>
          <w:szCs w:val="28"/>
          <w:lang w:val="uk-UA"/>
        </w:rPr>
        <w:t xml:space="preserve"> акцентує увагу на тому, що успішна діяльність компанії залежить не лише від максимізації прибутку для акціонерів, але й від забезпечення інтересів ширшого кола стейкхолдерів. До них відносяться працівники, постачальники, клієнти, місцеві громади та навіть держава. </w:t>
      </w:r>
      <w:r w:rsidR="002951BF" w:rsidRPr="00913129">
        <w:rPr>
          <w:color w:val="000000"/>
          <w:sz w:val="28"/>
          <w:szCs w:val="28"/>
          <w:lang w:val="uk-UA"/>
        </w:rPr>
        <w:t>В</w:t>
      </w:r>
      <w:r w:rsidR="00AA0E17" w:rsidRPr="00913129">
        <w:rPr>
          <w:color w:val="000000"/>
          <w:sz w:val="28"/>
          <w:szCs w:val="28"/>
          <w:lang w:val="uk-UA"/>
        </w:rPr>
        <w:t>рахування потреб різних стейкхолдерів у стратегічному управлінні дозволяє підвищити стійкість бізнесу, зменшити репутаційні ризики й забезпечити довгострокову цінність для суспільства</w:t>
      </w:r>
      <w:r w:rsidR="002951BF" w:rsidRPr="00913129">
        <w:rPr>
          <w:color w:val="000000"/>
          <w:sz w:val="28"/>
          <w:szCs w:val="28"/>
          <w:lang w:val="uk-UA"/>
        </w:rPr>
        <w:t xml:space="preserve"> </w:t>
      </w:r>
      <w:r w:rsidR="00AA0E17"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{"citationID":"U7zip2yI","properties":{"formattedCitation":"\\super [16,17]\\nosupersub{}","plainCitation":"[16,17]","noteIndex":0},"citationItems":[{"id":781,"uris":["http://zotero.org/users/10910668/items/HKKEJCVB"],"itemData":{"id":781,"type":"article-journal","abstract":"This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Decision-Making","volume":"20","author":[{"family":"Alhamis","given":"Innocentus"}],"issued":{"date-parts":[["2024",11,17]]}},"label":"page"},{"id":779,"uris":["http://zotero.org/users/10910668/items/XNGDMJBV"],"itemData":{"id":779,"type":"article-journal","abstract":"The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O'"}],"issued":{"date-parts":[["2022"]]}},"label":"page"}],"schema":"https://github.com/citation-style-language/schema/raw/master/csl-citation.json"} </w:instrText>
      </w:r>
      <w:r w:rsidR="00AA0E17" w:rsidRPr="00913129">
        <w:rPr>
          <w:color w:val="000000"/>
          <w:sz w:val="28"/>
          <w:szCs w:val="28"/>
          <w:lang w:val="uk-UA"/>
        </w:rPr>
        <w:fldChar w:fldCharType="separate"/>
      </w:r>
      <w:r w:rsidR="008B4A9E" w:rsidRPr="00913129">
        <w:rPr>
          <w:color w:val="000000"/>
          <w:sz w:val="28"/>
          <w:lang w:val="uk-UA"/>
        </w:rPr>
        <w:t>[16,17]</w:t>
      </w:r>
      <w:r w:rsidR="00AA0E17" w:rsidRPr="00913129">
        <w:rPr>
          <w:color w:val="000000"/>
          <w:sz w:val="28"/>
          <w:szCs w:val="28"/>
          <w:lang w:val="uk-UA"/>
        </w:rPr>
        <w:fldChar w:fldCharType="end"/>
      </w:r>
      <w:r w:rsidR="00AA0E17" w:rsidRPr="00913129">
        <w:rPr>
          <w:color w:val="000000"/>
          <w:sz w:val="28"/>
          <w:szCs w:val="28"/>
          <w:lang w:val="uk-UA"/>
        </w:rPr>
        <w:t>.</w:t>
      </w:r>
    </w:p>
    <w:p w14:paraId="6FE5BFC2" w14:textId="6A227A49" w:rsidR="00AA0E17" w:rsidRPr="00913129" w:rsidRDefault="00AA0E17" w:rsidP="00C03370">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lastRenderedPageBreak/>
        <w:t>Тісно пов</w:t>
      </w:r>
      <w:r w:rsidR="00340D11" w:rsidRPr="00913129">
        <w:rPr>
          <w:color w:val="000000"/>
          <w:sz w:val="28"/>
          <w:szCs w:val="28"/>
          <w:lang w:val="uk-UA"/>
        </w:rPr>
        <w:t>’</w:t>
      </w:r>
      <w:r w:rsidRPr="00913129">
        <w:rPr>
          <w:color w:val="000000"/>
          <w:sz w:val="28"/>
          <w:szCs w:val="28"/>
          <w:lang w:val="uk-UA"/>
        </w:rPr>
        <w:t xml:space="preserve">язана з </w:t>
      </w:r>
      <w:r w:rsidR="002951BF" w:rsidRPr="00913129">
        <w:rPr>
          <w:color w:val="000000"/>
          <w:sz w:val="28"/>
          <w:szCs w:val="28"/>
          <w:lang w:val="uk-UA"/>
        </w:rPr>
        <w:t xml:space="preserve">теорією зацікавлених сторін є </w:t>
      </w:r>
      <w:r w:rsidRPr="00913129">
        <w:rPr>
          <w:rStyle w:val="apple-converted-space"/>
          <w:rFonts w:eastAsiaTheme="majorEastAsia"/>
          <w:color w:val="000000"/>
          <w:sz w:val="28"/>
          <w:szCs w:val="28"/>
          <w:lang w:val="uk-UA"/>
        </w:rPr>
        <w:t> </w:t>
      </w:r>
      <w:r w:rsidRPr="00913129">
        <w:rPr>
          <w:rStyle w:val="ac"/>
          <w:rFonts w:eastAsiaTheme="majorEastAsia"/>
          <w:b w:val="0"/>
          <w:bCs w:val="0"/>
          <w:color w:val="000000"/>
          <w:sz w:val="28"/>
          <w:szCs w:val="28"/>
          <w:lang w:val="uk-UA"/>
        </w:rPr>
        <w:t>теорія легітимності</w:t>
      </w:r>
      <w:r w:rsidR="002951BF" w:rsidRPr="00913129">
        <w:rPr>
          <w:rStyle w:val="apple-converted-space"/>
          <w:rFonts w:eastAsiaTheme="majorEastAsia"/>
          <w:color w:val="000000"/>
          <w:sz w:val="28"/>
          <w:szCs w:val="28"/>
          <w:lang w:val="uk-UA"/>
        </w:rPr>
        <w:t xml:space="preserve">, </w:t>
      </w:r>
      <w:r w:rsidRPr="00913129">
        <w:rPr>
          <w:color w:val="000000"/>
          <w:sz w:val="28"/>
          <w:szCs w:val="28"/>
          <w:lang w:val="uk-UA"/>
        </w:rPr>
        <w:t xml:space="preserve">згідно з якою для досягнення стабільного розвитку компанія повинна постійно підтримувати свій імідж та суспільну довіру. Інтеграція ESG-факторів у діяльність та звітність організації стає своєрідним «механізмом легітимації», що дозволяє компаніям демонструвати свою відповідність соціальним, екологічним та етичним очікуванням суспільства. </w:t>
      </w:r>
      <w:r w:rsidR="002951BF" w:rsidRPr="00913129">
        <w:rPr>
          <w:color w:val="000000"/>
          <w:sz w:val="28"/>
          <w:szCs w:val="28"/>
          <w:lang w:val="uk-UA"/>
        </w:rPr>
        <w:t>Ц</w:t>
      </w:r>
      <w:r w:rsidRPr="00913129">
        <w:rPr>
          <w:color w:val="000000"/>
          <w:sz w:val="28"/>
          <w:szCs w:val="28"/>
          <w:lang w:val="uk-UA"/>
        </w:rPr>
        <w:t xml:space="preserve">е проявляється у прозорій екологічній або соціальній звітності, публікаціях про корпоративну відповідальність і реалізації програм сталого розвитку </w:t>
      </w:r>
      <w:r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{"citationID":"0xJZXfdt","properties":{"formattedCitation":"\\super [16,17]\\nosupersub{}","plainCitation":"[16,17]","noteIndex":0},"citationItems":[{"id":781,"uris":["http://zotero.org/users/10910668/items/HKKEJCVB"],"itemData":{"id":781,"type":"article-journal","abstract":"This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Decision-Making","volume":"20","author":[{"family":"Alhamis","given":"Innocentus"}],"issued":{"date-parts":[["2024",11,17]]}},"label":"page"},{"id":779,"uris":["http://zotero.org/users/10910668/items/XNGDMJBV"],"itemData":{"id":779,"type":"article-journal","abstract":"The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O'"}],"issued":{"date-parts":[["2022"]]}},"label":"page"}],"schema":"https://github.com/citation-style-language/schema/raw/master/csl-citation.json"} </w:instrText>
      </w:r>
      <w:r w:rsidRPr="00913129">
        <w:rPr>
          <w:color w:val="000000"/>
          <w:sz w:val="28"/>
          <w:szCs w:val="28"/>
          <w:lang w:val="uk-UA"/>
        </w:rPr>
        <w:fldChar w:fldCharType="separate"/>
      </w:r>
      <w:r w:rsidR="008B4A9E" w:rsidRPr="00913129">
        <w:rPr>
          <w:color w:val="000000"/>
          <w:sz w:val="28"/>
          <w:lang w:val="uk-UA"/>
        </w:rPr>
        <w:t>[16,17]</w:t>
      </w:r>
      <w:r w:rsidRPr="00913129">
        <w:rPr>
          <w:color w:val="000000"/>
          <w:sz w:val="28"/>
          <w:szCs w:val="28"/>
          <w:lang w:val="uk-UA"/>
        </w:rPr>
        <w:fldChar w:fldCharType="end"/>
      </w:r>
      <w:r w:rsidRPr="00913129">
        <w:rPr>
          <w:color w:val="000000"/>
          <w:sz w:val="28"/>
          <w:szCs w:val="28"/>
          <w:lang w:val="uk-UA"/>
        </w:rPr>
        <w:t>.</w:t>
      </w:r>
    </w:p>
    <w:p w14:paraId="5BFA7A79" w14:textId="4A458331" w:rsidR="00AA0E17" w:rsidRPr="00913129" w:rsidRDefault="002951BF" w:rsidP="00C03370">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Наступним</w:t>
      </w:r>
      <w:r w:rsidR="00AA0E17" w:rsidRPr="00913129">
        <w:rPr>
          <w:color w:val="000000"/>
          <w:sz w:val="28"/>
          <w:szCs w:val="28"/>
          <w:lang w:val="uk-UA"/>
        </w:rPr>
        <w:t xml:space="preserve"> підходом є</w:t>
      </w:r>
      <w:r w:rsidR="00AA0E17" w:rsidRPr="00913129">
        <w:rPr>
          <w:rStyle w:val="apple-converted-space"/>
          <w:rFonts w:eastAsiaTheme="majorEastAsia"/>
          <w:b/>
          <w:bCs/>
          <w:color w:val="000000"/>
          <w:sz w:val="28"/>
          <w:szCs w:val="28"/>
          <w:lang w:val="uk-UA"/>
        </w:rPr>
        <w:t> </w:t>
      </w:r>
      <w:r w:rsidR="00AA0E17" w:rsidRPr="00913129">
        <w:rPr>
          <w:rStyle w:val="ac"/>
          <w:rFonts w:eastAsiaTheme="majorEastAsia"/>
          <w:b w:val="0"/>
          <w:bCs w:val="0"/>
          <w:color w:val="000000"/>
          <w:sz w:val="28"/>
          <w:szCs w:val="28"/>
          <w:lang w:val="uk-UA"/>
        </w:rPr>
        <w:t>агентська теорія</w:t>
      </w:r>
      <w:r w:rsidR="00AA0E17" w:rsidRPr="00913129">
        <w:rPr>
          <w:color w:val="000000"/>
          <w:sz w:val="28"/>
          <w:szCs w:val="28"/>
          <w:lang w:val="uk-UA"/>
        </w:rPr>
        <w:t xml:space="preserve">, яка пояснює потенційні конфлікти між менеджментом (агентами) і власниками (принципалами) компанії. Згідно з цією теорією, керівники можуть ухвалювати рішення, які не завжди співпадають з інтересами акціонерів, особливо якщо це стосується вкладень у екологічні або соціальні проєкти. </w:t>
      </w:r>
      <w:r w:rsidRPr="00913129">
        <w:rPr>
          <w:color w:val="000000"/>
          <w:sz w:val="28"/>
          <w:szCs w:val="28"/>
          <w:lang w:val="uk-UA"/>
        </w:rPr>
        <w:t>Проте</w:t>
      </w:r>
      <w:r w:rsidR="00AA0E17" w:rsidRPr="00913129">
        <w:rPr>
          <w:color w:val="000000"/>
          <w:sz w:val="28"/>
          <w:szCs w:val="28"/>
          <w:lang w:val="uk-UA"/>
        </w:rPr>
        <w:t xml:space="preserve"> впровадження політик СВІ часто </w:t>
      </w:r>
      <w:r w:rsidRPr="00913129">
        <w:rPr>
          <w:color w:val="000000"/>
          <w:sz w:val="28"/>
          <w:szCs w:val="28"/>
          <w:lang w:val="uk-UA"/>
        </w:rPr>
        <w:t>мінімізує</w:t>
      </w:r>
      <w:r w:rsidR="00AA0E17" w:rsidRPr="00913129">
        <w:rPr>
          <w:color w:val="000000"/>
          <w:sz w:val="28"/>
          <w:szCs w:val="28"/>
          <w:lang w:val="uk-UA"/>
        </w:rPr>
        <w:t xml:space="preserve"> інформаційну асиметрію, </w:t>
      </w:r>
      <w:r w:rsidRPr="00913129">
        <w:rPr>
          <w:color w:val="000000"/>
          <w:sz w:val="28"/>
          <w:szCs w:val="28"/>
          <w:lang w:val="uk-UA"/>
        </w:rPr>
        <w:t>підвищує</w:t>
      </w:r>
      <w:r w:rsidR="00AA0E17" w:rsidRPr="00913129">
        <w:rPr>
          <w:color w:val="000000"/>
          <w:sz w:val="28"/>
          <w:szCs w:val="28"/>
          <w:lang w:val="uk-UA"/>
        </w:rPr>
        <w:t xml:space="preserve"> контроль і прозорість, а також сигналізу</w:t>
      </w:r>
      <w:r w:rsidRPr="00913129">
        <w:rPr>
          <w:color w:val="000000"/>
          <w:sz w:val="28"/>
          <w:szCs w:val="28"/>
          <w:lang w:val="uk-UA"/>
        </w:rPr>
        <w:t>є</w:t>
      </w:r>
      <w:r w:rsidR="00AA0E17" w:rsidRPr="00913129">
        <w:rPr>
          <w:color w:val="000000"/>
          <w:sz w:val="28"/>
          <w:szCs w:val="28"/>
          <w:lang w:val="uk-UA"/>
        </w:rPr>
        <w:t xml:space="preserve"> ринку про відповідальність компанії</w:t>
      </w:r>
      <w:r w:rsidRPr="00913129">
        <w:rPr>
          <w:color w:val="000000"/>
          <w:sz w:val="28"/>
          <w:szCs w:val="28"/>
          <w:lang w:val="uk-UA"/>
        </w:rPr>
        <w:t xml:space="preserve"> </w:t>
      </w:r>
      <w:r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{"citationID":"Nk7s4rqO","properties":{"formattedCitation":"\\super [15,16]\\nosupersub{}","plainCitation":"[15,16]","noteIndex":0},"citationItems":[{"id":781,"uris":["http://zotero.org/users/10910668/items/HKKEJCVB"],"itemData":{"id":781,"type":"article-journal","abstract":"This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Decision-Making","volume":"20","author":[{"family":"Alhamis","given":"Innocentus"}],"issued":{"date-parts":[["2024",11,17]]}}},{"id":785,"uris":["http://zotero.org/users/10910668/items/M9XPL8K4"],"itemData":{"id":785,"type":"article","abstract":"The growing interest in sustainable investing calls for an axiomatic approach to measures of risk and reward that focus not only on financial returns, but also on measures of environmental and social sustainability, i.e. environmental, social, and governance (ESG) scores. We propose definitions for ESG-coherent risk measures and ESG reward-risk ratios based on functions of bivariate random variables that are applied to financial returns and ESG scores, extending the traditional univariate measures to the ESG case. We provide examples and present an empirical analysis in which the ESG-coherent risk measures and ESG reward-risk ratios are used to rank stocks.","DOI":"10.48550/arXiv.2309.05866","note":"arXiv:2309.05866 [q-fin]","number":"arXiv:2309.05866","publisher":"arXiv","source":"arXiv.org","title":"ESG-coherent risk measures for sustainable investing","URL":"http://arxiv.org/abs/2309.05866","author":[{"family":"Torri","given":"Gabriele"},{"family":"Giacometti","given":"Rosella"},{"family":"Dentcheva","given":"Darinka"},{"family":"Rachev","given":"Svetlozar T."},{"family":"Lindquist","given":"W. Brent"}],"accessed":{"date-parts":[["2025",6,2]]},"issued":{"date-parts":[["2025",3,24]]}},"label":"page"}],"schema":"https://github.com/citation-style-language/schema/raw/master/csl-citation.json"} </w:instrText>
      </w:r>
      <w:r w:rsidRPr="00913129">
        <w:rPr>
          <w:color w:val="000000"/>
          <w:sz w:val="28"/>
          <w:szCs w:val="28"/>
          <w:lang w:val="uk-UA"/>
        </w:rPr>
        <w:fldChar w:fldCharType="separate"/>
      </w:r>
      <w:r w:rsidR="008B4A9E" w:rsidRPr="00913129">
        <w:rPr>
          <w:color w:val="000000"/>
          <w:sz w:val="28"/>
          <w:lang w:val="uk-UA"/>
        </w:rPr>
        <w:t>[15,16]</w:t>
      </w:r>
      <w:r w:rsidRPr="00913129">
        <w:rPr>
          <w:color w:val="000000"/>
          <w:sz w:val="28"/>
          <w:szCs w:val="28"/>
          <w:lang w:val="uk-UA"/>
        </w:rPr>
        <w:fldChar w:fldCharType="end"/>
      </w:r>
      <w:r w:rsidRPr="00913129">
        <w:rPr>
          <w:color w:val="000000"/>
          <w:sz w:val="28"/>
          <w:szCs w:val="28"/>
          <w:lang w:val="uk-UA"/>
        </w:rPr>
        <w:t>.</w:t>
      </w:r>
    </w:p>
    <w:p w14:paraId="33395DAF" w14:textId="4080E991" w:rsidR="00AA0E17" w:rsidRPr="00913129" w:rsidRDefault="00AA0E17" w:rsidP="00C03370">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У контексті взаємодії компаній із зовнішнім середовищем особливого значення набуває</w:t>
      </w:r>
      <w:r w:rsidRPr="00913129">
        <w:rPr>
          <w:rStyle w:val="apple-converted-space"/>
          <w:rFonts w:eastAsiaTheme="majorEastAsia"/>
          <w:color w:val="000000"/>
          <w:sz w:val="28"/>
          <w:szCs w:val="28"/>
          <w:lang w:val="uk-UA"/>
        </w:rPr>
        <w:t> </w:t>
      </w:r>
      <w:r w:rsidRPr="00913129">
        <w:rPr>
          <w:rStyle w:val="ac"/>
          <w:rFonts w:eastAsiaTheme="majorEastAsia"/>
          <w:b w:val="0"/>
          <w:bCs w:val="0"/>
          <w:color w:val="000000"/>
          <w:sz w:val="28"/>
          <w:szCs w:val="28"/>
          <w:lang w:val="uk-UA"/>
        </w:rPr>
        <w:t>теорія сигналів</w:t>
      </w:r>
      <w:r w:rsidR="002951BF" w:rsidRPr="00913129">
        <w:rPr>
          <w:rStyle w:val="apple-converted-space"/>
          <w:rFonts w:eastAsiaTheme="majorEastAsia"/>
          <w:color w:val="000000"/>
          <w:sz w:val="28"/>
          <w:szCs w:val="28"/>
          <w:lang w:val="uk-UA"/>
        </w:rPr>
        <w:t xml:space="preserve">, при якій </w:t>
      </w:r>
      <w:r w:rsidRPr="00913129">
        <w:rPr>
          <w:color w:val="000000"/>
          <w:sz w:val="28"/>
          <w:szCs w:val="28"/>
          <w:lang w:val="uk-UA"/>
        </w:rPr>
        <w:t xml:space="preserve">компанії використовують високі ESG-рейтинг або участь у соціальних ініціативах як позитивний сигнал для інвесторів, партнерів і споживачів щодо своєї надійності, довгострокових пріоритетів та стійкості. Таким чином, ESG-стратегії розглядаються не тільки як інструмент внутрішнього розвитку, але й як спосіб комунікації з ринком </w:t>
      </w:r>
      <w:r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{"citationID":"K2CSWZCU","properties":{"formattedCitation":"\\super [16,17]\\nosupersub{}","plainCitation":"[16,17]","noteIndex":0},"citationItems":[{"id":781,"uris":["http://zotero.org/users/10910668/items/HKKEJCVB"],"itemData":{"id":781,"type":"article-journal","abstract":"This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Decision-Making","volume":"20","author":[{"family":"Alhamis","given":"Innocentus"}],"issued":{"date-parts":[["2024",11,17]]}},"label":"page"},{"id":779,"uris":["http://zotero.org/users/10910668/items/XNGDMJBV"],"itemData":{"id":779,"type":"article-journal","abstract":"The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O'"}],"issued":{"date-parts":[["2022"]]}},"label":"page"}],"schema":"https://github.com/citation-style-language/schema/raw/master/csl-citation.json"} </w:instrText>
      </w:r>
      <w:r w:rsidRPr="00913129">
        <w:rPr>
          <w:color w:val="000000"/>
          <w:sz w:val="28"/>
          <w:szCs w:val="28"/>
          <w:lang w:val="uk-UA"/>
        </w:rPr>
        <w:fldChar w:fldCharType="separate"/>
      </w:r>
      <w:r w:rsidR="008B4A9E" w:rsidRPr="00913129">
        <w:rPr>
          <w:color w:val="000000"/>
          <w:sz w:val="28"/>
          <w:lang w:val="uk-UA"/>
        </w:rPr>
        <w:t>[16,17]</w:t>
      </w:r>
      <w:r w:rsidRPr="00913129">
        <w:rPr>
          <w:color w:val="000000"/>
          <w:sz w:val="28"/>
          <w:szCs w:val="28"/>
          <w:lang w:val="uk-UA"/>
        </w:rPr>
        <w:fldChar w:fldCharType="end"/>
      </w:r>
      <w:r w:rsidRPr="00913129">
        <w:rPr>
          <w:color w:val="000000"/>
          <w:sz w:val="28"/>
          <w:szCs w:val="28"/>
          <w:lang w:val="uk-UA"/>
        </w:rPr>
        <w:t>.</w:t>
      </w:r>
    </w:p>
    <w:p w14:paraId="3ACBC15D" w14:textId="4428A385" w:rsidR="00AA0E17" w:rsidRPr="00913129" w:rsidRDefault="00AA0E17" w:rsidP="00C03370">
      <w:pPr>
        <w:pStyle w:val="ae"/>
        <w:spacing w:before="0" w:beforeAutospacing="0" w:after="0" w:afterAutospacing="0" w:line="360" w:lineRule="auto"/>
        <w:ind w:right="-2" w:firstLine="851"/>
        <w:jc w:val="both"/>
        <w:rPr>
          <w:rStyle w:val="apple-converted-space"/>
          <w:rFonts w:eastAsiaTheme="majorEastAsia"/>
          <w:color w:val="000000"/>
          <w:sz w:val="28"/>
          <w:szCs w:val="28"/>
          <w:lang w:val="uk-UA"/>
        </w:rPr>
      </w:pPr>
      <w:r w:rsidRPr="00913129">
        <w:rPr>
          <w:color w:val="000000"/>
          <w:sz w:val="28"/>
          <w:szCs w:val="28"/>
          <w:lang w:val="uk-UA"/>
        </w:rPr>
        <w:t>Варто також виділити</w:t>
      </w:r>
      <w:r w:rsidRPr="00913129">
        <w:rPr>
          <w:rStyle w:val="apple-converted-space"/>
          <w:rFonts w:eastAsiaTheme="majorEastAsia"/>
          <w:color w:val="000000"/>
          <w:sz w:val="28"/>
          <w:szCs w:val="28"/>
          <w:lang w:val="uk-UA"/>
        </w:rPr>
        <w:t> </w:t>
      </w:r>
      <w:r w:rsidRPr="00913129">
        <w:rPr>
          <w:rStyle w:val="ac"/>
          <w:rFonts w:eastAsiaTheme="majorEastAsia"/>
          <w:b w:val="0"/>
          <w:bCs w:val="0"/>
          <w:color w:val="000000"/>
          <w:sz w:val="28"/>
          <w:szCs w:val="28"/>
          <w:lang w:val="uk-UA"/>
        </w:rPr>
        <w:t>теорію фінансової ефективності</w:t>
      </w:r>
      <w:r w:rsidRPr="00913129">
        <w:rPr>
          <w:color w:val="000000"/>
          <w:sz w:val="28"/>
          <w:szCs w:val="28"/>
          <w:lang w:val="uk-UA"/>
        </w:rPr>
        <w:t>, яка аналізує вплив інтеграції ESG/СВІ-стратегій на фінансові результати компаній та інвестиційних портфелів. Численні емпіричні дослідження демонструють, що цей вплив може бути як позитивним</w:t>
      </w:r>
      <w:r w:rsidR="002951BF" w:rsidRPr="00913129">
        <w:rPr>
          <w:color w:val="000000"/>
          <w:sz w:val="28"/>
          <w:szCs w:val="28"/>
          <w:lang w:val="uk-UA"/>
        </w:rPr>
        <w:t>,</w:t>
      </w:r>
      <w:r w:rsidRPr="00913129">
        <w:rPr>
          <w:color w:val="000000"/>
          <w:sz w:val="28"/>
          <w:szCs w:val="28"/>
          <w:lang w:val="uk-UA"/>
        </w:rPr>
        <w:t xml:space="preserve"> так і нейтральним чи навіть негативним, залежно від галузі, країни чи конкретної моделі впровадження ESG </w:t>
      </w:r>
      <w:r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{"citationID":"LrBfl4G1","properties":{"formattedCitation":"\\super [13,14]\\nosupersub{}","plainCitation":"[13,14]","noteIndex":0},"citationItems":[{"id":788,"uris":["http://zotero.org/users/10910668/items/K94YWRXX"],"itemData":{"id":788,"type":"article-journal","abstract":"This paper aims to examine the publication metrics of literature related to the influential aspects of ESG (environmental, social, and governance), SRI (socially responsible investing), ethical, and impact investing on the portfolio and financial performance literature. It also seeks to identify major patterns and core themes in this topic and draw lessons from the past literature for future directions. Data from the SCOPUS database were used in this study. The ‘biblioshiny’ R package, also known as ‘bibliometrix 3.0’, was employed to conduct bibliometric analysis, utilising mapping and clustering techniques on 260 articles, in order to distil the comprehensive knowledge and identify emerging trends in ESG, SRI, ethical, and impact investing. The thematic map classified the ESG, SRI, ethical, impact investing and performance relationship themes into four categories of themes: niche themes (SRI, engagement and ESG), motor themes (corporate financial performance, corporate social performance, ESG, ESG factors, sustainability, performance, integrated reporting, gender diversity, and board size), emerging or declining themes (social responsibility, environmental performance, socially responsible investment, ethical investment, and SRI), and basic or transversal themes (financial performance, corporate social performance, ESG performance, environmental, social, and governance). Socially responsible investing, engagement, and ESG imply a position between niche themes and a highly developed topic/emerging or a decreasing theme, while the impact of COVID-19 on sustainability and financial performance implies a position between a highly developed topic/emerging or decreasing theme and a basic theme. The findings contribute to the enhanced understanding of ESG, SRI, ethical, impact investing and performance, which are crucial for an efficient capital market in promoting sustainability and sustainable development. The study offers vital practical implications and future research directions.","container-title":"Journal of Risk and Financial Management","DOI":"10.3390/jrfm16070321","ISSN":"1911-8074","issue":"7","language":"en","license":"http://creativecommons.org/licenses/by/3.0/","note":"number: 7\npublisher: Multidisciplinary Digital Publishing Institute","page":"321","source":"www.mdpi.com","title":"The Influence of ESG, SRI, Ethical, and Impact Investing Activities on Portfolio and Financial Performance—Bibliometric Analysis/Mapping and Clustering Analysis","volume":"16","author":[{"family":"Marzuki","given":"Ainulashikin"},{"family":"Nor","given":"Fauzias Mat"},{"family":"Ramli","given":"Nur Ainna"},{"family":"Basah","given":"Mohamad Yazis Ali"},{"family":"Aziz","given":"Muhammad Ridhwan Ab"}],"issued":{"date-parts":[["2023",7]]}},"label":"page"},{"id":790,"uris":["http://zotero.org/users/10910668/items/5GYF9VMF"],"itemData":{"id":790,"type":"article-journal","abstract":"The purpose of this research is to investigate the current state of the literature on environmental, social, and governance (ESG) investing, and study the impact of ESG ratings on firm performance. Corporate sustainability has evolved as a concept and is increasingly being integrated with investment analysis. The present study performs a systematic literature review (SLR) using the theory, context, characteristics, and methodology (TCCM) framework to provide valuable insights and research directions in the context of ESG investing. The review is based on 198 articles published from 2010 to 2022 and follows the scientific procedures and rationales for systematic literature reviews (SPAR-4-SLR) protocol using the Scopus database. Further, the research also re-examines the empirical studies based on ESG as a determinant of firm performance using a meta-analytical approach. The research findings suggest a positive impact of ESG ratings on firm performance. However, an intriguing discovery surfaced when empirical studies were segmented according to the ESG rating methodologies provided by Bloomberg and Thomson Reuters. The purpose of this research is to offer a comprehensive and collective scholarship of the subject by adopting a mixed-method approach. Further, it provides a conceptual framework, thereby linking the various elements of ESG investing and explaining the channels of transmission of ESG translates into value creation for the shareholders. It encompasses extensive research agendas discussing barriers to ESG implementation, the materiality of ESG practices, informativeness of sustainability reporting, sustainability performance, and sustainable underpinnings.","container-title":"Corporate Social Responsibility and Environmental Management","DOI":"10.1002/csr.2982","ISSN":"1535-3966","issue":"1","language":"en","license":"© 2024 The Author(s). Corporate Social Responsibility and Environmental Management published by ERP Environment and John Wiley &amp; Sons Ltd.","note":"_eprint: https://onlinelibrary.wiley.com/doi/pdf/10.1002/csr.2982","page":"1096-1121","source":"Wiley Online Library","title":"ESG investing &amp; firm performance: Retrospections of past &amp; reflections of future","title-short":"ESG investing &amp; firm performance","volume":"32","author":[{"family":"Narula","given":"Radhika"},{"family":"Rao","given":"Purnima"},{"family":"Kumar","given":"Satish"},{"family":"Paltrinieri","given":"Andrea"}],"issued":{"date-parts":[["2025"]]}},"label":"page"}],"schema":"https://github.com/citation-style-language/schema/raw/master/csl-citation.json"} </w:instrText>
      </w:r>
      <w:r w:rsidRPr="00913129">
        <w:rPr>
          <w:color w:val="000000"/>
          <w:sz w:val="28"/>
          <w:szCs w:val="28"/>
          <w:lang w:val="uk-UA"/>
        </w:rPr>
        <w:fldChar w:fldCharType="separate"/>
      </w:r>
      <w:r w:rsidR="008B4A9E" w:rsidRPr="00913129">
        <w:rPr>
          <w:color w:val="000000"/>
          <w:sz w:val="28"/>
          <w:lang w:val="uk-UA"/>
        </w:rPr>
        <w:t>[13,14]</w:t>
      </w:r>
      <w:r w:rsidRPr="00913129">
        <w:rPr>
          <w:color w:val="000000"/>
          <w:sz w:val="28"/>
          <w:szCs w:val="28"/>
          <w:lang w:val="uk-UA"/>
        </w:rPr>
        <w:fldChar w:fldCharType="end"/>
      </w:r>
      <w:r w:rsidRPr="00913129">
        <w:rPr>
          <w:color w:val="000000"/>
          <w:sz w:val="28"/>
          <w:szCs w:val="28"/>
          <w:lang w:val="uk-UA"/>
        </w:rPr>
        <w:t>.</w:t>
      </w:r>
      <w:r w:rsidRPr="00913129">
        <w:rPr>
          <w:rStyle w:val="apple-converted-space"/>
          <w:rFonts w:eastAsiaTheme="majorEastAsia"/>
          <w:color w:val="000000"/>
          <w:sz w:val="28"/>
          <w:szCs w:val="28"/>
          <w:lang w:val="uk-UA"/>
        </w:rPr>
        <w:t> </w:t>
      </w:r>
    </w:p>
    <w:p w14:paraId="3D1C4079" w14:textId="1AD8656E" w:rsidR="00AA0E17" w:rsidRPr="00913129" w:rsidRDefault="00E8604C" w:rsidP="00C03370">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Крім того</w:t>
      </w:r>
      <w:r w:rsidR="00AA0E17" w:rsidRPr="00913129">
        <w:rPr>
          <w:color w:val="000000"/>
          <w:sz w:val="28"/>
          <w:szCs w:val="28"/>
          <w:lang w:val="uk-UA"/>
        </w:rPr>
        <w:t xml:space="preserve"> не всі інвестори діють виключно раціонально або керуються лише показниками фінансової ефективності</w:t>
      </w:r>
      <w:r w:rsidRPr="00913129">
        <w:rPr>
          <w:color w:val="000000"/>
          <w:sz w:val="28"/>
          <w:szCs w:val="28"/>
          <w:lang w:val="uk-UA"/>
        </w:rPr>
        <w:t xml:space="preserve">, внаслідок чого і виникають </w:t>
      </w:r>
      <w:r w:rsidR="00AA0E17" w:rsidRPr="00913129">
        <w:rPr>
          <w:color w:val="000000"/>
          <w:sz w:val="28"/>
          <w:szCs w:val="28"/>
          <w:lang w:val="uk-UA"/>
        </w:rPr>
        <w:t>положення</w:t>
      </w:r>
      <w:r w:rsidR="00AA0E17" w:rsidRPr="00913129">
        <w:rPr>
          <w:rStyle w:val="apple-converted-space"/>
          <w:rFonts w:eastAsiaTheme="majorEastAsia"/>
          <w:color w:val="000000"/>
          <w:sz w:val="28"/>
          <w:szCs w:val="28"/>
          <w:lang w:val="uk-UA"/>
        </w:rPr>
        <w:t> </w:t>
      </w:r>
      <w:r w:rsidR="00AA0E17" w:rsidRPr="00913129">
        <w:rPr>
          <w:rStyle w:val="ac"/>
          <w:rFonts w:eastAsiaTheme="majorEastAsia"/>
          <w:b w:val="0"/>
          <w:bCs w:val="0"/>
          <w:color w:val="000000"/>
          <w:sz w:val="28"/>
          <w:szCs w:val="28"/>
          <w:lang w:val="uk-UA"/>
        </w:rPr>
        <w:t>теорії</w:t>
      </w:r>
      <w:r w:rsidRPr="00913129">
        <w:rPr>
          <w:rStyle w:val="ac"/>
          <w:rFonts w:eastAsiaTheme="majorEastAsia"/>
          <w:b w:val="0"/>
          <w:bCs w:val="0"/>
          <w:color w:val="000000"/>
          <w:sz w:val="28"/>
          <w:szCs w:val="28"/>
          <w:lang w:val="uk-UA"/>
        </w:rPr>
        <w:t xml:space="preserve"> </w:t>
      </w:r>
      <w:r w:rsidR="00AA0E17" w:rsidRPr="00913129">
        <w:rPr>
          <w:rStyle w:val="ac"/>
          <w:rFonts w:eastAsiaTheme="majorEastAsia"/>
          <w:b w:val="0"/>
          <w:bCs w:val="0"/>
          <w:color w:val="000000"/>
          <w:sz w:val="28"/>
          <w:szCs w:val="28"/>
          <w:lang w:val="uk-UA"/>
        </w:rPr>
        <w:t>поведінкових фінансів</w:t>
      </w:r>
      <w:r w:rsidRPr="00913129">
        <w:rPr>
          <w:rStyle w:val="apple-converted-space"/>
          <w:rFonts w:eastAsiaTheme="majorEastAsia"/>
          <w:color w:val="000000"/>
          <w:sz w:val="28"/>
          <w:szCs w:val="28"/>
          <w:lang w:val="uk-UA"/>
        </w:rPr>
        <w:t>. Дана теорія</w:t>
      </w:r>
      <w:r w:rsidR="00AA0E17" w:rsidRPr="00913129">
        <w:rPr>
          <w:color w:val="000000"/>
          <w:sz w:val="28"/>
          <w:szCs w:val="28"/>
          <w:lang w:val="uk-UA"/>
        </w:rPr>
        <w:t xml:space="preserve"> розкриває мотиваційні </w:t>
      </w:r>
      <w:r w:rsidR="00AA0E17" w:rsidRPr="00913129">
        <w:rPr>
          <w:color w:val="000000"/>
          <w:sz w:val="28"/>
          <w:szCs w:val="28"/>
          <w:lang w:val="uk-UA"/>
        </w:rPr>
        <w:lastRenderedPageBreak/>
        <w:t>аспекти вибору соціально відповідальних стратегій</w:t>
      </w:r>
      <w:r w:rsidRPr="00913129">
        <w:rPr>
          <w:color w:val="000000"/>
          <w:sz w:val="28"/>
          <w:szCs w:val="28"/>
          <w:lang w:val="uk-UA"/>
        </w:rPr>
        <w:t xml:space="preserve">, оскільки </w:t>
      </w:r>
      <w:r w:rsidR="00AA0E17" w:rsidRPr="00913129">
        <w:rPr>
          <w:color w:val="000000"/>
          <w:sz w:val="28"/>
          <w:szCs w:val="28"/>
          <w:lang w:val="uk-UA"/>
        </w:rPr>
        <w:t>інвестори нерідко ухвалюють рішення під впливом цінностей, етичних переконань, соціального тиску або бажання ідентифікуватися з певною спільнотою. Саме тому навіть за відсутності гарантованої фінансової переваги СВІ продовжує зростати в популярності серед роздрібних та інституційних інвесторів</w:t>
      </w:r>
      <w:r w:rsidRPr="00913129">
        <w:rPr>
          <w:color w:val="000000"/>
          <w:sz w:val="28"/>
          <w:szCs w:val="28"/>
          <w:lang w:val="uk-UA"/>
        </w:rPr>
        <w:t xml:space="preserve"> </w:t>
      </w:r>
      <w:r w:rsidR="00AA0E17"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{"citationID":"DoG950rL","properties":{"formattedCitation":"\\super [11,12,16]\\nosupersub{}","plainCitation":"[11,12,16]","noteIndex":0},"citationItems":[{"id":781,"uris":["http://zotero.org/users/10910668/items/HKKEJCVB"],"itemData":{"id":781,"type":"article-journal","abstract":"This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Decision-Making","volume":"20","author":[{"family":"Alhamis","given":"Innocentus"}],"issued":{"date-parts":[["2024",11,17]]}}},{"id":792,"uris":["http://zotero.org/users/10910668/items/SIFU6N6J"],"itemData":{"id":792,"type":"article-journal","abstract":"Socially responsible investing (SRI) has gained significant popularity, with investors and institutions increasingly prioritizing sustainability and ethical considerations. However, during crises such as the COVID-19 pandemic and the Russia–Ukraine conflict, investor preferences often shift toward conventional assets, raising the question of whether SRI is a true priority or a luxury for stable markets. This paper investigates the relationship between socially responsible funds (SRFs) and conventional indices (CIs) across different market conditions, assessing whether SRFs maintain their appeal during financial distress. Using data from 2014 to 2024, we identify two volatility regimes via a Hidden Markov model and exploit copula models to assess tail dependence, cointegration tests to examine long-term price relationships, fuzzy clustering to classify assets by risk dynamics, and spillover analysis to measure asset interconnectedness. Our findings show that SRF and CI performance converge in performance during market turmoil, suggesting that SRI loses prominence in unstable conditions. Moreover, systemic, geographic, and issuer-specific risks overshadow ESG-related factors, challenging the notion of SRI as a resilient investment strategy in turbulent markets.","container-title":"Annals of Operations Research","DOI":"10.1007/s10479-025-06613-9","ISSN":"1572-9338","journalAbbreviation":"Ann Oper Res","language":"en","source":"Springer Link","title":"Socially responsible investing: a fair-weather commitment","title-short":"Socially responsible investing","URL":"https://doi.org/10.1007/s10479-025-06613-9","author":[{"family":"Stefanelli","given":"Kevyn"},{"family":"Storani","given":"Saverio"}],"accessed":{"date-parts":[["2025",6,2]]},"issued":{"date-parts":[["2025",5,14]]}}},{"id":794,"uris":["http://zotero.org/users/10910668/items/5MR6MB67"],"itemData":{"id":794,"type":"article-journal","abstract":"Stakeholder theory calls for effective stakeholder management in the interest of sustainable businesses. Whilst there is a need to redefine ‘stakeholders’, investors (i.e. shareholders) can play an essential role in bringing a paradigm shift in shaping current business practices. In recent times, the ‘Environment, Society and Governance’ (ESG) approach has emerged as an alternative form of investment for key investors seeking change. However, certain deficiencies have been identified when it comes to ESG strategies, which have led to disagreements among sustainable investors. To plug this gap and overcome this challenge, we propose an alternative framework based on sustainable business practices that holistically adds value that is inclusive of all stakeholders. To this end, we conducted semi-structured interviews with social entrepreneurs, academics, and experts from the financial services industry in an emerging country context, namely India. Based on our text analysis of interview data, we propose a ‘Holistic Value Addition’ (HVA) framework of sustainable investment that builds on value-addition by businesses towards its stakeholders. We envisage that adoption of this framework will help sustain the sustainable agenda.","container-title":"International Review of Economics &amp; Finance","DOI":"10.1016/j.iref.2024.103530","ISSN":"1059-0560","journalAbbreviation":"International Review of Economics &amp; Finance","page":"103530","source":"ScienceDirect","title":"From ESG to holistic value addition: Rethinking sustainable investment from the lens of stakeholder theory","title-short":"From ESG to holistic value addition","volume":"96","author":[{"family":"Talan","given":"Gaurav"},{"family":"Sharma","given":"Gagan Deep"},{"family":"Pereira","given":"Vijay"},{"family":"Muschert","given":"Glenn W."}],"issued":{"date-parts":[["2024",11,1]]}},"label":"page"}],"schema":"https://github.com/citation-style-language/schema/raw/master/csl-citation.json"} </w:instrText>
      </w:r>
      <w:r w:rsidR="00AA0E17" w:rsidRPr="00913129">
        <w:rPr>
          <w:color w:val="000000"/>
          <w:sz w:val="28"/>
          <w:szCs w:val="28"/>
          <w:lang w:val="uk-UA"/>
        </w:rPr>
        <w:fldChar w:fldCharType="separate"/>
      </w:r>
      <w:r w:rsidR="008B4A9E" w:rsidRPr="00913129">
        <w:rPr>
          <w:color w:val="000000"/>
          <w:sz w:val="28"/>
          <w:lang w:val="uk-UA"/>
        </w:rPr>
        <w:t>[11,12,16]</w:t>
      </w:r>
      <w:r w:rsidR="00AA0E17" w:rsidRPr="00913129">
        <w:rPr>
          <w:color w:val="000000"/>
          <w:sz w:val="28"/>
          <w:szCs w:val="28"/>
          <w:lang w:val="uk-UA"/>
        </w:rPr>
        <w:fldChar w:fldCharType="end"/>
      </w:r>
      <w:r w:rsidR="00AA0E17" w:rsidRPr="00913129">
        <w:rPr>
          <w:color w:val="000000"/>
          <w:sz w:val="28"/>
          <w:szCs w:val="28"/>
          <w:lang w:val="uk-UA"/>
        </w:rPr>
        <w:t>.</w:t>
      </w:r>
    </w:p>
    <w:p w14:paraId="7FE23307" w14:textId="7C972F97" w:rsidR="00AA0E17" w:rsidRPr="00913129" w:rsidRDefault="00E8604C" w:rsidP="00C03370">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Останній представлений підхід </w:t>
      </w:r>
      <w:r w:rsidR="004D2D38" w:rsidRPr="00913129">
        <w:rPr>
          <w:color w:val="000000"/>
          <w:sz w:val="28"/>
          <w:szCs w:val="28"/>
          <w:lang w:val="uk-UA"/>
        </w:rPr>
        <w:t>–</w:t>
      </w:r>
      <w:r w:rsidR="00AA0E17" w:rsidRPr="00913129">
        <w:rPr>
          <w:color w:val="000000"/>
          <w:sz w:val="28"/>
          <w:szCs w:val="28"/>
          <w:lang w:val="uk-UA"/>
        </w:rPr>
        <w:t xml:space="preserve"> </w:t>
      </w:r>
      <w:r w:rsidR="004D2D38" w:rsidRPr="00913129">
        <w:rPr>
          <w:color w:val="000000"/>
          <w:sz w:val="28"/>
          <w:szCs w:val="28"/>
          <w:lang w:val="uk-UA"/>
        </w:rPr>
        <w:t xml:space="preserve">це </w:t>
      </w:r>
      <w:r w:rsidR="00AA0E17" w:rsidRPr="00913129">
        <w:rPr>
          <w:rStyle w:val="ac"/>
          <w:rFonts w:eastAsiaTheme="majorEastAsia"/>
          <w:b w:val="0"/>
          <w:bCs w:val="0"/>
          <w:color w:val="000000"/>
          <w:sz w:val="28"/>
          <w:szCs w:val="28"/>
          <w:lang w:val="uk-UA"/>
        </w:rPr>
        <w:t xml:space="preserve">теорія </w:t>
      </w:r>
      <w:r w:rsidRPr="00913129">
        <w:rPr>
          <w:rStyle w:val="ac"/>
          <w:rFonts w:eastAsiaTheme="majorEastAsia"/>
          <w:b w:val="0"/>
          <w:bCs w:val="0"/>
          <w:color w:val="000000"/>
          <w:sz w:val="28"/>
          <w:szCs w:val="28"/>
          <w:lang w:val="uk-UA"/>
        </w:rPr>
        <w:t xml:space="preserve">сучасного </w:t>
      </w:r>
      <w:r w:rsidR="00AA0E17" w:rsidRPr="00913129">
        <w:rPr>
          <w:rStyle w:val="ac"/>
          <w:rFonts w:eastAsiaTheme="majorEastAsia"/>
          <w:b w:val="0"/>
          <w:bCs w:val="0"/>
          <w:color w:val="000000"/>
          <w:sz w:val="28"/>
          <w:szCs w:val="28"/>
          <w:lang w:val="uk-UA"/>
        </w:rPr>
        <w:t>портфельного управління</w:t>
      </w:r>
      <w:r w:rsidR="00AA0E17" w:rsidRPr="00913129">
        <w:rPr>
          <w:color w:val="000000"/>
          <w:sz w:val="28"/>
          <w:szCs w:val="28"/>
          <w:lang w:val="uk-UA"/>
        </w:rPr>
        <w:t>, яка сьогодні істотно трансформується під впливом розвитку ESG-критеріїв.</w:t>
      </w:r>
      <w:r w:rsidR="00D66D29" w:rsidRPr="00913129">
        <w:rPr>
          <w:color w:val="000000"/>
          <w:sz w:val="28"/>
          <w:szCs w:val="28"/>
          <w:lang w:val="uk-UA"/>
        </w:rPr>
        <w:t xml:space="preserve"> </w:t>
      </w:r>
      <w:r w:rsidRPr="00913129">
        <w:rPr>
          <w:color w:val="000000"/>
          <w:sz w:val="28"/>
          <w:szCs w:val="28"/>
          <w:lang w:val="uk-UA"/>
        </w:rPr>
        <w:t>І</w:t>
      </w:r>
      <w:r w:rsidR="00AA0E17" w:rsidRPr="00913129">
        <w:rPr>
          <w:color w:val="000000"/>
          <w:sz w:val="28"/>
          <w:szCs w:val="28"/>
          <w:lang w:val="uk-UA"/>
        </w:rPr>
        <w:t xml:space="preserve">нтеграція нефінансових критеріїв у побудову інвестиційних портфелів дозволяє не лише розширити можливості для диверсифікації, а й знизити сукупний ризик портфеля. </w:t>
      </w:r>
      <w:r w:rsidRPr="00913129">
        <w:rPr>
          <w:color w:val="000000"/>
          <w:sz w:val="28"/>
          <w:szCs w:val="28"/>
          <w:lang w:val="uk-UA"/>
        </w:rPr>
        <w:t>Проте</w:t>
      </w:r>
      <w:r w:rsidR="00AA0E17" w:rsidRPr="00913129">
        <w:rPr>
          <w:color w:val="000000"/>
          <w:sz w:val="28"/>
          <w:szCs w:val="28"/>
          <w:lang w:val="uk-UA"/>
        </w:rPr>
        <w:t xml:space="preserve"> ESG-інтеграція часто розглядається не як альтернатива, а як додатковий рівень оптимізації. Врахування ESG-факторів </w:t>
      </w:r>
      <w:r w:rsidR="00D66D29" w:rsidRPr="00913129">
        <w:rPr>
          <w:color w:val="000000"/>
          <w:sz w:val="28"/>
          <w:szCs w:val="28"/>
          <w:lang w:val="uk-UA"/>
        </w:rPr>
        <w:t>зменшує</w:t>
      </w:r>
      <w:r w:rsidR="00AA0E17" w:rsidRPr="00913129">
        <w:rPr>
          <w:color w:val="000000"/>
          <w:sz w:val="28"/>
          <w:szCs w:val="28"/>
          <w:lang w:val="uk-UA"/>
        </w:rPr>
        <w:t xml:space="preserve"> вплив неочікуваних ризиків</w:t>
      </w:r>
      <w:r w:rsidRPr="00913129">
        <w:rPr>
          <w:color w:val="000000"/>
          <w:sz w:val="28"/>
          <w:szCs w:val="28"/>
          <w:lang w:val="uk-UA"/>
        </w:rPr>
        <w:t xml:space="preserve">, як </w:t>
      </w:r>
      <w:r w:rsidR="00AA0E17" w:rsidRPr="00913129">
        <w:rPr>
          <w:color w:val="000000"/>
          <w:sz w:val="28"/>
          <w:szCs w:val="28"/>
          <w:lang w:val="uk-UA"/>
        </w:rPr>
        <w:t>репутаційних втрат, судових позовів, які не завжди враховуються в стандартних моделях</w:t>
      </w:r>
      <w:r w:rsidRPr="00913129">
        <w:rPr>
          <w:color w:val="000000"/>
          <w:sz w:val="28"/>
          <w:szCs w:val="28"/>
          <w:lang w:val="uk-UA"/>
        </w:rPr>
        <w:t xml:space="preserve"> </w:t>
      </w:r>
      <w:r w:rsidR="00AA0E17"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{"citationID":"eCnQCRMI","properties":{"formattedCitation":"\\super [12,13,16]\\nosupersub{}","plainCitation":"[12,13,16]","noteIndex":0},"citationItems":[{"id":781,"uris":["http://zotero.org/users/10910668/items/HKKEJCVB"],"itemData":{"id":781,"type":"article-journal","abstract":"This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Decision-Making","volume":"20","author":[{"family":"Alhamis","given":"Innocentus"}],"issued":{"date-parts":[["2024",11,17]]}},"label":"page"},{"id":790,"uris":["http://zotero.org/users/10910668/items/5GYF9VMF"],"itemData":{"id":790,"type":"article-journal","abstract":"The purpose of this research is to investigate the current state of the literature on environmental, social, and governance (ESG) investing, and study the impact of ESG ratings on firm performance. Corporate sustainability has evolved as a concept and is increasingly being integrated with investment analysis. The present study performs a systematic literature review (SLR) using the theory, context, characteristics, and methodology (TCCM) framework to provide valuable insights and research directions in the context of ESG investing. The review is based on 198 articles published from 2010 to 2022 and follows the scientific procedures and rationales for systematic literature reviews (SPAR-4-SLR) protocol using the Scopus database. Further, the research also re-examines the empirical studies based on ESG as a determinant of firm performance using a meta-analytical approach. The research findings suggest a positive impact of ESG ratings on firm performance. However, an intriguing discovery surfaced when empirical studies were segmented according to the ESG rating methodologies provided by Bloomberg and Thomson Reuters. The purpose of this research is to offer a comprehensive and collective scholarship of the subject by adopting a mixed-method approach. Further, it provides a conceptual framework, thereby linking the various elements of ESG investing and explaining the channels of transmission of ESG translates into value creation for the shareholders. It encompasses extensive research agendas discussing barriers to ESG implementation, the materiality of ESG practices, informativeness of sustainability reporting, sustainability performance, and sustainable underpinnings.","container-title":"Corporate Social Responsibility and Environmental Management","DOI":"10.1002/csr.2982","ISSN":"1535-3966","issue":"1","language":"en","license":"© 2024 The Author(s). Corporate Social Responsibility and Environmental Management published by ERP Environment and John Wiley &amp; Sons Ltd.","note":"_eprint: https://onlinelibrary.wiley.com/doi/pdf/10.1002/csr.2982","page":"1096-1121","source":"Wiley Online Library","title":"ESG investing &amp; firm performance: Retrospections of past &amp; reflections of future","title-short":"ESG investing &amp; firm performance","volume":"32","author":[{"family":"Narula","given":"Radhika"},{"family":"Rao","given":"Purnima"},{"family":"Kumar","given":"Satish"},{"family":"Paltrinieri","given":"Andrea"}],"issued":{"date-parts":[["2025"]]}}},{"id":792,"uris":["http://zotero.org/users/10910668/items/SIFU6N6J"],"itemData":{"id":792,"type":"article-journal","abstract":"Socially responsible investing (SRI) has gained significant popularity, with investors and institutions increasingly prioritizing sustainability and ethical considerations. However, during crises such as the COVID-19 pandemic and the Russia–Ukraine conflict, investor preferences often shift toward conventional assets, raising the question of whether SRI is a true priority or a luxury for stable markets. This paper investigates the relationship between socially responsible funds (SRFs) and conventional indices (CIs) across different market conditions, assessing whether SRFs maintain their appeal during financial distress. Using data from 2014 to 2024, we identify two volatility regimes via a Hidden Markov model and exploit copula models to assess tail dependence, cointegration tests to examine long-term price relationships, fuzzy clustering to classify assets by risk dynamics, and spillover analysis to measure asset interconnectedness. Our findings show that SRF and CI performance converge in performance during market turmoil, suggesting that SRI loses prominence in unstable conditions. Moreover, systemic, geographic, and issuer-specific risks overshadow ESG-related factors, challenging the notion of SRI as a resilient investment strategy in turbulent markets.","container-title":"Annals of Operations Research","DOI":"10.1007/s10479-025-06613-9","ISSN":"1572-9338","journalAbbreviation":"Ann Oper Res","language":"en","source":"Springer Link","title":"Socially responsible investing: a fair-weather commitment","title-short":"Socially responsible investing","URL":"https://doi.org/10.1007/s10479-025-06613-9","author":[{"family":"Stefanelli","given":"Kevyn"},{"family":"Storani","given":"Saverio"}],"accessed":{"date-parts":[["2025",6,2]]},"issued":{"date-parts":[["2025",5,14]]}}}],"schema":"https://github.com/citation-style-language/schema/raw/master/csl-citation.json"} </w:instrText>
      </w:r>
      <w:r w:rsidR="00AA0E17" w:rsidRPr="00913129">
        <w:rPr>
          <w:color w:val="000000"/>
          <w:sz w:val="28"/>
          <w:szCs w:val="28"/>
          <w:lang w:val="uk-UA"/>
        </w:rPr>
        <w:fldChar w:fldCharType="separate"/>
      </w:r>
      <w:r w:rsidR="008B4A9E" w:rsidRPr="00913129">
        <w:rPr>
          <w:color w:val="000000"/>
          <w:sz w:val="28"/>
          <w:lang w:val="uk-UA"/>
        </w:rPr>
        <w:t>[12,13,16]</w:t>
      </w:r>
      <w:r w:rsidR="00AA0E17" w:rsidRPr="00913129">
        <w:rPr>
          <w:color w:val="000000"/>
          <w:sz w:val="28"/>
          <w:szCs w:val="28"/>
          <w:lang w:val="uk-UA"/>
        </w:rPr>
        <w:fldChar w:fldCharType="end"/>
      </w:r>
      <w:r w:rsidR="00AA0E17" w:rsidRPr="00913129">
        <w:rPr>
          <w:color w:val="000000"/>
          <w:sz w:val="28"/>
          <w:szCs w:val="28"/>
          <w:lang w:val="uk-UA"/>
        </w:rPr>
        <w:t>.</w:t>
      </w:r>
    </w:p>
    <w:p w14:paraId="77A0B6E9" w14:textId="195BD138" w:rsidR="00AA0E17" w:rsidRPr="00913129" w:rsidRDefault="00E8604C" w:rsidP="00C03370">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Загалом</w:t>
      </w:r>
      <w:r w:rsidR="00AA0E17" w:rsidRPr="00913129">
        <w:rPr>
          <w:color w:val="000000"/>
          <w:sz w:val="28"/>
          <w:szCs w:val="28"/>
          <w:lang w:val="uk-UA"/>
        </w:rPr>
        <w:t xml:space="preserve"> всі розглянуті теорії відображають багатовимірний характер соціально відповідального інвестування, яке перебуває на перетині класичних фінансових парадигм та сучасних тенденцій сталого розвитку. </w:t>
      </w:r>
      <w:r w:rsidRPr="00913129">
        <w:rPr>
          <w:color w:val="000000"/>
          <w:sz w:val="28"/>
          <w:szCs w:val="28"/>
          <w:lang w:val="uk-UA"/>
        </w:rPr>
        <w:t>Крім того, н</w:t>
      </w:r>
      <w:r w:rsidR="00AA0E17" w:rsidRPr="00913129">
        <w:rPr>
          <w:color w:val="000000"/>
          <w:sz w:val="28"/>
          <w:szCs w:val="28"/>
          <w:lang w:val="uk-UA"/>
        </w:rPr>
        <w:t xml:space="preserve">а основі аналізу актуальних досліджень </w:t>
      </w:r>
      <w:r w:rsidRPr="00913129">
        <w:rPr>
          <w:color w:val="000000"/>
          <w:sz w:val="28"/>
          <w:szCs w:val="28"/>
          <w:lang w:val="uk-UA"/>
        </w:rPr>
        <w:t xml:space="preserve"> варто відзначити</w:t>
      </w:r>
      <w:r w:rsidR="00AA0E17" w:rsidRPr="00913129">
        <w:rPr>
          <w:color w:val="000000"/>
          <w:sz w:val="28"/>
          <w:szCs w:val="28"/>
          <w:lang w:val="uk-UA"/>
        </w:rPr>
        <w:t xml:space="preserve"> кілька ключових типів СВІ</w:t>
      </w:r>
      <w:r w:rsidRPr="00913129">
        <w:rPr>
          <w:color w:val="000000"/>
          <w:sz w:val="28"/>
          <w:szCs w:val="28"/>
          <w:lang w:val="uk-UA"/>
        </w:rPr>
        <w:t xml:space="preserve">, що презентовані в таблиці 1.2 </w:t>
      </w:r>
      <w:r w:rsidR="00AA0E17"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{"citationID":"XjFeBwvk","properties":{"formattedCitation":"\\super [14,16\\uc0\\u8211{}18]\\nosupersub{}","plainCitation":"[14,16–18]","noteIndex":0},"citationItems":[{"id":781,"uris":["http://zotero.org/users/10910668/items/HKKEJCVB"],"itemData":{"id":781,"type":"article-journal","abstract":"This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Decision-Making","volume":"20","author":[{"family":"Alhamis","given":"Innocentus"}],"issued":{"date-parts":[["2024",11,17]]}},"label":"page"},{"id":779,"uris":["http://zotero.org/users/10910668/items/XNGDMJBV"],"itemData":{"id":779,"type":"article-journal","abstract":"The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O'"}],"issued":{"date-parts":[["2022"]]}},"label":"page"},{"id":788,"uris":["http://zotero.org/users/10910668/items/K94YWRXX"],"itemData":{"id":788,"type":"article-journal","abstract":"This paper aims to examine the publication metrics of literature related to the influential aspects of ESG (environmental, social, and governance), SRI (socially responsible investing), ethical, and impact investing on the portfolio and financial performance literature. It also seeks to identify major patterns and core themes in this topic and draw lessons from the past literature for future directions. Data from the SCOPUS database were used in this study. The ‘biblioshiny’ R package, also known as ‘bibliometrix 3.0’, was employed to conduct bibliometric analysis, utilising mapping and clustering techniques on 260 articles, in order to distil the comprehensive knowledge and identify emerging trends in ESG, SRI, ethical, and impact investing. The thematic map classified the ESG, SRI, ethical, impact investing and performance relationship themes into four categories of themes: niche themes (SRI, engagement and ESG), motor themes (corporate financial performance, corporate social performance, ESG, ESG factors, sustainability, performance, integrated reporting, gender diversity, and board size), emerging or declining themes (social responsibility, environmental performance, socially responsible investment, ethical investment, and SRI), and basic or transversal themes (financial performance, corporate social performance, ESG performance, environmental, social, and governance). Socially responsible investing, engagement, and ESG imply a position between niche themes and a highly developed topic/emerging or a decreasing theme, while the impact of COVID-19 on sustainability and financial performance implies a position between a highly developed topic/emerging or decreasing theme and a basic theme. The findings contribute to the enhanced understanding of ESG, SRI, ethical, impact investing and performance, which are crucial for an efficient capital market in promoting sustainability and sustainable development. The study offers vital practical implications and future research directions.","container-title":"Journal of Risk and Financial Management","DOI":"10.3390/jrfm16070321","ISSN":"1911-8074","issue":"7","language":"en","license":"http://creativecommons.org/licenses/by/3.0/","note":"number: 7\npublisher: Multidisciplinary Digital Publishing Institute","page":"321","source":"www.mdpi.com","title":"The Influence of ESG, SRI, Ethical, and Impact Investing Activities on Portfolio and Financial Performance—Bibliometric Analysis/Mapping and Clustering Analysis","volume":"16","author":[{"family":"Marzuki","given":"Ainulashikin"},{"family":"Nor","given":"Fauzias Mat"},{"family":"Ramli","given":"Nur Ainna"},{"family":"Basah","given":"Mohamad Yazis Ali"},{"family":"Aziz","given":"Muhammad Ridhwan Ab"}],"issued":{"date-parts":[["2023",7]]}},"label":"page"},{"id":797,"uris":["http://zotero.org/users/10910668/items/EWZARZQ7"],"itemData":{"id":797,"type":"article-journal","abstract":"We propose a quantitative framework for assessing the ﬁnancial impact of any form of impact investing, including socially responsible investing (SRI), environmental, social, and governance (ESG) objectives, and other non-ﬁnancial investment criteria. We derive conditions under which impact investing detracts from, improves on, or is neutral to the performance of traditional mean-variance optimal portfolios, which depends on whether the correlations between the impact factor and unobserved excess returns are negative, positive, or zero, respectively. Using Treynor-Black portfolios to maximize the risk-adjusted returns of impact portfolios, we propose a quantitative measure for the ﬁnancial reward, or cost, of impact investing compared to passive index benchmarks. We illustrate our approach with applications to biotech venture philanthropy, semiconductor R&amp;D consortium, divesting from “sin” stocks, investing in ESG, and “meme” stock rallies such as GameStop in 2021.","language":"en","source":"Zotero","title":"Quantifying the Impact of Impact Investing","author":[{"family":"Lo","given":"Andrew W"},{"family":"Zhang","given":"Ruixun"}]},"label":"page"}],"schema":"https://github.com/citation-style-language/schema/raw/master/csl-citation.json"} </w:instrText>
      </w:r>
      <w:r w:rsidR="00AA0E17" w:rsidRPr="00913129">
        <w:rPr>
          <w:color w:val="000000"/>
          <w:sz w:val="28"/>
          <w:szCs w:val="28"/>
          <w:lang w:val="uk-UA"/>
        </w:rPr>
        <w:fldChar w:fldCharType="separate"/>
      </w:r>
      <w:r w:rsidR="008B4A9E" w:rsidRPr="00913129">
        <w:rPr>
          <w:color w:val="000000"/>
          <w:sz w:val="28"/>
          <w:lang w:val="uk-UA"/>
        </w:rPr>
        <w:t>[14,16–18]</w:t>
      </w:r>
      <w:r w:rsidR="00AA0E17" w:rsidRPr="00913129">
        <w:rPr>
          <w:color w:val="000000"/>
          <w:sz w:val="28"/>
          <w:szCs w:val="28"/>
          <w:lang w:val="uk-UA"/>
        </w:rPr>
        <w:fldChar w:fldCharType="end"/>
      </w:r>
      <w:r w:rsidR="00AA0E17" w:rsidRPr="00913129">
        <w:rPr>
          <w:color w:val="000000"/>
          <w:sz w:val="28"/>
          <w:szCs w:val="28"/>
          <w:lang w:val="uk-UA"/>
        </w:rPr>
        <w:t>.</w:t>
      </w:r>
    </w:p>
    <w:p w14:paraId="545E8FA5" w14:textId="77777777" w:rsidR="00D66D29" w:rsidRPr="00913129" w:rsidRDefault="00D66D29" w:rsidP="001D63D0">
      <w:pPr>
        <w:pStyle w:val="ae"/>
        <w:spacing w:before="0" w:beforeAutospacing="0" w:after="0" w:afterAutospacing="0" w:line="360" w:lineRule="auto"/>
        <w:ind w:right="-2" w:firstLine="851"/>
        <w:jc w:val="right"/>
        <w:rPr>
          <w:color w:val="000000"/>
          <w:sz w:val="28"/>
          <w:szCs w:val="28"/>
          <w:lang w:val="uk-UA"/>
        </w:rPr>
      </w:pPr>
      <w:r w:rsidRPr="00913129">
        <w:rPr>
          <w:color w:val="000000"/>
          <w:sz w:val="28"/>
          <w:szCs w:val="28"/>
          <w:lang w:val="uk-UA"/>
        </w:rPr>
        <w:t>Таблиця 1.2</w:t>
      </w:r>
    </w:p>
    <w:p w14:paraId="4AB99252" w14:textId="77777777" w:rsidR="00D66D29" w:rsidRPr="00913129" w:rsidRDefault="00D66D29" w:rsidP="00C03370">
      <w:pPr>
        <w:pStyle w:val="ae"/>
        <w:spacing w:before="0" w:beforeAutospacing="0" w:after="0" w:afterAutospacing="0" w:line="360" w:lineRule="auto"/>
        <w:ind w:right="-2"/>
        <w:jc w:val="center"/>
        <w:rPr>
          <w:color w:val="000000"/>
          <w:sz w:val="28"/>
          <w:szCs w:val="28"/>
          <w:lang w:val="uk-UA"/>
        </w:rPr>
      </w:pPr>
      <w:r w:rsidRPr="00913129">
        <w:rPr>
          <w:color w:val="000000"/>
          <w:sz w:val="28"/>
          <w:szCs w:val="28"/>
          <w:lang w:val="uk-UA"/>
        </w:rPr>
        <w:t>Класифікація основних типів соціально відповідального інвестування: характеристика та приклади реалізації</w:t>
      </w:r>
    </w:p>
    <w:tbl>
      <w:tblPr>
        <w:tblStyle w:val="af"/>
        <w:tblW w:w="0" w:type="auto"/>
        <w:tblLook w:val="04A0" w:firstRow="1" w:lastRow="0" w:firstColumn="1" w:lastColumn="0" w:noHBand="0" w:noVBand="1"/>
      </w:tblPr>
      <w:tblGrid>
        <w:gridCol w:w="1980"/>
        <w:gridCol w:w="3685"/>
        <w:gridCol w:w="3679"/>
      </w:tblGrid>
      <w:tr w:rsidR="00D66D29" w:rsidRPr="00913129" w14:paraId="40C75ECE" w14:textId="77777777" w:rsidTr="00D66D29">
        <w:tc>
          <w:tcPr>
            <w:tcW w:w="1980" w:type="dxa"/>
            <w:hideMark/>
          </w:tcPr>
          <w:p w14:paraId="4C2F2469" w14:textId="77777777" w:rsidR="00D66D29" w:rsidRPr="00913129" w:rsidRDefault="00D66D29" w:rsidP="001D63D0">
            <w:pPr>
              <w:spacing w:before="60" w:after="60"/>
              <w:ind w:right="-2" w:firstLine="18"/>
              <w:jc w:val="center"/>
              <w:rPr>
                <w:color w:val="000000" w:themeColor="text1"/>
                <w:lang w:val="uk-UA"/>
              </w:rPr>
            </w:pPr>
            <w:r w:rsidRPr="00913129">
              <w:rPr>
                <w:color w:val="000000" w:themeColor="text1"/>
                <w:lang w:val="uk-UA"/>
              </w:rPr>
              <w:t>Тип СВІ</w:t>
            </w:r>
          </w:p>
        </w:tc>
        <w:tc>
          <w:tcPr>
            <w:tcW w:w="3685" w:type="dxa"/>
            <w:hideMark/>
          </w:tcPr>
          <w:p w14:paraId="4794BB11" w14:textId="77777777" w:rsidR="00D66D29" w:rsidRPr="00913129" w:rsidRDefault="00D66D29" w:rsidP="001D63D0">
            <w:pPr>
              <w:spacing w:before="60" w:after="60"/>
              <w:ind w:right="-2" w:firstLine="18"/>
              <w:jc w:val="center"/>
              <w:rPr>
                <w:color w:val="000000" w:themeColor="text1"/>
                <w:lang w:val="uk-UA"/>
              </w:rPr>
            </w:pPr>
            <w:r w:rsidRPr="00913129">
              <w:rPr>
                <w:color w:val="000000" w:themeColor="text1"/>
                <w:lang w:val="uk-UA"/>
              </w:rPr>
              <w:t>Характеристика</w:t>
            </w:r>
          </w:p>
        </w:tc>
        <w:tc>
          <w:tcPr>
            <w:tcW w:w="3679" w:type="dxa"/>
            <w:hideMark/>
          </w:tcPr>
          <w:p w14:paraId="2FD95CBC" w14:textId="77777777" w:rsidR="00D66D29" w:rsidRPr="00913129" w:rsidRDefault="00D66D29" w:rsidP="001D63D0">
            <w:pPr>
              <w:spacing w:before="60" w:after="60"/>
              <w:ind w:right="-2" w:firstLine="18"/>
              <w:jc w:val="center"/>
              <w:rPr>
                <w:color w:val="000000" w:themeColor="text1"/>
                <w:lang w:val="uk-UA"/>
              </w:rPr>
            </w:pPr>
            <w:r w:rsidRPr="00913129">
              <w:rPr>
                <w:color w:val="000000" w:themeColor="text1"/>
                <w:lang w:val="uk-UA"/>
              </w:rPr>
              <w:t>Основний механізм та приклад</w:t>
            </w:r>
          </w:p>
        </w:tc>
      </w:tr>
      <w:tr w:rsidR="00D66D29" w:rsidRPr="00913129" w14:paraId="31DB8513" w14:textId="77777777" w:rsidTr="00D66D29">
        <w:tc>
          <w:tcPr>
            <w:tcW w:w="1980" w:type="dxa"/>
            <w:hideMark/>
          </w:tcPr>
          <w:p w14:paraId="3B8CDBC1"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Негативне виключення</w:t>
            </w:r>
          </w:p>
        </w:tc>
        <w:tc>
          <w:tcPr>
            <w:tcW w:w="3685" w:type="dxa"/>
            <w:hideMark/>
          </w:tcPr>
          <w:p w14:paraId="25D74991"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Виключення неетичних компаній чи секторів</w:t>
            </w:r>
          </w:p>
        </w:tc>
        <w:tc>
          <w:tcPr>
            <w:tcW w:w="3679" w:type="dxa"/>
            <w:hideMark/>
          </w:tcPr>
          <w:p w14:paraId="4F2DF9F8"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Виключення з портфеля: відмова від тютюну, зброї</w:t>
            </w:r>
          </w:p>
        </w:tc>
      </w:tr>
      <w:tr w:rsidR="00D66D29" w:rsidRPr="00913129" w14:paraId="51527C98" w14:textId="77777777" w:rsidTr="00D66D29">
        <w:tc>
          <w:tcPr>
            <w:tcW w:w="1980" w:type="dxa"/>
            <w:hideMark/>
          </w:tcPr>
          <w:p w14:paraId="4D8CE58B"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Позитивний відбір</w:t>
            </w:r>
          </w:p>
        </w:tc>
        <w:tc>
          <w:tcPr>
            <w:tcW w:w="3685" w:type="dxa"/>
            <w:hideMark/>
          </w:tcPr>
          <w:p w14:paraId="314EF5D1"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Відбір компаній з найкращими ESG-показниками</w:t>
            </w:r>
          </w:p>
        </w:tc>
        <w:tc>
          <w:tcPr>
            <w:tcW w:w="3679" w:type="dxa"/>
            <w:hideMark/>
          </w:tcPr>
          <w:p w14:paraId="3D39111E"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«Best-in-class» відбір: лідери ESG у галузі</w:t>
            </w:r>
          </w:p>
        </w:tc>
      </w:tr>
      <w:tr w:rsidR="00D66D29" w:rsidRPr="00913129" w14:paraId="5DFBE5FB" w14:textId="77777777" w:rsidTr="00D66D29">
        <w:tc>
          <w:tcPr>
            <w:tcW w:w="1980" w:type="dxa"/>
            <w:hideMark/>
          </w:tcPr>
          <w:p w14:paraId="6482C51C"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Інтеграція ESG-факторів</w:t>
            </w:r>
          </w:p>
        </w:tc>
        <w:tc>
          <w:tcPr>
            <w:tcW w:w="3685" w:type="dxa"/>
            <w:hideMark/>
          </w:tcPr>
          <w:p w14:paraId="07D0A09C"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Врахування ESG-метрик у фінансовому аналізі</w:t>
            </w:r>
          </w:p>
        </w:tc>
        <w:tc>
          <w:tcPr>
            <w:tcW w:w="3679" w:type="dxa"/>
            <w:hideMark/>
          </w:tcPr>
          <w:p w14:paraId="69AE478D"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Інтеграція у процес прийняття рішень: оцінка ризиків з ESG</w:t>
            </w:r>
          </w:p>
        </w:tc>
      </w:tr>
      <w:tr w:rsidR="00D66D29" w:rsidRPr="00913129" w14:paraId="7937D4F3" w14:textId="77777777" w:rsidTr="00D66D29">
        <w:tc>
          <w:tcPr>
            <w:tcW w:w="1980" w:type="dxa"/>
            <w:hideMark/>
          </w:tcPr>
          <w:p w14:paraId="23B2AE65"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Тематичне інвестування</w:t>
            </w:r>
          </w:p>
        </w:tc>
        <w:tc>
          <w:tcPr>
            <w:tcW w:w="3685" w:type="dxa"/>
            <w:hideMark/>
          </w:tcPr>
          <w:p w14:paraId="18D914DD"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Фокус на певних сферах сталого розвитку</w:t>
            </w:r>
          </w:p>
        </w:tc>
        <w:tc>
          <w:tcPr>
            <w:tcW w:w="3679" w:type="dxa"/>
            <w:hideMark/>
          </w:tcPr>
          <w:p w14:paraId="5B02104A"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Інвестування за тематикою: відновлювана енергетика</w:t>
            </w:r>
          </w:p>
        </w:tc>
      </w:tr>
      <w:tr w:rsidR="00D66D29" w:rsidRPr="00913129" w14:paraId="4EA91A3B" w14:textId="77777777" w:rsidTr="00D66D29">
        <w:tc>
          <w:tcPr>
            <w:tcW w:w="1980" w:type="dxa"/>
            <w:hideMark/>
          </w:tcPr>
          <w:p w14:paraId="6DF167F5"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Впливове інвестування</w:t>
            </w:r>
          </w:p>
        </w:tc>
        <w:tc>
          <w:tcPr>
            <w:tcW w:w="3685" w:type="dxa"/>
            <w:hideMark/>
          </w:tcPr>
          <w:p w14:paraId="612E219B" w14:textId="2C4F3E03"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 xml:space="preserve">Досягнення вимірюваного </w:t>
            </w:r>
            <w:r w:rsidR="00206060" w:rsidRPr="00913129">
              <w:rPr>
                <w:color w:val="000000" w:themeColor="text1"/>
                <w:lang w:val="uk-UA"/>
              </w:rPr>
              <w:t>соціального-екологічного</w:t>
            </w:r>
            <w:r w:rsidRPr="00913129">
              <w:rPr>
                <w:color w:val="000000" w:themeColor="text1"/>
                <w:lang w:val="uk-UA"/>
              </w:rPr>
              <w:t xml:space="preserve"> ефекту</w:t>
            </w:r>
          </w:p>
        </w:tc>
        <w:tc>
          <w:tcPr>
            <w:tcW w:w="3679" w:type="dxa"/>
            <w:hideMark/>
          </w:tcPr>
          <w:p w14:paraId="41CC1E09"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Визначення та вимірювання впливу: мікрофінансування</w:t>
            </w:r>
          </w:p>
        </w:tc>
      </w:tr>
      <w:tr w:rsidR="00D66D29" w:rsidRPr="00913129" w14:paraId="1668B118" w14:textId="77777777" w:rsidTr="00D66D29">
        <w:tc>
          <w:tcPr>
            <w:tcW w:w="1980" w:type="dxa"/>
            <w:hideMark/>
          </w:tcPr>
          <w:p w14:paraId="486036E7"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lastRenderedPageBreak/>
              <w:t>Етичне інвестування</w:t>
            </w:r>
          </w:p>
        </w:tc>
        <w:tc>
          <w:tcPr>
            <w:tcW w:w="3685" w:type="dxa"/>
            <w:hideMark/>
          </w:tcPr>
          <w:p w14:paraId="2E272438"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Вибір згідно з моральними принципами інвестора</w:t>
            </w:r>
          </w:p>
        </w:tc>
        <w:tc>
          <w:tcPr>
            <w:tcW w:w="3679" w:type="dxa"/>
            <w:hideMark/>
          </w:tcPr>
          <w:p w14:paraId="2EA54C31"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Відповідність переконанням: відмова тестування на тваринах</w:t>
            </w:r>
          </w:p>
        </w:tc>
      </w:tr>
      <w:tr w:rsidR="00D66D29" w:rsidRPr="00913129" w14:paraId="1FC0A601" w14:textId="77777777" w:rsidTr="00D66D29">
        <w:tc>
          <w:tcPr>
            <w:tcW w:w="1980" w:type="dxa"/>
            <w:hideMark/>
          </w:tcPr>
          <w:p w14:paraId="495EAF86"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Активний вплив акціонерів</w:t>
            </w:r>
          </w:p>
        </w:tc>
        <w:tc>
          <w:tcPr>
            <w:tcW w:w="3685" w:type="dxa"/>
            <w:hideMark/>
          </w:tcPr>
          <w:p w14:paraId="50807E4C"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Вплив на корпоративну політику через акціонерні права</w:t>
            </w:r>
          </w:p>
        </w:tc>
        <w:tc>
          <w:tcPr>
            <w:tcW w:w="3679" w:type="dxa"/>
            <w:hideMark/>
          </w:tcPr>
          <w:p w14:paraId="6C7A028C" w14:textId="77777777" w:rsidR="00D66D29" w:rsidRPr="00913129" w:rsidRDefault="00D66D29" w:rsidP="001D63D0">
            <w:pPr>
              <w:spacing w:before="60" w:after="60"/>
              <w:ind w:right="-2" w:firstLine="18"/>
              <w:jc w:val="both"/>
              <w:rPr>
                <w:color w:val="000000" w:themeColor="text1"/>
                <w:lang w:val="uk-UA"/>
              </w:rPr>
            </w:pPr>
            <w:r w:rsidRPr="00913129">
              <w:rPr>
                <w:color w:val="000000" w:themeColor="text1"/>
                <w:lang w:val="uk-UA"/>
              </w:rPr>
              <w:t>Голосування, діалог: резолюції щодо ESG</w:t>
            </w:r>
          </w:p>
        </w:tc>
      </w:tr>
    </w:tbl>
    <w:p w14:paraId="194A59AA" w14:textId="03086778" w:rsidR="00D66D29" w:rsidRPr="00913129" w:rsidRDefault="00D66D29" w:rsidP="001D63D0">
      <w:pPr>
        <w:pStyle w:val="ae"/>
        <w:spacing w:before="12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Джерело: складено на основі даних </w:t>
      </w:r>
      <w:r w:rsidRPr="00913129">
        <w:rPr>
          <w:color w:val="000000"/>
          <w:sz w:val="28"/>
          <w:szCs w:val="28"/>
          <w:lang w:val="uk-UA"/>
        </w:rPr>
        <w:fldChar w:fldCharType="begin"/>
      </w:r>
      <w:r w:rsidR="008B4A9E" w:rsidRPr="00913129">
        <w:rPr>
          <w:color w:val="000000"/>
          <w:sz w:val="28"/>
          <w:szCs w:val="28"/>
          <w:lang w:val="uk-UA"/>
        </w:rPr>
        <w:instrText xml:space="preserve"> ADDIN ZOTERO_ITEM CSL_CITATION {"citationID":"0N0huVGP","properties":{"formattedCitation":"\\super [14,16\\uc0\\u8211{}18]\\nosupersub{}","plainCitation":"[14,16–18]","noteIndex":0},"citationItems":[{"id":788,"uris":["http://zotero.org/users/10910668/items/K94YWRXX"],"itemData":{"id":788,"type":"article-journal","abstract":"This paper aims to examine the publication metrics of literature related to the influential aspects of ESG (environmental, social, and governance), SRI (socially responsible investing), ethical, and impact investing on the portfolio and financial performance literature. It also seeks to identify major patterns and core themes in this topic and draw lessons from the past literature for future directions. Data from the SCOPUS database were used in this study. The ‘biblioshiny’ R package, also known as ‘bibliometrix 3.0’, was employed to conduct bibliometric analysis, utilising mapping and clustering techniques on 260 articles, in order to distil the comprehensive knowledge and identify emerging trends in ESG, SRI, ethical, and impact investing. The thematic map classified the ESG, SRI, ethical, impact investing and performance relationship themes into four categories of themes: niche themes (SRI, engagement and ESG), motor themes (corporate financial performance, corporate social performance, ESG, ESG factors, sustainability, performance, integrated reporting, gender diversity, and board size), emerging or declining themes (social responsibility, environmental performance, socially responsible investment, ethical investment, and SRI), and basic or transversal themes (financial performance, corporate social performance, ESG performance, environmental, social, and governance). Socially responsible investing, engagement, and ESG imply a position between niche themes and a highly developed topic/emerging or a decreasing theme, while the impact of COVID-19 on sustainability and financial performance implies a position between a highly developed topic/emerging or decreasing theme and a basic theme. The findings contribute to the enhanced understanding of ESG, SRI, ethical, impact investing and performance, which are crucial for an efficient capital market in promoting sustainability and sustainable development. The study offers vital practical implications and future research directions.","container-title":"Journal of Risk and Financial Management","DOI":"10.3390/jrfm16070321","ISSN":"1911-8074","issue":"7","language":"en","license":"http://creativecommons.org/licenses/by/3.0/","note":"number: 7\npublisher: Multidisciplinary Digital Publishing Institute","page":"321","source":"www.mdpi.com","title":"The Influence of ESG, SRI, Ethical, and Impact Investing Activities on Portfolio and Financial Performance—Bibliometric Analysis/Mapping and Clustering Analysis","volume":"16","author":[{"family":"Marzuki","given":"Ainulashikin"},{"family":"Nor","given":"Fauzias Mat"},{"family":"Ramli","given":"Nur Ainna"},{"family":"Basah","given":"Mohamad Yazis Ali"},{"family":"Aziz","given":"Muhammad Ridhwan Ab"}],"issued":{"date-parts":[["2023",7]]}}},{"id":781,"uris":["http://zotero.org/users/10910668/items/HKKEJCVB"],"itemData":{"id":781,"type":"article-journal","abstract":"This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O'"}],"issued":{"date-parts":[["2022"]]}}},{"id":797,"uris":["http://zotero.org/users/10910668/items/EWZARZQ7"],"itemData":{"id":797,"type":"article-journal","abstract":"We propose a quantitative framework for assessing the ﬁnancial impact of any form of impact investing, including socially responsible investing (SRI), environmental, social, and governance (ESG) objectives, and other non-ﬁnancial investment criteria. We derive conditions under which impact investing detracts from, improves on, or is neutral to the performance of traditional mean-variance optimal portfolios, which depends on whether the correlations between the impact factor and unobserved excess returns are negative, positive, or zero, respectively. Using Treynor-Black portfolios to maximize the risk-adjusted returns of impact portfolios, we propose a quantitative measure for the ﬁnancial reward, or cost, of impact investing compared to passive index benchmarks. We illustrate our approach with applications to biotech venture philanthropy, semiconductor R&amp;D consortium, divesting from “sin” stocks, investing in ESG, and “meme” stock rallies such as GameStop in 2021.","language":"en","source":"Zotero","title":"Quantifying the Impact of Impact Investing","author":[{"family":"Lo","given":"Andrew W"},{"family":"Zhang","given":"Ruixun"}]},"label":"page"}],"schema":"https://github.com/citation-style-language/schema/raw/master/csl-citation.json"} </w:instrText>
      </w:r>
      <w:r w:rsidRPr="00913129">
        <w:rPr>
          <w:color w:val="000000"/>
          <w:sz w:val="28"/>
          <w:szCs w:val="28"/>
          <w:lang w:val="uk-UA"/>
        </w:rPr>
        <w:fldChar w:fldCharType="separate"/>
      </w:r>
      <w:r w:rsidR="008B4A9E" w:rsidRPr="00913129">
        <w:rPr>
          <w:color w:val="000000"/>
          <w:sz w:val="28"/>
          <w:lang w:val="uk-UA"/>
        </w:rPr>
        <w:t>[14,16–18]</w:t>
      </w:r>
      <w:r w:rsidRPr="00913129">
        <w:rPr>
          <w:color w:val="000000"/>
          <w:sz w:val="28"/>
          <w:szCs w:val="28"/>
          <w:lang w:val="uk-UA"/>
        </w:rPr>
        <w:fldChar w:fldCharType="end"/>
      </w:r>
    </w:p>
    <w:p w14:paraId="6B95FEBB" w14:textId="615E39CD"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Однією з найпоширеніших стратегій виступає негативне виключення</w:t>
      </w:r>
      <w:r w:rsidR="00E8604C" w:rsidRPr="00913129">
        <w:rPr>
          <w:color w:val="000000" w:themeColor="text1"/>
          <w:sz w:val="28"/>
          <w:szCs w:val="28"/>
          <w:lang w:val="uk-UA"/>
        </w:rPr>
        <w:t xml:space="preserve">, сутність якої </w:t>
      </w:r>
      <w:r w:rsidRPr="00913129">
        <w:rPr>
          <w:color w:val="000000" w:themeColor="text1"/>
          <w:sz w:val="28"/>
          <w:szCs w:val="28"/>
          <w:lang w:val="uk-UA"/>
        </w:rPr>
        <w:t>полягає у свідомому виключенні з інвестиційного портфеля компаній або секторів, діяльність яких не відповідає встановленим етичним чи соціальним критеріям</w:t>
      </w:r>
      <w:r w:rsidR="00D66D29" w:rsidRPr="00913129">
        <w:rPr>
          <w:color w:val="000000" w:themeColor="text1"/>
          <w:sz w:val="28"/>
          <w:szCs w:val="28"/>
          <w:lang w:val="uk-UA"/>
        </w:rPr>
        <w:t xml:space="preserve">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{"citationID":"dpn7ajPk","properties":{"formattedCitation":"\\super [16,17]\\nosupersub{}","plainCitation":"[16,17]","noteIndex":0},"citationItems":[{"id":781,"uris":["http://zotero.org/users/10910668/items/HKKEJCVB"],"itemData":{"id":781,"type":"article-journal","abstract":"This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Decision-Making","volume":"20","author":[{"family":"Alhamis","given":"Innocentus"}],"issued":{"date-parts":[["2024",11,17]]}},"label":"page"},{"id":779,"uris":["http://zotero.org/users/10910668/items/XNGDMJBV"],"itemData":{"id":779,"type":"article-journal","abstract":"The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[16,17]</w:t>
      </w:r>
      <w:r w:rsidRPr="00913129">
        <w:rPr>
          <w:color w:val="000000" w:themeColor="text1"/>
          <w:sz w:val="28"/>
          <w:szCs w:val="28"/>
          <w:lang w:val="uk-UA"/>
        </w:rPr>
        <w:fldChar w:fldCharType="end"/>
      </w:r>
      <w:r w:rsidRPr="00913129">
        <w:rPr>
          <w:color w:val="000000" w:themeColor="text1"/>
          <w:sz w:val="28"/>
          <w:szCs w:val="28"/>
          <w:lang w:val="uk-UA"/>
        </w:rPr>
        <w:t>.</w:t>
      </w:r>
    </w:p>
    <w:p w14:paraId="745A2FF6" w14:textId="475E0C7E"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Наступним важливим </w:t>
      </w:r>
      <w:r w:rsidR="00E8604C" w:rsidRPr="00913129">
        <w:rPr>
          <w:color w:val="000000" w:themeColor="text1"/>
          <w:sz w:val="28"/>
          <w:szCs w:val="28"/>
          <w:lang w:val="uk-UA"/>
        </w:rPr>
        <w:t>типом</w:t>
      </w:r>
      <w:r w:rsidRPr="00913129">
        <w:rPr>
          <w:color w:val="000000" w:themeColor="text1"/>
          <w:sz w:val="28"/>
          <w:szCs w:val="28"/>
          <w:lang w:val="uk-UA"/>
        </w:rPr>
        <w:t xml:space="preserve"> є позитивний відбір, який передбачає формування інвестиційного портфеля шляхом добору компаній, що демонструють найкращі результати у відповідній галузі за показниками екологічної, соціальної та управлінської ефективності. Такий підхід сприяє посиленню конкуренції між корпораціями у сфері сталого розвитку та підвищенню загального рівня корпоративної відповідальності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{"citationID":"FJYAk7MV","properties":{"formattedCitation":"\\super [14,16]\\nosupersub{}","plainCitation":"[14,16]","noteIndex":0},"citationItems":[{"id":788,"uris":["http://zotero.org/users/10910668/items/K94YWRXX"],"itemData":{"id":788,"type":"article-journal","abstract":"This paper aims to examine the publication metrics of literature related to the influential aspects of ESG (environmental, social, and governance), SRI (socially responsible investing), ethical, and impact investing on the portfolio and financial performance literature. It also seeks to identify major patterns and core themes in this topic and draw lessons from the past literature for future directions. Data from the SCOPUS database were used in this study. The ‘biblioshiny’ R package, also known as ‘bibliometrix 3.0’, was employed to conduct bibliometric analysis, utilising mapping and clustering techniques on 260 articles, in order to distil the comprehensive knowledge and identify emerging trends in ESG, SRI, ethical, and impact investing. The thematic map classified the ESG, SRI, ethical, impact investing and performance relationship themes into four categories of themes: niche themes (SRI, engagement and ESG), motor themes (corporate financial performance, corporate social performance, ESG, ESG factors, sustainability, performance, integrated reporting, gender diversity, and board size), emerging or declining themes (social responsibility, environmental performance, socially responsible investment, ethical investment, and SRI), and basic or transversal themes (financial performance, corporate social performance, ESG performance, environmental, social, and governance). Socially responsible investing, engagement, and ESG imply a position between niche themes and a highly developed topic/emerging or a decreasing theme, while the impact of COVID-19 on sustainability and financial performance implies a position between a highly developed topic/emerging or decreasing theme and a basic theme. The findings contribute to the enhanced understanding of ESG, SRI, ethical, impact investing and performance, which are crucial for an efficient capital market in promoting sustainability and sustainable development. The study offers vital practical implications and future research directions.","container-title":"Journal of Risk and Financial Management","DOI":"10.3390/jrfm16070321","ISSN":"1911-8074","issue":"7","language":"en","license":"http://creativecommons.org/licenses/by/3.0/","note":"number: 7\npublisher: Multidisciplinary Digital Publishing Institute","page":"321","source":"www.mdpi.com","title":"The Influence of ESG, SRI, Ethical, and Impact Investing Activities on Portfolio and Financial Performance—Bibliometric Analysis/Mapping and Clustering Analysis","volume":"16","author":[{"family":"Marzuki","given":"Ainulashikin"},{"family":"Nor","given":"Fauzias Mat"},{"family":"Ramli","given":"Nur Ainna"},{"family":"Basah","given":"Mohamad Yazis Ali"},{"family":"Aziz","given":"Muhammad Ridhwan Ab"}],"issued":{"date-parts":[["2023",7]]}},"label":"page"},{"id":781,"uris":["http://zotero.org/users/10910668/items/HKKEJCVB"],"itemData":{"id":781,"type":"article-journal","abstract":"This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[14,16]</w:t>
      </w:r>
      <w:r w:rsidRPr="00913129">
        <w:rPr>
          <w:color w:val="000000" w:themeColor="text1"/>
          <w:sz w:val="28"/>
          <w:szCs w:val="28"/>
          <w:lang w:val="uk-UA"/>
        </w:rPr>
        <w:fldChar w:fldCharType="end"/>
      </w:r>
      <w:r w:rsidRPr="00913129">
        <w:rPr>
          <w:color w:val="000000" w:themeColor="text1"/>
          <w:sz w:val="28"/>
          <w:szCs w:val="28"/>
          <w:lang w:val="uk-UA"/>
        </w:rPr>
        <w:t>.</w:t>
      </w:r>
    </w:p>
    <w:p w14:paraId="42EEDD17" w14:textId="4F3FA925"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Значну роль у сучасних СВІ-стратегіях відіграє інтеграція ESG-факторів у процес традиційного фінансового аналізу та прийняття рішень. Даний тип передбачає системне врахування нефінансових ризиків і можливостей, пов</w:t>
      </w:r>
      <w:r w:rsidR="00340D11" w:rsidRPr="00913129">
        <w:rPr>
          <w:color w:val="000000" w:themeColor="text1"/>
          <w:sz w:val="28"/>
          <w:szCs w:val="28"/>
          <w:lang w:val="uk-UA"/>
        </w:rPr>
        <w:t>’</w:t>
      </w:r>
      <w:r w:rsidRPr="00913129">
        <w:rPr>
          <w:color w:val="000000" w:themeColor="text1"/>
          <w:sz w:val="28"/>
          <w:szCs w:val="28"/>
          <w:lang w:val="uk-UA"/>
        </w:rPr>
        <w:t xml:space="preserve">язаних з екологічними, соціальними й управлінськими аспектами. Такий підхід активно використовується серед інституційних інвесторів, насамперед на розвинених фінансових ринках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{"citationID":"cJV6ftPa","properties":{"formattedCitation":"\\super [14,16,17]\\nosupersub{}","plainCitation":"[14,16,17]","noteIndex":0},"citationItems":[{"id":788,"uris":["http://zotero.org/users/10910668/items/K94YWRXX"],"itemData":{"id":788,"type":"article-journal","abstract":"This paper aims to examine the publication metrics of literature related to the influential aspects of ESG (environmental, social, and governance), SRI (socially responsible investing), ethical, and impact investing on the portfolio and financial performance literature. It also seeks to identify major patterns and core themes in this topic and draw lessons from the past literature for future directions. Data from the SCOPUS database were used in this study. The ‘biblioshiny’ R package, also known as ‘bibliometrix 3.0’, was employed to conduct bibliometric analysis, utilising mapping and clustering techniques on 260 articles, in order to distil the comprehensive knowledge and identify emerging trends in ESG, SRI, ethical, and impact investing. The thematic map classified the ESG, SRI, ethical, impact investing and performance relationship themes into four categories of themes: niche themes (SRI, engagement and ESG), motor themes (corporate financial performance, corporate social performance, ESG, ESG factors, sustainability, performance, integrated reporting, gender diversity, and board size), emerging or declining themes (social responsibility, environmental performance, socially responsible investment, ethical investment, and SRI), and basic or transversal themes (financial performance, corporate social performance, ESG performance, environmental, social, and governance). Socially responsible investing, engagement, and ESG imply a position between niche themes and a highly developed topic/emerging or a decreasing theme, while the impact of COVID-19 on sustainability and financial performance implies a position between a highly developed topic/emerging or decreasing theme and a basic theme. The findings contribute to the enhanced understanding of ESG, SRI, ethical, impact investing and performance, which are crucial for an efficient capital market in promoting sustainability and sustainable development. The study offers vital practical implications and future research directions.","container-title":"Journal of Risk and Financial Management","DOI":"10.3390/jrfm16070321","ISSN":"1911-8074","issue":"7","language":"en","license":"http://creativecommons.org/licenses/by/3.0/","note":"number: 7\npublisher: Multidisciplinary Digital Publishing Institute","page":"321","source":"www.mdpi.com","title":"The Influence of ESG, SRI, Ethical, and Impact Investing Activities on Portfolio and Financial Performance—Bibliometric Analysis/Mapping and Clustering Analysis","volume":"16","author":[{"family":"Marzuki","given":"Ainulashikin"},{"family":"Nor","given":"Fauzias Mat"},{"family":"Ramli","given":"Nur Ainna"},{"family":"Basah","given":"Mohamad Yazis Ali"},{"family":"Aziz","given":"Muhammad Ridhwan Ab"}],"issued":{"date-parts":[["2023",7]]}},"label":"page"},{"id":781,"uris":["http://zotero.org/users/10910668/items/HKKEJCVB"],"itemData":{"id":781,"type":"article-journal","abstract":"This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[14,16,17]</w:t>
      </w:r>
      <w:r w:rsidRPr="00913129">
        <w:rPr>
          <w:color w:val="000000" w:themeColor="text1"/>
          <w:sz w:val="28"/>
          <w:szCs w:val="28"/>
          <w:lang w:val="uk-UA"/>
        </w:rPr>
        <w:fldChar w:fldCharType="end"/>
      </w:r>
      <w:r w:rsidRPr="00913129">
        <w:rPr>
          <w:color w:val="000000" w:themeColor="text1"/>
          <w:sz w:val="28"/>
          <w:szCs w:val="28"/>
          <w:lang w:val="uk-UA"/>
        </w:rPr>
        <w:t>.</w:t>
      </w:r>
    </w:p>
    <w:p w14:paraId="60A48469" w14:textId="61AC04AD"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Тематичне інвестування</w:t>
      </w:r>
      <w:r w:rsidR="00E8604C" w:rsidRPr="00913129">
        <w:rPr>
          <w:color w:val="000000" w:themeColor="text1"/>
          <w:sz w:val="28"/>
          <w:szCs w:val="28"/>
          <w:lang w:val="uk-UA"/>
        </w:rPr>
        <w:t xml:space="preserve"> </w:t>
      </w:r>
      <w:r w:rsidRPr="00913129">
        <w:rPr>
          <w:color w:val="000000" w:themeColor="text1"/>
          <w:sz w:val="28"/>
          <w:szCs w:val="28"/>
          <w:lang w:val="uk-UA"/>
        </w:rPr>
        <w:t xml:space="preserve">є ще одним окремим напрямом, який полягає у фокусі на конкретних галузях чи сферах, що мають стратегічне значення для сталого розвитку. Йдеться, зокрема, про інвестиції у відновлювану енергетику, забезпечення чистої води. Застосування такого підходу дозволяє інвесторам прямо підтримувати цільові напрями сталого розвитку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{"citationID":"yRoqVqb9","properties":{"formattedCitation":"\\super [16,17]\\nosupersub{}","plainCitation":"[16,17]","noteIndex":0},"citationItems":[{"id":781,"uris":["http://zotero.org/users/10910668/items/HKKEJCVB"],"itemData":{"id":781,"type":"article-journal","abstract":"This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Decision-Making","volume":"20","author":[{"family":"Alhamis","given":"Innocentus"}],"issued":{"date-parts":[["2024",11,17]]}},"label":"page"},{"id":779,"uris":["http://zotero.org/users/10910668/items/XNGDMJBV"],"itemData":{"id":779,"type":"article-journal","abstract":"The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[16,17]</w:t>
      </w:r>
      <w:r w:rsidRPr="00913129">
        <w:rPr>
          <w:color w:val="000000" w:themeColor="text1"/>
          <w:sz w:val="28"/>
          <w:szCs w:val="28"/>
          <w:lang w:val="uk-UA"/>
        </w:rPr>
        <w:fldChar w:fldCharType="end"/>
      </w:r>
      <w:r w:rsidRPr="00913129">
        <w:rPr>
          <w:color w:val="000000" w:themeColor="text1"/>
          <w:sz w:val="28"/>
          <w:szCs w:val="28"/>
          <w:lang w:val="uk-UA"/>
        </w:rPr>
        <w:t>.</w:t>
      </w:r>
    </w:p>
    <w:p w14:paraId="22788DCF" w14:textId="397B01EA"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Особливе місце серед сучасних практик займає впливове інвестування, основною метою якого є досягнення вимірюваного позитивного соціального або екологічного впливу поряд із отриманням фінансового доходу. Відмінною рисою цієї стратегії є орієнтація на досягнення конкретних суспільних змін, які можуть бути підтверджені відповідними показниками</w:t>
      </w:r>
      <w:r w:rsidR="00D66D29" w:rsidRPr="00913129">
        <w:rPr>
          <w:color w:val="000000" w:themeColor="text1"/>
          <w:sz w:val="28"/>
          <w:szCs w:val="28"/>
          <w:lang w:val="uk-UA"/>
        </w:rPr>
        <w:t>,</w:t>
      </w:r>
      <w:r w:rsidRPr="00913129">
        <w:rPr>
          <w:color w:val="000000" w:themeColor="text1"/>
          <w:sz w:val="28"/>
          <w:szCs w:val="28"/>
          <w:lang w:val="uk-UA"/>
        </w:rPr>
        <w:t xml:space="preserve"> метриками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{"citationID":"JopvAATb","properties":{"formattedCitation":"\\super [16\\uc0\\u8211{}18]\\nosupersub{}","plainCitation":"[16–18]","noteIndex":0},"citationItems":[{"id":781,"uris":["http://zotero.org/users/10910668/items/HKKEJCVB"],"itemData":{"id":781,"type":"article-journal","abstract":"This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O'"}],"issued":{"date-parts":[["2022"]]}}},{"id":797,"uris":["http://zotero.org/users/10910668/items/EWZARZQ7"],"itemData":{"id":797,"type":"article-journal","abstract":"We propose a quantitative framework for assessing the ﬁnancial impact of any form of impact investing, including socially responsible investing (SRI), environmental, social, and governance (ESG) objectives, and other non-ﬁnancial investment criteria. We derive conditions under which impact investing detracts from, improves on, or is neutral to the performance of traditional mean-variance optimal portfolios, which depends on whether the correlations between the impact factor and unobserved excess returns are negative, positive, or zero, respectively. Using Treynor-Black portfolios to maximize the risk-adjusted returns of impact portfolios, we propose a quantitative measure for the ﬁnancial reward, or cost, of impact investing compared to passive index benchmarks. We illustrate our approach with applications to biotech venture philanthropy, semiconductor R&amp;D consortium, divesting from “sin” stocks, investing in ESG, and “meme” stock rallies such as GameStop in 2021.","language":"en","source":"Zotero","title":"Quantifying the Impact of Impact Investing","author":[{"family":"Lo","given":"Andrew W"},{"family":"Zhang","given":"Ruixun"}]},"label":"page"}],"schema":"https://github.com/citation-style-language/schema/raw/master/csl-citation.json"}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[16–18]</w:t>
      </w:r>
      <w:r w:rsidRPr="00913129">
        <w:rPr>
          <w:color w:val="000000" w:themeColor="text1"/>
          <w:sz w:val="28"/>
          <w:szCs w:val="28"/>
          <w:lang w:val="uk-UA"/>
        </w:rPr>
        <w:fldChar w:fldCharType="end"/>
      </w:r>
      <w:r w:rsidRPr="00913129">
        <w:rPr>
          <w:color w:val="000000" w:themeColor="text1"/>
          <w:sz w:val="28"/>
          <w:szCs w:val="28"/>
          <w:lang w:val="uk-UA"/>
        </w:rPr>
        <w:t>.</w:t>
      </w:r>
    </w:p>
    <w:p w14:paraId="05E4F3A1" w14:textId="656FB48F"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lastRenderedPageBreak/>
        <w:t xml:space="preserve">Етичне інвестування базується на дотриманні особистих </w:t>
      </w:r>
      <w:r w:rsidR="00D66D29" w:rsidRPr="00913129">
        <w:rPr>
          <w:color w:val="000000" w:themeColor="text1"/>
          <w:sz w:val="28"/>
          <w:szCs w:val="28"/>
          <w:lang w:val="uk-UA"/>
        </w:rPr>
        <w:t>та</w:t>
      </w:r>
      <w:r w:rsidRPr="00913129">
        <w:rPr>
          <w:color w:val="000000" w:themeColor="text1"/>
          <w:sz w:val="28"/>
          <w:szCs w:val="28"/>
          <w:lang w:val="uk-UA"/>
        </w:rPr>
        <w:t xml:space="preserve"> суспільних моральних принципів інвестора. </w:t>
      </w:r>
      <w:r w:rsidR="00D66D29" w:rsidRPr="00913129">
        <w:rPr>
          <w:color w:val="000000" w:themeColor="text1"/>
          <w:sz w:val="28"/>
          <w:szCs w:val="28"/>
          <w:lang w:val="uk-UA"/>
        </w:rPr>
        <w:t xml:space="preserve">Це </w:t>
      </w:r>
      <w:r w:rsidRPr="00913129">
        <w:rPr>
          <w:color w:val="000000" w:themeColor="text1"/>
          <w:sz w:val="28"/>
          <w:szCs w:val="28"/>
          <w:lang w:val="uk-UA"/>
        </w:rPr>
        <w:t>подібн</w:t>
      </w:r>
      <w:r w:rsidR="00D66D29" w:rsidRPr="00913129">
        <w:rPr>
          <w:color w:val="000000" w:themeColor="text1"/>
          <w:sz w:val="28"/>
          <w:szCs w:val="28"/>
          <w:lang w:val="uk-UA"/>
        </w:rPr>
        <w:t>о</w:t>
      </w:r>
      <w:r w:rsidRPr="00913129">
        <w:rPr>
          <w:color w:val="000000" w:themeColor="text1"/>
          <w:sz w:val="28"/>
          <w:szCs w:val="28"/>
          <w:lang w:val="uk-UA"/>
        </w:rPr>
        <w:t xml:space="preserve"> до стратегії негативного виключення, </w:t>
      </w:r>
      <w:r w:rsidR="00E8604C" w:rsidRPr="00913129">
        <w:rPr>
          <w:color w:val="000000" w:themeColor="text1"/>
          <w:sz w:val="28"/>
          <w:szCs w:val="28"/>
          <w:lang w:val="uk-UA"/>
        </w:rPr>
        <w:t>проте</w:t>
      </w:r>
      <w:r w:rsidRPr="00913129">
        <w:rPr>
          <w:color w:val="000000" w:themeColor="text1"/>
          <w:sz w:val="28"/>
          <w:szCs w:val="28"/>
          <w:lang w:val="uk-UA"/>
        </w:rPr>
        <w:t xml:space="preserve"> визначальним фактором є етична мотивація, а не лише дотримання загальновизнаних стандартів чи регуляторних вимог</w:t>
      </w:r>
      <w:r w:rsidR="00E8604C" w:rsidRPr="00913129">
        <w:rPr>
          <w:color w:val="000000" w:themeColor="text1"/>
          <w:sz w:val="28"/>
          <w:szCs w:val="28"/>
          <w:lang w:val="uk-UA"/>
        </w:rPr>
        <w:t xml:space="preserve">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{"citationID":"M5ylVKl3","properties":{"formattedCitation":"\\super [14,17]\\nosupersub{}","plainCitation":"[14,17]","noteIndex":0},"citationItems":[{"id":788,"uris":["http://zotero.org/users/10910668/items/K94YWRXX"],"itemData":{"id":788,"type":"article-journal","abstract":"This paper aims to examine the publication metrics of literature related to the influential aspects of ESG (environmental, social, and governance), SRI (socially responsible investing), ethical, and impact investing on the portfolio and financial performance literature. It also seeks to identify major patterns and core themes in this topic and draw lessons from the past literature for future directions. Data from the SCOPUS database were used in this study. The ‘biblioshiny’ R package, also known as ‘bibliometrix 3.0’, was employed to conduct bibliometric analysis, utilising mapping and clustering techniques on 260 articles, in order to distil the comprehensive knowledge and identify emerging trends in ESG, SRI, ethical, and impact investing. The thematic map classified the ESG, SRI, ethical, impact investing and performance relationship themes into four categories of themes: niche themes (SRI, engagement and ESG), motor themes (corporate financial performance, corporate social performance, ESG, ESG factors, sustainability, performance, integrated reporting, gender diversity, and board size), emerging or declining themes (social responsibility, environmental performance, socially responsible investment, ethical investment, and SRI), and basic or transversal themes (financial performance, corporate social performance, ESG performance, environmental, social, and governance). Socially responsible investing, engagement, and ESG imply a position between niche themes and a highly developed topic/emerging or a decreasing theme, while the impact of COVID-19 on sustainability and financial performance implies a position between a highly developed topic/emerging or decreasing theme and a basic theme. The findings contribute to the enhanced understanding of ESG, SRI, ethical, impact investing and performance, which are crucial for an efficient capital market in promoting sustainability and sustainable development. The study offers vital practical implications and future research directions.","container-title":"Journal of Risk and Financial Management","DOI":"10.3390/jrfm16070321","ISSN":"1911-8074","issue":"7","language":"en","license":"http://creativecommons.org/licenses/by/3.0/","note":"number: 7\npublisher: Multidisciplinary Digital Publishing Institute","page":"321","source":"www.mdpi.com","title":"The Influence of ESG, SRI, Ethical, and Impact Investing Activities on Portfolio and Financial Performance—Bibliometric Analysis/Mapping and Clustering Analysis","volume":"16","author":[{"family":"Marzuki","given":"Ainulashikin"},{"family":"Nor","given":"Fauzias Mat"},{"family":"Ramli","given":"Nur Ainna"},{"family":"Basah","given":"Mohamad Yazis Ali"},{"family":"Aziz","given":"Muhammad Ridhwan Ab"}],"issued":{"date-parts":[["2023",7]]}},"label":"page"},{"id":779,"uris":["http://zotero.org/users/10910668/items/XNGDMJBV"],"itemData":{"id":779,"type":"article-journal","abstract":"The article examined three widely accepted approaches to sustainable investing- Socially Responsible Investing (SRI), Environmental, Social and Governance (ESG), and impact investing. Nevertheless, these sustainable investment strategies are under-institutionalised, characterised by a lack of consistent terminology and mixed return performance. Given that these inconsistencies are prevalent in academic research regarding sustainable investing, the paper aimed to perform a systematic review of related studies to compare, contrast and consolidate these sustainable investment approaches. The findings of this study reveal overlapping conceptual frameworks between SRI, ESG and impact investing. The paper recommends the development of a consistent conceptual framework for sustainable investing.","container-title":"International Journal of Economics and Finance","issue":"12","language":"en","note":"publisher: Canadian Center of Science and Education","page":"1-72","source":"ideas.repec.org","title":"A Systematic Review of Sustainable Investment Approaches","volume":"14","author":[{"family":"Akala","given":"Charney S."},{"family":"Neuhaus","given":"Taryn"},{"family":"Leary-Govender","given":"Indrani O'"}],"issued":{"date-parts":[["2022"]]}}}],"schema":"https://github.com/citation-style-language/schema/raw/master/csl-citation.json"}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[14,17]</w:t>
      </w:r>
      <w:r w:rsidRPr="00913129">
        <w:rPr>
          <w:color w:val="000000" w:themeColor="text1"/>
          <w:sz w:val="28"/>
          <w:szCs w:val="28"/>
          <w:lang w:val="uk-UA"/>
        </w:rPr>
        <w:fldChar w:fldCharType="end"/>
      </w:r>
      <w:r w:rsidRPr="00913129">
        <w:rPr>
          <w:color w:val="000000" w:themeColor="text1"/>
          <w:sz w:val="28"/>
          <w:szCs w:val="28"/>
          <w:lang w:val="uk-UA"/>
        </w:rPr>
        <w:t>.</w:t>
      </w:r>
    </w:p>
    <w:p w14:paraId="39AB1029" w14:textId="415046BD"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Вагом</w:t>
      </w:r>
      <w:r w:rsidR="00D66D29" w:rsidRPr="00913129">
        <w:rPr>
          <w:color w:val="000000" w:themeColor="text1"/>
          <w:sz w:val="28"/>
          <w:szCs w:val="28"/>
          <w:lang w:val="uk-UA"/>
        </w:rPr>
        <w:t>им</w:t>
      </w:r>
      <w:r w:rsidRPr="00913129">
        <w:rPr>
          <w:color w:val="000000" w:themeColor="text1"/>
          <w:sz w:val="28"/>
          <w:szCs w:val="28"/>
          <w:lang w:val="uk-UA"/>
        </w:rPr>
        <w:t xml:space="preserve"> </w:t>
      </w:r>
      <w:r w:rsidR="00D66D29" w:rsidRPr="00913129">
        <w:rPr>
          <w:color w:val="000000" w:themeColor="text1"/>
          <w:sz w:val="28"/>
          <w:szCs w:val="28"/>
          <w:lang w:val="uk-UA"/>
        </w:rPr>
        <w:t>методом</w:t>
      </w:r>
      <w:r w:rsidRPr="00913129">
        <w:rPr>
          <w:color w:val="000000" w:themeColor="text1"/>
          <w:sz w:val="28"/>
          <w:szCs w:val="28"/>
          <w:lang w:val="uk-UA"/>
        </w:rPr>
        <w:t xml:space="preserve"> сучасного СВІ є також активний вплив</w:t>
      </w:r>
      <w:r w:rsidR="00E8604C" w:rsidRPr="00913129">
        <w:rPr>
          <w:color w:val="000000" w:themeColor="text1"/>
          <w:sz w:val="28"/>
          <w:szCs w:val="28"/>
          <w:lang w:val="uk-UA"/>
        </w:rPr>
        <w:t xml:space="preserve">, </w:t>
      </w:r>
      <w:r w:rsidRPr="00913129">
        <w:rPr>
          <w:color w:val="000000" w:themeColor="text1"/>
          <w:sz w:val="28"/>
          <w:szCs w:val="28"/>
          <w:lang w:val="uk-UA"/>
        </w:rPr>
        <w:t xml:space="preserve">тобто використання інвесторами своїх прав як акціонерів для прямого впливу на корпоративну політику та управлінські рішення у сфері сталого розвитку. Активний вплив може реалізовуватися через ведення конструктивного діалогу з менеджментом, ініціювання та підтримку резолюцій з ESG-питань, участь у голосуваннях на загальних зборах акціонерів або через координацію дій </w:t>
      </w:r>
      <w:r w:rsidR="00206060" w:rsidRPr="00913129">
        <w:rPr>
          <w:color w:val="000000" w:themeColor="text1"/>
          <w:sz w:val="28"/>
          <w:szCs w:val="28"/>
          <w:lang w:val="uk-UA"/>
        </w:rPr>
        <w:t>задля</w:t>
      </w:r>
      <w:r w:rsidRPr="00913129">
        <w:rPr>
          <w:color w:val="000000" w:themeColor="text1"/>
          <w:sz w:val="28"/>
          <w:szCs w:val="28"/>
          <w:lang w:val="uk-UA"/>
        </w:rPr>
        <w:t xml:space="preserve"> підвищення стандартів корпоративної відповідальності</w:t>
      </w:r>
      <w:r w:rsidR="00E8604C" w:rsidRPr="00913129">
        <w:rPr>
          <w:color w:val="000000" w:themeColor="text1"/>
          <w:sz w:val="28"/>
          <w:szCs w:val="28"/>
          <w:lang w:val="uk-UA"/>
        </w:rPr>
        <w:t xml:space="preserve">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{"citationID":"bnJO8fwU","properties":{"formattedCitation":"\\super [16]\\nosupersub{}","plainCitation":"[16]","noteIndex":0},"citationItems":[{"id":781,"uris":["http://zotero.org/users/10910668/items/HKKEJCVB"],"itemData":{"id":781,"type":"article-journal","abstract":"This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[16]</w:t>
      </w:r>
      <w:r w:rsidRPr="00913129">
        <w:rPr>
          <w:color w:val="000000" w:themeColor="text1"/>
          <w:sz w:val="28"/>
          <w:szCs w:val="28"/>
          <w:lang w:val="uk-UA"/>
        </w:rPr>
        <w:fldChar w:fldCharType="end"/>
      </w:r>
      <w:r w:rsidRPr="00913129">
        <w:rPr>
          <w:color w:val="000000" w:themeColor="text1"/>
          <w:sz w:val="28"/>
          <w:szCs w:val="28"/>
          <w:lang w:val="uk-UA"/>
        </w:rPr>
        <w:t>.</w:t>
      </w:r>
    </w:p>
    <w:p w14:paraId="7297CC1C" w14:textId="02A76C09"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Отже, сучасні типи соціально відповідального інвестування охоплюють широкий спектр пасивних і активних підходів</w:t>
      </w:r>
      <w:r w:rsidR="00E8604C" w:rsidRPr="00913129">
        <w:rPr>
          <w:color w:val="000000" w:themeColor="text1"/>
          <w:sz w:val="28"/>
          <w:szCs w:val="28"/>
          <w:lang w:val="uk-UA"/>
        </w:rPr>
        <w:t xml:space="preserve">, </w:t>
      </w:r>
      <w:r w:rsidRPr="00913129">
        <w:rPr>
          <w:color w:val="000000" w:themeColor="text1"/>
          <w:sz w:val="28"/>
          <w:szCs w:val="28"/>
          <w:lang w:val="uk-UA"/>
        </w:rPr>
        <w:t xml:space="preserve">від фільтрації компаній за визначеними критеріями до цілеспрямованого впливу на корпоративну політику. Поєднання цих стратегій дозволяє інвесторам не лише досягати власних фінансових цілей, але й виконувати роль каталізатора позитивних трансформацій у суспільстві та довкіллі. </w:t>
      </w:r>
    </w:p>
    <w:p w14:paraId="6E2F0E0B" w14:textId="77777777" w:rsidR="00AA0E17" w:rsidRPr="00913129" w:rsidRDefault="00AA0E17" w:rsidP="00C03370">
      <w:pPr>
        <w:pStyle w:val="ae"/>
        <w:spacing w:before="0" w:beforeAutospacing="0" w:after="0" w:afterAutospacing="0" w:line="360" w:lineRule="auto"/>
        <w:ind w:right="-2" w:firstLine="851"/>
        <w:jc w:val="both"/>
        <w:rPr>
          <w:b/>
          <w:bCs/>
          <w:color w:val="000000"/>
          <w:sz w:val="28"/>
          <w:szCs w:val="28"/>
          <w:lang w:val="uk-UA"/>
        </w:rPr>
      </w:pPr>
    </w:p>
    <w:p w14:paraId="7F41AF0D" w14:textId="77777777" w:rsidR="00155DFB" w:rsidRPr="00913129" w:rsidRDefault="00155DFB" w:rsidP="00C03370">
      <w:pPr>
        <w:pStyle w:val="ae"/>
        <w:spacing w:before="0" w:beforeAutospacing="0" w:after="0" w:afterAutospacing="0" w:line="360" w:lineRule="auto"/>
        <w:ind w:right="-2" w:firstLine="851"/>
        <w:jc w:val="both"/>
        <w:rPr>
          <w:b/>
          <w:bCs/>
          <w:color w:val="000000"/>
          <w:sz w:val="28"/>
          <w:szCs w:val="28"/>
          <w:lang w:val="uk-UA"/>
        </w:rPr>
      </w:pPr>
    </w:p>
    <w:p w14:paraId="1E3AB229" w14:textId="69DEDEFA" w:rsidR="00AA0E17" w:rsidRPr="00913129" w:rsidRDefault="00155DFB" w:rsidP="00155DFB">
      <w:pPr>
        <w:pStyle w:val="ae"/>
        <w:numPr>
          <w:ilvl w:val="1"/>
          <w:numId w:val="22"/>
        </w:numPr>
        <w:spacing w:before="0" w:beforeAutospacing="0" w:after="0" w:afterAutospacing="0" w:line="360" w:lineRule="auto"/>
        <w:ind w:left="0" w:right="-2" w:firstLine="720"/>
        <w:jc w:val="both"/>
        <w:rPr>
          <w:b/>
          <w:bCs/>
          <w:color w:val="000000" w:themeColor="text1"/>
          <w:sz w:val="28"/>
          <w:szCs w:val="28"/>
          <w:lang w:val="uk-UA"/>
        </w:rPr>
      </w:pPr>
      <w:r w:rsidRPr="00913129">
        <w:rPr>
          <w:b/>
          <w:bCs/>
          <w:color w:val="000000" w:themeColor="text1"/>
          <w:sz w:val="28"/>
          <w:szCs w:val="28"/>
          <w:lang w:val="uk-UA"/>
        </w:rPr>
        <w:t xml:space="preserve"> </w:t>
      </w:r>
      <w:r w:rsidR="00AA0E17" w:rsidRPr="00913129">
        <w:rPr>
          <w:b/>
          <w:bCs/>
          <w:color w:val="000000" w:themeColor="text1"/>
          <w:sz w:val="28"/>
          <w:szCs w:val="28"/>
          <w:lang w:val="uk-UA"/>
        </w:rPr>
        <w:t>Огляд сучасних досліджень соціально відповідального інвестування у міжнародних компаніях</w:t>
      </w:r>
    </w:p>
    <w:p w14:paraId="1EBD648A" w14:textId="77777777" w:rsidR="00155DFB" w:rsidRPr="00913129" w:rsidRDefault="00155DFB" w:rsidP="00155DFB">
      <w:pPr>
        <w:pStyle w:val="ae"/>
        <w:spacing w:before="0" w:beforeAutospacing="0" w:after="0" w:afterAutospacing="0" w:line="360" w:lineRule="auto"/>
        <w:ind w:left="1571" w:right="-2"/>
        <w:jc w:val="both"/>
        <w:rPr>
          <w:b/>
          <w:bCs/>
          <w:color w:val="000000" w:themeColor="text1"/>
          <w:sz w:val="28"/>
          <w:szCs w:val="28"/>
          <w:lang w:val="uk-UA"/>
        </w:rPr>
      </w:pPr>
    </w:p>
    <w:p w14:paraId="4CD1939A" w14:textId="38771EC4"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У сучасних дослідженнях </w:t>
      </w:r>
      <w:r w:rsidR="005E0B87" w:rsidRPr="00913129">
        <w:rPr>
          <w:color w:val="000000" w:themeColor="text1"/>
          <w:sz w:val="28"/>
          <w:szCs w:val="28"/>
          <w:lang w:val="uk-UA"/>
        </w:rPr>
        <w:t>вагома увага</w:t>
      </w:r>
      <w:r w:rsidRPr="00913129">
        <w:rPr>
          <w:color w:val="000000" w:themeColor="text1"/>
          <w:sz w:val="28"/>
          <w:szCs w:val="28"/>
          <w:lang w:val="uk-UA"/>
        </w:rPr>
        <w:t xml:space="preserve"> приділяється аналізу соціально відповідального інвестування у міжнародних компаніях, зокрема впливу ESG-стратегій на корпоративну поведінку та фінансові результати. Далі наведено огляд основних підходів і результатів, отриманих у наукових роботах з цієї тематики.</w:t>
      </w:r>
    </w:p>
    <w:p w14:paraId="1F186A71" w14:textId="6888382B"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У </w:t>
      </w:r>
      <w:r w:rsidR="005E0B87" w:rsidRPr="00913129">
        <w:rPr>
          <w:color w:val="000000" w:themeColor="text1"/>
          <w:sz w:val="28"/>
          <w:szCs w:val="28"/>
          <w:lang w:val="uk-UA"/>
        </w:rPr>
        <w:t xml:space="preserve">науковій </w:t>
      </w:r>
      <w:r w:rsidRPr="00913129">
        <w:rPr>
          <w:color w:val="000000" w:themeColor="text1"/>
          <w:sz w:val="28"/>
          <w:szCs w:val="28"/>
          <w:lang w:val="uk-UA"/>
        </w:rPr>
        <w:t xml:space="preserve">статті «ESG investing and firm performance: Retrospections of past and reflections of future» </w:t>
      </w:r>
      <w:r w:rsidR="005E0B87" w:rsidRPr="00913129">
        <w:rPr>
          <w:color w:val="000000" w:themeColor="text1"/>
          <w:sz w:val="28"/>
          <w:szCs w:val="28"/>
          <w:lang w:val="uk-UA"/>
        </w:rPr>
        <w:t xml:space="preserve">авторства </w:t>
      </w:r>
      <w:r w:rsidRPr="00913129">
        <w:rPr>
          <w:color w:val="000000" w:themeColor="text1"/>
          <w:sz w:val="28"/>
          <w:szCs w:val="28"/>
          <w:lang w:val="uk-UA"/>
        </w:rPr>
        <w:t>П. Нарула, П. Саху, Ш. Сінгх, С. Дас та С. Гупта</w:t>
      </w:r>
      <w:r w:rsidR="005E0B87" w:rsidRPr="00913129">
        <w:rPr>
          <w:color w:val="000000" w:themeColor="text1"/>
          <w:sz w:val="28"/>
          <w:szCs w:val="28"/>
          <w:lang w:val="uk-UA"/>
        </w:rPr>
        <w:t>, було</w:t>
      </w:r>
      <w:r w:rsidRPr="00913129">
        <w:rPr>
          <w:color w:val="000000" w:themeColor="text1"/>
          <w:sz w:val="28"/>
          <w:szCs w:val="28"/>
          <w:lang w:val="uk-UA"/>
        </w:rPr>
        <w:t xml:space="preserve"> </w:t>
      </w:r>
      <w:r w:rsidR="005E0B87" w:rsidRPr="00913129">
        <w:rPr>
          <w:color w:val="000000" w:themeColor="text1"/>
          <w:sz w:val="28"/>
          <w:szCs w:val="28"/>
          <w:lang w:val="uk-UA"/>
        </w:rPr>
        <w:t>проведено</w:t>
      </w:r>
      <w:r w:rsidRPr="00913129">
        <w:rPr>
          <w:color w:val="000000" w:themeColor="text1"/>
          <w:sz w:val="28"/>
          <w:szCs w:val="28"/>
          <w:lang w:val="uk-UA"/>
        </w:rPr>
        <w:t xml:space="preserve"> систематичний огляд сучасних досліджень із </w:t>
      </w:r>
      <w:r w:rsidRPr="00913129">
        <w:rPr>
          <w:color w:val="000000" w:themeColor="text1"/>
          <w:sz w:val="28"/>
          <w:szCs w:val="28"/>
          <w:lang w:val="uk-UA"/>
        </w:rPr>
        <w:lastRenderedPageBreak/>
        <w:t>соціально відповідального інвестування у міжнародних компаніях. На основі аналізу 198 наукових робіт за 2010</w:t>
      </w:r>
      <w:r w:rsidR="005E0B87" w:rsidRPr="00913129">
        <w:rPr>
          <w:color w:val="000000" w:themeColor="text1"/>
          <w:sz w:val="28"/>
          <w:szCs w:val="28"/>
          <w:lang w:val="uk-UA"/>
        </w:rPr>
        <w:t>-</w:t>
      </w:r>
      <w:r w:rsidRPr="00913129">
        <w:rPr>
          <w:color w:val="000000" w:themeColor="text1"/>
          <w:sz w:val="28"/>
          <w:szCs w:val="28"/>
          <w:lang w:val="uk-UA"/>
        </w:rPr>
        <w:t>2022 роки, виконаного за допомогою фреймворку TCCM та методології SPAR-4-SLR, автори окреслили основні тенденції та результати. Особливу увагу приділено впливу ESG-факторів на фінансову ефективність та специфіці впровадження СВІ-стратегій у глобальному корпоративному середовищі.</w:t>
      </w:r>
    </w:p>
    <w:p w14:paraId="62FC0E17" w14:textId="7E95BA85" w:rsidR="00AA0E17" w:rsidRPr="00913129" w:rsidRDefault="00AA0E17" w:rsidP="00C03370">
      <w:pPr>
        <w:pStyle w:val="ae"/>
        <w:spacing w:before="0" w:beforeAutospacing="0" w:after="0" w:afterAutospacing="0" w:line="360" w:lineRule="auto"/>
        <w:ind w:right="-2" w:firstLine="851"/>
        <w:jc w:val="both"/>
        <w:rPr>
          <w:rStyle w:val="apple-converted-space"/>
          <w:color w:val="000000" w:themeColor="text1"/>
          <w:sz w:val="28"/>
          <w:szCs w:val="28"/>
          <w:lang w:val="uk-UA"/>
        </w:rPr>
      </w:pPr>
      <w:r w:rsidRPr="00913129">
        <w:rPr>
          <w:color w:val="000000" w:themeColor="text1"/>
          <w:sz w:val="28"/>
          <w:szCs w:val="28"/>
          <w:lang w:val="uk-UA"/>
        </w:rPr>
        <w:t>Дослідники встановили, що практика СВІ у міжнародних компаніях значно варіюється залежно від регіону, інституційного середовища й особливостей корпоративного управління. Відзначено, що компанії дедалі частіше впроваджують ESG-стратегії під впливом глобальних трендів сталого розвитку, вимог інвесторів, суспільства та міжнародних стандартів звітності. Значна частина аналізованих досліджень присвячена порівнянню результатів компаній із різним рівнем інтеграції ESG, що дозволяє виявити зв</w:t>
      </w:r>
      <w:r w:rsidR="00340D11" w:rsidRPr="00913129">
        <w:rPr>
          <w:color w:val="000000" w:themeColor="text1"/>
          <w:sz w:val="28"/>
          <w:szCs w:val="28"/>
          <w:lang w:val="uk-UA"/>
        </w:rPr>
        <w:t>’</w:t>
      </w:r>
      <w:r w:rsidRPr="00913129">
        <w:rPr>
          <w:color w:val="000000" w:themeColor="text1"/>
          <w:sz w:val="28"/>
          <w:szCs w:val="28"/>
          <w:lang w:val="uk-UA"/>
        </w:rPr>
        <w:t>язок між СВІ, фінансовою ефективністю, ризиками та репутацією</w:t>
      </w:r>
      <w:r w:rsidR="005E0B87" w:rsidRPr="00913129">
        <w:rPr>
          <w:color w:val="000000" w:themeColor="text1"/>
          <w:sz w:val="28"/>
          <w:szCs w:val="28"/>
          <w:lang w:val="uk-UA"/>
        </w:rPr>
        <w:t xml:space="preserve">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{"citationID":"HiGfNo94","properties":{"formattedCitation":"\\super [13]\\nosupersub{}","plainCitation":"[13]","noteIndex":0},"citationItems":[{"id":790,"uris":["http://zotero.org/users/10910668/items/5GYF9VMF"],"itemData":{"id":790,"type":"article-journal","abstract":"The purpose of this research is to investigate the current state of the literature on environmental, social, and governance (ESG) investing, and study the impact of ESG ratings on firm performance. Corporate sustainability has evolved as a concept and is increasingly being integrated with investment analysis. The present study performs a systematic literature review (SLR) using the theory, context, characteristics, and methodology (TCCM) framework to provide valuable insights and research directions in the context of ESG investing. The review is based on 198 articles published from 2010 to 2022 and follows the scientific procedures and rationales for systematic literature reviews (SPAR-4-SLR) protocol using the Scopus database. Further, the research also re-examines the empirical studies based on ESG as a determinant of firm performance using a meta-analytical approach. The research findings suggest a positive impact of ESG ratings on firm performance. However, an intriguing discovery surfaced when empirical studies were segmented according to the ESG rating methodologies provided by Bloomberg and Thomson Reuters. The purpose of this research is to offer a comprehensive and collective scholarship of the subject by adopting a mixed-method approach. Further, it provides a conceptual framework, thereby linking the various elements of ESG investing and explaining the channels of transmission of ESG translates into value creation for the shareholders. It encompasses extensive research agendas discussing barriers to ESG implementation, the materiality of ESG practices, informativeness of sustainability reporting, sustainability performance, and sustainable underpinnings.","container-title":"Corporate Social Responsibility and Environmental Management","DOI":"10.1002/csr.2982","ISSN":"1535-3966","issue":"1","language":"en","license":"© 2024 The Author(s). Corporate Social Responsibility and Environmental Management published by ERP Environment and John Wiley &amp; Sons Ltd.","note":"_eprint: https://onlinelibrary.wiley.com/doi/pdf/10.1002/csr.2982","page":"1096-1121","source":"Wiley Online Library","title":"ESG investing &amp; firm performance: Retrospections of past &amp; reflections of future","title-short":"ESG investing &amp; firm performance","volume":"32","author":[{"family":"Narula","given":"Radhika"},{"family":"Rao","given":"Purnima"},{"family":"Kumar","given":"Satish"},{"family":"Paltrinieri","given":"Andrea"}],"issued":{"date-parts":[["2025"]]}}}],"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szCs w:val="28"/>
          <w:lang w:val="uk-UA"/>
        </w:rPr>
        <w:t>[13]</w:t>
      </w:r>
      <w:r w:rsidRPr="00913129">
        <w:rPr>
          <w:color w:val="000000" w:themeColor="text1"/>
          <w:sz w:val="28"/>
          <w:szCs w:val="28"/>
          <w:lang w:val="uk-UA"/>
        </w:rPr>
        <w:fldChar w:fldCharType="end"/>
      </w:r>
      <w:r w:rsidRPr="00913129">
        <w:rPr>
          <w:color w:val="000000" w:themeColor="text1"/>
          <w:sz w:val="28"/>
          <w:szCs w:val="28"/>
          <w:lang w:val="uk-UA"/>
        </w:rPr>
        <w:t>.</w:t>
      </w:r>
      <w:r w:rsidRPr="00913129">
        <w:rPr>
          <w:rStyle w:val="apple-converted-space"/>
          <w:rFonts w:eastAsiaTheme="majorEastAsia"/>
          <w:color w:val="000000" w:themeColor="text1"/>
          <w:sz w:val="28"/>
          <w:szCs w:val="28"/>
          <w:lang w:val="uk-UA"/>
        </w:rPr>
        <w:t> </w:t>
      </w:r>
    </w:p>
    <w:p w14:paraId="1E818770" w14:textId="174E1D12"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У </w:t>
      </w:r>
      <w:r w:rsidR="005E0B87" w:rsidRPr="00913129">
        <w:rPr>
          <w:color w:val="000000" w:themeColor="text1"/>
          <w:sz w:val="28"/>
          <w:szCs w:val="28"/>
          <w:lang w:val="uk-UA"/>
        </w:rPr>
        <w:t>роботі</w:t>
      </w:r>
      <w:r w:rsidRPr="00913129">
        <w:rPr>
          <w:color w:val="000000" w:themeColor="text1"/>
          <w:sz w:val="28"/>
          <w:szCs w:val="28"/>
          <w:lang w:val="uk-UA"/>
        </w:rPr>
        <w:t xml:space="preserve"> Д</w:t>
      </w:r>
      <w:r w:rsidR="005E0B87" w:rsidRPr="00913129">
        <w:rPr>
          <w:color w:val="000000" w:themeColor="text1"/>
          <w:sz w:val="28"/>
          <w:szCs w:val="28"/>
          <w:lang w:val="uk-UA"/>
        </w:rPr>
        <w:t>.</w:t>
      </w:r>
      <w:r w:rsidRPr="00913129">
        <w:rPr>
          <w:color w:val="000000" w:themeColor="text1"/>
          <w:sz w:val="28"/>
          <w:szCs w:val="28"/>
          <w:lang w:val="uk-UA"/>
        </w:rPr>
        <w:t xml:space="preserve"> Хіта, Д</w:t>
      </w:r>
      <w:r w:rsidR="005E0B87" w:rsidRPr="00913129">
        <w:rPr>
          <w:color w:val="000000" w:themeColor="text1"/>
          <w:sz w:val="28"/>
          <w:szCs w:val="28"/>
          <w:lang w:val="uk-UA"/>
        </w:rPr>
        <w:t xml:space="preserve">. </w:t>
      </w:r>
      <w:r w:rsidRPr="00913129">
        <w:rPr>
          <w:color w:val="000000" w:themeColor="text1"/>
          <w:sz w:val="28"/>
          <w:szCs w:val="28"/>
          <w:lang w:val="uk-UA"/>
        </w:rPr>
        <w:t>Маччоккі, Р</w:t>
      </w:r>
      <w:r w:rsidR="005E0B87" w:rsidRPr="00913129">
        <w:rPr>
          <w:color w:val="000000" w:themeColor="text1"/>
          <w:sz w:val="28"/>
          <w:szCs w:val="28"/>
          <w:lang w:val="uk-UA"/>
        </w:rPr>
        <w:t>.</w:t>
      </w:r>
      <w:r w:rsidRPr="00913129">
        <w:rPr>
          <w:color w:val="000000" w:themeColor="text1"/>
          <w:sz w:val="28"/>
          <w:szCs w:val="28"/>
          <w:lang w:val="uk-UA"/>
        </w:rPr>
        <w:t xml:space="preserve"> Мікаелі та М</w:t>
      </w:r>
      <w:r w:rsidR="005E0B87" w:rsidRPr="00913129">
        <w:rPr>
          <w:color w:val="000000" w:themeColor="text1"/>
          <w:sz w:val="28"/>
          <w:szCs w:val="28"/>
          <w:lang w:val="uk-UA"/>
        </w:rPr>
        <w:t>.</w:t>
      </w:r>
      <w:r w:rsidRPr="00913129">
        <w:rPr>
          <w:color w:val="000000" w:themeColor="text1"/>
          <w:sz w:val="28"/>
          <w:szCs w:val="28"/>
          <w:lang w:val="uk-UA"/>
        </w:rPr>
        <w:t xml:space="preserve">С. Рінгенберга </w:t>
      </w:r>
      <w:r w:rsidR="005E0B87" w:rsidRPr="00913129">
        <w:rPr>
          <w:color w:val="000000" w:themeColor="text1"/>
          <w:sz w:val="28"/>
          <w:szCs w:val="28"/>
          <w:lang w:val="uk-UA"/>
        </w:rPr>
        <w:t>представлено впливу СВІ</w:t>
      </w:r>
      <w:r w:rsidRPr="00913129">
        <w:rPr>
          <w:color w:val="000000" w:themeColor="text1"/>
          <w:sz w:val="28"/>
          <w:szCs w:val="28"/>
          <w:lang w:val="uk-UA"/>
        </w:rPr>
        <w:t xml:space="preserve"> на поведінку міжнародних компаній. Автори використали мікрорівневі дані для оцінки того, як СВІ-фонди інтегрують екологічні та соціальні критерії при формуванні інвестиційних портфелів, а також чи можуть вони змінювати корпоративну політику портфельних компаній.</w:t>
      </w:r>
      <w:r w:rsidR="005E0B87" w:rsidRPr="00913129">
        <w:rPr>
          <w:color w:val="000000" w:themeColor="text1"/>
          <w:sz w:val="28"/>
          <w:szCs w:val="28"/>
          <w:lang w:val="uk-UA"/>
        </w:rPr>
        <w:t xml:space="preserve"> Р</w:t>
      </w:r>
      <w:r w:rsidRPr="00913129">
        <w:rPr>
          <w:color w:val="000000" w:themeColor="text1"/>
          <w:sz w:val="28"/>
          <w:szCs w:val="28"/>
          <w:lang w:val="uk-UA"/>
        </w:rPr>
        <w:t xml:space="preserve">езультати дослідження свідчать, що СВІ-фонди дійсно схильні інвестувати у компанії з вищими ESG-показниками. Проте, </w:t>
      </w:r>
      <w:r w:rsidR="005E0B87" w:rsidRPr="00913129">
        <w:rPr>
          <w:color w:val="000000" w:themeColor="text1"/>
          <w:sz w:val="28"/>
          <w:szCs w:val="28"/>
          <w:lang w:val="uk-UA"/>
        </w:rPr>
        <w:t>результати</w:t>
      </w:r>
      <w:r w:rsidRPr="00913129">
        <w:rPr>
          <w:color w:val="000000" w:themeColor="text1"/>
          <w:sz w:val="28"/>
          <w:szCs w:val="28"/>
          <w:lang w:val="uk-UA"/>
        </w:rPr>
        <w:t xml:space="preserve"> емпіричн</w:t>
      </w:r>
      <w:r w:rsidR="005E0B87" w:rsidRPr="00913129">
        <w:rPr>
          <w:color w:val="000000" w:themeColor="text1"/>
          <w:sz w:val="28"/>
          <w:szCs w:val="28"/>
          <w:lang w:val="uk-UA"/>
        </w:rPr>
        <w:t>ого</w:t>
      </w:r>
      <w:r w:rsidRPr="00913129">
        <w:rPr>
          <w:color w:val="000000" w:themeColor="text1"/>
          <w:sz w:val="28"/>
          <w:szCs w:val="28"/>
          <w:lang w:val="uk-UA"/>
        </w:rPr>
        <w:t xml:space="preserve"> аналіз</w:t>
      </w:r>
      <w:r w:rsidR="005E0B87" w:rsidRPr="00913129">
        <w:rPr>
          <w:color w:val="000000" w:themeColor="text1"/>
          <w:sz w:val="28"/>
          <w:szCs w:val="28"/>
          <w:lang w:val="uk-UA"/>
        </w:rPr>
        <w:t>у дозволи</w:t>
      </w:r>
      <w:r w:rsidR="008D3F15" w:rsidRPr="00913129">
        <w:rPr>
          <w:color w:val="000000" w:themeColor="text1"/>
          <w:sz w:val="28"/>
          <w:szCs w:val="28"/>
          <w:lang w:val="uk-UA"/>
        </w:rPr>
        <w:t>ли</w:t>
      </w:r>
      <w:r w:rsidR="005E0B87" w:rsidRPr="00913129">
        <w:rPr>
          <w:color w:val="000000" w:themeColor="text1"/>
          <w:sz w:val="28"/>
          <w:szCs w:val="28"/>
          <w:lang w:val="uk-UA"/>
        </w:rPr>
        <w:t xml:space="preserve"> зазначити</w:t>
      </w:r>
      <w:r w:rsidRPr="00913129">
        <w:rPr>
          <w:color w:val="000000" w:themeColor="text1"/>
          <w:sz w:val="28"/>
          <w:szCs w:val="28"/>
          <w:lang w:val="uk-UA"/>
        </w:rPr>
        <w:t>,</w:t>
      </w:r>
      <w:r w:rsidR="005E0B87" w:rsidRPr="00913129">
        <w:rPr>
          <w:color w:val="000000" w:themeColor="text1"/>
          <w:sz w:val="28"/>
          <w:szCs w:val="28"/>
          <w:lang w:val="uk-UA"/>
        </w:rPr>
        <w:t xml:space="preserve"> що</w:t>
      </w:r>
      <w:r w:rsidRPr="00913129">
        <w:rPr>
          <w:color w:val="000000" w:themeColor="text1"/>
          <w:sz w:val="28"/>
          <w:szCs w:val="28"/>
          <w:lang w:val="uk-UA"/>
        </w:rPr>
        <w:t xml:space="preserve"> сам факт залучення інвестицій від СВІ-фондів не призводить до помітних змін у поведінці компаній</w:t>
      </w:r>
      <w:r w:rsidR="005E0B87" w:rsidRPr="00913129">
        <w:rPr>
          <w:color w:val="000000" w:themeColor="text1"/>
          <w:sz w:val="28"/>
          <w:szCs w:val="28"/>
          <w:lang w:val="uk-UA"/>
        </w:rPr>
        <w:t>, тобто</w:t>
      </w:r>
      <w:r w:rsidRPr="00913129">
        <w:rPr>
          <w:color w:val="000000" w:themeColor="text1"/>
          <w:sz w:val="28"/>
          <w:szCs w:val="28"/>
          <w:lang w:val="uk-UA"/>
        </w:rPr>
        <w:t xml:space="preserve"> жодних статистично значущих ефектів у зміні корпоративних практик або у відповіді на екзогенні шоки капіталу не зафіксовано.</w:t>
      </w:r>
    </w:p>
    <w:p w14:paraId="6A35970C" w14:textId="0EE3F5BD"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Таким чином, </w:t>
      </w:r>
      <w:r w:rsidR="005E0B87" w:rsidRPr="00913129">
        <w:rPr>
          <w:color w:val="000000" w:themeColor="text1"/>
          <w:sz w:val="28"/>
          <w:szCs w:val="28"/>
          <w:lang w:val="uk-UA"/>
        </w:rPr>
        <w:t>було доведено</w:t>
      </w:r>
      <w:r w:rsidRPr="00913129">
        <w:rPr>
          <w:color w:val="000000" w:themeColor="text1"/>
          <w:sz w:val="28"/>
          <w:szCs w:val="28"/>
          <w:lang w:val="uk-UA"/>
        </w:rPr>
        <w:t xml:space="preserve">, що сучасне </w:t>
      </w:r>
      <w:r w:rsidR="005E0B87" w:rsidRPr="00913129">
        <w:rPr>
          <w:color w:val="000000" w:themeColor="text1"/>
          <w:sz w:val="28"/>
          <w:szCs w:val="28"/>
          <w:lang w:val="uk-UA"/>
        </w:rPr>
        <w:t xml:space="preserve">СВІ </w:t>
      </w:r>
      <w:r w:rsidRPr="00913129">
        <w:rPr>
          <w:color w:val="000000" w:themeColor="text1"/>
          <w:sz w:val="28"/>
          <w:szCs w:val="28"/>
          <w:lang w:val="uk-UA"/>
        </w:rPr>
        <w:t xml:space="preserve">у міжнародних компаніях обмежується пасивним відбором компаній з високими ESG-стандартами, а не активним сприянням змінам у їхній діяльності. Така практика, на думку авторів, відповідає явищу </w:t>
      </w:r>
      <w:r w:rsidR="005E0B87" w:rsidRPr="00913129">
        <w:rPr>
          <w:color w:val="000000" w:themeColor="text1"/>
          <w:sz w:val="28"/>
          <w:szCs w:val="28"/>
          <w:lang w:val="uk-UA"/>
        </w:rPr>
        <w:t>«</w:t>
      </w:r>
      <w:r w:rsidRPr="00913129">
        <w:rPr>
          <w:color w:val="000000" w:themeColor="text1"/>
          <w:sz w:val="28"/>
          <w:szCs w:val="28"/>
          <w:lang w:val="uk-UA"/>
        </w:rPr>
        <w:t>impact washing</w:t>
      </w:r>
      <w:r w:rsidR="005E0B87" w:rsidRPr="00913129">
        <w:rPr>
          <w:color w:val="000000" w:themeColor="text1"/>
          <w:sz w:val="28"/>
          <w:szCs w:val="28"/>
          <w:lang w:val="uk-UA"/>
        </w:rPr>
        <w:t>»</w:t>
      </w:r>
      <w:r w:rsidRPr="00913129">
        <w:rPr>
          <w:color w:val="000000" w:themeColor="text1"/>
          <w:sz w:val="28"/>
          <w:szCs w:val="28"/>
          <w:lang w:val="uk-UA"/>
        </w:rPr>
        <w:t xml:space="preserve">, коли декларується вплив, однак реальних структурних змін у компаніях не відбувається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{"citationID":"YFoWaGGN","properties":{"formattedCitation":"\\super [19]\\nosupersub{}","plainCitation":"[19]","noteIndex":0},"citationItems":[{"id":800,"uris":["http://zotero.org/users/10910668/items/NR978CKR"],"itemData":{"id":800,"type":"document","title":"doessociallyresponsibleinvestingchangefirmbehavior.pdf","URL":"https://www.ecgi.global/sites/default/files/working_papers/documents/doessociallyresponsibleinvestingchangefirmbehavior.pdf","accessed":{"date-parts":[["2025",6,2]]}}}],"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szCs w:val="28"/>
          <w:lang w:val="uk-UA"/>
        </w:rPr>
        <w:t>[19]</w:t>
      </w:r>
      <w:r w:rsidRPr="00913129">
        <w:rPr>
          <w:color w:val="000000" w:themeColor="text1"/>
          <w:sz w:val="28"/>
          <w:szCs w:val="28"/>
          <w:lang w:val="uk-UA"/>
        </w:rPr>
        <w:fldChar w:fldCharType="end"/>
      </w:r>
      <w:r w:rsidRPr="00913129">
        <w:rPr>
          <w:color w:val="000000" w:themeColor="text1"/>
          <w:sz w:val="28"/>
          <w:szCs w:val="28"/>
          <w:lang w:val="uk-UA"/>
        </w:rPr>
        <w:t>.</w:t>
      </w:r>
    </w:p>
    <w:p w14:paraId="24F08C84" w14:textId="5E97CD6A" w:rsidR="00AA0E17" w:rsidRPr="00913129" w:rsidRDefault="00AA0E17"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lastRenderedPageBreak/>
        <w:t xml:space="preserve">У </w:t>
      </w:r>
      <w:r w:rsidR="005E0B87" w:rsidRPr="00913129">
        <w:rPr>
          <w:color w:val="000000" w:themeColor="text1"/>
          <w:sz w:val="28"/>
          <w:szCs w:val="28"/>
          <w:lang w:val="uk-UA"/>
        </w:rPr>
        <w:t>науковій праці дослідників</w:t>
      </w:r>
      <w:r w:rsidRPr="00913129">
        <w:rPr>
          <w:color w:val="000000" w:themeColor="text1"/>
          <w:sz w:val="28"/>
          <w:szCs w:val="28"/>
          <w:lang w:val="uk-UA"/>
        </w:rPr>
        <w:t xml:space="preserve"> Б</w:t>
      </w:r>
      <w:r w:rsidR="005E0B87" w:rsidRPr="00913129">
        <w:rPr>
          <w:color w:val="000000" w:themeColor="text1"/>
          <w:sz w:val="28"/>
          <w:szCs w:val="28"/>
          <w:lang w:val="uk-UA"/>
        </w:rPr>
        <w:t>.</w:t>
      </w:r>
      <w:r w:rsidRPr="00913129">
        <w:rPr>
          <w:color w:val="000000" w:themeColor="text1"/>
          <w:sz w:val="28"/>
          <w:szCs w:val="28"/>
          <w:lang w:val="uk-UA"/>
        </w:rPr>
        <w:t xml:space="preserve"> Янноне, П</w:t>
      </w:r>
      <w:r w:rsidR="005E0B87" w:rsidRPr="00913129">
        <w:rPr>
          <w:color w:val="000000" w:themeColor="text1"/>
          <w:sz w:val="28"/>
          <w:szCs w:val="28"/>
          <w:lang w:val="uk-UA"/>
        </w:rPr>
        <w:t>.</w:t>
      </w:r>
      <w:r w:rsidRPr="00913129">
        <w:rPr>
          <w:color w:val="000000" w:themeColor="text1"/>
          <w:sz w:val="28"/>
          <w:szCs w:val="28"/>
          <w:lang w:val="uk-UA"/>
        </w:rPr>
        <w:t xml:space="preserve"> Дуттіло та С</w:t>
      </w:r>
      <w:r w:rsidR="005E0B87" w:rsidRPr="00913129">
        <w:rPr>
          <w:color w:val="000000" w:themeColor="text1"/>
          <w:sz w:val="28"/>
          <w:szCs w:val="28"/>
          <w:lang w:val="uk-UA"/>
        </w:rPr>
        <w:t>.</w:t>
      </w:r>
      <w:r w:rsidRPr="00913129">
        <w:rPr>
          <w:color w:val="000000" w:themeColor="text1"/>
          <w:sz w:val="28"/>
          <w:szCs w:val="28"/>
          <w:lang w:val="uk-UA"/>
        </w:rPr>
        <w:t>А</w:t>
      </w:r>
      <w:r w:rsidR="005E0B87" w:rsidRPr="00913129">
        <w:rPr>
          <w:color w:val="000000" w:themeColor="text1"/>
          <w:sz w:val="28"/>
          <w:szCs w:val="28"/>
          <w:lang w:val="uk-UA"/>
        </w:rPr>
        <w:t>.</w:t>
      </w:r>
      <w:r w:rsidRPr="00913129">
        <w:rPr>
          <w:color w:val="000000" w:themeColor="text1"/>
          <w:sz w:val="28"/>
          <w:szCs w:val="28"/>
          <w:lang w:val="uk-UA"/>
        </w:rPr>
        <w:t xml:space="preserve"> Ґаттоне проаналізовано особливості </w:t>
      </w:r>
      <w:r w:rsidR="005E0B87" w:rsidRPr="00913129">
        <w:rPr>
          <w:color w:val="000000" w:themeColor="text1"/>
          <w:sz w:val="28"/>
          <w:szCs w:val="28"/>
          <w:lang w:val="uk-UA"/>
        </w:rPr>
        <w:t>СВІ</w:t>
      </w:r>
      <w:r w:rsidRPr="00913129">
        <w:rPr>
          <w:color w:val="000000" w:themeColor="text1"/>
          <w:sz w:val="28"/>
          <w:szCs w:val="28"/>
          <w:lang w:val="uk-UA"/>
        </w:rPr>
        <w:t xml:space="preserve"> у міжнародних компаніях на європейських ринках у періоди фінансової нестабільності. Дослідження показало, що </w:t>
      </w:r>
      <w:r w:rsidR="005E0B87" w:rsidRPr="00913129">
        <w:rPr>
          <w:color w:val="000000" w:themeColor="text1"/>
          <w:sz w:val="28"/>
          <w:szCs w:val="28"/>
          <w:lang w:val="uk-UA"/>
        </w:rPr>
        <w:t>СВІ</w:t>
      </w:r>
      <w:r w:rsidRPr="00913129">
        <w:rPr>
          <w:color w:val="000000" w:themeColor="text1"/>
          <w:sz w:val="28"/>
          <w:szCs w:val="28"/>
          <w:lang w:val="uk-UA"/>
        </w:rPr>
        <w:t xml:space="preserve"> поступово переходить від загальних практик корпоративної соціальної відповідальності до використання ESG-індексів як ключового інструменту оцінки. Встановлено, що стійкість ESG-індексів у кризові періоди найбільш виражена в Німеччині, тоді як у Франції та Італії цей ефект є менш помітним, що свідчить про країноспецифічний характер ефективності </w:t>
      </w:r>
      <w:r w:rsidR="00DB4EA9" w:rsidRPr="00913129">
        <w:rPr>
          <w:color w:val="000000" w:themeColor="text1"/>
          <w:sz w:val="28"/>
          <w:szCs w:val="28"/>
          <w:lang w:val="uk-UA"/>
        </w:rPr>
        <w:t>СВІ</w:t>
      </w:r>
      <w:r w:rsidRPr="00913129">
        <w:rPr>
          <w:color w:val="000000" w:themeColor="text1"/>
          <w:sz w:val="28"/>
          <w:szCs w:val="28"/>
          <w:lang w:val="uk-UA"/>
        </w:rPr>
        <w:t xml:space="preserve">. Автори підкреслюють, що поширення </w:t>
      </w:r>
      <w:r w:rsidR="00DB4EA9" w:rsidRPr="00913129">
        <w:rPr>
          <w:color w:val="000000" w:themeColor="text1"/>
          <w:sz w:val="28"/>
          <w:szCs w:val="28"/>
          <w:lang w:val="uk-UA"/>
        </w:rPr>
        <w:t>СВІ</w:t>
      </w:r>
      <w:r w:rsidRPr="00913129">
        <w:rPr>
          <w:color w:val="000000" w:themeColor="text1"/>
          <w:sz w:val="28"/>
          <w:szCs w:val="28"/>
          <w:lang w:val="uk-UA"/>
        </w:rPr>
        <w:t xml:space="preserve"> у міжнародних компаніях сприяє підвищенню репутації, залученню інвесторів та зниженню ризиків, однак розвиток цієї сфери супроводжується низкою викликів</w:t>
      </w:r>
      <w:r w:rsidR="005E0B87" w:rsidRPr="00913129">
        <w:rPr>
          <w:color w:val="000000" w:themeColor="text1"/>
          <w:sz w:val="28"/>
          <w:szCs w:val="28"/>
          <w:lang w:val="uk-UA"/>
        </w:rPr>
        <w:t xml:space="preserve">, як </w:t>
      </w:r>
      <w:r w:rsidRPr="00913129">
        <w:rPr>
          <w:color w:val="000000" w:themeColor="text1"/>
          <w:sz w:val="28"/>
          <w:szCs w:val="28"/>
          <w:lang w:val="uk-UA"/>
        </w:rPr>
        <w:t xml:space="preserve">нерівномірністю регуляторного поля, відсутністю уніфікованих стандартів і ризиком </w:t>
      </w:r>
      <w:r w:rsidR="005E0B87" w:rsidRPr="00913129">
        <w:rPr>
          <w:color w:val="000000" w:themeColor="text1"/>
          <w:sz w:val="28"/>
          <w:szCs w:val="28"/>
          <w:lang w:val="uk-UA"/>
        </w:rPr>
        <w:t>«</w:t>
      </w:r>
      <w:r w:rsidRPr="00913129">
        <w:rPr>
          <w:color w:val="000000" w:themeColor="text1"/>
          <w:sz w:val="28"/>
          <w:szCs w:val="28"/>
          <w:lang w:val="uk-UA"/>
        </w:rPr>
        <w:t>greenwashing</w:t>
      </w:r>
      <w:r w:rsidR="005E0B87" w:rsidRPr="00913129">
        <w:rPr>
          <w:color w:val="000000" w:themeColor="text1"/>
          <w:sz w:val="28"/>
          <w:szCs w:val="28"/>
          <w:lang w:val="uk-UA"/>
        </w:rPr>
        <w:t>»</w:t>
      </w:r>
      <w:r w:rsidRPr="00913129">
        <w:rPr>
          <w:color w:val="000000" w:themeColor="text1"/>
          <w:sz w:val="28"/>
          <w:szCs w:val="28"/>
          <w:lang w:val="uk-UA"/>
        </w:rPr>
        <w:t xml:space="preserve">. Загалом, ефективність </w:t>
      </w:r>
      <w:r w:rsidR="00DB4EA9" w:rsidRPr="00913129">
        <w:rPr>
          <w:color w:val="000000" w:themeColor="text1"/>
          <w:sz w:val="28"/>
          <w:szCs w:val="28"/>
          <w:lang w:val="uk-UA"/>
        </w:rPr>
        <w:t>СВІ</w:t>
      </w:r>
      <w:r w:rsidRPr="00913129">
        <w:rPr>
          <w:color w:val="000000" w:themeColor="text1"/>
          <w:sz w:val="28"/>
          <w:szCs w:val="28"/>
          <w:lang w:val="uk-UA"/>
        </w:rPr>
        <w:t xml:space="preserve"> у міжнародних компаніях значною мірою залежить від локальних особливостей та здатності адаптуватися до глобальних вимог сталого розвитку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{"citationID":"pe7WjcsQ","properties":{"formattedCitation":"\\super [20]\\nosupersub{}","plainCitation":"[20]","noteIndex":0},"citationItems":[{"id":801,"uris":["http://zotero.org/users/10910668/items/GM9XGPH4"],"itemData":{"id":801,"type":"article-journal","abstract":"This study investigates the resilience of Environmental, Social, and Governance (ESG) investments during periods of financial instability, comparing them with traditional equity indices of the three largest economies in the European Union by gross domestic product: Germany, France, and Italy. Using daily returns from January 2018 to December 2024, the analysis explores the effects of key global disruptions such as the COVID-19 pandemic and the Russia-Ukraine conflict on market performance. A mixture of two generalised normal distributions (MGND) and EGARCH-in-mean models is used to identify periods of market turmoil and assess volatility dynamics. The findings suggest that during crises, ESG investments exhibit lower volatility in Germany, while their volatility remains comparable to that of traditional indices in Italy and France. Thus, the volatility of the ESG indices shows country-specific variations in the European context. These results underscore the importance of integrating ESG factors into long-term investment strategies, particularly in the face of unpredictable financial turmoil.","container-title":"Corporate Social Responsibility and Environmental Management","DOI":"10.1002/csr.3225","ISSN":"1535-3966","issue":"n/a","language":"en","note":"_eprint: https://onlinelibrary.wiley.com/doi/pdf/10.1002/csr.3225","source":"Wiley Online Library","title":"Evaluating the Resilience of ESG Investments in European Markets During Turmoil Periods","URL":"https://onlinelibrary.wiley.com/doi/abs/10.1002/csr.3225","volume":"n/a","author":[{"family":"Iannone","given":"Barbara"},{"family":"Duttilo","given":"Pierdomenico"},{"family":"Gattone","given":"Stefano Antonio"}],"accessed":{"date-parts":[["2025",6,2]]}}}],"schema":"https://github.com/citation-style-language/schema/raw/master/csl-citation.json"}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szCs w:val="28"/>
          <w:lang w:val="uk-UA"/>
        </w:rPr>
        <w:t>[20]</w:t>
      </w:r>
      <w:r w:rsidRPr="00913129">
        <w:rPr>
          <w:color w:val="000000" w:themeColor="text1"/>
          <w:sz w:val="28"/>
          <w:szCs w:val="28"/>
          <w:lang w:val="uk-UA"/>
        </w:rPr>
        <w:fldChar w:fldCharType="end"/>
      </w:r>
      <w:r w:rsidRPr="00913129">
        <w:rPr>
          <w:color w:val="000000" w:themeColor="text1"/>
          <w:sz w:val="28"/>
          <w:szCs w:val="28"/>
          <w:lang w:val="uk-UA"/>
        </w:rPr>
        <w:t>.</w:t>
      </w:r>
    </w:p>
    <w:p w14:paraId="55A21A68" w14:textId="0749731F" w:rsidR="00AA0E17" w:rsidRPr="00913129" w:rsidRDefault="00AA0E17" w:rsidP="00C03370">
      <w:pPr>
        <w:pStyle w:val="ae"/>
        <w:spacing w:before="0" w:beforeAutospacing="0" w:after="0" w:afterAutospacing="0" w:line="360" w:lineRule="auto"/>
        <w:ind w:right="-2" w:firstLine="851"/>
        <w:jc w:val="both"/>
        <w:rPr>
          <w:rStyle w:val="relative"/>
          <w:color w:val="000000" w:themeColor="text1"/>
          <w:sz w:val="28"/>
          <w:szCs w:val="28"/>
          <w:lang w:val="uk-UA"/>
        </w:rPr>
      </w:pPr>
      <w:r w:rsidRPr="00913129">
        <w:rPr>
          <w:color w:val="000000" w:themeColor="text1"/>
          <w:sz w:val="28"/>
          <w:szCs w:val="28"/>
          <w:lang w:val="uk-UA"/>
        </w:rPr>
        <w:t>У статті «The Influence of ESG, SRI, Ethical, and Impact Investing Activities on Portfolio and Financial Performance</w:t>
      </w:r>
      <w:r w:rsidR="005E0B87" w:rsidRPr="00913129">
        <w:rPr>
          <w:color w:val="000000" w:themeColor="text1"/>
          <w:sz w:val="28"/>
          <w:szCs w:val="28"/>
          <w:lang w:val="uk-UA"/>
        </w:rPr>
        <w:t>-</w:t>
      </w:r>
      <w:r w:rsidRPr="00913129">
        <w:rPr>
          <w:color w:val="000000" w:themeColor="text1"/>
          <w:sz w:val="28"/>
          <w:szCs w:val="28"/>
          <w:lang w:val="uk-UA"/>
        </w:rPr>
        <w:t>Bibliometric Analysis/Mapping and Clustering Analysis» представлено огляд понад тисячі наукових публікацій, присвячених впливу ESG, соціально відповідального інвестування, етичного та імпакт-інвестування на фінансові результати компаній у 2000</w:t>
      </w:r>
      <w:r w:rsidR="005E0B87" w:rsidRPr="00913129">
        <w:rPr>
          <w:color w:val="000000" w:themeColor="text1"/>
          <w:sz w:val="28"/>
          <w:szCs w:val="28"/>
          <w:lang w:val="uk-UA"/>
        </w:rPr>
        <w:t>-</w:t>
      </w:r>
      <w:r w:rsidRPr="00913129">
        <w:rPr>
          <w:color w:val="000000" w:themeColor="text1"/>
          <w:sz w:val="28"/>
          <w:szCs w:val="28"/>
          <w:lang w:val="uk-UA"/>
        </w:rPr>
        <w:t>2022 роках. Автори за допомогою картографування і кластерного аналізу ідентифікували основні тенденції та наукові напрями в цій галузі.</w:t>
      </w:r>
      <w:r w:rsidR="005E0B87" w:rsidRPr="00913129">
        <w:rPr>
          <w:color w:val="000000" w:themeColor="text1"/>
          <w:sz w:val="28"/>
          <w:szCs w:val="28"/>
          <w:lang w:val="uk-UA"/>
        </w:rPr>
        <w:t xml:space="preserve"> Було з</w:t>
      </w:r>
      <w:r w:rsidR="00340D11" w:rsidRPr="00913129">
        <w:rPr>
          <w:color w:val="000000" w:themeColor="text1"/>
          <w:sz w:val="28"/>
          <w:szCs w:val="28"/>
          <w:lang w:val="uk-UA"/>
        </w:rPr>
        <w:t>’</w:t>
      </w:r>
      <w:r w:rsidRPr="00913129">
        <w:rPr>
          <w:color w:val="000000" w:themeColor="text1"/>
          <w:sz w:val="28"/>
          <w:szCs w:val="28"/>
          <w:lang w:val="uk-UA"/>
        </w:rPr>
        <w:t>ясовано, що більшість досліджень сфокусовано на розвинених ринках</w:t>
      </w:r>
      <w:r w:rsidR="005E0B87" w:rsidRPr="00913129">
        <w:rPr>
          <w:color w:val="000000" w:themeColor="text1"/>
          <w:sz w:val="28"/>
          <w:szCs w:val="28"/>
          <w:lang w:val="uk-UA"/>
        </w:rPr>
        <w:t>, таки</w:t>
      </w:r>
      <w:r w:rsidR="008F6F5F" w:rsidRPr="00913129">
        <w:rPr>
          <w:color w:val="000000" w:themeColor="text1"/>
          <w:sz w:val="28"/>
          <w:szCs w:val="28"/>
          <w:lang w:val="uk-UA"/>
        </w:rPr>
        <w:t>х</w:t>
      </w:r>
      <w:r w:rsidR="005E0B87" w:rsidRPr="00913129">
        <w:rPr>
          <w:color w:val="000000" w:themeColor="text1"/>
          <w:sz w:val="28"/>
          <w:szCs w:val="28"/>
          <w:lang w:val="uk-UA"/>
        </w:rPr>
        <w:t xml:space="preserve"> як </w:t>
      </w:r>
      <w:r w:rsidRPr="00913129">
        <w:rPr>
          <w:color w:val="000000" w:themeColor="text1"/>
          <w:sz w:val="28"/>
          <w:szCs w:val="28"/>
          <w:lang w:val="uk-UA"/>
        </w:rPr>
        <w:t>США, Західна Європа</w:t>
      </w:r>
      <w:r w:rsidR="005E0B87" w:rsidRPr="00913129">
        <w:rPr>
          <w:color w:val="000000" w:themeColor="text1"/>
          <w:sz w:val="28"/>
          <w:szCs w:val="28"/>
          <w:lang w:val="uk-UA"/>
        </w:rPr>
        <w:t>.</w:t>
      </w:r>
      <w:r w:rsidRPr="00913129">
        <w:rPr>
          <w:color w:val="000000" w:themeColor="text1"/>
          <w:sz w:val="28"/>
          <w:szCs w:val="28"/>
          <w:lang w:val="uk-UA"/>
        </w:rPr>
        <w:t xml:space="preserve"> </w:t>
      </w:r>
      <w:r w:rsidR="005E0B87" w:rsidRPr="00913129">
        <w:rPr>
          <w:color w:val="000000" w:themeColor="text1"/>
          <w:sz w:val="28"/>
          <w:szCs w:val="28"/>
          <w:lang w:val="uk-UA"/>
        </w:rPr>
        <w:t>Т</w:t>
      </w:r>
      <w:r w:rsidRPr="00913129">
        <w:rPr>
          <w:color w:val="000000" w:themeColor="text1"/>
          <w:sz w:val="28"/>
          <w:szCs w:val="28"/>
          <w:lang w:val="uk-UA"/>
        </w:rPr>
        <w:t>оді як ринки, що розвиваються, залишаються недостатньо вивченими. Переважна частина робіт підтверджує позитивний зв</w:t>
      </w:r>
      <w:r w:rsidR="00340D11" w:rsidRPr="00913129">
        <w:rPr>
          <w:color w:val="000000" w:themeColor="text1"/>
          <w:sz w:val="28"/>
          <w:szCs w:val="28"/>
          <w:lang w:val="uk-UA"/>
        </w:rPr>
        <w:t>’</w:t>
      </w:r>
      <w:r w:rsidRPr="00913129">
        <w:rPr>
          <w:color w:val="000000" w:themeColor="text1"/>
          <w:sz w:val="28"/>
          <w:szCs w:val="28"/>
          <w:lang w:val="uk-UA"/>
        </w:rPr>
        <w:t>язок між високими показниками ESG та фінансовою ефективністю компаній: підприємства з вищими оцінками ESG, як правило, характеризуються кращою прибутковістю, нижчими ризиками та більшою стійкістю до ринкових шоків</w:t>
      </w:r>
      <w:r w:rsidR="008F6F5F" w:rsidRPr="00913129">
        <w:rPr>
          <w:color w:val="000000" w:themeColor="text1"/>
          <w:sz w:val="28"/>
          <w:szCs w:val="28"/>
          <w:lang w:val="uk-UA"/>
        </w:rPr>
        <w:t xml:space="preserve"> </w:t>
      </w:r>
      <w:r w:rsidRPr="00913129">
        <w:rPr>
          <w:rStyle w:val="relative"/>
          <w:rFonts w:eastAsiaTheme="majorEastAsia"/>
          <w:color w:val="000000" w:themeColor="text1"/>
          <w:sz w:val="28"/>
          <w:szCs w:val="28"/>
          <w:lang w:val="uk-UA"/>
        </w:rPr>
        <w:fldChar w:fldCharType="begin"/>
      </w:r>
      <w:r w:rsidR="008B4A9E" w:rsidRPr="00913129">
        <w:rPr>
          <w:rStyle w:val="relative"/>
          <w:rFonts w:eastAsiaTheme="majorEastAsia"/>
          <w:color w:val="000000" w:themeColor="text1"/>
          <w:sz w:val="28"/>
          <w:szCs w:val="28"/>
          <w:lang w:val="uk-UA"/>
        </w:rPr>
        <w:instrText xml:space="preserve"> ADDIN ZOTERO_ITEM CSL_CITATION {"citationID":"rDL86qKB","properties":{"formattedCitation":"\\super [14]\\nosupersub{}","plainCitation":"[14]","noteIndex":0},"citationItems":[{"id":788,"uris":["http://zotero.org/users/10910668/items/K94YWRXX"],"itemData":{"id":788,"type":"article-journal","abstract":"This paper aims to examine the publication metrics of literature related to the influential aspects of ESG (environmental, social, and governance), SRI (socially responsible investing), ethical, and impact investing on the portfolio and financial performance literature. It also seeks to identify major patterns and core themes in this topic and draw lessons from the past literature for future directions. Data from the SCOPUS database were used in this study. The ‘biblioshiny’ R package, also known as ‘bibliometrix 3.0’, was employed to conduct bibliometric analysis, utilising mapping and clustering techniques on 260 articles, in order to distil the comprehensive knowledge and identify emerging trends in ESG, SRI, ethical, and impact investing. The thematic map classified the ESG, SRI, ethical, impact investing and performance relationship themes into four categories of themes: niche themes (SRI, engagement and ESG), motor themes (corporate financial performance, corporate social performance, ESG, ESG factors, sustainability, performance, integrated reporting, gender diversity, and board size), emerging or declining themes (social responsibility, environmental performance, socially responsible investment, ethical investment, and SRI), and basic or transversal themes (financial performance, corporate social performance, ESG performance, environmental, social, and governance). Socially responsible investing, engagement, and ESG imply a position between niche themes and a highly developed topic/emerging or a decreasing theme, while the impact of COVID-19 on sustainability and financial performance implies a position between a highly developed topic/emerging or decreasing theme and a basic theme. The findings contribute to the enhanced understanding of ESG, SRI, ethical, impact investing and performance, which are crucial for an efficient capital market in promoting sustainability and sustainable development. The study offers vital practical implications and future research directions.","container-title":"Journal of Risk and Financial Management","DOI":"10.3390/jrfm16070321","ISSN":"1911-8074","issue":"7","language":"en","license":"http://creativecommons.org/licenses/by/3.0/","note":"number: 7\npublisher: Multidisciplinary Digital Publishing Institute","page":"321","source":"www.mdpi.com","title":"The Influence of ESG, SRI, Ethical, and Impact Investing Activities on Portfolio and Financial Performance—Bibliometric Analysis/Mapping and Clustering Analysis","volume":"16","author":[{"family":"Marzuki","given":"Ainulashikin"},{"family":"Nor","given":"Fauzias Mat"},{"family":"Ramli","given":"Nur Ainna"},{"family":"Basah","given":"Mohamad Yazis Ali"},{"family":"Aziz","given":"Muhammad Ridhwan Ab"}],"issued":{"date-parts":[["2023",7]]}}}],"schema":"https://github.com/citation-style-language/schema/raw/master/csl-citation.json"} </w:instrText>
      </w:r>
      <w:r w:rsidRPr="00913129">
        <w:rPr>
          <w:rStyle w:val="relative"/>
          <w:rFonts w:eastAsiaTheme="majorEastAsia"/>
          <w:color w:val="000000" w:themeColor="text1"/>
          <w:sz w:val="28"/>
          <w:szCs w:val="28"/>
          <w:lang w:val="uk-UA"/>
        </w:rPr>
        <w:fldChar w:fldCharType="separate"/>
      </w:r>
      <w:r w:rsidR="008B4A9E" w:rsidRPr="00913129">
        <w:rPr>
          <w:color w:val="000000"/>
          <w:sz w:val="28"/>
          <w:szCs w:val="28"/>
          <w:lang w:val="uk-UA"/>
        </w:rPr>
        <w:t>[14]</w:t>
      </w:r>
      <w:r w:rsidRPr="00913129">
        <w:rPr>
          <w:rStyle w:val="relative"/>
          <w:rFonts w:eastAsiaTheme="majorEastAsia"/>
          <w:color w:val="000000" w:themeColor="text1"/>
          <w:sz w:val="28"/>
          <w:szCs w:val="28"/>
          <w:lang w:val="uk-UA"/>
        </w:rPr>
        <w:fldChar w:fldCharType="end"/>
      </w:r>
      <w:r w:rsidRPr="00913129">
        <w:rPr>
          <w:rStyle w:val="relative"/>
          <w:rFonts w:eastAsiaTheme="majorEastAsia"/>
          <w:color w:val="000000" w:themeColor="text1"/>
          <w:sz w:val="28"/>
          <w:szCs w:val="28"/>
          <w:lang w:val="uk-UA"/>
        </w:rPr>
        <w:t>.</w:t>
      </w:r>
    </w:p>
    <w:p w14:paraId="7D68570D" w14:textId="460C6552" w:rsidR="00AA0E17" w:rsidRPr="00913129" w:rsidRDefault="008F6F5F"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lastRenderedPageBreak/>
        <w:t>Дослідник</w:t>
      </w:r>
      <w:r w:rsidR="00AA0E17" w:rsidRPr="00913129">
        <w:rPr>
          <w:color w:val="000000" w:themeColor="text1"/>
          <w:sz w:val="28"/>
          <w:szCs w:val="28"/>
          <w:lang w:val="uk-UA"/>
        </w:rPr>
        <w:t xml:space="preserve"> І</w:t>
      </w:r>
      <w:r w:rsidRPr="00913129">
        <w:rPr>
          <w:color w:val="000000" w:themeColor="text1"/>
          <w:sz w:val="28"/>
          <w:szCs w:val="28"/>
          <w:lang w:val="uk-UA"/>
        </w:rPr>
        <w:t>.</w:t>
      </w:r>
      <w:r w:rsidR="00AA0E17" w:rsidRPr="00913129">
        <w:rPr>
          <w:color w:val="000000" w:themeColor="text1"/>
          <w:sz w:val="28"/>
          <w:szCs w:val="28"/>
          <w:lang w:val="uk-UA"/>
        </w:rPr>
        <w:t xml:space="preserve"> Альхаміс </w:t>
      </w:r>
      <w:r w:rsidRPr="00913129">
        <w:rPr>
          <w:color w:val="000000" w:themeColor="text1"/>
          <w:sz w:val="28"/>
          <w:szCs w:val="28"/>
          <w:lang w:val="uk-UA"/>
        </w:rPr>
        <w:t>у своїй роботі проаналізував</w:t>
      </w:r>
      <w:r w:rsidR="00AA0E17" w:rsidRPr="00913129">
        <w:rPr>
          <w:color w:val="000000" w:themeColor="text1"/>
          <w:sz w:val="28"/>
          <w:szCs w:val="28"/>
          <w:lang w:val="uk-UA"/>
        </w:rPr>
        <w:t xml:space="preserve"> процес інтеграції критеріїв сталого розвитку у рішення інституційних інвесторів. </w:t>
      </w:r>
      <w:r w:rsidRPr="00913129">
        <w:rPr>
          <w:color w:val="000000" w:themeColor="text1"/>
          <w:sz w:val="28"/>
          <w:szCs w:val="28"/>
          <w:lang w:val="uk-UA"/>
        </w:rPr>
        <w:t>Зазначено</w:t>
      </w:r>
      <w:r w:rsidR="00AA0E17" w:rsidRPr="00913129">
        <w:rPr>
          <w:color w:val="000000" w:themeColor="text1"/>
          <w:sz w:val="28"/>
          <w:szCs w:val="28"/>
          <w:lang w:val="uk-UA"/>
        </w:rPr>
        <w:t>, що екологічні, соціальні та управлінські чинники поступово стають обов</w:t>
      </w:r>
      <w:r w:rsidR="00340D11" w:rsidRPr="00913129">
        <w:rPr>
          <w:color w:val="000000" w:themeColor="text1"/>
          <w:sz w:val="28"/>
          <w:szCs w:val="28"/>
          <w:lang w:val="uk-UA"/>
        </w:rPr>
        <w:t>’</w:t>
      </w:r>
      <w:r w:rsidR="00AA0E17" w:rsidRPr="00913129">
        <w:rPr>
          <w:color w:val="000000" w:themeColor="text1"/>
          <w:sz w:val="28"/>
          <w:szCs w:val="28"/>
          <w:lang w:val="uk-UA"/>
        </w:rPr>
        <w:t xml:space="preserve">язковим елементом інвестиційних стратегій під впливом зростаючого суспільного та регуляторного тиску. </w:t>
      </w:r>
      <w:r w:rsidRPr="00913129">
        <w:rPr>
          <w:color w:val="000000" w:themeColor="text1"/>
          <w:sz w:val="28"/>
          <w:szCs w:val="28"/>
          <w:lang w:val="uk-UA"/>
        </w:rPr>
        <w:t>Крім того, у</w:t>
      </w:r>
      <w:r w:rsidR="00AA0E17" w:rsidRPr="00913129">
        <w:rPr>
          <w:color w:val="000000" w:themeColor="text1"/>
          <w:sz w:val="28"/>
          <w:szCs w:val="28"/>
          <w:lang w:val="uk-UA"/>
        </w:rPr>
        <w:t xml:space="preserve"> роботі детально розглянуто ключові теоретичні підходи до обґрунтування мотивів впровадження ESG-факторів </w:t>
      </w:r>
      <w:r w:rsidR="00AA0E17"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{"citationID":"vH7NZrlo","properties":{"formattedCitation":"\\super [16]\\nosupersub{}","plainCitation":"[16]","noteIndex":0},"citationItems":[{"id":781,"uris":["http://zotero.org/users/10910668/items/HKKEJCVB"],"itemData":{"id":781,"type":"article-journal","abstract":"This paper explores key theoretical frameworks instrumental in understanding the relationship between sustainability and institutional investment decisions. The study identifies and analyzes various theories, including Behavioral Finance Theory, Modern Portfolio Theory, Risk Management Theory, and others, to explain how sustainability considerations increasingly influence investment choices. By examining these frameworks, the paper highlights how investors integrate Environmental, Social, and Governance (ESG) factors to optimize financial outcomes and align with broader societal goals.","container-title":"JOURNAL OF SOCIAL SCIENCE RESEARCH","DOI":"10.24297/jssr.v20i.9687","ISSN":"2321-1091","journalAbbreviation":"JSSR","note":"arXiv:2502.13148 [q-fin]","page":"51-63","source":"arXiv.org","title":"Theoretical Frameworks for Integrating Sustainability Factors into Institutional Investment Decision-Making","volume":"20","author":[{"family":"Alhamis","given":"Innocentus"}],"issued":{"date-parts":[["2024",11,17]]}}}],"schema":"https://github.com/citation-style-language/schema/raw/master/csl-citation.json"} </w:instrText>
      </w:r>
      <w:r w:rsidR="00AA0E17" w:rsidRPr="00913129">
        <w:rPr>
          <w:color w:val="000000" w:themeColor="text1"/>
          <w:sz w:val="28"/>
          <w:szCs w:val="28"/>
          <w:lang w:val="uk-UA"/>
        </w:rPr>
        <w:fldChar w:fldCharType="separate"/>
      </w:r>
      <w:r w:rsidR="008B4A9E" w:rsidRPr="00913129">
        <w:rPr>
          <w:color w:val="000000"/>
          <w:sz w:val="28"/>
          <w:szCs w:val="28"/>
          <w:lang w:val="uk-UA"/>
        </w:rPr>
        <w:t>[16]</w:t>
      </w:r>
      <w:r w:rsidR="00AA0E17" w:rsidRPr="00913129">
        <w:rPr>
          <w:color w:val="000000" w:themeColor="text1"/>
          <w:sz w:val="28"/>
          <w:szCs w:val="28"/>
          <w:lang w:val="uk-UA"/>
        </w:rPr>
        <w:fldChar w:fldCharType="end"/>
      </w:r>
      <w:r w:rsidR="00AA0E17" w:rsidRPr="00913129">
        <w:rPr>
          <w:color w:val="000000" w:themeColor="text1"/>
          <w:sz w:val="28"/>
          <w:szCs w:val="28"/>
          <w:lang w:val="uk-UA"/>
        </w:rPr>
        <w:t>.</w:t>
      </w:r>
    </w:p>
    <w:p w14:paraId="0D056DA1" w14:textId="584985FD" w:rsidR="00AA0E17" w:rsidRPr="00913129" w:rsidRDefault="008F6F5F"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Дослідники</w:t>
      </w:r>
      <w:r w:rsidR="00AA0E17" w:rsidRPr="00913129">
        <w:rPr>
          <w:color w:val="000000" w:themeColor="text1"/>
          <w:sz w:val="28"/>
          <w:szCs w:val="28"/>
          <w:lang w:val="uk-UA"/>
        </w:rPr>
        <w:t xml:space="preserve"> Г</w:t>
      </w:r>
      <w:r w:rsidRPr="00913129">
        <w:rPr>
          <w:color w:val="000000" w:themeColor="text1"/>
          <w:sz w:val="28"/>
          <w:szCs w:val="28"/>
          <w:lang w:val="uk-UA"/>
        </w:rPr>
        <w:t xml:space="preserve">. </w:t>
      </w:r>
      <w:r w:rsidR="00AA0E17" w:rsidRPr="00913129">
        <w:rPr>
          <w:color w:val="000000" w:themeColor="text1"/>
          <w:sz w:val="28"/>
          <w:szCs w:val="28"/>
          <w:lang w:val="uk-UA"/>
        </w:rPr>
        <w:t>Торрі, Р</w:t>
      </w:r>
      <w:r w:rsidRPr="00913129">
        <w:rPr>
          <w:color w:val="000000" w:themeColor="text1"/>
          <w:sz w:val="28"/>
          <w:szCs w:val="28"/>
          <w:lang w:val="uk-UA"/>
        </w:rPr>
        <w:t>.</w:t>
      </w:r>
      <w:r w:rsidR="00AA0E17" w:rsidRPr="00913129">
        <w:rPr>
          <w:color w:val="000000" w:themeColor="text1"/>
          <w:sz w:val="28"/>
          <w:szCs w:val="28"/>
          <w:lang w:val="uk-UA"/>
        </w:rPr>
        <w:t xml:space="preserve"> </w:t>
      </w:r>
      <w:r w:rsidRPr="00913129">
        <w:rPr>
          <w:color w:val="000000" w:themeColor="text1"/>
          <w:sz w:val="28"/>
          <w:szCs w:val="28"/>
          <w:lang w:val="uk-UA"/>
        </w:rPr>
        <w:t xml:space="preserve"> </w:t>
      </w:r>
      <w:r w:rsidR="00AA0E17" w:rsidRPr="00913129">
        <w:rPr>
          <w:color w:val="000000" w:themeColor="text1"/>
          <w:sz w:val="28"/>
          <w:szCs w:val="28"/>
          <w:lang w:val="uk-UA"/>
        </w:rPr>
        <w:t>Джакометті, Д</w:t>
      </w:r>
      <w:r w:rsidRPr="00913129">
        <w:rPr>
          <w:color w:val="000000" w:themeColor="text1"/>
          <w:sz w:val="28"/>
          <w:szCs w:val="28"/>
          <w:lang w:val="uk-UA"/>
        </w:rPr>
        <w:t>.</w:t>
      </w:r>
      <w:r w:rsidR="00AA0E17" w:rsidRPr="00913129">
        <w:rPr>
          <w:color w:val="000000" w:themeColor="text1"/>
          <w:sz w:val="28"/>
          <w:szCs w:val="28"/>
          <w:lang w:val="uk-UA"/>
        </w:rPr>
        <w:t xml:space="preserve"> Дентчева, С</w:t>
      </w:r>
      <w:r w:rsidRPr="00913129">
        <w:rPr>
          <w:color w:val="000000" w:themeColor="text1"/>
          <w:sz w:val="28"/>
          <w:szCs w:val="28"/>
          <w:lang w:val="uk-UA"/>
        </w:rPr>
        <w:t>.</w:t>
      </w:r>
      <w:r w:rsidR="00AA0E17" w:rsidRPr="00913129">
        <w:rPr>
          <w:color w:val="000000" w:themeColor="text1"/>
          <w:sz w:val="28"/>
          <w:szCs w:val="28"/>
          <w:lang w:val="uk-UA"/>
        </w:rPr>
        <w:t>Т. Рачев та В.</w:t>
      </w:r>
      <w:r w:rsidRPr="00913129">
        <w:rPr>
          <w:color w:val="000000" w:themeColor="text1"/>
          <w:sz w:val="28"/>
          <w:szCs w:val="28"/>
          <w:lang w:val="uk-UA"/>
        </w:rPr>
        <w:t xml:space="preserve">Б. </w:t>
      </w:r>
      <w:r w:rsidR="00AA0E17" w:rsidRPr="00913129">
        <w:rPr>
          <w:color w:val="000000" w:themeColor="text1"/>
          <w:sz w:val="28"/>
          <w:szCs w:val="28"/>
          <w:lang w:val="uk-UA"/>
        </w:rPr>
        <w:t xml:space="preserve">Ліндквіст </w:t>
      </w:r>
      <w:r w:rsidRPr="00913129">
        <w:rPr>
          <w:color w:val="000000" w:themeColor="text1"/>
          <w:sz w:val="28"/>
          <w:szCs w:val="28"/>
          <w:lang w:val="uk-UA"/>
        </w:rPr>
        <w:t>запропонували</w:t>
      </w:r>
      <w:r w:rsidR="00AA0E17" w:rsidRPr="00913129">
        <w:rPr>
          <w:color w:val="000000" w:themeColor="text1"/>
          <w:sz w:val="28"/>
          <w:szCs w:val="28"/>
          <w:lang w:val="uk-UA"/>
        </w:rPr>
        <w:t xml:space="preserve"> новий підхід до оцінки ризиків і прибутковості інвестицій із урахуванням ESG-показників.</w:t>
      </w:r>
      <w:r w:rsidRPr="00913129">
        <w:rPr>
          <w:color w:val="000000" w:themeColor="text1"/>
          <w:sz w:val="28"/>
          <w:szCs w:val="28"/>
          <w:lang w:val="uk-UA"/>
        </w:rPr>
        <w:t xml:space="preserve"> Звідси з</w:t>
      </w:r>
      <w:r w:rsidR="00AA0E17" w:rsidRPr="00913129">
        <w:rPr>
          <w:color w:val="000000" w:themeColor="text1"/>
          <w:sz w:val="28"/>
          <w:szCs w:val="28"/>
          <w:lang w:val="uk-UA"/>
        </w:rPr>
        <w:t xml:space="preserve"> метою комплексного врахування фінансових та ESG-цілей у портфельному управлінні дослідники розробили концепцію ESG-узгоджених мір ризику, що дозволяє адаптувати інвестиційні стратегії під індивідуальні уподобання інвесторів. Емпіричний аналіз на прикладі акцій індексу </w:t>
      </w:r>
      <w:r w:rsidRPr="00913129">
        <w:rPr>
          <w:color w:val="000000" w:themeColor="text1"/>
          <w:sz w:val="28"/>
          <w:szCs w:val="28"/>
          <w:lang w:val="uk-UA"/>
        </w:rPr>
        <w:t>«</w:t>
      </w:r>
      <w:r w:rsidR="00AA0E17" w:rsidRPr="00913129">
        <w:rPr>
          <w:color w:val="000000" w:themeColor="text1"/>
          <w:sz w:val="28"/>
          <w:szCs w:val="28"/>
          <w:lang w:val="uk-UA"/>
        </w:rPr>
        <w:t>Dow Jones Industrial Average</w:t>
      </w:r>
      <w:r w:rsidRPr="00913129">
        <w:rPr>
          <w:color w:val="000000" w:themeColor="text1"/>
          <w:sz w:val="28"/>
          <w:szCs w:val="28"/>
          <w:lang w:val="uk-UA"/>
        </w:rPr>
        <w:t>»</w:t>
      </w:r>
      <w:r w:rsidR="00AA0E17" w:rsidRPr="00913129">
        <w:rPr>
          <w:color w:val="000000" w:themeColor="text1"/>
          <w:sz w:val="28"/>
          <w:szCs w:val="28"/>
          <w:lang w:val="uk-UA"/>
        </w:rPr>
        <w:t xml:space="preserve"> за 2020</w:t>
      </w:r>
      <w:r w:rsidRPr="00913129">
        <w:rPr>
          <w:color w:val="000000" w:themeColor="text1"/>
          <w:sz w:val="28"/>
          <w:szCs w:val="28"/>
          <w:lang w:val="uk-UA"/>
        </w:rPr>
        <w:t>-</w:t>
      </w:r>
      <w:r w:rsidR="00AA0E17" w:rsidRPr="00913129">
        <w:rPr>
          <w:color w:val="000000" w:themeColor="text1"/>
          <w:sz w:val="28"/>
          <w:szCs w:val="28"/>
          <w:lang w:val="uk-UA"/>
        </w:rPr>
        <w:t xml:space="preserve">2023 роки показав, що мультифакторний підхід сприяє більш ефективній диверсифікації портфеля та його адаптації до змін інвестиційних пріоритетів. Дослідження засвідчує, що сучасний аналіз СВІ у міжнародних компаніях вимагає розробки нових інструментів, які поєднують фінансову та нефінансову ефективність відповідно до цілей різних інвесторів </w:t>
      </w:r>
      <w:r w:rsidR="00AA0E17"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{"citationID":"xw036rP6","properties":{"formattedCitation":"\\super [15]\\nosupersub{}","plainCitation":"[15]","noteIndex":0},"citationItems":[{"id":785,"uris":["http://zotero.org/users/10910668/items/M9XPL8K4"],"itemData":{"id":785,"type":"article","abstract":"The growing interest in sustainable investing calls for an axiomatic approach to measures of risk and reward that focus not only on financial returns, but also on measures of environmental and social sustainability, i.e. environmental, social, and governance (ESG) scores. We propose definitions for ESG-coherent risk measures and ESG reward-risk ratios based on functions of bivariate random variables that are applied to financial returns and ESG scores, extending the traditional univariate measures to the ESG case. We provide examples and present an empirical analysis in which the ESG-coherent risk measures and ESG reward-risk ratios are used to rank stocks.","DOI":"10.48550/arXiv.2309.05866","note":"arXiv:2309.05866 [q-fin]","number":"arXiv:2309.05866","publisher":"arXiv","source":"arXiv.org","title":"ESG-coherent risk measures for sustainable investing","URL":"http://arxiv.org/abs/2309.05866","author":[{"family":"Torri","given":"Gabriele"},{"family":"Giacometti","given":"Rosella"},{"family":"Dentcheva","given":"Darinka"},{"family":"Rachev","given":"Svetlozar T."},{"family":"Lindquist","given":"W. Brent"}],"accessed":{"date-parts":[["2025",6,2]]},"issued":{"date-parts":[["2025",3,24]]}}}],"schema":"https://github.com/citation-style-language/schema/raw/master/csl-citation.json"} </w:instrText>
      </w:r>
      <w:r w:rsidR="00AA0E17" w:rsidRPr="00913129">
        <w:rPr>
          <w:color w:val="000000" w:themeColor="text1"/>
          <w:sz w:val="28"/>
          <w:szCs w:val="28"/>
          <w:lang w:val="uk-UA"/>
        </w:rPr>
        <w:fldChar w:fldCharType="separate"/>
      </w:r>
      <w:r w:rsidR="008B4A9E" w:rsidRPr="00913129">
        <w:rPr>
          <w:color w:val="000000"/>
          <w:sz w:val="28"/>
          <w:szCs w:val="28"/>
          <w:lang w:val="uk-UA"/>
        </w:rPr>
        <w:t>[15]</w:t>
      </w:r>
      <w:r w:rsidR="00AA0E17" w:rsidRPr="00913129">
        <w:rPr>
          <w:color w:val="000000" w:themeColor="text1"/>
          <w:sz w:val="28"/>
          <w:szCs w:val="28"/>
          <w:lang w:val="uk-UA"/>
        </w:rPr>
        <w:fldChar w:fldCharType="end"/>
      </w:r>
      <w:r w:rsidR="00AA0E17" w:rsidRPr="00913129">
        <w:rPr>
          <w:color w:val="000000" w:themeColor="text1"/>
          <w:sz w:val="28"/>
          <w:szCs w:val="28"/>
          <w:lang w:val="uk-UA"/>
        </w:rPr>
        <w:t>.</w:t>
      </w:r>
    </w:p>
    <w:p w14:paraId="61ED3B86" w14:textId="2E5F11B8" w:rsidR="008A7E34" w:rsidRPr="00913129" w:rsidRDefault="00AA0E17" w:rsidP="005F00B8">
      <w:pPr>
        <w:pStyle w:val="ae"/>
        <w:spacing w:before="0" w:beforeAutospacing="0" w:after="0" w:afterAutospacing="0" w:line="360" w:lineRule="auto"/>
        <w:ind w:right="-2" w:firstLine="851"/>
        <w:jc w:val="both"/>
        <w:rPr>
          <w:b/>
          <w:bCs/>
          <w:color w:val="000000"/>
          <w:sz w:val="28"/>
          <w:szCs w:val="28"/>
          <w:lang w:val="uk-UA"/>
        </w:rPr>
      </w:pPr>
      <w:r w:rsidRPr="00913129">
        <w:rPr>
          <w:color w:val="000000" w:themeColor="text1"/>
          <w:sz w:val="28"/>
          <w:szCs w:val="28"/>
          <w:lang w:val="uk-UA"/>
        </w:rPr>
        <w:t>Загалом результати сучасних досліджень підтверджують, що соціально відповідальне інвестування у міжнародних компаніях розвивається у складному та багатовекторному середовищі, де поєднуються фінансові цілі, вимоги сталого розвитку та зростаючий суспільний і регуляторний тиск. Аналіз свідчить, що ефективність інтеграції ESG-факторів залежить від низки інституційних і ринкових чинників, а самі стратегії СВІ потребують постійної адаптації до локальних та глобальних викликів. Дослідження акцентують на важливості міждисциплінарного підходу, пошуку нових моделей вимірювання ефективності</w:t>
      </w:r>
      <w:r w:rsidR="008F6F5F" w:rsidRPr="00913129">
        <w:rPr>
          <w:color w:val="000000" w:themeColor="text1"/>
          <w:sz w:val="28"/>
          <w:szCs w:val="28"/>
          <w:lang w:val="uk-UA"/>
        </w:rPr>
        <w:t>,</w:t>
      </w:r>
      <w:r w:rsidRPr="00913129">
        <w:rPr>
          <w:color w:val="000000" w:themeColor="text1"/>
          <w:sz w:val="28"/>
          <w:szCs w:val="28"/>
          <w:lang w:val="uk-UA"/>
        </w:rPr>
        <w:t xml:space="preserve"> впровадженні сучасних аналітичних інструментів для глибшого розуміння впливу </w:t>
      </w:r>
      <w:r w:rsidR="008F6F5F" w:rsidRPr="00913129">
        <w:rPr>
          <w:color w:val="000000" w:themeColor="text1"/>
          <w:sz w:val="28"/>
          <w:szCs w:val="28"/>
          <w:lang w:val="uk-UA"/>
        </w:rPr>
        <w:t>СВІ-чинників</w:t>
      </w:r>
      <w:r w:rsidRPr="00913129">
        <w:rPr>
          <w:color w:val="000000" w:themeColor="text1"/>
          <w:sz w:val="28"/>
          <w:szCs w:val="28"/>
          <w:lang w:val="uk-UA"/>
        </w:rPr>
        <w:t xml:space="preserve"> на корпоративну поведінку, ризики</w:t>
      </w:r>
      <w:r w:rsidR="008F6F5F" w:rsidRPr="00913129">
        <w:rPr>
          <w:color w:val="000000" w:themeColor="text1"/>
          <w:sz w:val="28"/>
          <w:szCs w:val="28"/>
          <w:lang w:val="uk-UA"/>
        </w:rPr>
        <w:t>, а також</w:t>
      </w:r>
      <w:r w:rsidRPr="00913129">
        <w:rPr>
          <w:color w:val="000000" w:themeColor="text1"/>
          <w:sz w:val="28"/>
          <w:szCs w:val="28"/>
          <w:lang w:val="uk-UA"/>
        </w:rPr>
        <w:t xml:space="preserve"> довгострокову результативність компаній на міжнародному рівні.</w:t>
      </w:r>
      <w:r w:rsidR="008A7E34" w:rsidRPr="00913129">
        <w:rPr>
          <w:b/>
          <w:bCs/>
          <w:color w:val="000000"/>
          <w:sz w:val="28"/>
          <w:szCs w:val="28"/>
          <w:lang w:val="uk-UA"/>
        </w:rPr>
        <w:br w:type="page"/>
      </w:r>
    </w:p>
    <w:p w14:paraId="51785DB0" w14:textId="10DF4F2D" w:rsidR="00AA0E17" w:rsidRPr="00913129" w:rsidRDefault="00AA0E17" w:rsidP="00C03370">
      <w:pPr>
        <w:pStyle w:val="ae"/>
        <w:spacing w:before="0" w:beforeAutospacing="0" w:after="0" w:afterAutospacing="0" w:line="360" w:lineRule="auto"/>
        <w:ind w:right="-2"/>
        <w:jc w:val="center"/>
        <w:rPr>
          <w:b/>
          <w:bCs/>
          <w:color w:val="000000"/>
          <w:sz w:val="28"/>
          <w:szCs w:val="28"/>
          <w:lang w:val="uk-UA"/>
        </w:rPr>
      </w:pPr>
      <w:r w:rsidRPr="00913129">
        <w:rPr>
          <w:b/>
          <w:bCs/>
          <w:color w:val="000000"/>
          <w:sz w:val="28"/>
          <w:szCs w:val="28"/>
          <w:lang w:val="uk-UA"/>
        </w:rPr>
        <w:lastRenderedPageBreak/>
        <w:t>РОЗДІЛ 2</w:t>
      </w:r>
    </w:p>
    <w:p w14:paraId="11AEFB5D" w14:textId="68688895" w:rsidR="00AA0E17" w:rsidRPr="00913129" w:rsidRDefault="008C048A" w:rsidP="00C03370">
      <w:pPr>
        <w:pStyle w:val="ae"/>
        <w:spacing w:before="0" w:beforeAutospacing="0" w:after="0" w:afterAutospacing="0" w:line="360" w:lineRule="auto"/>
        <w:ind w:right="-2"/>
        <w:jc w:val="center"/>
        <w:rPr>
          <w:b/>
          <w:bCs/>
          <w:color w:val="000000"/>
          <w:sz w:val="28"/>
          <w:szCs w:val="28"/>
          <w:lang w:val="uk-UA"/>
        </w:rPr>
      </w:pPr>
      <w:r w:rsidRPr="00913129">
        <w:rPr>
          <w:b/>
          <w:bCs/>
          <w:color w:val="000000"/>
          <w:sz w:val="28"/>
          <w:szCs w:val="28"/>
          <w:lang w:val="uk-UA"/>
        </w:rPr>
        <w:t>ДИНАМІКА РИНКУ</w:t>
      </w:r>
      <w:r w:rsidR="00AA0E17" w:rsidRPr="00913129">
        <w:rPr>
          <w:b/>
          <w:bCs/>
          <w:color w:val="000000"/>
          <w:sz w:val="28"/>
          <w:szCs w:val="28"/>
          <w:lang w:val="uk-UA"/>
        </w:rPr>
        <w:t xml:space="preserve"> СОЦІАЛЬНО ВІДПОВІДАЛЬНОГО ІНВЕСТУВАННЯ У СВІТІ ТА УКРАЇНІ</w:t>
      </w:r>
    </w:p>
    <w:p w14:paraId="163556C0" w14:textId="77777777" w:rsidR="00C03144" w:rsidRPr="00913129" w:rsidRDefault="00C03144" w:rsidP="00C03370">
      <w:pPr>
        <w:pStyle w:val="ae"/>
        <w:spacing w:before="0" w:beforeAutospacing="0" w:after="0" w:afterAutospacing="0" w:line="360" w:lineRule="auto"/>
        <w:ind w:right="-2" w:firstLine="851"/>
        <w:rPr>
          <w:b/>
          <w:bCs/>
          <w:color w:val="000000"/>
          <w:sz w:val="28"/>
          <w:szCs w:val="28"/>
          <w:lang w:val="uk-UA"/>
        </w:rPr>
      </w:pPr>
    </w:p>
    <w:p w14:paraId="564FCE26" w14:textId="77777777" w:rsidR="00FC6E42" w:rsidRPr="00913129" w:rsidRDefault="00FC6E42" w:rsidP="00C03370">
      <w:pPr>
        <w:pStyle w:val="ae"/>
        <w:spacing w:before="0" w:beforeAutospacing="0" w:after="0" w:afterAutospacing="0" w:line="360" w:lineRule="auto"/>
        <w:ind w:right="-2" w:firstLine="851"/>
        <w:rPr>
          <w:b/>
          <w:bCs/>
          <w:color w:val="000000"/>
          <w:sz w:val="28"/>
          <w:szCs w:val="28"/>
          <w:lang w:val="uk-UA"/>
        </w:rPr>
      </w:pPr>
    </w:p>
    <w:p w14:paraId="2CA8F8E5" w14:textId="77777777" w:rsidR="00C03144" w:rsidRPr="00913129" w:rsidRDefault="00C03144" w:rsidP="00C03370">
      <w:pPr>
        <w:pStyle w:val="ae"/>
        <w:spacing w:before="0" w:beforeAutospacing="0" w:after="0" w:afterAutospacing="0" w:line="360" w:lineRule="auto"/>
        <w:ind w:right="-2" w:firstLine="851"/>
        <w:jc w:val="both"/>
        <w:rPr>
          <w:b/>
          <w:bCs/>
          <w:color w:val="000000"/>
          <w:sz w:val="28"/>
          <w:szCs w:val="28"/>
          <w:lang w:val="uk-UA"/>
        </w:rPr>
      </w:pPr>
      <w:r w:rsidRPr="00913129">
        <w:rPr>
          <w:b/>
          <w:bCs/>
          <w:color w:val="000000"/>
          <w:sz w:val="28"/>
          <w:szCs w:val="28"/>
          <w:lang w:val="uk-UA"/>
        </w:rPr>
        <w:t>2.1. Динаміка та структурні трансформації світового ринку соціально відповідального інвестування</w:t>
      </w:r>
    </w:p>
    <w:p w14:paraId="133FE8BF" w14:textId="77777777" w:rsidR="00FC6E42" w:rsidRPr="00913129" w:rsidRDefault="00FC6E42" w:rsidP="00C03370">
      <w:pPr>
        <w:pStyle w:val="ae"/>
        <w:spacing w:before="0" w:beforeAutospacing="0" w:after="0" w:afterAutospacing="0" w:line="360" w:lineRule="auto"/>
        <w:ind w:right="-2" w:firstLine="851"/>
        <w:jc w:val="both"/>
        <w:rPr>
          <w:b/>
          <w:bCs/>
          <w:color w:val="000000"/>
          <w:sz w:val="28"/>
          <w:szCs w:val="28"/>
          <w:lang w:val="uk-UA"/>
        </w:rPr>
      </w:pPr>
    </w:p>
    <w:p w14:paraId="384AC9DD" w14:textId="2E40E79F" w:rsidR="00C03144" w:rsidRPr="00913129" w:rsidRDefault="00C03144"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У 2025 році соціально відповідальне інвестування стало невід</w:t>
      </w:r>
      <w:r w:rsidR="00340D11" w:rsidRPr="00913129">
        <w:rPr>
          <w:color w:val="000000" w:themeColor="text1"/>
          <w:sz w:val="28"/>
          <w:szCs w:val="28"/>
          <w:lang w:val="uk-UA"/>
        </w:rPr>
        <w:t>’</w:t>
      </w:r>
      <w:r w:rsidRPr="00913129">
        <w:rPr>
          <w:color w:val="000000" w:themeColor="text1"/>
          <w:sz w:val="28"/>
          <w:szCs w:val="28"/>
          <w:lang w:val="uk-UA"/>
        </w:rPr>
        <w:t>ємною частиною світової фінансової системи завдяки зростанню значущості ESG-факторів та посиленню інтересу з боку інвесторів і регуляторів. Далі представлено огляд обсягів ринку СВІ.</w:t>
      </w:r>
    </w:p>
    <w:p w14:paraId="282EEC6B" w14:textId="635920E7" w:rsidR="00C03144" w:rsidRPr="00913129" w:rsidRDefault="00C03144" w:rsidP="00C03370">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Починаючи з 2012 року обсяги СВІ у світі зросли з 13,6 трлн дол. США до 35,3 трлн дол. </w:t>
      </w:r>
      <w:r w:rsidR="00BC35F0" w:rsidRPr="00913129">
        <w:rPr>
          <w:color w:val="000000" w:themeColor="text1"/>
          <w:sz w:val="28"/>
          <w:szCs w:val="28"/>
          <w:lang w:val="uk-UA"/>
        </w:rPr>
        <w:t xml:space="preserve">США </w:t>
      </w:r>
      <w:r w:rsidRPr="00913129">
        <w:rPr>
          <w:color w:val="000000" w:themeColor="text1"/>
          <w:sz w:val="28"/>
          <w:szCs w:val="28"/>
          <w:lang w:val="uk-UA"/>
        </w:rPr>
        <w:t xml:space="preserve">у 2020 році, що відповідає зростанню приблизно на 159,6%. У 2022 році через перегляд методологій обліку загальний обсяг скоротився до 30,3 трлн дол. США, що склало падіння близько 14,2% порівняно з 2020 роком, хоча фактичне залучення капіталу залишалося на тому ж рівні. За оцінками, у 2024 році ринок СВІ стабілізувався на позначці понад 30 трлн дол. США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{"citationID":"tnoZngMO","properties":{"formattedCitation":"\\super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szCs w:val="28"/>
          <w:lang w:val="uk-UA"/>
        </w:rPr>
        <w:t>[21–26]</w:t>
      </w:r>
      <w:r w:rsidRPr="00913129">
        <w:rPr>
          <w:color w:val="000000" w:themeColor="text1"/>
          <w:sz w:val="28"/>
          <w:szCs w:val="28"/>
          <w:lang w:val="uk-UA"/>
        </w:rPr>
        <w:fldChar w:fldCharType="end"/>
      </w:r>
      <w:r w:rsidRPr="00913129">
        <w:rPr>
          <w:color w:val="000000" w:themeColor="text1"/>
          <w:sz w:val="28"/>
          <w:szCs w:val="28"/>
          <w:lang w:val="uk-UA"/>
        </w:rPr>
        <w:t>.</w:t>
      </w:r>
    </w:p>
    <w:p w14:paraId="2B308323" w14:textId="77777777" w:rsidR="00C03144" w:rsidRPr="00913129" w:rsidRDefault="00C03144" w:rsidP="001D63D0">
      <w:pPr>
        <w:pStyle w:val="ae"/>
        <w:spacing w:before="0" w:beforeAutospacing="0" w:after="0" w:afterAutospacing="0" w:line="360" w:lineRule="auto"/>
        <w:ind w:right="-2"/>
        <w:jc w:val="both"/>
        <w:rPr>
          <w:b/>
          <w:bCs/>
          <w:color w:val="000000" w:themeColor="text1"/>
          <w:sz w:val="28"/>
          <w:szCs w:val="28"/>
          <w:lang w:val="uk-UA"/>
        </w:rPr>
      </w:pPr>
      <w:r w:rsidRPr="00913129">
        <w:rPr>
          <w:noProof/>
          <w:color w:val="000000" w:themeColor="text1"/>
          <w:sz w:val="28"/>
          <w:szCs w:val="28"/>
          <w:lang w:val="ru-RU" w:eastAsia="ru-RU"/>
          <w14:ligatures w14:val="standardContextual"/>
        </w:rPr>
        <w:drawing>
          <wp:inline distT="0" distB="0" distL="0" distR="0" wp14:anchorId="446D3A9D" wp14:editId="0E21F45D">
            <wp:extent cx="6020435" cy="2453640"/>
            <wp:effectExtent l="0" t="0" r="18415" b="3810"/>
            <wp:docPr id="718726359"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AD62B30-0833-B849-FFDB-C0D481666C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F23AD61" w14:textId="77777777"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Рис. 2.1. Обсяги СВІ у світі та відносна динаміка змін обсягів СВІ у період 2012-2022 рр., трлн дол. США та %</w:t>
      </w:r>
    </w:p>
    <w:p w14:paraId="7772C00B" w14:textId="4B64DDDA"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Джерело: складено автором на основі даних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{"citationID":"xomUHJyd","properties":{"formattedCitation":"\\super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[21–26]</w:t>
      </w:r>
      <w:r w:rsidRPr="00913129">
        <w:rPr>
          <w:color w:val="000000" w:themeColor="text1"/>
          <w:sz w:val="28"/>
          <w:szCs w:val="28"/>
          <w:lang w:val="uk-UA"/>
        </w:rPr>
        <w:fldChar w:fldCharType="end"/>
      </w:r>
    </w:p>
    <w:p w14:paraId="3A02E611" w14:textId="77777777" w:rsidR="00C03144" w:rsidRPr="00913129" w:rsidRDefault="00C03144" w:rsidP="00C03370">
      <w:pPr>
        <w:spacing w:line="360" w:lineRule="auto"/>
        <w:ind w:right="-2" w:firstLine="851"/>
        <w:jc w:val="both"/>
        <w:rPr>
          <w:color w:val="000000" w:themeColor="text1"/>
          <w:sz w:val="28"/>
          <w:szCs w:val="28"/>
          <w:lang w:val="uk-UA"/>
        </w:rPr>
      </w:pPr>
    </w:p>
    <w:p w14:paraId="083E6D65" w14:textId="4E364BAA"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Світовий ринок соціально відповідального інвестування у період 2012-2022 років пройшов два ключові етапи. Перший етап – динамічне зростання та інституціалізаці</w:t>
      </w:r>
      <w:r w:rsidR="00E67390" w:rsidRPr="00913129">
        <w:rPr>
          <w:color w:val="000000" w:themeColor="text1"/>
          <w:sz w:val="28"/>
          <w:szCs w:val="28"/>
          <w:lang w:val="uk-UA"/>
        </w:rPr>
        <w:t>я</w:t>
      </w:r>
      <w:r w:rsidRPr="00913129">
        <w:rPr>
          <w:color w:val="000000" w:themeColor="text1"/>
          <w:sz w:val="28"/>
          <w:szCs w:val="28"/>
          <w:lang w:val="uk-UA"/>
        </w:rPr>
        <w:t xml:space="preserve">, а також фаза методологічного перегляду та стабілізації. На етапі інституціалізації значно зросли обсяги активів, керованих за принципами сталого інвестування, що було зумовлено насамперед розширенням участі інституційних інвесторів, зокрема пенсійних фондів, страховиків і суверенних фондів, активізацією державної політики зі сприяння ESG-фінансуванню та впровадженням у провідних фінансових центрах нормативних вимог щодо розкриття нефінансової інформації. Другий етап – перегляд методологій обліку сталих активів та підвищення стандартів достовірності ESG-звітності, що призвело до коригування статистики і певної стабілізації ринку без радикального згортання реальних інвестиційних потоків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{"citationID":"8PL9kr25","properties":{"formattedCitation":"\\super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[21–26]</w:t>
      </w:r>
      <w:r w:rsidRPr="00913129">
        <w:rPr>
          <w:color w:val="000000" w:themeColor="text1"/>
          <w:sz w:val="28"/>
          <w:szCs w:val="28"/>
          <w:lang w:val="uk-UA"/>
        </w:rPr>
        <w:fldChar w:fldCharType="end"/>
      </w:r>
      <w:r w:rsidRPr="00913129">
        <w:rPr>
          <w:color w:val="000000" w:themeColor="text1"/>
          <w:sz w:val="28"/>
          <w:szCs w:val="28"/>
          <w:lang w:val="uk-UA"/>
        </w:rPr>
        <w:t>.</w:t>
      </w:r>
    </w:p>
    <w:p w14:paraId="5DF777DB" w14:textId="56155C78"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Період із 2012 по 2020 рік відзначився стійким зростанням обсягів соціально відповідального інвестування із обрахованим складним середньорічним темпом 12,7%, що в кількісному вимірі відповідало збільшенню приблизно на 5 трлн дол. США кожні два роки. Найбільш інтенсивне зростання відбулося у 2012-2014 роках, коли обсяг СВІ зріс із 13,6 трлн</w:t>
      </w:r>
      <w:r w:rsidR="00E67390" w:rsidRPr="00913129">
        <w:rPr>
          <w:color w:val="000000" w:themeColor="text1"/>
          <w:sz w:val="28"/>
          <w:szCs w:val="28"/>
          <w:lang w:val="uk-UA"/>
        </w:rPr>
        <w:t xml:space="preserve"> дол. США</w:t>
      </w:r>
      <w:r w:rsidRPr="00913129">
        <w:rPr>
          <w:color w:val="000000" w:themeColor="text1"/>
          <w:sz w:val="28"/>
          <w:szCs w:val="28"/>
          <w:lang w:val="uk-UA"/>
        </w:rPr>
        <w:t xml:space="preserve"> до 21,4 трлн дол. США, що становило збільшення на 57,35%. У 2014-2016 роках темп уповільнився до 6,54%. У 2016-2018 роках відбулося відновлення динаміки, і капіталізація СВІ підвищилася до 30,7 трлн дол. США, що відповідає приросту 34,65% порівняно з 2016 роком. Наприкінці </w:t>
      </w:r>
      <w:r w:rsidR="00E67390" w:rsidRPr="00913129">
        <w:rPr>
          <w:color w:val="000000" w:themeColor="text1"/>
          <w:sz w:val="28"/>
          <w:szCs w:val="28"/>
          <w:lang w:val="uk-UA"/>
        </w:rPr>
        <w:t>періоду дослідження</w:t>
      </w:r>
      <w:r w:rsidRPr="00913129">
        <w:rPr>
          <w:color w:val="000000" w:themeColor="text1"/>
          <w:sz w:val="28"/>
          <w:szCs w:val="28"/>
          <w:lang w:val="uk-UA"/>
        </w:rPr>
        <w:t xml:space="preserve">, у 2018-2020 роках, обсяг СВІ сягнув 35,3 трлн дол. США, показавши збільшення на 14,98% порівняно з 2018 роком. Така динаміка свідчить про перетворення соціально відповідального інвестування з нішевого сегмента на один із ключових елементів глобального фінансового ландшафту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{"citationID":"iwsHFokQ","properties":{"formattedCitation":"\\super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[21–26]</w:t>
      </w:r>
      <w:r w:rsidRPr="00913129">
        <w:rPr>
          <w:color w:val="000000" w:themeColor="text1"/>
          <w:sz w:val="28"/>
          <w:szCs w:val="28"/>
          <w:lang w:val="uk-UA"/>
        </w:rPr>
        <w:fldChar w:fldCharType="end"/>
      </w:r>
      <w:r w:rsidRPr="00913129">
        <w:rPr>
          <w:color w:val="000000" w:themeColor="text1"/>
          <w:sz w:val="28"/>
          <w:szCs w:val="28"/>
          <w:lang w:val="uk-UA"/>
        </w:rPr>
        <w:t>.</w:t>
      </w:r>
    </w:p>
    <w:p w14:paraId="79BE074A" w14:textId="3F449131"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У 2022 році ринок соціально відповідального інвестування зазнав суттєвого скорочення, обсяг зменшився до 30,3 трлн дол. США, що відповідає зниженню на 14,2%. Однак це падіння не свідчить про реальне згортання </w:t>
      </w:r>
      <w:r w:rsidRPr="00913129">
        <w:rPr>
          <w:color w:val="000000" w:themeColor="text1"/>
          <w:sz w:val="28"/>
          <w:szCs w:val="28"/>
          <w:lang w:val="uk-UA"/>
        </w:rPr>
        <w:lastRenderedPageBreak/>
        <w:t xml:space="preserve">сталих фінансових стратегій, а радше є наслідком перегляду методологічних підходів до обліку активів, завдяки чому з ринку були виключені ті інвестиційні продукти, які раніше декларували ESG-орієнтацію, проте не могли підтвердити її конкретними критеріями. </w:t>
      </w:r>
    </w:p>
    <w:p w14:paraId="0A2A8FF5" w14:textId="77777777"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Станом на початок 2025 рік офіційні дані про динаміку соціально відповідального інвестування за період 2022-2024 роки, які зазвичай містяться у дворічних звітах GSIA, не опубліковані, однак за аналітичними оцінками ринок демонструє ознаки стабілізації обсягу активів.</w:t>
      </w:r>
    </w:p>
    <w:p w14:paraId="1DE1570A" w14:textId="7657A1B5"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З 2012 року фінансові установи дедалі активніше інтегрували нефінансові ризики у власні портфелі та процеси оцінки, а регулятори формували сприятливе нормативне поле для розвитку сталого фінансування. Зокрема, Європейський Союз у 2014 році ухвалив Директиву 2014/95/ЄС, що встановила обов</w:t>
      </w:r>
      <w:r w:rsidR="00340D11" w:rsidRPr="00913129">
        <w:rPr>
          <w:color w:val="000000" w:themeColor="text1"/>
          <w:sz w:val="28"/>
          <w:szCs w:val="28"/>
          <w:lang w:val="uk-UA"/>
        </w:rPr>
        <w:t>’</w:t>
      </w:r>
      <w:r w:rsidRPr="00913129">
        <w:rPr>
          <w:color w:val="000000" w:themeColor="text1"/>
          <w:sz w:val="28"/>
          <w:szCs w:val="28"/>
          <w:lang w:val="uk-UA"/>
        </w:rPr>
        <w:t xml:space="preserve">язок великих компаній розкривати нефінансову інформацію, а в період 2018-2020 років було представлено </w:t>
      </w:r>
      <w:r w:rsidR="0017793C" w:rsidRPr="00913129">
        <w:rPr>
          <w:color w:val="000000" w:themeColor="text1"/>
          <w:sz w:val="28"/>
          <w:szCs w:val="28"/>
          <w:lang w:val="uk-UA"/>
        </w:rPr>
        <w:t>заходи</w:t>
      </w:r>
      <w:r w:rsidRPr="00913129">
        <w:rPr>
          <w:color w:val="000000" w:themeColor="text1"/>
          <w:sz w:val="28"/>
          <w:szCs w:val="28"/>
          <w:lang w:val="uk-UA"/>
        </w:rPr>
        <w:t xml:space="preserve"> із сталого фінансування та впроваджено Регламент SFDR (Положення про розкриття інформації щодо сталого фінансування). </w:t>
      </w:r>
      <w:r w:rsidR="00E67390" w:rsidRPr="00913129">
        <w:rPr>
          <w:color w:val="000000" w:themeColor="text1"/>
          <w:sz w:val="28"/>
          <w:szCs w:val="28"/>
          <w:lang w:val="uk-UA"/>
        </w:rPr>
        <w:t>Внаслідок</w:t>
      </w:r>
      <w:r w:rsidRPr="00913129">
        <w:rPr>
          <w:color w:val="000000" w:themeColor="text1"/>
          <w:sz w:val="28"/>
          <w:szCs w:val="28"/>
          <w:lang w:val="uk-UA"/>
        </w:rPr>
        <w:t xml:space="preserve"> цих змін обсяг активів, керованих за принципами соціально відповідального інвестування, зріс </w:t>
      </w:r>
      <w:r w:rsidR="00E67390" w:rsidRPr="00913129">
        <w:rPr>
          <w:color w:val="000000" w:themeColor="text1"/>
          <w:sz w:val="28"/>
          <w:szCs w:val="28"/>
          <w:lang w:val="uk-UA"/>
        </w:rPr>
        <w:t>за десятиріччя</w:t>
      </w:r>
      <w:r w:rsidRPr="00913129">
        <w:rPr>
          <w:color w:val="000000" w:themeColor="text1"/>
          <w:sz w:val="28"/>
          <w:szCs w:val="28"/>
          <w:lang w:val="uk-UA"/>
        </w:rPr>
        <w:t xml:space="preserve"> на 160%</w:t>
      </w:r>
      <w:r w:rsidR="00E67390" w:rsidRPr="00913129">
        <w:rPr>
          <w:color w:val="000000" w:themeColor="text1"/>
          <w:sz w:val="28"/>
          <w:szCs w:val="28"/>
          <w:lang w:val="uk-UA"/>
        </w:rPr>
        <w:t xml:space="preserve">, що </w:t>
      </w:r>
      <w:r w:rsidRPr="00913129">
        <w:rPr>
          <w:color w:val="000000" w:themeColor="text1"/>
          <w:sz w:val="28"/>
          <w:szCs w:val="28"/>
          <w:lang w:val="uk-UA"/>
        </w:rPr>
        <w:t xml:space="preserve">свідчить про перетворення СВІ на загальноважливий сегмент глобального фінансового ринку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{"citationID":"ChmCPmUs","properties":{"formattedCitation":"\\super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[21–26]</w:t>
      </w:r>
      <w:r w:rsidRPr="00913129">
        <w:rPr>
          <w:color w:val="000000" w:themeColor="text1"/>
          <w:sz w:val="28"/>
          <w:szCs w:val="28"/>
          <w:lang w:val="uk-UA"/>
        </w:rPr>
        <w:fldChar w:fldCharType="end"/>
      </w:r>
      <w:r w:rsidRPr="00913129">
        <w:rPr>
          <w:color w:val="000000" w:themeColor="text1"/>
          <w:sz w:val="28"/>
          <w:szCs w:val="28"/>
          <w:lang w:val="uk-UA"/>
        </w:rPr>
        <w:t>.</w:t>
      </w:r>
    </w:p>
    <w:p w14:paraId="4E2A1D7D" w14:textId="57FC2429"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З 2020 року ринок соціально відповідального інвестування перейшов до фази методологічної реструктуризації. Найяскравіше це проявилося в США. Водночас це не свідчило про відтік капіталу, а про перегляд методології підрахунку, оскільки інвестори, які заявляли про інтеграцію ESG-критеріїв, але не надавали належної документації щодо конкретних механізмів та показників, були виключені зі статистики. Подібна ситуація спостерігалася й у Європі, де </w:t>
      </w:r>
      <w:r w:rsidR="00E67390" w:rsidRPr="00913129">
        <w:rPr>
          <w:color w:val="000000" w:themeColor="text1"/>
          <w:sz w:val="28"/>
          <w:szCs w:val="28"/>
          <w:lang w:val="uk-UA"/>
        </w:rPr>
        <w:t>коштом</w:t>
      </w:r>
      <w:r w:rsidRPr="00913129">
        <w:rPr>
          <w:color w:val="000000" w:themeColor="text1"/>
          <w:sz w:val="28"/>
          <w:szCs w:val="28"/>
          <w:lang w:val="uk-UA"/>
        </w:rPr>
        <w:t xml:space="preserve"> запровадження нових стандартів прозорості відповідно до Регламенту SFDR загальні обсяги СВІ щодо сукупного ринку активів зменшилися. Це, </w:t>
      </w:r>
      <w:r w:rsidR="00E67390" w:rsidRPr="00913129">
        <w:rPr>
          <w:color w:val="000000" w:themeColor="text1"/>
          <w:sz w:val="28"/>
          <w:szCs w:val="28"/>
          <w:lang w:val="uk-UA"/>
        </w:rPr>
        <w:t>своєю чергою</w:t>
      </w:r>
      <w:r w:rsidRPr="00913129">
        <w:rPr>
          <w:color w:val="000000" w:themeColor="text1"/>
          <w:sz w:val="28"/>
          <w:szCs w:val="28"/>
          <w:lang w:val="uk-UA"/>
        </w:rPr>
        <w:t xml:space="preserve">, можна розглядати як очищення ринку від інвестиційних продуктів із недостатньо обґрунтованими ESG-підходами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{"citationID":"nIuRFGCn","properties":{"formattedCitation":"\\super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[21–26]</w:t>
      </w:r>
      <w:r w:rsidRPr="00913129">
        <w:rPr>
          <w:color w:val="000000" w:themeColor="text1"/>
          <w:sz w:val="28"/>
          <w:szCs w:val="28"/>
          <w:lang w:val="uk-UA"/>
        </w:rPr>
        <w:fldChar w:fldCharType="end"/>
      </w:r>
      <w:r w:rsidRPr="00913129">
        <w:rPr>
          <w:color w:val="000000" w:themeColor="text1"/>
          <w:sz w:val="28"/>
          <w:szCs w:val="28"/>
          <w:lang w:val="uk-UA"/>
        </w:rPr>
        <w:t xml:space="preserve">. </w:t>
      </w:r>
    </w:p>
    <w:p w14:paraId="18EE0A04" w14:textId="3AD066B5"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lastRenderedPageBreak/>
        <w:t>Далі представлено аналіз географічної структури,</w:t>
      </w:r>
      <w:r w:rsidR="00E67390" w:rsidRPr="00913129">
        <w:rPr>
          <w:color w:val="000000" w:themeColor="text1"/>
          <w:sz w:val="28"/>
          <w:szCs w:val="28"/>
          <w:lang w:val="uk-UA"/>
        </w:rPr>
        <w:t xml:space="preserve"> та</w:t>
      </w:r>
      <w:r w:rsidRPr="00913129">
        <w:rPr>
          <w:color w:val="000000" w:themeColor="text1"/>
          <w:sz w:val="28"/>
          <w:szCs w:val="28"/>
          <w:lang w:val="uk-UA"/>
        </w:rPr>
        <w:t xml:space="preserve"> частки регіонів у глобальному обсязі соціально відповідального інвестування презентовано в </w:t>
      </w:r>
      <w:r w:rsidR="00E67390" w:rsidRPr="00913129">
        <w:rPr>
          <w:color w:val="000000" w:themeColor="text1"/>
          <w:sz w:val="28"/>
          <w:szCs w:val="28"/>
          <w:lang w:val="uk-UA"/>
        </w:rPr>
        <w:t>т</w:t>
      </w:r>
      <w:r w:rsidRPr="00913129">
        <w:rPr>
          <w:color w:val="000000" w:themeColor="text1"/>
          <w:sz w:val="28"/>
          <w:szCs w:val="28"/>
          <w:lang w:val="uk-UA"/>
        </w:rPr>
        <w:t>абл. 2.1.</w:t>
      </w:r>
    </w:p>
    <w:p w14:paraId="7F02FF8F" w14:textId="77777777" w:rsidR="00C03144" w:rsidRPr="00913129" w:rsidRDefault="00C03144" w:rsidP="00C03370">
      <w:pPr>
        <w:spacing w:line="360" w:lineRule="auto"/>
        <w:ind w:right="-2" w:firstLine="851"/>
        <w:jc w:val="right"/>
        <w:rPr>
          <w:color w:val="000000" w:themeColor="text1"/>
          <w:sz w:val="28"/>
          <w:szCs w:val="28"/>
          <w:lang w:val="uk-UA"/>
        </w:rPr>
      </w:pPr>
      <w:r w:rsidRPr="00913129">
        <w:rPr>
          <w:color w:val="000000" w:themeColor="text1"/>
          <w:sz w:val="28"/>
          <w:szCs w:val="28"/>
          <w:lang w:val="uk-UA"/>
        </w:rPr>
        <w:t>Таблиця 2.1</w:t>
      </w:r>
    </w:p>
    <w:p w14:paraId="3113156C" w14:textId="77A9C6EB" w:rsidR="00C03144" w:rsidRPr="00913129" w:rsidRDefault="00C03144" w:rsidP="00C03370">
      <w:pPr>
        <w:spacing w:line="360" w:lineRule="auto"/>
        <w:ind w:right="-2"/>
        <w:jc w:val="center"/>
        <w:rPr>
          <w:color w:val="000000" w:themeColor="text1"/>
          <w:sz w:val="28"/>
          <w:szCs w:val="28"/>
          <w:lang w:val="uk-UA"/>
        </w:rPr>
      </w:pPr>
      <w:r w:rsidRPr="00913129">
        <w:rPr>
          <w:color w:val="000000" w:themeColor="text1"/>
          <w:sz w:val="28"/>
          <w:szCs w:val="28"/>
          <w:lang w:val="uk-UA"/>
        </w:rPr>
        <w:t>Частка регіонів у глобальному обсязі соціально відповідального інвестування у період 2014</w:t>
      </w:r>
      <w:r w:rsidR="00E67390" w:rsidRPr="00913129">
        <w:rPr>
          <w:color w:val="000000" w:themeColor="text1"/>
          <w:sz w:val="28"/>
          <w:szCs w:val="28"/>
          <w:lang w:val="uk-UA"/>
        </w:rPr>
        <w:t>-</w:t>
      </w:r>
      <w:r w:rsidRPr="00913129">
        <w:rPr>
          <w:color w:val="000000" w:themeColor="text1"/>
          <w:sz w:val="28"/>
          <w:szCs w:val="28"/>
          <w:lang w:val="uk-UA"/>
        </w:rPr>
        <w:t>2022 рр., %</w:t>
      </w:r>
    </w:p>
    <w:tbl>
      <w:tblPr>
        <w:tblStyle w:val="af"/>
        <w:tblW w:w="9351" w:type="dxa"/>
        <w:tblLook w:val="04A0" w:firstRow="1" w:lastRow="0" w:firstColumn="1" w:lastColumn="0" w:noHBand="0" w:noVBand="1"/>
      </w:tblPr>
      <w:tblGrid>
        <w:gridCol w:w="846"/>
        <w:gridCol w:w="992"/>
        <w:gridCol w:w="992"/>
        <w:gridCol w:w="1134"/>
        <w:gridCol w:w="2835"/>
        <w:gridCol w:w="1276"/>
        <w:gridCol w:w="1276"/>
      </w:tblGrid>
      <w:tr w:rsidR="00C03144" w:rsidRPr="00913129" w14:paraId="6415E4EB" w14:textId="77777777" w:rsidTr="00B5458A">
        <w:trPr>
          <w:trHeight w:val="320"/>
        </w:trPr>
        <w:tc>
          <w:tcPr>
            <w:tcW w:w="846" w:type="dxa"/>
            <w:vMerge w:val="restart"/>
            <w:noWrap/>
            <w:vAlign w:val="center"/>
          </w:tcPr>
          <w:p w14:paraId="4429AF78"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Рік</w:t>
            </w:r>
          </w:p>
        </w:tc>
        <w:tc>
          <w:tcPr>
            <w:tcW w:w="8505" w:type="dxa"/>
            <w:gridSpan w:val="6"/>
            <w:noWrap/>
            <w:vAlign w:val="center"/>
          </w:tcPr>
          <w:p w14:paraId="0E3D6344"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Регіон</w:t>
            </w:r>
          </w:p>
        </w:tc>
      </w:tr>
      <w:tr w:rsidR="00C03144" w:rsidRPr="00913129" w14:paraId="74E5FDF1" w14:textId="77777777" w:rsidTr="00B5458A">
        <w:trPr>
          <w:trHeight w:val="320"/>
        </w:trPr>
        <w:tc>
          <w:tcPr>
            <w:tcW w:w="846" w:type="dxa"/>
            <w:vMerge/>
            <w:noWrap/>
            <w:vAlign w:val="center"/>
            <w:hideMark/>
          </w:tcPr>
          <w:p w14:paraId="36FBF492" w14:textId="77777777" w:rsidR="00C03144" w:rsidRPr="00913129" w:rsidRDefault="00C03144" w:rsidP="00B5458A">
            <w:pPr>
              <w:spacing w:before="60" w:after="60"/>
              <w:ind w:right="-2"/>
              <w:jc w:val="center"/>
              <w:rPr>
                <w:color w:val="000000" w:themeColor="text1"/>
                <w:lang w:val="uk-UA"/>
              </w:rPr>
            </w:pPr>
          </w:p>
        </w:tc>
        <w:tc>
          <w:tcPr>
            <w:tcW w:w="992" w:type="dxa"/>
            <w:noWrap/>
            <w:vAlign w:val="center"/>
            <w:hideMark/>
          </w:tcPr>
          <w:p w14:paraId="7AE25FC6"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Європа</w:t>
            </w:r>
          </w:p>
        </w:tc>
        <w:tc>
          <w:tcPr>
            <w:tcW w:w="992" w:type="dxa"/>
            <w:noWrap/>
            <w:vAlign w:val="center"/>
            <w:hideMark/>
          </w:tcPr>
          <w:p w14:paraId="59812DDB"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США</w:t>
            </w:r>
          </w:p>
        </w:tc>
        <w:tc>
          <w:tcPr>
            <w:tcW w:w="1134" w:type="dxa"/>
            <w:noWrap/>
            <w:vAlign w:val="center"/>
            <w:hideMark/>
          </w:tcPr>
          <w:p w14:paraId="4BC91F39"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Канада</w:t>
            </w:r>
          </w:p>
        </w:tc>
        <w:tc>
          <w:tcPr>
            <w:tcW w:w="2835" w:type="dxa"/>
            <w:noWrap/>
            <w:vAlign w:val="center"/>
            <w:hideMark/>
          </w:tcPr>
          <w:p w14:paraId="7DBFA06D"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Австралія/Нова Зеландія</w:t>
            </w:r>
          </w:p>
        </w:tc>
        <w:tc>
          <w:tcPr>
            <w:tcW w:w="1276" w:type="dxa"/>
            <w:noWrap/>
            <w:vAlign w:val="center"/>
            <w:hideMark/>
          </w:tcPr>
          <w:p w14:paraId="3B7A63D1"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Японія</w:t>
            </w:r>
          </w:p>
        </w:tc>
        <w:tc>
          <w:tcPr>
            <w:tcW w:w="1276" w:type="dxa"/>
            <w:noWrap/>
            <w:vAlign w:val="center"/>
            <w:hideMark/>
          </w:tcPr>
          <w:p w14:paraId="61542A42" w14:textId="77777777" w:rsidR="00C03144" w:rsidRPr="00913129" w:rsidRDefault="00C03144" w:rsidP="00B5458A">
            <w:pPr>
              <w:spacing w:before="60" w:after="60"/>
              <w:ind w:right="-2" w:firstLine="30"/>
              <w:jc w:val="center"/>
              <w:rPr>
                <w:color w:val="000000" w:themeColor="text1"/>
                <w:lang w:val="uk-UA"/>
              </w:rPr>
            </w:pPr>
            <w:r w:rsidRPr="00913129">
              <w:rPr>
                <w:color w:val="000000" w:themeColor="text1"/>
                <w:lang w:val="uk-UA"/>
              </w:rPr>
              <w:t>Інші,</w:t>
            </w:r>
          </w:p>
        </w:tc>
      </w:tr>
      <w:tr w:rsidR="00C03144" w:rsidRPr="00913129" w14:paraId="5B344E13" w14:textId="77777777" w:rsidTr="00B5458A">
        <w:trPr>
          <w:trHeight w:val="320"/>
        </w:trPr>
        <w:tc>
          <w:tcPr>
            <w:tcW w:w="846" w:type="dxa"/>
            <w:noWrap/>
            <w:vAlign w:val="center"/>
            <w:hideMark/>
          </w:tcPr>
          <w:p w14:paraId="364BE9D5"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2014</w:t>
            </w:r>
          </w:p>
        </w:tc>
        <w:tc>
          <w:tcPr>
            <w:tcW w:w="992" w:type="dxa"/>
            <w:noWrap/>
            <w:vAlign w:val="center"/>
            <w:hideMark/>
          </w:tcPr>
          <w:p w14:paraId="19565DC8"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63,29</w:t>
            </w:r>
          </w:p>
        </w:tc>
        <w:tc>
          <w:tcPr>
            <w:tcW w:w="992" w:type="dxa"/>
            <w:noWrap/>
            <w:vAlign w:val="center"/>
            <w:hideMark/>
          </w:tcPr>
          <w:p w14:paraId="21588D7C"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30,71</w:t>
            </w:r>
          </w:p>
        </w:tc>
        <w:tc>
          <w:tcPr>
            <w:tcW w:w="1134" w:type="dxa"/>
            <w:noWrap/>
            <w:vAlign w:val="center"/>
            <w:hideMark/>
          </w:tcPr>
          <w:p w14:paraId="5D38A0FE"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4,65</w:t>
            </w:r>
          </w:p>
        </w:tc>
        <w:tc>
          <w:tcPr>
            <w:tcW w:w="2835" w:type="dxa"/>
            <w:noWrap/>
            <w:vAlign w:val="center"/>
            <w:hideMark/>
          </w:tcPr>
          <w:p w14:paraId="60850D08"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0,84</w:t>
            </w:r>
          </w:p>
        </w:tc>
        <w:tc>
          <w:tcPr>
            <w:tcW w:w="1276" w:type="dxa"/>
            <w:noWrap/>
            <w:vAlign w:val="center"/>
            <w:hideMark/>
          </w:tcPr>
          <w:p w14:paraId="6B51E729"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0,05</w:t>
            </w:r>
          </w:p>
        </w:tc>
        <w:tc>
          <w:tcPr>
            <w:tcW w:w="1276" w:type="dxa"/>
            <w:noWrap/>
            <w:vAlign w:val="center"/>
            <w:hideMark/>
          </w:tcPr>
          <w:p w14:paraId="401E0861" w14:textId="77777777" w:rsidR="00C03144" w:rsidRPr="00913129" w:rsidRDefault="00C03144" w:rsidP="00B5458A">
            <w:pPr>
              <w:spacing w:before="60" w:after="60"/>
              <w:ind w:right="-2" w:firstLine="30"/>
              <w:jc w:val="center"/>
              <w:rPr>
                <w:color w:val="000000" w:themeColor="text1"/>
                <w:lang w:val="uk-UA"/>
              </w:rPr>
            </w:pPr>
            <w:r w:rsidRPr="00913129">
              <w:rPr>
                <w:color w:val="000000" w:themeColor="text1"/>
                <w:lang w:val="uk-UA"/>
              </w:rPr>
              <w:t>0,47</w:t>
            </w:r>
          </w:p>
        </w:tc>
      </w:tr>
      <w:tr w:rsidR="00C03144" w:rsidRPr="00913129" w14:paraId="78D60F28" w14:textId="77777777" w:rsidTr="00B5458A">
        <w:trPr>
          <w:trHeight w:val="320"/>
        </w:trPr>
        <w:tc>
          <w:tcPr>
            <w:tcW w:w="846" w:type="dxa"/>
            <w:noWrap/>
            <w:vAlign w:val="center"/>
            <w:hideMark/>
          </w:tcPr>
          <w:p w14:paraId="00A40AC5"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2016</w:t>
            </w:r>
          </w:p>
        </w:tc>
        <w:tc>
          <w:tcPr>
            <w:tcW w:w="992" w:type="dxa"/>
            <w:noWrap/>
            <w:vAlign w:val="center"/>
            <w:hideMark/>
          </w:tcPr>
          <w:p w14:paraId="303DCF34"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52,13</w:t>
            </w:r>
          </w:p>
        </w:tc>
        <w:tc>
          <w:tcPr>
            <w:tcW w:w="992" w:type="dxa"/>
            <w:noWrap/>
            <w:vAlign w:val="center"/>
            <w:hideMark/>
          </w:tcPr>
          <w:p w14:paraId="4E42DB1A"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37,79</w:t>
            </w:r>
          </w:p>
        </w:tc>
        <w:tc>
          <w:tcPr>
            <w:tcW w:w="1134" w:type="dxa"/>
            <w:noWrap/>
            <w:vAlign w:val="center"/>
            <w:hideMark/>
          </w:tcPr>
          <w:p w14:paraId="75DC5849"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4,78</w:t>
            </w:r>
          </w:p>
        </w:tc>
        <w:tc>
          <w:tcPr>
            <w:tcW w:w="2835" w:type="dxa"/>
            <w:noWrap/>
            <w:vAlign w:val="center"/>
            <w:hideMark/>
          </w:tcPr>
          <w:p w14:paraId="2133D6F7"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2,26</w:t>
            </w:r>
          </w:p>
        </w:tc>
        <w:tc>
          <w:tcPr>
            <w:tcW w:w="1276" w:type="dxa"/>
            <w:noWrap/>
            <w:vAlign w:val="center"/>
            <w:hideMark/>
          </w:tcPr>
          <w:p w14:paraId="5CCA9187"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2,17</w:t>
            </w:r>
          </w:p>
        </w:tc>
        <w:tc>
          <w:tcPr>
            <w:tcW w:w="1276" w:type="dxa"/>
            <w:noWrap/>
            <w:vAlign w:val="center"/>
            <w:hideMark/>
          </w:tcPr>
          <w:p w14:paraId="623DD30A" w14:textId="77777777" w:rsidR="00C03144" w:rsidRPr="00913129" w:rsidRDefault="00C03144" w:rsidP="00B5458A">
            <w:pPr>
              <w:spacing w:before="60" w:after="60"/>
              <w:ind w:right="-2" w:firstLine="30"/>
              <w:jc w:val="center"/>
              <w:rPr>
                <w:color w:val="000000" w:themeColor="text1"/>
                <w:lang w:val="uk-UA"/>
              </w:rPr>
            </w:pPr>
            <w:r w:rsidRPr="00913129">
              <w:rPr>
                <w:color w:val="000000" w:themeColor="text1"/>
                <w:lang w:val="uk-UA"/>
              </w:rPr>
              <w:t>0,87</w:t>
            </w:r>
          </w:p>
        </w:tc>
      </w:tr>
      <w:tr w:rsidR="00C03144" w:rsidRPr="00913129" w14:paraId="78846919" w14:textId="77777777" w:rsidTr="00B5458A">
        <w:trPr>
          <w:trHeight w:val="320"/>
        </w:trPr>
        <w:tc>
          <w:tcPr>
            <w:tcW w:w="846" w:type="dxa"/>
            <w:noWrap/>
            <w:vAlign w:val="center"/>
            <w:hideMark/>
          </w:tcPr>
          <w:p w14:paraId="47105A48"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2018</w:t>
            </w:r>
          </w:p>
        </w:tc>
        <w:tc>
          <w:tcPr>
            <w:tcW w:w="992" w:type="dxa"/>
            <w:noWrap/>
            <w:vAlign w:val="center"/>
            <w:hideMark/>
          </w:tcPr>
          <w:p w14:paraId="59645372"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45,59</w:t>
            </w:r>
          </w:p>
        </w:tc>
        <w:tc>
          <w:tcPr>
            <w:tcW w:w="992" w:type="dxa"/>
            <w:noWrap/>
            <w:vAlign w:val="center"/>
            <w:hideMark/>
          </w:tcPr>
          <w:p w14:paraId="78E22DB4"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38,47</w:t>
            </w:r>
          </w:p>
        </w:tc>
        <w:tc>
          <w:tcPr>
            <w:tcW w:w="1134" w:type="dxa"/>
            <w:noWrap/>
            <w:vAlign w:val="center"/>
            <w:hideMark/>
          </w:tcPr>
          <w:p w14:paraId="180044CF"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5,50</w:t>
            </w:r>
          </w:p>
        </w:tc>
        <w:tc>
          <w:tcPr>
            <w:tcW w:w="2835" w:type="dxa"/>
            <w:noWrap/>
            <w:vAlign w:val="center"/>
            <w:hideMark/>
          </w:tcPr>
          <w:p w14:paraId="5D5C7AC3"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2,36</w:t>
            </w:r>
          </w:p>
        </w:tc>
        <w:tc>
          <w:tcPr>
            <w:tcW w:w="1276" w:type="dxa"/>
            <w:noWrap/>
            <w:vAlign w:val="center"/>
            <w:hideMark/>
          </w:tcPr>
          <w:p w14:paraId="3FDE6235"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7,11</w:t>
            </w:r>
          </w:p>
        </w:tc>
        <w:tc>
          <w:tcPr>
            <w:tcW w:w="1276" w:type="dxa"/>
            <w:noWrap/>
            <w:vAlign w:val="center"/>
            <w:hideMark/>
          </w:tcPr>
          <w:p w14:paraId="516A5D26" w14:textId="77777777" w:rsidR="00C03144" w:rsidRPr="00913129" w:rsidRDefault="00C03144" w:rsidP="00B5458A">
            <w:pPr>
              <w:spacing w:before="60" w:after="60"/>
              <w:ind w:right="-2" w:firstLine="30"/>
              <w:jc w:val="center"/>
              <w:rPr>
                <w:color w:val="000000" w:themeColor="text1"/>
                <w:lang w:val="uk-UA"/>
              </w:rPr>
            </w:pPr>
            <w:r w:rsidRPr="00913129">
              <w:rPr>
                <w:color w:val="000000" w:themeColor="text1"/>
                <w:lang w:val="uk-UA"/>
              </w:rPr>
              <w:t>0,97</w:t>
            </w:r>
          </w:p>
        </w:tc>
      </w:tr>
      <w:tr w:rsidR="00C03144" w:rsidRPr="00913129" w14:paraId="3F320728" w14:textId="77777777" w:rsidTr="00B5458A">
        <w:trPr>
          <w:trHeight w:val="320"/>
        </w:trPr>
        <w:tc>
          <w:tcPr>
            <w:tcW w:w="846" w:type="dxa"/>
            <w:noWrap/>
            <w:vAlign w:val="center"/>
            <w:hideMark/>
          </w:tcPr>
          <w:p w14:paraId="0AC0CC50"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2020</w:t>
            </w:r>
          </w:p>
        </w:tc>
        <w:tc>
          <w:tcPr>
            <w:tcW w:w="992" w:type="dxa"/>
            <w:noWrap/>
            <w:vAlign w:val="center"/>
            <w:hideMark/>
          </w:tcPr>
          <w:p w14:paraId="216ABFA7"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33,60</w:t>
            </w:r>
          </w:p>
        </w:tc>
        <w:tc>
          <w:tcPr>
            <w:tcW w:w="992" w:type="dxa"/>
            <w:noWrap/>
            <w:vAlign w:val="center"/>
            <w:hideMark/>
          </w:tcPr>
          <w:p w14:paraId="1747320D"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47,89</w:t>
            </w:r>
          </w:p>
        </w:tc>
        <w:tc>
          <w:tcPr>
            <w:tcW w:w="1134" w:type="dxa"/>
            <w:noWrap/>
            <w:vAlign w:val="center"/>
            <w:hideMark/>
          </w:tcPr>
          <w:p w14:paraId="2157E209"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6,72</w:t>
            </w:r>
          </w:p>
        </w:tc>
        <w:tc>
          <w:tcPr>
            <w:tcW w:w="2835" w:type="dxa"/>
            <w:noWrap/>
            <w:vAlign w:val="center"/>
            <w:hideMark/>
          </w:tcPr>
          <w:p w14:paraId="4387276B"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2,55</w:t>
            </w:r>
          </w:p>
        </w:tc>
        <w:tc>
          <w:tcPr>
            <w:tcW w:w="1276" w:type="dxa"/>
            <w:noWrap/>
            <w:vAlign w:val="center"/>
            <w:hideMark/>
          </w:tcPr>
          <w:p w14:paraId="33001DE5"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8,12</w:t>
            </w:r>
          </w:p>
        </w:tc>
        <w:tc>
          <w:tcPr>
            <w:tcW w:w="1276" w:type="dxa"/>
            <w:noWrap/>
            <w:vAlign w:val="center"/>
            <w:hideMark/>
          </w:tcPr>
          <w:p w14:paraId="2687B4DB" w14:textId="77777777" w:rsidR="00C03144" w:rsidRPr="00913129" w:rsidRDefault="00C03144" w:rsidP="00B5458A">
            <w:pPr>
              <w:spacing w:before="60" w:after="60"/>
              <w:ind w:right="-2" w:firstLine="30"/>
              <w:jc w:val="center"/>
              <w:rPr>
                <w:color w:val="000000" w:themeColor="text1"/>
                <w:lang w:val="uk-UA"/>
              </w:rPr>
            </w:pPr>
            <w:r w:rsidRPr="00913129">
              <w:rPr>
                <w:color w:val="000000" w:themeColor="text1"/>
                <w:lang w:val="uk-UA"/>
              </w:rPr>
              <w:t>1,12</w:t>
            </w:r>
          </w:p>
        </w:tc>
      </w:tr>
      <w:tr w:rsidR="00C03144" w:rsidRPr="00913129" w14:paraId="62FA36F7" w14:textId="77777777" w:rsidTr="00B5458A">
        <w:trPr>
          <w:trHeight w:val="320"/>
        </w:trPr>
        <w:tc>
          <w:tcPr>
            <w:tcW w:w="846" w:type="dxa"/>
            <w:noWrap/>
            <w:vAlign w:val="center"/>
            <w:hideMark/>
          </w:tcPr>
          <w:p w14:paraId="7D495BF3"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2022</w:t>
            </w:r>
          </w:p>
        </w:tc>
        <w:tc>
          <w:tcPr>
            <w:tcW w:w="992" w:type="dxa"/>
            <w:noWrap/>
            <w:vAlign w:val="center"/>
            <w:hideMark/>
          </w:tcPr>
          <w:p w14:paraId="025971FE"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39,13</w:t>
            </w:r>
          </w:p>
        </w:tc>
        <w:tc>
          <w:tcPr>
            <w:tcW w:w="992" w:type="dxa"/>
            <w:noWrap/>
            <w:vAlign w:val="center"/>
            <w:hideMark/>
          </w:tcPr>
          <w:p w14:paraId="3C76C25D"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31,91</w:t>
            </w:r>
          </w:p>
        </w:tc>
        <w:tc>
          <w:tcPr>
            <w:tcW w:w="1134" w:type="dxa"/>
            <w:noWrap/>
            <w:vAlign w:val="center"/>
            <w:hideMark/>
          </w:tcPr>
          <w:p w14:paraId="330B4042"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6,08</w:t>
            </w:r>
          </w:p>
        </w:tc>
        <w:tc>
          <w:tcPr>
            <w:tcW w:w="2835" w:type="dxa"/>
            <w:noWrap/>
            <w:vAlign w:val="center"/>
            <w:hideMark/>
          </w:tcPr>
          <w:p w14:paraId="51ACDF9E"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4,64</w:t>
            </w:r>
          </w:p>
        </w:tc>
        <w:tc>
          <w:tcPr>
            <w:tcW w:w="1276" w:type="dxa"/>
            <w:noWrap/>
            <w:vAlign w:val="center"/>
            <w:hideMark/>
          </w:tcPr>
          <w:p w14:paraId="700BA0B7" w14:textId="77777777" w:rsidR="00C03144" w:rsidRPr="00913129" w:rsidRDefault="00C03144" w:rsidP="00B5458A">
            <w:pPr>
              <w:spacing w:before="60" w:after="60"/>
              <w:ind w:right="-2"/>
              <w:jc w:val="center"/>
              <w:rPr>
                <w:color w:val="000000" w:themeColor="text1"/>
                <w:lang w:val="uk-UA"/>
              </w:rPr>
            </w:pPr>
            <w:r w:rsidRPr="00913129">
              <w:rPr>
                <w:color w:val="000000" w:themeColor="text1"/>
                <w:lang w:val="uk-UA"/>
              </w:rPr>
              <w:t>16,34</w:t>
            </w:r>
          </w:p>
        </w:tc>
        <w:tc>
          <w:tcPr>
            <w:tcW w:w="1276" w:type="dxa"/>
            <w:noWrap/>
            <w:vAlign w:val="center"/>
            <w:hideMark/>
          </w:tcPr>
          <w:p w14:paraId="0921710A" w14:textId="77777777" w:rsidR="00C03144" w:rsidRPr="00913129" w:rsidRDefault="00C03144" w:rsidP="00B5458A">
            <w:pPr>
              <w:spacing w:before="60" w:after="60"/>
              <w:ind w:right="-2" w:firstLine="30"/>
              <w:jc w:val="center"/>
              <w:rPr>
                <w:color w:val="000000" w:themeColor="text1"/>
                <w:lang w:val="uk-UA"/>
              </w:rPr>
            </w:pPr>
            <w:r w:rsidRPr="00913129">
              <w:rPr>
                <w:color w:val="000000" w:themeColor="text1"/>
                <w:lang w:val="uk-UA"/>
              </w:rPr>
              <w:t>1,90</w:t>
            </w:r>
          </w:p>
        </w:tc>
      </w:tr>
    </w:tbl>
    <w:p w14:paraId="341B939F" w14:textId="1ADFB5B3" w:rsidR="00C03144" w:rsidRPr="00913129" w:rsidRDefault="00C03144" w:rsidP="00C03370">
      <w:pPr>
        <w:spacing w:before="120" w:line="360" w:lineRule="auto"/>
        <w:ind w:right="-2" w:firstLine="851"/>
        <w:jc w:val="both"/>
        <w:rPr>
          <w:color w:val="000000" w:themeColor="text1"/>
          <w:sz w:val="28"/>
          <w:szCs w:val="28"/>
          <w:lang w:val="uk-UA"/>
        </w:rPr>
      </w:pPr>
      <w:r w:rsidRPr="00913129">
        <w:rPr>
          <w:color w:val="000000" w:themeColor="text1"/>
          <w:sz w:val="28"/>
          <w:szCs w:val="28"/>
          <w:lang w:val="uk-UA"/>
        </w:rPr>
        <w:t xml:space="preserve">Джерело: розраховано та складено автором на основі даних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{"citationID":"0YgnsqNG","properties":{"formattedCitation":"\\super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szCs w:val="28"/>
          <w:lang w:val="uk-UA"/>
        </w:rPr>
        <w:t>[21–26]</w:t>
      </w:r>
      <w:r w:rsidRPr="00913129">
        <w:rPr>
          <w:color w:val="000000" w:themeColor="text1"/>
          <w:sz w:val="28"/>
          <w:szCs w:val="28"/>
          <w:lang w:val="uk-UA"/>
        </w:rPr>
        <w:fldChar w:fldCharType="end"/>
      </w:r>
    </w:p>
    <w:p w14:paraId="5BDC2368" w14:textId="66E63204"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На підставі приведених даних, можливо відмітити що у період 2014-2022 років Європа залишалася найбільшим регіоном у системі соціально відповідального інвестування, проте її частка на глобальному ринку скоротилася з 63,29% до 39,13%. У США частка зросла з 30,71% у 2014 році до максимальної 47,89% у 2020 році, проте у 2022 ро</w:t>
      </w:r>
      <w:r w:rsidR="00E67390" w:rsidRPr="00913129">
        <w:rPr>
          <w:color w:val="000000" w:themeColor="text1"/>
          <w:sz w:val="28"/>
          <w:szCs w:val="28"/>
          <w:lang w:val="uk-UA"/>
        </w:rPr>
        <w:t>ці</w:t>
      </w:r>
      <w:r w:rsidRPr="00913129">
        <w:rPr>
          <w:color w:val="000000" w:themeColor="text1"/>
          <w:sz w:val="28"/>
          <w:szCs w:val="28"/>
          <w:lang w:val="uk-UA"/>
        </w:rPr>
        <w:t xml:space="preserve"> знизилася до 31,91%. Канадський ринок поступово нарощував присутність і змінив 4,65% у 2014 році на 6,08% у 2022 році, пік становив 6,72% у 2020 році. Схожу тенденцію демонстрували Австралія з Новою Зеландією, де частка збільшилася з 0,84% у 2014 році до 4,64% у 2022 році, із проміжним значенням 2,55% у 2020 році. Японія стала лідером за темпами зростання, при зростанні з 0,05% у 2014 році до 16,34% у 2022 році. Частка інших регіонів зросла з 0,47% у 2014 році до 1,90% у 2022 році. У результаті структура ринку стала більш збалансованою оскільки розрив між Європою та іншими юрисдикціями значно звузився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{"citationID":"Cy4430Ah","properties":{"formattedCitation":"\\super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szCs w:val="28"/>
          <w:lang w:val="uk-UA"/>
        </w:rPr>
        <w:t>[21–26]</w:t>
      </w:r>
      <w:r w:rsidRPr="00913129">
        <w:rPr>
          <w:color w:val="000000" w:themeColor="text1"/>
          <w:sz w:val="28"/>
          <w:szCs w:val="28"/>
          <w:lang w:val="uk-UA"/>
        </w:rPr>
        <w:fldChar w:fldCharType="end"/>
      </w:r>
      <w:r w:rsidRPr="00913129">
        <w:rPr>
          <w:color w:val="000000" w:themeColor="text1"/>
          <w:sz w:val="28"/>
          <w:szCs w:val="28"/>
          <w:lang w:val="uk-UA"/>
        </w:rPr>
        <w:t xml:space="preserve">. </w:t>
      </w:r>
    </w:p>
    <w:p w14:paraId="2747468B" w14:textId="326587BB" w:rsidR="00C03144" w:rsidRPr="00913129" w:rsidRDefault="00C03144" w:rsidP="00C03370">
      <w:pPr>
        <w:spacing w:line="360" w:lineRule="auto"/>
        <w:ind w:right="-2" w:firstLine="851"/>
        <w:jc w:val="both"/>
        <w:rPr>
          <w:color w:val="000000" w:themeColor="text1"/>
          <w:sz w:val="28"/>
          <w:szCs w:val="28"/>
          <w:lang w:val="uk-UA"/>
        </w:rPr>
      </w:pPr>
      <w:r w:rsidRPr="00913129">
        <w:rPr>
          <w:color w:val="000000" w:themeColor="text1"/>
          <w:sz w:val="28"/>
          <w:szCs w:val="28"/>
          <w:lang w:val="uk-UA"/>
        </w:rPr>
        <w:t>Для глибшого аналізу доцільно враховувати не тільки абсолютні відсоткові частки</w:t>
      </w:r>
      <w:r w:rsidR="005A13AB" w:rsidRPr="00913129">
        <w:rPr>
          <w:color w:val="000000" w:themeColor="text1"/>
          <w:sz w:val="28"/>
          <w:szCs w:val="28"/>
          <w:lang w:val="uk-UA"/>
        </w:rPr>
        <w:t>,</w:t>
      </w:r>
      <w:r w:rsidRPr="00913129">
        <w:rPr>
          <w:color w:val="000000" w:themeColor="text1"/>
          <w:sz w:val="28"/>
          <w:szCs w:val="28"/>
          <w:lang w:val="uk-UA"/>
        </w:rPr>
        <w:t xml:space="preserve"> а й співвідношення обсягів СВІ до загального обсягу активів під управлінням у кожному регіоні (див. рис. 2.2.).</w:t>
      </w:r>
    </w:p>
    <w:p w14:paraId="7469FC56" w14:textId="77777777" w:rsidR="00C03144" w:rsidRPr="00913129" w:rsidRDefault="00C03144" w:rsidP="001D63D0">
      <w:pPr>
        <w:spacing w:line="360" w:lineRule="auto"/>
        <w:ind w:right="-2"/>
        <w:jc w:val="both"/>
        <w:rPr>
          <w:color w:val="000000" w:themeColor="text1"/>
          <w:sz w:val="28"/>
          <w:szCs w:val="28"/>
          <w:lang w:val="uk-UA"/>
        </w:rPr>
      </w:pPr>
      <w:r w:rsidRPr="00913129">
        <w:rPr>
          <w:noProof/>
          <w:color w:val="000000" w:themeColor="text1"/>
          <w:sz w:val="28"/>
          <w:szCs w:val="28"/>
          <w:lang w:val="ru-RU" w:eastAsia="ru-RU"/>
          <w14:ligatures w14:val="standardContextual"/>
        </w:rPr>
        <w:lastRenderedPageBreak/>
        <w:drawing>
          <wp:inline distT="0" distB="0" distL="0" distR="0" wp14:anchorId="15CCB790" wp14:editId="3ACBDDF7">
            <wp:extent cx="5857875" cy="2421924"/>
            <wp:effectExtent l="0" t="0" r="9525" b="16510"/>
            <wp:docPr id="418438551"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F03D317-EE5B-B498-30E8-2ACA1CD70B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1027823" w14:textId="486E6BE3" w:rsidR="00C03144" w:rsidRPr="00913129" w:rsidRDefault="00C03144"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Рис. 2.2. Динаміка частки активів сталого інвестування у загальному обсязі активів під управлінням за регіонами у період 2012</w:t>
      </w:r>
      <w:r w:rsidR="005A13AB" w:rsidRPr="00913129">
        <w:rPr>
          <w:color w:val="000000" w:themeColor="text1"/>
          <w:sz w:val="28"/>
          <w:szCs w:val="28"/>
          <w:lang w:val="uk-UA"/>
        </w:rPr>
        <w:t>-</w:t>
      </w:r>
      <w:r w:rsidRPr="00913129">
        <w:rPr>
          <w:color w:val="000000" w:themeColor="text1"/>
          <w:sz w:val="28"/>
          <w:szCs w:val="28"/>
          <w:lang w:val="uk-UA"/>
        </w:rPr>
        <w:t>2022 рр., %</w:t>
      </w:r>
    </w:p>
    <w:p w14:paraId="76C7AB28" w14:textId="3B2B5721" w:rsidR="00C03144" w:rsidRPr="00913129" w:rsidRDefault="00C03144"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Джерело: складено автором на основі даних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{"citationID":"PD78GZlh","properties":{"formattedCitation":"\\super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[21–26]</w:t>
      </w:r>
      <w:r w:rsidRPr="00913129">
        <w:rPr>
          <w:color w:val="000000" w:themeColor="text1"/>
          <w:sz w:val="28"/>
          <w:szCs w:val="28"/>
          <w:lang w:val="uk-UA"/>
        </w:rPr>
        <w:fldChar w:fldCharType="end"/>
      </w:r>
    </w:p>
    <w:p w14:paraId="021B3A3E" w14:textId="02C425E8" w:rsidR="00C03144" w:rsidRPr="00913129" w:rsidRDefault="00C03144" w:rsidP="00B5458A">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У 2014 році частка активів соціально відповідального інвестування в Європі становила 59% від загального обсягу активів під управлінням. Однак у 2022 році показник знизився до 38%. Дане зниження пояснюється посиленням нормативних вимог щодо прозорості відповідно до регламентів, про які зазначалось раніше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{"citationID":"7NbTtM9A","properties":{"formattedCitation":"\\super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[21–26]</w:t>
      </w:r>
      <w:r w:rsidRPr="00913129">
        <w:rPr>
          <w:color w:val="000000" w:themeColor="text1"/>
          <w:sz w:val="28"/>
          <w:szCs w:val="28"/>
          <w:lang w:val="uk-UA"/>
        </w:rPr>
        <w:fldChar w:fldCharType="end"/>
      </w:r>
      <w:r w:rsidRPr="00913129">
        <w:rPr>
          <w:color w:val="000000" w:themeColor="text1"/>
          <w:sz w:val="28"/>
          <w:szCs w:val="28"/>
          <w:lang w:val="uk-UA"/>
        </w:rPr>
        <w:t>.</w:t>
      </w:r>
    </w:p>
    <w:p w14:paraId="69960FC6" w14:textId="0654AE6D" w:rsidR="00C03144" w:rsidRPr="00913129" w:rsidRDefault="00C03144" w:rsidP="00B5458A">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У США підхід до обчислення частки активів соціально відповідального інвестування у загальному обсязі під управлінням дозволив зареєструвати зростання цієї частки до 33% у 2020 році. Проте вже у 2022 році обсяг активів</w:t>
      </w:r>
      <w:r w:rsidR="0054716E" w:rsidRPr="00913129">
        <w:rPr>
          <w:color w:val="000000" w:themeColor="text1"/>
          <w:sz w:val="28"/>
          <w:szCs w:val="28"/>
          <w:lang w:val="uk-UA"/>
        </w:rPr>
        <w:t xml:space="preserve"> </w:t>
      </w:r>
      <w:r w:rsidRPr="00913129">
        <w:rPr>
          <w:color w:val="000000" w:themeColor="text1"/>
          <w:sz w:val="28"/>
          <w:szCs w:val="28"/>
          <w:lang w:val="uk-UA"/>
        </w:rPr>
        <w:t xml:space="preserve">у США скоротився з 17,1 трлн </w:t>
      </w:r>
      <w:r w:rsidR="009549C5" w:rsidRPr="00913129">
        <w:rPr>
          <w:color w:val="000000" w:themeColor="text1"/>
          <w:sz w:val="28"/>
          <w:szCs w:val="28"/>
          <w:lang w:val="uk-UA"/>
        </w:rPr>
        <w:t xml:space="preserve">дол. США </w:t>
      </w:r>
      <w:r w:rsidRPr="00913129">
        <w:rPr>
          <w:color w:val="000000" w:themeColor="text1"/>
          <w:sz w:val="28"/>
          <w:szCs w:val="28"/>
          <w:lang w:val="uk-UA"/>
        </w:rPr>
        <w:t>до 8,4 трлн дол. США, що спричинило падіння частки більш ніж удвічі. Основною причиною, як і в Європі, стало радикальне оновлення методології звітності.</w:t>
      </w:r>
    </w:p>
    <w:p w14:paraId="3CE80210" w14:textId="46C24637" w:rsidR="00C03144" w:rsidRPr="00913129" w:rsidRDefault="00C03144" w:rsidP="00B5458A">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У Канаді протягом періоду з 2014 до 2020 року частка активів, позначених як сталий капітал, у загальному обсязі під управлінням зросла з 31% до 62%. Такий приріст став можливим завдяки активному залученню пенсійних фондів і державних фінансових інституцій. Водночас у 2022 році частка СВІ знизилася до 47%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{"citationID":"3XTg3Aga","properties":{"formattedCitation":"\\super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[21–26]</w:t>
      </w:r>
      <w:r w:rsidRPr="00913129">
        <w:rPr>
          <w:color w:val="000000" w:themeColor="text1"/>
          <w:sz w:val="28"/>
          <w:szCs w:val="28"/>
          <w:lang w:val="uk-UA"/>
        </w:rPr>
        <w:fldChar w:fldCharType="end"/>
      </w:r>
      <w:r w:rsidRPr="00913129">
        <w:rPr>
          <w:color w:val="000000" w:themeColor="text1"/>
          <w:sz w:val="28"/>
          <w:szCs w:val="28"/>
          <w:lang w:val="uk-UA"/>
        </w:rPr>
        <w:t>.</w:t>
      </w:r>
    </w:p>
    <w:p w14:paraId="4C29134A" w14:textId="3E26BE7B" w:rsidR="00C03144" w:rsidRPr="00913129" w:rsidRDefault="00C03144" w:rsidP="00B5458A">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В Австралії та Новій Зеландії частка активів, керованих за принципами соціально відповідального інвестування, сягнула максимальної позначки 63% у 2018 році. У 2020 році цей показник упав до 38%, </w:t>
      </w:r>
      <w:r w:rsidR="002D307A" w:rsidRPr="00913129">
        <w:rPr>
          <w:color w:val="000000" w:themeColor="text1"/>
          <w:sz w:val="28"/>
          <w:szCs w:val="28"/>
          <w:lang w:val="uk-UA"/>
        </w:rPr>
        <w:t>проте</w:t>
      </w:r>
      <w:r w:rsidRPr="00913129">
        <w:rPr>
          <w:color w:val="000000" w:themeColor="text1"/>
          <w:sz w:val="28"/>
          <w:szCs w:val="28"/>
          <w:lang w:val="uk-UA"/>
        </w:rPr>
        <w:t xml:space="preserve"> у 2022 році частка </w:t>
      </w:r>
      <w:r w:rsidRPr="00913129">
        <w:rPr>
          <w:color w:val="000000" w:themeColor="text1"/>
          <w:sz w:val="28"/>
          <w:szCs w:val="28"/>
          <w:lang w:val="uk-UA"/>
        </w:rPr>
        <w:lastRenderedPageBreak/>
        <w:t xml:space="preserve">відновилася до 43%. </w:t>
      </w:r>
      <w:r w:rsidR="002D307A" w:rsidRPr="00913129">
        <w:rPr>
          <w:color w:val="000000" w:themeColor="text1"/>
          <w:sz w:val="28"/>
          <w:szCs w:val="28"/>
          <w:lang w:val="uk-UA"/>
        </w:rPr>
        <w:t>Водночас я</w:t>
      </w:r>
      <w:r w:rsidRPr="00913129">
        <w:rPr>
          <w:color w:val="000000" w:themeColor="text1"/>
          <w:sz w:val="28"/>
          <w:szCs w:val="28"/>
          <w:lang w:val="uk-UA"/>
        </w:rPr>
        <w:t xml:space="preserve">понський ринок соціально відповідального інвестування виявився найбільш динамічним. </w:t>
      </w:r>
      <w:r w:rsidR="00A719A1" w:rsidRPr="00913129">
        <w:rPr>
          <w:color w:val="000000" w:themeColor="text1"/>
          <w:sz w:val="28"/>
          <w:szCs w:val="28"/>
          <w:lang w:val="uk-UA"/>
        </w:rPr>
        <w:t xml:space="preserve">У </w:t>
      </w:r>
      <w:r w:rsidRPr="00913129">
        <w:rPr>
          <w:color w:val="000000" w:themeColor="text1"/>
          <w:sz w:val="28"/>
          <w:szCs w:val="28"/>
          <w:lang w:val="uk-UA"/>
        </w:rPr>
        <w:t xml:space="preserve">2014 році </w:t>
      </w:r>
      <w:r w:rsidR="002D307A" w:rsidRPr="00913129">
        <w:rPr>
          <w:color w:val="000000" w:themeColor="text1"/>
          <w:sz w:val="28"/>
          <w:szCs w:val="28"/>
          <w:lang w:val="uk-UA"/>
        </w:rPr>
        <w:t>показник</w:t>
      </w:r>
      <w:r w:rsidRPr="00913129">
        <w:rPr>
          <w:color w:val="000000" w:themeColor="text1"/>
          <w:sz w:val="28"/>
          <w:szCs w:val="28"/>
          <w:lang w:val="uk-UA"/>
        </w:rPr>
        <w:t xml:space="preserve"> </w:t>
      </w:r>
      <w:r w:rsidR="002D307A" w:rsidRPr="00913129">
        <w:rPr>
          <w:color w:val="000000" w:themeColor="text1"/>
          <w:sz w:val="28"/>
          <w:szCs w:val="28"/>
          <w:lang w:val="uk-UA"/>
        </w:rPr>
        <w:t>становив</w:t>
      </w:r>
      <w:r w:rsidRPr="00913129">
        <w:rPr>
          <w:color w:val="000000" w:themeColor="text1"/>
          <w:sz w:val="28"/>
          <w:szCs w:val="28"/>
          <w:lang w:val="uk-UA"/>
        </w:rPr>
        <w:t xml:space="preserve"> лише 3%, то у 2022 році вона зросла до 34%</w:t>
      </w:r>
      <w:r w:rsidR="0054716E" w:rsidRPr="00913129">
        <w:rPr>
          <w:color w:val="000000" w:themeColor="text1"/>
          <w:sz w:val="28"/>
          <w:szCs w:val="28"/>
          <w:lang w:val="uk-UA"/>
        </w:rPr>
        <w:t xml:space="preserve">, що обумовлено </w:t>
      </w:r>
      <w:r w:rsidRPr="00913129">
        <w:rPr>
          <w:color w:val="000000" w:themeColor="text1"/>
          <w:sz w:val="28"/>
          <w:szCs w:val="28"/>
          <w:lang w:val="uk-UA"/>
        </w:rPr>
        <w:t>реформуванням корпоративного управління, державною підтримкою ESG-продуктів і запровадженням обов</w:t>
      </w:r>
      <w:r w:rsidR="00340D11" w:rsidRPr="00913129">
        <w:rPr>
          <w:color w:val="000000" w:themeColor="text1"/>
          <w:sz w:val="28"/>
          <w:szCs w:val="28"/>
          <w:lang w:val="uk-UA"/>
        </w:rPr>
        <w:t>’</w:t>
      </w:r>
      <w:r w:rsidRPr="00913129">
        <w:rPr>
          <w:color w:val="000000" w:themeColor="text1"/>
          <w:sz w:val="28"/>
          <w:szCs w:val="28"/>
          <w:lang w:val="uk-UA"/>
        </w:rPr>
        <w:t xml:space="preserve">язкової нефінансової звітності для великих компаній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{"citationID":"ox1Urq5P","properties":{"formattedCitation":"\\super [21\\uc0\\u8211{}26]\\nosupersub{}","plainCitation":"[21–26]","noteIndex":0},"citationItems":[{"id":608,"uris":["http://zotero.org/users/10910668/items/UNKKM6YZ"],"itemData":{"id":608,"type":"webpage","title":"2012 Trends Report | GSIA","URL":"https://www.gsi-alliance.org/latest-trends-report/","accessed":{"date-parts":[["2025",5,8]]}}},{"id":610,"uris":["http://zotero.org/users/10910668/items/9NMYGG5E"],"itemData":{"id":610,"type":"webpage","title":"Global Sustainable Investment Review 2014 | GSIA","URL":"https://www.gsi-alliance.org/members-resources/global-sustainable-investment-review-2014/","accessed":{"date-parts":[["2025",5,8]]}}},{"id":612,"uris":["http://zotero.org/users/10910668/items/R567AIIC"],"itemData":{"id":612,"type":"webpage","title":"Trends Report 2016 | GSIA","URL":"https://www.gsi-alliance.org/members-resources/trends-report-2016/","accessed":{"date-parts":[["2025",5,8]]}}},{"id":613,"uris":["http://zotero.org/users/10910668/items/J4JGN5LC"],"itemData":{"id":613,"type":"webpage","title":"Trends Report 2018 | GSIA","URL":"https://www.gsi-alliance.org/trends-report-2018/","accessed":{"date-parts":[["2025",5,8]]}}},{"id":615,"uris":["http://zotero.org/users/10910668/items/NX2MFUDP"],"itemData":{"id":615,"type":"webpage","title":"Trends Report 2020 | GSIA","URL":"https://www.gsi-alliance.org/trends-report-2020/","accessed":{"date-parts":[["2025",5,8]]}}},{"id":617,"uris":["http://zotero.org/users/10910668/items/5D2W3SE2"],"itemData":{"id":617,"type":"webpage","title":"Global Sustainable Investment Review 2022 | GSIA","URL":"https://www.gsi-alliance.org/members-resources/gsir2022/","accessed":{"date-parts":[["2025",5,8]]}},"label":"page"}],"schema":"https://github.com/citation-style-language/schema/raw/master/csl-citation.json"}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[21–26]</w:t>
      </w:r>
      <w:r w:rsidRPr="00913129">
        <w:rPr>
          <w:color w:val="000000" w:themeColor="text1"/>
          <w:sz w:val="28"/>
          <w:szCs w:val="28"/>
          <w:lang w:val="uk-UA"/>
        </w:rPr>
        <w:fldChar w:fldCharType="end"/>
      </w:r>
      <w:r w:rsidRPr="00913129">
        <w:rPr>
          <w:color w:val="000000" w:themeColor="text1"/>
          <w:sz w:val="28"/>
          <w:szCs w:val="28"/>
          <w:lang w:val="uk-UA"/>
        </w:rPr>
        <w:t>.</w:t>
      </w:r>
    </w:p>
    <w:p w14:paraId="5ED5D506" w14:textId="2249ECF7" w:rsidR="00C03144" w:rsidRPr="00913129" w:rsidRDefault="00C03144" w:rsidP="00B5458A">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Отже,</w:t>
      </w:r>
      <w:r w:rsidR="0054716E" w:rsidRPr="00913129">
        <w:rPr>
          <w:color w:val="000000" w:themeColor="text1"/>
          <w:sz w:val="28"/>
          <w:szCs w:val="28"/>
          <w:lang w:val="uk-UA"/>
        </w:rPr>
        <w:t xml:space="preserve"> варто зазначити, що</w:t>
      </w:r>
      <w:r w:rsidRPr="00913129">
        <w:rPr>
          <w:color w:val="000000" w:themeColor="text1"/>
          <w:sz w:val="28"/>
          <w:szCs w:val="28"/>
          <w:lang w:val="uk-UA"/>
        </w:rPr>
        <w:t xml:space="preserve"> </w:t>
      </w:r>
      <w:r w:rsidR="0054716E" w:rsidRPr="00913129">
        <w:rPr>
          <w:color w:val="000000" w:themeColor="text1"/>
          <w:sz w:val="28"/>
          <w:szCs w:val="28"/>
          <w:lang w:val="uk-UA"/>
        </w:rPr>
        <w:t>у</w:t>
      </w:r>
      <w:r w:rsidRPr="00913129">
        <w:rPr>
          <w:color w:val="000000" w:themeColor="text1"/>
          <w:sz w:val="28"/>
          <w:szCs w:val="28"/>
          <w:lang w:val="uk-UA"/>
        </w:rPr>
        <w:t xml:space="preserve"> кожній юрисдикції процес детермінується особливостями законодавства, рівнем інституційної інтеграції ESG-факторів, прозорістю фондового ринку та здатністю інвесторів відповідати на вимоги регуляторів. </w:t>
      </w:r>
    </w:p>
    <w:p w14:paraId="43A2B2EA" w14:textId="528F9164" w:rsidR="00C03144" w:rsidRPr="00913129" w:rsidRDefault="0054716E"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Крім того, далі представлено аналіз СВІ в розрізі секторів направлення (див. рис. 2.3).</w:t>
      </w:r>
    </w:p>
    <w:p w14:paraId="53B69273" w14:textId="77777777" w:rsidR="00C03144" w:rsidRPr="00913129" w:rsidRDefault="00C03144" w:rsidP="001D63D0">
      <w:pPr>
        <w:spacing w:line="360" w:lineRule="auto"/>
        <w:ind w:right="-2"/>
        <w:jc w:val="both"/>
        <w:rPr>
          <w:color w:val="8EAADB" w:themeColor="accent1" w:themeTint="99"/>
          <w:sz w:val="28"/>
          <w:szCs w:val="28"/>
          <w:lang w:val="uk-UA"/>
        </w:rPr>
      </w:pPr>
      <w:r w:rsidRPr="00913129">
        <w:rPr>
          <w:noProof/>
          <w:color w:val="000000" w:themeColor="text1"/>
          <w:lang w:val="ru-RU" w:eastAsia="ru-RU"/>
          <w14:ligatures w14:val="standardContextual"/>
        </w:rPr>
        <w:drawing>
          <wp:inline distT="0" distB="0" distL="0" distR="0" wp14:anchorId="5B15E1FB" wp14:editId="2111B650">
            <wp:extent cx="5903595" cy="2570206"/>
            <wp:effectExtent l="0" t="0" r="14605" b="8255"/>
            <wp:docPr id="111665899"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750186A-2A86-71D8-1202-26F2624541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E1D1EA5" w14:textId="0AFFD21D" w:rsidR="00C03144" w:rsidRPr="00913129" w:rsidRDefault="00C03144"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Рис. 2.3.  Фактичні обсяги активів під управління </w:t>
      </w:r>
      <w:r w:rsidR="0054716E" w:rsidRPr="00913129">
        <w:rPr>
          <w:color w:val="000000" w:themeColor="text1"/>
          <w:sz w:val="28"/>
          <w:szCs w:val="28"/>
          <w:lang w:val="uk-UA"/>
        </w:rPr>
        <w:t>у</w:t>
      </w:r>
      <w:r w:rsidRPr="00913129">
        <w:rPr>
          <w:color w:val="000000" w:themeColor="text1"/>
          <w:sz w:val="28"/>
          <w:szCs w:val="28"/>
          <w:lang w:val="uk-UA"/>
        </w:rPr>
        <w:t xml:space="preserve"> СВІ за однаковою панеллю 71 інвестора в розрізі секторів,  млн дол. США</w:t>
      </w:r>
    </w:p>
    <w:p w14:paraId="5E2D63C0" w14:textId="2DCF8A04" w:rsidR="00C03144" w:rsidRPr="00913129" w:rsidRDefault="00C03144"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Джерело: складено на основі даних </w:t>
      </w:r>
      <w:r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{"citationID":"DJnim6sc","properties":{"formattedCitation":"\\super [27]\\nosupersub{}","plainCitation":"[27]","noteIndex":0},"citationItems":[{"id":686,"uris":["http://zotero.org/users/10910668/items/NSRY3JVQ"],"itemData":{"id":686,"type":"document","title":"giin-stateofthemarket2024-report-2024.pdf","URL":"https://s3.amazonaws.com/giin-web-assets/giin/assets/publication/giin-stateofthemarket2024-report-2024.pdf","accessed":{"date-parts":[["2025",5,18]]}}}],"schema":"https://github.com/citation-style-language/schema/raw/master/csl-citation.json"} </w:instrText>
      </w:r>
      <w:r w:rsidRPr="00913129">
        <w:rPr>
          <w:color w:val="000000" w:themeColor="text1"/>
          <w:sz w:val="28"/>
          <w:szCs w:val="28"/>
          <w:lang w:val="uk-UA"/>
        </w:rPr>
        <w:fldChar w:fldCharType="separate"/>
      </w:r>
      <w:r w:rsidR="008B4A9E" w:rsidRPr="00913129">
        <w:rPr>
          <w:color w:val="000000"/>
          <w:sz w:val="28"/>
          <w:lang w:val="uk-UA"/>
        </w:rPr>
        <w:t>[27]</w:t>
      </w:r>
      <w:r w:rsidRPr="00913129">
        <w:rPr>
          <w:color w:val="000000" w:themeColor="text1"/>
          <w:sz w:val="28"/>
          <w:szCs w:val="28"/>
          <w:lang w:val="uk-UA"/>
        </w:rPr>
        <w:fldChar w:fldCharType="end"/>
      </w:r>
    </w:p>
    <w:p w14:paraId="0F90A3EE" w14:textId="4B10EA41" w:rsidR="0054716E" w:rsidRPr="00913129" w:rsidRDefault="00C03144"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У 2019-2024 роках обсяги активів під управлінням у ключових секторах демонстрували суттєве зростання</w:t>
      </w:r>
      <w:r w:rsidR="0054716E" w:rsidRPr="00913129">
        <w:rPr>
          <w:color w:val="000000" w:themeColor="text1"/>
          <w:sz w:val="28"/>
          <w:szCs w:val="28"/>
          <w:lang w:val="uk-UA"/>
        </w:rPr>
        <w:t xml:space="preserve">. </w:t>
      </w:r>
      <w:r w:rsidRPr="00913129">
        <w:rPr>
          <w:color w:val="000000" w:themeColor="text1"/>
          <w:sz w:val="28"/>
          <w:szCs w:val="28"/>
          <w:lang w:val="uk-UA"/>
        </w:rPr>
        <w:t xml:space="preserve">Найбільше зростання зафіксовано у секторі житла, що склало ріст у 4,5 раза із фактичним значенням росту від 6 374 млн дол. США до 28 711 млн дол. США, а також в секторі ІКТ – у 5 раз, від  2 052 млн дол. США до 10 641 млн дол. США. Активи у сфері енергетики та клімату </w:t>
      </w:r>
      <w:r w:rsidRPr="00913129">
        <w:rPr>
          <w:color w:val="000000" w:themeColor="text1"/>
          <w:sz w:val="28"/>
          <w:szCs w:val="28"/>
          <w:lang w:val="uk-UA"/>
        </w:rPr>
        <w:lastRenderedPageBreak/>
        <w:t>зросли в 2 рази, до позначки 31 200 млн дол. США, тоді як сектор фінансових послуг продемонстрував більш помірне зростання на 15%. США</w:t>
      </w:r>
      <w:r w:rsidR="008B4A9E" w:rsidRPr="00913129">
        <w:rPr>
          <w:color w:val="000000" w:themeColor="text1"/>
          <w:sz w:val="28"/>
          <w:szCs w:val="28"/>
          <w:lang w:val="uk-UA"/>
        </w:rPr>
        <w:t xml:space="preserve">  </w:t>
      </w:r>
      <w:r w:rsidR="008B4A9E" w:rsidRPr="00913129">
        <w:rPr>
          <w:color w:val="000000" w:themeColor="text1"/>
          <w:sz w:val="28"/>
          <w:szCs w:val="28"/>
          <w:lang w:val="uk-UA"/>
        </w:rPr>
        <w:fldChar w:fldCharType="begin"/>
      </w:r>
      <w:r w:rsidR="008B4A9E" w:rsidRPr="00913129">
        <w:rPr>
          <w:color w:val="000000" w:themeColor="text1"/>
          <w:sz w:val="28"/>
          <w:szCs w:val="28"/>
          <w:lang w:val="uk-UA"/>
        </w:rPr>
        <w:instrText xml:space="preserve"> ADDIN ZOTERO_ITEM CSL_CITATION {"citationID":"SiPAOIXV","properties":{"formattedCitation":"\\super [27]\\nosupersub{}","plainCitation":"[27]","noteIndex":0},"citationItems":[{"id":686,"uris":["http://zotero.org/users/10910668/items/NSRY3JVQ"],"itemData":{"id":686,"type":"document","title":"giin-stateofthemarket2024-report-2024.pdf","URL":"https://s3.amazonaws.com/giin-web-assets/giin/assets/publication/giin-stateofthemarket2024-report-2024.pdf","accessed":{"date-parts":[["2025",5,18]]}}}],"schema":"https://github.com/citation-style-language/schema/raw/master/csl-citation.json"} </w:instrText>
      </w:r>
      <w:r w:rsidR="008B4A9E" w:rsidRPr="00913129">
        <w:rPr>
          <w:color w:val="000000" w:themeColor="text1"/>
          <w:sz w:val="28"/>
          <w:szCs w:val="28"/>
          <w:lang w:val="uk-UA"/>
        </w:rPr>
        <w:fldChar w:fldCharType="separate"/>
      </w:r>
      <w:r w:rsidR="008B4A9E" w:rsidRPr="00913129">
        <w:rPr>
          <w:color w:val="000000"/>
          <w:sz w:val="28"/>
          <w:lang w:val="uk-UA"/>
        </w:rPr>
        <w:t>[27]</w:t>
      </w:r>
      <w:r w:rsidR="008B4A9E" w:rsidRPr="00913129">
        <w:rPr>
          <w:color w:val="000000" w:themeColor="text1"/>
          <w:sz w:val="28"/>
          <w:szCs w:val="28"/>
          <w:lang w:val="uk-UA"/>
        </w:rPr>
        <w:fldChar w:fldCharType="end"/>
      </w:r>
      <w:r w:rsidRPr="00913129">
        <w:rPr>
          <w:color w:val="000000" w:themeColor="text1"/>
          <w:sz w:val="28"/>
          <w:szCs w:val="28"/>
          <w:lang w:val="uk-UA"/>
        </w:rPr>
        <w:t xml:space="preserve">. </w:t>
      </w:r>
    </w:p>
    <w:p w14:paraId="2A68C0E5" w14:textId="793E1CFE" w:rsidR="00C03144" w:rsidRPr="00913129" w:rsidRDefault="008B4A9E" w:rsidP="00B5458A">
      <w:pPr>
        <w:pStyle w:val="a7"/>
        <w:spacing w:after="0" w:line="360" w:lineRule="auto"/>
        <w:ind w:left="0" w:right="-2"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Крім того</w:t>
      </w:r>
      <w:r w:rsidR="00C03144" w:rsidRPr="00913129">
        <w:rPr>
          <w:rFonts w:ascii="Times New Roman" w:hAnsi="Times New Roman" w:cs="Times New Roman"/>
          <w:color w:val="000000" w:themeColor="text1"/>
          <w:sz w:val="28"/>
          <w:szCs w:val="28"/>
          <w:lang w:val="uk-UA"/>
        </w:rPr>
        <w:t>, найбільш виражене зростання було помітно за сектором енергетики та клімату, де частка зросла з 16% у 2017 році до 21% у 2024-му. Це значною мірою пов</w:t>
      </w:r>
      <w:r w:rsidR="00340D11" w:rsidRPr="00913129">
        <w:rPr>
          <w:rFonts w:ascii="Times New Roman" w:hAnsi="Times New Roman" w:cs="Times New Roman"/>
          <w:color w:val="000000" w:themeColor="text1"/>
          <w:sz w:val="28"/>
          <w:szCs w:val="28"/>
          <w:lang w:val="uk-UA"/>
        </w:rPr>
        <w:t>’</w:t>
      </w:r>
      <w:r w:rsidR="00C03144" w:rsidRPr="00913129">
        <w:rPr>
          <w:rFonts w:ascii="Times New Roman" w:hAnsi="Times New Roman" w:cs="Times New Roman"/>
          <w:color w:val="000000" w:themeColor="text1"/>
          <w:sz w:val="28"/>
          <w:szCs w:val="28"/>
          <w:lang w:val="uk-UA"/>
        </w:rPr>
        <w:t>язано із запровадженням нових стандартів сталості, державними фіскальними стимулами та енергетичною кризою 2022 року. Натомість частка доступного житла за цей же період зменшилася з 22% до 14%. Причини полягають у коливаннях ринку житла й скороченні програм державної підтримки, які мали місце під впливом бюджетної економії</w:t>
      </w:r>
      <w:r w:rsidRPr="00913129">
        <w:rPr>
          <w:rFonts w:ascii="Times New Roman" w:hAnsi="Times New Roman" w:cs="Times New Roman"/>
          <w:color w:val="000000" w:themeColor="text1"/>
          <w:sz w:val="28"/>
          <w:szCs w:val="28"/>
          <w:lang w:val="uk-UA"/>
        </w:rPr>
        <w:t xml:space="preserve">  </w:t>
      </w:r>
      <w:r w:rsidRPr="00913129">
        <w:rPr>
          <w:rFonts w:ascii="Times New Roman" w:hAnsi="Times New Roman" w:cs="Times New Roman"/>
          <w:color w:val="000000" w:themeColor="text1"/>
          <w:sz w:val="28"/>
          <w:szCs w:val="28"/>
          <w:lang w:val="uk-UA"/>
        </w:rPr>
        <w:fldChar w:fldCharType="begin"/>
      </w:r>
      <w:r w:rsidRPr="00913129">
        <w:rPr>
          <w:rFonts w:ascii="Times New Roman" w:hAnsi="Times New Roman" w:cs="Times New Roman"/>
          <w:color w:val="000000" w:themeColor="text1"/>
          <w:sz w:val="28"/>
          <w:szCs w:val="28"/>
          <w:lang w:val="uk-UA"/>
        </w:rPr>
        <w:instrText xml:space="preserve"> ADDIN ZOTERO_ITEM CSL_CITATION {"citationID":"7voMYS4g","properties":{"formattedCitation":"\\super [27]\\nosupersub{}","plainCitation":"[27]","noteIndex":0},"citationItems":[{"id":686,"uris":["http://zotero.org/users/10910668/items/NSRY3JVQ"],"itemData":{"id":686,"type":"document","title":"giin-stateofthemarket2024-report-2024.pdf","URL":"https://s3.amazonaws.com/giin-web-assets/giin/assets/publication/giin-stateofthemarket2024-report-2024.pdf","accessed":{"date-parts":[["2025",5,18]]}}}],"schema":"https://github.com/citation-style-language/schema/raw/master/csl-citation.json"} </w:instrText>
      </w:r>
      <w:r w:rsidRPr="00913129">
        <w:rPr>
          <w:rFonts w:ascii="Times New Roman" w:hAnsi="Times New Roman" w:cs="Times New Roman"/>
          <w:color w:val="000000" w:themeColor="text1"/>
          <w:sz w:val="28"/>
          <w:szCs w:val="28"/>
          <w:lang w:val="uk-UA"/>
        </w:rPr>
        <w:fldChar w:fldCharType="separate"/>
      </w:r>
      <w:r w:rsidRPr="00913129">
        <w:rPr>
          <w:rFonts w:ascii="Times New Roman" w:hAnsi="Times New Roman" w:cs="Times New Roman"/>
          <w:color w:val="000000"/>
          <w:kern w:val="0"/>
          <w:sz w:val="28"/>
          <w:lang w:val="uk-UA"/>
        </w:rPr>
        <w:t>[27]</w:t>
      </w:r>
      <w:r w:rsidRPr="00913129">
        <w:rPr>
          <w:rFonts w:ascii="Times New Roman" w:hAnsi="Times New Roman" w:cs="Times New Roman"/>
          <w:color w:val="000000" w:themeColor="text1"/>
          <w:sz w:val="28"/>
          <w:szCs w:val="28"/>
          <w:lang w:val="uk-UA"/>
        </w:rPr>
        <w:fldChar w:fldCharType="end"/>
      </w:r>
      <w:r w:rsidR="00C03144" w:rsidRPr="00913129">
        <w:rPr>
          <w:rFonts w:ascii="Times New Roman" w:hAnsi="Times New Roman" w:cs="Times New Roman"/>
          <w:color w:val="000000" w:themeColor="text1"/>
          <w:sz w:val="28"/>
          <w:szCs w:val="28"/>
          <w:lang w:val="uk-UA"/>
        </w:rPr>
        <w:t>.</w:t>
      </w:r>
    </w:p>
    <w:p w14:paraId="0FBCDC7F" w14:textId="1F3F38D5" w:rsidR="00C03144" w:rsidRPr="00913129" w:rsidRDefault="00C03144" w:rsidP="00B5458A">
      <w:pPr>
        <w:pStyle w:val="a7"/>
        <w:spacing w:after="0" w:line="360" w:lineRule="auto"/>
        <w:ind w:left="0" w:right="-2"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Порівняно з цими секторами, фінансові послуги продемонстрували стійке зростання частки сектору</w:t>
      </w:r>
      <w:r w:rsidR="0054716E" w:rsidRPr="00913129">
        <w:rPr>
          <w:rFonts w:ascii="Times New Roman" w:hAnsi="Times New Roman" w:cs="Times New Roman"/>
          <w:color w:val="000000" w:themeColor="text1"/>
          <w:sz w:val="28"/>
          <w:szCs w:val="28"/>
          <w:lang w:val="uk-UA"/>
        </w:rPr>
        <w:t xml:space="preserve"> </w:t>
      </w:r>
      <w:r w:rsidRPr="00913129">
        <w:rPr>
          <w:rFonts w:ascii="Times New Roman" w:hAnsi="Times New Roman" w:cs="Times New Roman"/>
          <w:color w:val="000000" w:themeColor="text1"/>
          <w:sz w:val="28"/>
          <w:szCs w:val="28"/>
          <w:lang w:val="uk-UA"/>
        </w:rPr>
        <w:t xml:space="preserve">з 10% у 2017 році до 14% у 2024 році, чому сприяли розвиток фінтеху й інвестиції у зелені-стратегії. Агропродовольча </w:t>
      </w:r>
      <w:r w:rsidR="00F230F4" w:rsidRPr="00913129">
        <w:rPr>
          <w:rFonts w:ascii="Times New Roman" w:hAnsi="Times New Roman" w:cs="Times New Roman"/>
          <w:color w:val="000000" w:themeColor="text1"/>
          <w:sz w:val="28"/>
          <w:szCs w:val="28"/>
          <w:lang w:val="uk-UA"/>
        </w:rPr>
        <w:t>частка</w:t>
      </w:r>
      <w:r w:rsidRPr="00913129">
        <w:rPr>
          <w:rFonts w:ascii="Times New Roman" w:hAnsi="Times New Roman" w:cs="Times New Roman"/>
          <w:color w:val="000000" w:themeColor="text1"/>
          <w:sz w:val="28"/>
          <w:szCs w:val="28"/>
          <w:lang w:val="uk-UA"/>
        </w:rPr>
        <w:t>, навпаки</w:t>
      </w:r>
      <w:r w:rsidR="006068B5" w:rsidRPr="00913129">
        <w:rPr>
          <w:rFonts w:ascii="Times New Roman" w:hAnsi="Times New Roman" w:cs="Times New Roman"/>
          <w:color w:val="000000" w:themeColor="text1"/>
          <w:sz w:val="28"/>
          <w:szCs w:val="28"/>
          <w:lang w:val="uk-UA"/>
        </w:rPr>
        <w:t xml:space="preserve"> </w:t>
      </w:r>
      <w:r w:rsidRPr="00913129">
        <w:rPr>
          <w:rFonts w:ascii="Times New Roman" w:hAnsi="Times New Roman" w:cs="Times New Roman"/>
          <w:color w:val="000000" w:themeColor="text1"/>
          <w:sz w:val="28"/>
          <w:szCs w:val="28"/>
          <w:lang w:val="uk-UA"/>
        </w:rPr>
        <w:t xml:space="preserve">втратила у розмірі та </w:t>
      </w:r>
      <w:r w:rsidR="006068B5" w:rsidRPr="00913129">
        <w:rPr>
          <w:rFonts w:ascii="Times New Roman" w:hAnsi="Times New Roman" w:cs="Times New Roman"/>
          <w:color w:val="000000" w:themeColor="text1"/>
          <w:sz w:val="28"/>
          <w:szCs w:val="28"/>
          <w:lang w:val="uk-UA"/>
        </w:rPr>
        <w:t>зазнала</w:t>
      </w:r>
      <w:r w:rsidRPr="00913129">
        <w:rPr>
          <w:rFonts w:ascii="Times New Roman" w:hAnsi="Times New Roman" w:cs="Times New Roman"/>
          <w:color w:val="000000" w:themeColor="text1"/>
          <w:sz w:val="28"/>
          <w:szCs w:val="28"/>
          <w:lang w:val="uk-UA"/>
        </w:rPr>
        <w:t xml:space="preserve"> скорочення із 6% до 5%.</w:t>
      </w:r>
    </w:p>
    <w:p w14:paraId="5B63BCAA" w14:textId="7E42EB1B" w:rsidR="00C03144" w:rsidRPr="00913129" w:rsidRDefault="00C03144" w:rsidP="00B5458A">
      <w:pPr>
        <w:pStyle w:val="a7"/>
        <w:spacing w:after="0" w:line="360" w:lineRule="auto"/>
        <w:ind w:left="0" w:right="-2"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Важливо зазначити, що вага частки сектору охорони здоров</w:t>
      </w:r>
      <w:r w:rsidR="00340D11" w:rsidRPr="00913129">
        <w:rPr>
          <w:rFonts w:ascii="Times New Roman" w:hAnsi="Times New Roman" w:cs="Times New Roman"/>
          <w:color w:val="000000" w:themeColor="text1"/>
          <w:sz w:val="28"/>
          <w:szCs w:val="28"/>
          <w:lang w:val="uk-UA"/>
        </w:rPr>
        <w:t>’</w:t>
      </w:r>
      <w:r w:rsidRPr="00913129">
        <w:rPr>
          <w:rFonts w:ascii="Times New Roman" w:hAnsi="Times New Roman" w:cs="Times New Roman"/>
          <w:color w:val="000000" w:themeColor="text1"/>
          <w:sz w:val="28"/>
          <w:szCs w:val="28"/>
          <w:lang w:val="uk-UA"/>
        </w:rPr>
        <w:t>я, зазнала зростання на 6 відсоткові пункти, як наслідок впливу пандемії COVID-19 та зростанням інвестицій у медичні інновації. Не менш помітно виріс і ІКТ-сектор, де зростання склало 3 відсоткові пункти від показника в 1% у 2017 році до 4% у 2024-му. Це можливо пояснити активним розвитком цифрової інклюзії та бумом у сферах «fintech», «edtech» та «e-health»</w:t>
      </w:r>
      <w:r w:rsidR="008B4A9E" w:rsidRPr="00913129">
        <w:rPr>
          <w:rFonts w:ascii="Times New Roman" w:hAnsi="Times New Roman" w:cs="Times New Roman"/>
          <w:color w:val="000000" w:themeColor="text1"/>
          <w:sz w:val="28"/>
          <w:szCs w:val="28"/>
          <w:lang w:val="uk-UA"/>
        </w:rPr>
        <w:t xml:space="preserve"> </w:t>
      </w:r>
      <w:r w:rsidR="008B4A9E" w:rsidRPr="00913129">
        <w:rPr>
          <w:rFonts w:ascii="Times New Roman" w:hAnsi="Times New Roman" w:cs="Times New Roman"/>
          <w:color w:val="000000" w:themeColor="text1"/>
          <w:sz w:val="28"/>
          <w:szCs w:val="28"/>
          <w:lang w:val="uk-UA"/>
        </w:rPr>
        <w:fldChar w:fldCharType="begin"/>
      </w:r>
      <w:r w:rsidR="008B4A9E" w:rsidRPr="00913129">
        <w:rPr>
          <w:rFonts w:ascii="Times New Roman" w:hAnsi="Times New Roman" w:cs="Times New Roman"/>
          <w:color w:val="000000" w:themeColor="text1"/>
          <w:sz w:val="28"/>
          <w:szCs w:val="28"/>
          <w:lang w:val="uk-UA"/>
        </w:rPr>
        <w:instrText xml:space="preserve"> ADDIN ZOTERO_ITEM CSL_CITATION {"citationID":"GsOhnrIg","properties":{"formattedCitation":"\\super [27]\\nosupersub{}","plainCitation":"[27]","noteIndex":0},"citationItems":[{"id":686,"uris":["http://zotero.org/users/10910668/items/NSRY3JVQ"],"itemData":{"id":686,"type":"document","title":"giin-stateofthemarket2024-report-2024.pdf","URL":"https://s3.amazonaws.com/giin-web-assets/giin/assets/publication/giin-stateofthemarket2024-report-2024.pdf","accessed":{"date-parts":[["2025",5,18]]}}}],"schema":"https://github.com/citation-style-language/schema/raw/master/csl-citation.json"} </w:instrText>
      </w:r>
      <w:r w:rsidR="008B4A9E" w:rsidRPr="00913129">
        <w:rPr>
          <w:rFonts w:ascii="Times New Roman" w:hAnsi="Times New Roman" w:cs="Times New Roman"/>
          <w:color w:val="000000" w:themeColor="text1"/>
          <w:sz w:val="28"/>
          <w:szCs w:val="28"/>
          <w:lang w:val="uk-UA"/>
        </w:rPr>
        <w:fldChar w:fldCharType="separate"/>
      </w:r>
      <w:r w:rsidR="008B4A9E" w:rsidRPr="00913129">
        <w:rPr>
          <w:rFonts w:ascii="Times New Roman" w:hAnsi="Times New Roman" w:cs="Times New Roman"/>
          <w:color w:val="000000"/>
          <w:kern w:val="0"/>
          <w:sz w:val="28"/>
          <w:lang w:val="uk-UA"/>
        </w:rPr>
        <w:t>[27]</w:t>
      </w:r>
      <w:r w:rsidR="008B4A9E" w:rsidRPr="00913129">
        <w:rPr>
          <w:rFonts w:ascii="Times New Roman" w:hAnsi="Times New Roman" w:cs="Times New Roman"/>
          <w:color w:val="000000" w:themeColor="text1"/>
          <w:sz w:val="28"/>
          <w:szCs w:val="28"/>
          <w:lang w:val="uk-UA"/>
        </w:rPr>
        <w:fldChar w:fldCharType="end"/>
      </w:r>
      <w:r w:rsidRPr="00913129">
        <w:rPr>
          <w:rFonts w:ascii="Times New Roman" w:hAnsi="Times New Roman" w:cs="Times New Roman"/>
          <w:color w:val="000000" w:themeColor="text1"/>
          <w:sz w:val="28"/>
          <w:szCs w:val="28"/>
          <w:lang w:val="uk-UA"/>
        </w:rPr>
        <w:t>.</w:t>
      </w:r>
    </w:p>
    <w:p w14:paraId="684C9474" w14:textId="18FC95D4" w:rsidR="0099770E" w:rsidRPr="00913129" w:rsidRDefault="00C03144" w:rsidP="00B5458A">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Загалом, порівняльний аналіз динаміки секторів соціально відповідальних інвестицій дозволяє зазначити, що найбільшого приросту досягають ті галузі, які можуть швидко реагувати на зовнішні чинники</w:t>
      </w:r>
    </w:p>
    <w:p w14:paraId="1031078D" w14:textId="77777777" w:rsidR="00B5458A" w:rsidRPr="00913129" w:rsidRDefault="00B5458A" w:rsidP="001D63D0">
      <w:pPr>
        <w:pStyle w:val="ae"/>
        <w:spacing w:before="0" w:beforeAutospacing="0" w:after="0" w:afterAutospacing="0" w:line="360" w:lineRule="auto"/>
        <w:ind w:right="-2" w:firstLine="851"/>
        <w:jc w:val="center"/>
        <w:rPr>
          <w:b/>
          <w:bCs/>
          <w:color w:val="000000"/>
          <w:sz w:val="28"/>
          <w:szCs w:val="28"/>
          <w:lang w:val="uk-UA"/>
        </w:rPr>
      </w:pPr>
    </w:p>
    <w:p w14:paraId="1EFD5768" w14:textId="77777777" w:rsidR="00B5458A" w:rsidRPr="00913129" w:rsidRDefault="00B5458A" w:rsidP="00B5458A">
      <w:pPr>
        <w:pStyle w:val="ae"/>
        <w:spacing w:before="0" w:beforeAutospacing="0" w:after="0" w:afterAutospacing="0" w:line="360" w:lineRule="auto"/>
        <w:ind w:right="-2" w:firstLine="851"/>
        <w:jc w:val="center"/>
        <w:rPr>
          <w:b/>
          <w:bCs/>
          <w:color w:val="000000"/>
          <w:sz w:val="28"/>
          <w:szCs w:val="28"/>
          <w:lang w:val="uk-UA"/>
        </w:rPr>
      </w:pPr>
    </w:p>
    <w:p w14:paraId="0AE6EA48" w14:textId="221D6697" w:rsidR="008B4A9E" w:rsidRPr="00913129" w:rsidRDefault="005D04E9" w:rsidP="00B5458A">
      <w:pPr>
        <w:pStyle w:val="ae"/>
        <w:spacing w:before="0" w:beforeAutospacing="0" w:after="0" w:afterAutospacing="0" w:line="360" w:lineRule="auto"/>
        <w:ind w:right="-2" w:firstLine="851"/>
        <w:jc w:val="both"/>
        <w:rPr>
          <w:b/>
          <w:bCs/>
          <w:color w:val="000000" w:themeColor="text1"/>
          <w:sz w:val="28"/>
          <w:szCs w:val="28"/>
          <w:lang w:val="uk-UA"/>
        </w:rPr>
      </w:pPr>
      <w:r w:rsidRPr="00913129">
        <w:rPr>
          <w:b/>
          <w:bCs/>
          <w:color w:val="000000"/>
          <w:sz w:val="28"/>
          <w:szCs w:val="28"/>
          <w:lang w:val="uk-UA"/>
        </w:rPr>
        <w:t xml:space="preserve">2.2. </w:t>
      </w:r>
      <w:r w:rsidRPr="00913129">
        <w:rPr>
          <w:b/>
          <w:bCs/>
          <w:color w:val="000000" w:themeColor="text1"/>
          <w:sz w:val="28"/>
          <w:szCs w:val="28"/>
          <w:lang w:val="uk-UA"/>
        </w:rPr>
        <w:t>Трансформація інструментів у системі СВІ</w:t>
      </w:r>
    </w:p>
    <w:p w14:paraId="692A29EB" w14:textId="77777777" w:rsidR="00282F1A" w:rsidRPr="00913129" w:rsidRDefault="00282F1A" w:rsidP="00B5458A">
      <w:pPr>
        <w:pStyle w:val="ae"/>
        <w:spacing w:before="0" w:beforeAutospacing="0" w:after="0" w:afterAutospacing="0" w:line="360" w:lineRule="auto"/>
        <w:ind w:right="-2" w:firstLine="851"/>
        <w:jc w:val="both"/>
        <w:rPr>
          <w:b/>
          <w:bCs/>
          <w:color w:val="000000"/>
          <w:sz w:val="28"/>
          <w:szCs w:val="28"/>
          <w:lang w:val="uk-UA"/>
        </w:rPr>
      </w:pPr>
    </w:p>
    <w:p w14:paraId="51FBB462" w14:textId="77777777" w:rsidR="005D04E9" w:rsidRPr="00913129" w:rsidRDefault="005D04E9" w:rsidP="00B5458A">
      <w:pPr>
        <w:tabs>
          <w:tab w:val="left" w:pos="800"/>
        </w:tabs>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Далі розглядається імпакт-інвестування, яке доцільно трактувати як самостійний інструмент у рамках ширшої парадигми соціально відповідального інвестування. Відмінною рисою імпакт-інвестування є </w:t>
      </w:r>
      <w:r w:rsidRPr="00913129">
        <w:rPr>
          <w:color w:val="000000" w:themeColor="text1"/>
          <w:sz w:val="28"/>
          <w:szCs w:val="28"/>
          <w:lang w:val="uk-UA"/>
        </w:rPr>
        <w:lastRenderedPageBreak/>
        <w:t>цілеспрямоване вкладення капіталу в проєкти, що забезпечують не лише фінансову віддачу, а й вимірюваний соціальний або екологічний ефект.</w:t>
      </w:r>
    </w:p>
    <w:p w14:paraId="4043EB31" w14:textId="77777777" w:rsidR="005D04E9" w:rsidRPr="00913129" w:rsidRDefault="005D04E9" w:rsidP="00B5458A">
      <w:pPr>
        <w:tabs>
          <w:tab w:val="left" w:pos="800"/>
        </w:tabs>
        <w:spacing w:line="360" w:lineRule="auto"/>
        <w:ind w:right="-2" w:firstLine="851"/>
        <w:jc w:val="both"/>
        <w:rPr>
          <w:color w:val="000000" w:themeColor="text1"/>
          <w:sz w:val="28"/>
          <w:szCs w:val="28"/>
          <w:lang w:val="uk-UA"/>
        </w:rPr>
      </w:pPr>
      <w:r w:rsidRPr="00913129">
        <w:rPr>
          <w:color w:val="000000" w:themeColor="text1"/>
          <w:sz w:val="28"/>
          <w:szCs w:val="28"/>
          <w:lang w:val="uk-UA"/>
        </w:rPr>
        <w:t>У 2018-2023 роках глобальний ринок імпакт-інвестування характеризувався стрімким зростанням і суттєвими структурними змінами. Зокрема, у 2018 році обсяг активів під управлінням, спрямованих на стратегії імпакт-інвестування становив 502 млрд дол. США. У 2019 році показник зріс на 213 млрд дол. США, або на 42%, досягнувши 715 млрд дол. США. Таке зростання було зумовлене активним виходом на ринок великих інституційних інвесторів і запуском нових фондів, зокрема «Ford Foundation» і «TPG Rise Fund».</w:t>
      </w:r>
    </w:p>
    <w:p w14:paraId="08A29D9B" w14:textId="77777777" w:rsidR="005D04E9" w:rsidRPr="00913129" w:rsidRDefault="005D04E9" w:rsidP="00B5458A">
      <w:pPr>
        <w:tabs>
          <w:tab w:val="left" w:pos="800"/>
        </w:tabs>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У 2020 році ринок імпакт-інвестування не продемонстрував приросту, залишившись на рівні 715 млрд дол. США. Однак така стагнація пояснюється не відсутністю нових угод, а тимчасовою паузою у зборі та переоцінці даних. Попри це, навіть в умовах пандемії COVID-19, ринок залишався динамічним, так було зафіксовано укладання нових угод на суму понад 47 млрд дол. США протягом року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{"citationID":"39crBcbP","properties":{"formattedCitation":"\\super [27]\\nosupersub{}","plainCitation":"[27]","noteIndex":0},"citationItems":[{"id":686,"uris":["http://zotero.org/users/10910668/items/NSRY3JVQ"],"itemData":{"id":686,"type":"document","title":"giin-stateofthemarket2024-report-2024.pdf","URL":"https://s3.amazonaws.com/giin-web-assets/giin/assets/publication/giin-stateofthemarket2024-report-2024.pdf","accessed":{"date-parts":[["2025",5,18]]}}}],"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[27]</w:t>
      </w:r>
      <w:r w:rsidRPr="00913129">
        <w:rPr>
          <w:color w:val="000000" w:themeColor="text1"/>
          <w:sz w:val="28"/>
          <w:szCs w:val="28"/>
          <w:lang w:val="uk-UA"/>
        </w:rPr>
        <w:fldChar w:fldCharType="end"/>
      </w:r>
      <w:r w:rsidRPr="00913129">
        <w:rPr>
          <w:color w:val="000000" w:themeColor="text1"/>
          <w:sz w:val="28"/>
          <w:szCs w:val="28"/>
          <w:lang w:val="uk-UA"/>
        </w:rPr>
        <w:t>.</w:t>
      </w:r>
    </w:p>
    <w:p w14:paraId="47860F8A" w14:textId="77777777" w:rsidR="005D04E9" w:rsidRPr="00913129" w:rsidRDefault="005D04E9" w:rsidP="005D04E9">
      <w:pPr>
        <w:spacing w:line="360" w:lineRule="auto"/>
        <w:ind w:left="106" w:right="-2"/>
        <w:rPr>
          <w:color w:val="000000"/>
          <w:sz w:val="28"/>
          <w:szCs w:val="28"/>
          <w:lang w:val="uk-UA"/>
        </w:rPr>
      </w:pPr>
      <w:r w:rsidRPr="00913129">
        <w:rPr>
          <w:noProof/>
          <w:color w:val="000000" w:themeColor="text1"/>
          <w:sz w:val="28"/>
          <w:szCs w:val="28"/>
          <w:lang w:val="ru-RU" w:eastAsia="ru-RU"/>
          <w14:ligatures w14:val="standardContextual"/>
        </w:rPr>
        <w:drawing>
          <wp:inline distT="0" distB="0" distL="0" distR="0" wp14:anchorId="32895259" wp14:editId="3F8BCC4A">
            <wp:extent cx="5683250" cy="2096429"/>
            <wp:effectExtent l="0" t="0" r="6350" b="12065"/>
            <wp:docPr id="1627972856"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6AF19C6-D46A-943B-0ECC-A76529D16F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D0EFFD7" w14:textId="77777777" w:rsidR="005D04E9" w:rsidRPr="00913129" w:rsidRDefault="005D04E9" w:rsidP="00B5458A">
      <w:pPr>
        <w:spacing w:line="360" w:lineRule="auto"/>
        <w:ind w:right="-2" w:firstLine="851"/>
        <w:jc w:val="both"/>
        <w:rPr>
          <w:color w:val="000000"/>
          <w:sz w:val="28"/>
          <w:szCs w:val="28"/>
          <w:lang w:val="uk-UA"/>
        </w:rPr>
      </w:pPr>
      <w:r w:rsidRPr="00913129">
        <w:rPr>
          <w:color w:val="000000"/>
          <w:sz w:val="28"/>
          <w:szCs w:val="28"/>
          <w:lang w:val="uk-UA"/>
        </w:rPr>
        <w:t>Рис. 2.4. Динаміка глобального ринку impact-інвестування у період 2018-2023 рр., млрд дол. США</w:t>
      </w:r>
    </w:p>
    <w:p w14:paraId="63B2F950" w14:textId="7BF29845" w:rsidR="005D04E9" w:rsidRPr="00913129" w:rsidRDefault="005D04E9" w:rsidP="00777C49">
      <w:pPr>
        <w:spacing w:line="360" w:lineRule="auto"/>
        <w:ind w:right="-2" w:firstLine="851"/>
        <w:jc w:val="both"/>
        <w:rPr>
          <w:color w:val="000000"/>
          <w:sz w:val="28"/>
          <w:szCs w:val="28"/>
          <w:lang w:val="uk-UA"/>
        </w:rPr>
      </w:pPr>
      <w:r w:rsidRPr="00913129">
        <w:rPr>
          <w:color w:val="000000"/>
          <w:sz w:val="28"/>
          <w:szCs w:val="28"/>
          <w:lang w:val="uk-UA"/>
        </w:rPr>
        <w:t xml:space="preserve">Джерело: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{"citationID":"a2p8egj900f","properties":{"formattedCitation":"\\super [27]\\nosupersub{}","plainCitation":"[27]","noteIndex":0},"citationItems":[{"id":686,"uris":["http://zotero.org/users/10910668/items/NSRY3JVQ"],"itemData":{"id":686,"type":"document","title":"giin-stateofthemarket2024-report-2024.pdf","URL":"https://s3.amazonaws.com/giin-web-assets/giin/assets/publication/giin-stateofthemarket2024-report-2024.pdf","accessed":{"date-parts":[["2025",5,18]]}}}],"schema":"https://github.com/citation-style-language/schema/raw/master/csl-citation.json"} </w:instrText>
      </w:r>
      <w:r w:rsidRPr="00913129">
        <w:rPr>
          <w:color w:val="000000"/>
          <w:sz w:val="28"/>
          <w:szCs w:val="28"/>
          <w:lang w:val="uk-UA"/>
        </w:rPr>
        <w:fldChar w:fldCharType="separate"/>
      </w:r>
      <w:r w:rsidRPr="00913129">
        <w:rPr>
          <w:sz w:val="28"/>
          <w:szCs w:val="28"/>
          <w:lang w:val="uk-UA"/>
        </w:rPr>
        <w:t>[27]</w:t>
      </w:r>
      <w:r w:rsidRPr="00913129">
        <w:rPr>
          <w:color w:val="000000"/>
          <w:sz w:val="28"/>
          <w:szCs w:val="28"/>
          <w:lang w:val="uk-UA"/>
        </w:rPr>
        <w:fldChar w:fldCharType="end"/>
      </w:r>
    </w:p>
    <w:p w14:paraId="1EEB9B48" w14:textId="77777777" w:rsidR="005D04E9" w:rsidRPr="00913129" w:rsidRDefault="005D04E9"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У 2021 році глобальний обсяг імпакт-інвестицій продемонстрував зростання на 62,8%, досягнувши рівня 1 164 млрд дол. США. Основними чинниками такого динамічного підйому стали як методологічне розширення вибірки організацій (до приблизно 3 300), так і включення до ринкової оцінки </w:t>
      </w:r>
      <w:r w:rsidRPr="00913129">
        <w:rPr>
          <w:color w:val="000000" w:themeColor="text1"/>
          <w:sz w:val="28"/>
          <w:szCs w:val="28"/>
          <w:lang w:val="uk-UA"/>
        </w:rPr>
        <w:lastRenderedPageBreak/>
        <w:t>нових інструментів, передусім зелених, соціальних і перехідних облігацій. Одночасно спостерігався сплеск корпоративного імпакт-капіталу та рекордний обсяг випуску облігацій сталого розвитку, що посилило тенденцію інституціоналізації ринку. У 2023 році, за попередніми оцінками, ринок імпакт-інвестування збільшився ще на 407 млрд дол. США, або на 35%, досягнувши 1 571 млрд дол. США. Це пояснюється припливом капіталу з боку пенсійних фондів і страхових компаній, а також бурхливим розвитком публічних ринкових інструментів.</w:t>
      </w:r>
    </w:p>
    <w:p w14:paraId="4FB0DFBD" w14:textId="77777777" w:rsidR="005D04E9" w:rsidRPr="00913129" w:rsidRDefault="005D04E9"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У цілому, за аналізований період ринок імпакт-інвестування зріс більше ніж у 3 рази, від позначки 502 млрд дол. США у 2018 році до 1 571 млрд дол. США у 2023 році. Середньорічний темп приросту у 2019-2024 роках склав 22%.</w:t>
      </w:r>
    </w:p>
    <w:p w14:paraId="1DBA4C31" w14:textId="43245D01" w:rsidR="005D04E9" w:rsidRPr="00913129" w:rsidRDefault="005D04E9"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Далі представлено аналіз змін обсягів боргових інструментів (див. табл. 2.2).</w:t>
      </w:r>
      <w:r w:rsidR="00B5458A" w:rsidRPr="00913129">
        <w:rPr>
          <w:color w:val="000000" w:themeColor="text1"/>
          <w:sz w:val="28"/>
          <w:szCs w:val="28"/>
          <w:lang w:val="uk-UA"/>
        </w:rPr>
        <w:t xml:space="preserve"> </w:t>
      </w:r>
      <w:r w:rsidRPr="00913129">
        <w:rPr>
          <w:color w:val="000000" w:themeColor="text1"/>
          <w:sz w:val="28"/>
          <w:szCs w:val="28"/>
          <w:lang w:val="uk-UA"/>
        </w:rPr>
        <w:t xml:space="preserve">Зелені облігації є найбільшим і найстабільнішим сегментом ринку. У 2019-2023 роках обсяг сегмента зріс на 117% з 265 млрд дол. США у 2019 році до 575 млрд дол. США у 2023 році. Найбільший приріст спостерігався у 2021 році, коли обсяг випуску зріс на 85% порівняно з 2020 роком. Дане зростання пояснюється державною підтримкою, посиленням екологічного регулювання та масштабними інвестиціями в енергетику й інфраструктуру. Після зниження обсягів у 2022 році на 8%, вже у 2023 році ринок зелених облігацій повернувся до позитивної динаміки зі зростанням на 10%. Це свідчить про стійкий інтерес до даного інструменту, що зберігається навіть в умовах декарбонізації економік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{"citationID":"aumbtum1cs","properties":{"formattedCitation":"\\super [28\\uc0\\u8211{}32]\\nosupersub{}","plainCitation":"[28–32]","noteIndex":0},"citationItems":[{"id":660,"uris":["http://zotero.org/users/10910668/items/YUIV8THH"],"itemData":{"id":660,"type":"webpage","abstract":"Bonds used to finance activities that address climate change and environmental issues - green bonds - provide a means to increase green investment. Green bonds account for only 0.3% of all bonds issued by corporations and governments in the European Union in 2014. This rose to 9.2% in 2022, then fell to 6.8% in 2023. Trends reflect growing interest in offering financial products that support sustainability and demand among investors to finance environmentally sustainable projects. Issuances of green bonds are likely to increase given the ambitious environment and climate goals of the European Green Deal.","language":"en","title":"Green bonds in Europe","URL":"https://www.eea.europa.eu/en/analysis/indicators/green-bonds-8th-eap","accessed":{"date-parts":[["2025",5,18]]},"issued":{"date-parts":[["2024",11,4]]}}},{"id":658,"uris":["http://zotero.org/users/10910668/items/8XELND94"],"itemData":{"id":658,"type":"webpage","abstract":"The value of green bonds issued worldwide increased dramatically in the last few years.","container-title":"Statista","language":"en","title":"Green bonds issued worldwide 2014-2023","URL":"https://www-statista-com-icssr.glibrary.in/statistics/1289406/green-bonds-issued-worldwide/","accessed":{"date-parts":[["2025",5,18]]}}},{"id":656,"uris":["http://zotero.org/users/10910668/items/P6Q9XS4E"],"itemData":{"id":656,"type":"webpage","abstract":"7-minute read\n \nIn July 2021, the Global Sustainable Investment Alliance[1] (GSIA) published its fifth Global Sustainable Investment Review (GSIR) biennial report[2]. GSIA was founded back in 2010...","language":"en-GB","title":"Latest edition of the Global Sustainable Investment Review confirms strong growth of ESG assets all over the world | Our Center of Expertise","URL":"https://gsh.cib.natixis.com/our-center-of-expertise/articles/latest-edition-of-the-global-sustainable-investment-review-confirms-strong-growth-of-esg-assets-all-over-the-world","accessed":{"date-parts":[["2025",5,18]]}}},{"id":654,"uris":["http://zotero.org/users/10910668/items/M93J5AQT"],"itemData":{"id":654,"type":"webpage","abstract":"Dr Ioannis Ioannou on the challenges and opportunities presented by climate change and the economic, societal and political upheaval that affect all businesses","container-title":"Forbes","language":"en","note":"section: Leadership Strategies","title":"Achieving Sustainability: Trends And Opportunities For Family Offices","title-short":"Achieving Sustainability","URL":"https://www.forbes.com/sites/lbsbusinessstrategyreview/2024/02/28/emerging-opportunities-for-family-offices-in-sustainable-enterprises/","author":[{"family":"School","given":"London Business"}],"accessed":{"date-parts":[["2025",5,18]]}}},{"id":666,"uris":["http://zotero.org/users/10910668/items/XARRNSYI"],"itemData":{"id":666,"type":"document","title":"Global_ESG_Q4_2021_Flow_Report_FINAL.pdf","URL":"https://assets.contentstack.io/v3/assets/blt4eb669caa7dc65b2/blt608d2560e8c97e65/61f43439df9e4f26248691ea/Global_ESG_Q4_2021_Flow_Report_FINAL.pdf","accessed":{"date-parts":[["2025",5,18]]}},"label":"page"}],"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lang w:val="uk-UA"/>
        </w:rPr>
        <w:t>[28–32]</w:t>
      </w:r>
      <w:r w:rsidRPr="00913129">
        <w:rPr>
          <w:color w:val="000000" w:themeColor="text1"/>
          <w:sz w:val="28"/>
          <w:szCs w:val="28"/>
          <w:lang w:val="uk-UA"/>
        </w:rPr>
        <w:fldChar w:fldCharType="end"/>
      </w:r>
      <w:r w:rsidRPr="00913129">
        <w:rPr>
          <w:color w:val="000000" w:themeColor="text1"/>
          <w:sz w:val="28"/>
          <w:szCs w:val="28"/>
          <w:lang w:val="uk-UA"/>
        </w:rPr>
        <w:t>.</w:t>
      </w:r>
    </w:p>
    <w:p w14:paraId="2FD26975" w14:textId="77777777" w:rsidR="00B149BB" w:rsidRPr="00913129" w:rsidRDefault="00B149BB" w:rsidP="00B149BB">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Соціальні облігації відзначились рекордним зростанням у 2020 році. За рік обсяг випуску соціальних облігацій збільшився у 8,9 раза, з 19 млрд дол. США до 170 млрд дол. США. Основною причиною цього став вплив пандемії COVID-19, яка обумовила потребу у фінансуванні систем охорони здоров’я, розвитку соціальної інфраструктури, підтримці малого бізнесу та захисті найбільш уразливих верств населення. Після завершення гострої фази пандемії темпи емісії сповільнилися, проте у 2023 році обсяг випуску соціальних </w:t>
      </w:r>
      <w:r w:rsidRPr="00913129">
        <w:rPr>
          <w:color w:val="000000" w:themeColor="text1"/>
          <w:sz w:val="28"/>
          <w:szCs w:val="28"/>
          <w:lang w:val="uk-UA"/>
        </w:rPr>
        <w:lastRenderedPageBreak/>
        <w:t xml:space="preserve">облігацій знову зріс і сягнув 181 млрд дол. США. Це свідчить про стабілізацію ролі цього інструменту в системі глобального фінансування соціального розвитку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{"citationID":"pPVEOFQI","properties":{"formattedCitation":"\\super [28\\uc0\\u8211{}32]\\nosupersub{}","plainCitation":"[28–32]","noteIndex":0},"citationItems":[{"id":660,"uris":["http://zotero.org/users/10910668/items/YUIV8THH"],"itemData":{"id":660,"type":"webpage","abstract":"Bonds used to finance activities that address climate change and environmental issues - green bonds - provide a means to increase green investment. Green bonds account for only 0.3% of all bonds issued by corporations and governments in the European Union in 2014. This rose to 9.2% in 2022, then fell to 6.8% in 2023. Trends reflect growing interest in offering financial products that support sustainability and demand among investors to finance environmentally sustainable projects. Issuances of green bonds are likely to increase given the ambitious environment and climate goals of the European Green Deal.","language":"en","title":"Green bonds in Europe","URL":"https://www.eea.europa.eu/en/analysis/indicators/green-bonds-8th-eap","accessed":{"date-parts":[["2025",5,18]]},"issued":{"date-parts":[["2024",11,4]]}}},{"id":658,"uris":["http://zotero.org/users/10910668/items/8XELND94"],"itemData":{"id":658,"type":"webpage","abstract":"The value of green bonds issued worldwide increased dramatically in the last few years.","container-title":"Statista","language":"en","title":"Green bonds issued worldwide 2014-2023","URL":"https://www-statista-com-icssr.glibrary.in/statistics/1289406/green-bonds-issued-worldwide/","accessed":{"date-parts":[["2025",5,18]]}}},{"id":656,"uris":["http://zotero.org/users/10910668/items/P6Q9XS4E"],"itemData":{"id":656,"type":"webpage","abstract":"7-minute read\n \nIn July 2021, the Global Sustainable Investment Alliance[1] (GSIA) published its fifth Global Sustainable Investment Review (GSIR) biennial report[2]. GSIA was founded back in 2010...","language":"en-GB","title":"Latest edition of the Global Sustainable Investment Review confirms strong growth of ESG assets all over the world | Our Center of Expertise","URL":"https://gsh.cib.natixis.com/our-center-of-expertise/articles/latest-edition-of-the-global-sustainable-investment-review-confirms-strong-growth-of-esg-assets-all-over-the-world","accessed":{"date-parts":[["2025",5,18]]}}},{"id":654,"uris":["http://zotero.org/users/10910668/items/M93J5AQT"],"itemData":{"id":654,"type":"webpage","abstract":"Dr Ioannis Ioannou on the challenges and opportunities presented by climate change and the economic, societal and political upheaval that affect all businesses","container-title":"Forbes","language":"en","note":"section: Leadership Strategies","title":"Achieving Sustainability: Trends And Opportunities For Family Offices","title-short":"Achieving Sustainability","URL":"https://www.forbes.com/sites/lbsbusinessstrategyreview/2024/02/28/emerging-opportunities-for-family-offices-in-sustainable-enterprises/","author":[{"family":"School","given":"London Business"}],"accessed":{"date-parts":[["2025",5,18]]}}},{"id":666,"uris":["http://zotero.org/users/10910668/items/XARRNSYI"],"itemData":{"id":666,"type":"document","title":"Global_ESG_Q4_2021_Flow_Report_FINAL.pdf","URL":"https://assets.contentstack.io/v3/assets/blt4eb669caa7dc65b2/blt608d2560e8c97e65/61f43439df9e4f26248691ea/Global_ESG_Q4_2021_Flow_Report_FINAL.pdf","accessed":{"date-parts":[["2025",5,18]]}},"label":"page"}],"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lang w:val="uk-UA"/>
        </w:rPr>
        <w:t>[28–32]</w:t>
      </w:r>
      <w:r w:rsidRPr="00913129">
        <w:rPr>
          <w:color w:val="000000" w:themeColor="text1"/>
          <w:sz w:val="28"/>
          <w:szCs w:val="28"/>
          <w:lang w:val="uk-UA"/>
        </w:rPr>
        <w:fldChar w:fldCharType="end"/>
      </w:r>
      <w:r w:rsidRPr="00913129">
        <w:rPr>
          <w:color w:val="000000" w:themeColor="text1"/>
          <w:sz w:val="28"/>
          <w:szCs w:val="28"/>
          <w:lang w:val="uk-UA"/>
        </w:rPr>
        <w:t>.</w:t>
      </w:r>
    </w:p>
    <w:p w14:paraId="543F63FC" w14:textId="377535C4" w:rsidR="005D04E9" w:rsidRPr="00913129" w:rsidRDefault="005D04E9" w:rsidP="005D04E9">
      <w:pPr>
        <w:spacing w:line="360" w:lineRule="auto"/>
        <w:ind w:right="-2"/>
        <w:jc w:val="both"/>
        <w:rPr>
          <w:color w:val="000000" w:themeColor="text1"/>
          <w:sz w:val="28"/>
          <w:szCs w:val="28"/>
          <w:lang w:val="uk-UA"/>
        </w:rPr>
      </w:pPr>
      <w:r w:rsidRPr="00913129">
        <w:rPr>
          <w:noProof/>
          <w:color w:val="000000" w:themeColor="text1"/>
          <w:sz w:val="28"/>
          <w:szCs w:val="28"/>
          <w:lang w:val="ru-RU" w:eastAsia="ru-RU"/>
          <w14:ligatures w14:val="standardContextual"/>
        </w:rPr>
        <w:drawing>
          <wp:inline distT="0" distB="0" distL="0" distR="0" wp14:anchorId="29C146D1" wp14:editId="50CB3081">
            <wp:extent cx="5737860" cy="2759825"/>
            <wp:effectExtent l="0" t="0" r="15240" b="8890"/>
            <wp:docPr id="8533136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3AB2BA7" w14:textId="5604CFCA" w:rsidR="005D04E9" w:rsidRPr="00913129" w:rsidRDefault="005D04E9" w:rsidP="005D04E9">
      <w:pPr>
        <w:spacing w:line="360" w:lineRule="auto"/>
        <w:ind w:right="-2"/>
        <w:jc w:val="both"/>
        <w:rPr>
          <w:color w:val="000000" w:themeColor="text1"/>
          <w:lang w:val="uk-UA"/>
        </w:rPr>
      </w:pPr>
      <w:r w:rsidRPr="00913129">
        <w:rPr>
          <w:rStyle w:val="ac"/>
          <w:rFonts w:eastAsiaTheme="majorEastAsia"/>
          <w:b w:val="0"/>
          <w:bCs w:val="0"/>
          <w:i/>
          <w:iCs/>
          <w:color w:val="000000" w:themeColor="text1"/>
          <w:lang w:val="uk-UA"/>
        </w:rPr>
        <w:t>*Примітка:</w:t>
      </w:r>
      <w:r w:rsidRPr="00913129">
        <w:rPr>
          <w:rStyle w:val="ac"/>
          <w:rFonts w:eastAsiaTheme="majorEastAsia"/>
          <w:b w:val="0"/>
          <w:bCs w:val="0"/>
          <w:color w:val="000000" w:themeColor="text1"/>
          <w:lang w:val="uk-UA"/>
        </w:rPr>
        <w:t xml:space="preserve"> GB – з</w:t>
      </w:r>
      <w:r w:rsidRPr="00913129">
        <w:rPr>
          <w:color w:val="000000" w:themeColor="text1"/>
          <w:lang w:val="uk-UA"/>
        </w:rPr>
        <w:t>елені облігації,</w:t>
      </w:r>
      <w:r w:rsidRPr="00913129">
        <w:rPr>
          <w:rStyle w:val="apple-converted-space"/>
          <w:rFonts w:eastAsiaTheme="majorEastAsia"/>
          <w:color w:val="000000" w:themeColor="text1"/>
          <w:lang w:val="uk-UA"/>
        </w:rPr>
        <w:t> </w:t>
      </w:r>
      <w:r w:rsidRPr="00913129">
        <w:rPr>
          <w:rStyle w:val="ac"/>
          <w:rFonts w:eastAsiaTheme="majorEastAsia"/>
          <w:b w:val="0"/>
          <w:bCs w:val="0"/>
          <w:color w:val="000000" w:themeColor="text1"/>
          <w:lang w:val="uk-UA"/>
        </w:rPr>
        <w:t xml:space="preserve">SB – </w:t>
      </w:r>
      <w:r w:rsidRPr="00913129">
        <w:rPr>
          <w:rStyle w:val="ac"/>
          <w:b w:val="0"/>
          <w:bCs w:val="0"/>
          <w:color w:val="000000" w:themeColor="text1"/>
          <w:lang w:val="uk-UA"/>
        </w:rPr>
        <w:t>с</w:t>
      </w:r>
      <w:r w:rsidRPr="00913129">
        <w:rPr>
          <w:color w:val="000000" w:themeColor="text1"/>
          <w:lang w:val="uk-UA"/>
        </w:rPr>
        <w:t>оціальні облігації,</w:t>
      </w:r>
      <w:r w:rsidRPr="00913129">
        <w:rPr>
          <w:rStyle w:val="apple-converted-space"/>
          <w:rFonts w:eastAsiaTheme="majorEastAsia"/>
          <w:color w:val="000000" w:themeColor="text1"/>
          <w:lang w:val="uk-UA"/>
        </w:rPr>
        <w:t> </w:t>
      </w:r>
      <w:r w:rsidRPr="00913129">
        <w:rPr>
          <w:rStyle w:val="ac"/>
          <w:rFonts w:eastAsiaTheme="majorEastAsia"/>
          <w:b w:val="0"/>
          <w:bCs w:val="0"/>
          <w:color w:val="000000" w:themeColor="text1"/>
          <w:lang w:val="uk-UA"/>
        </w:rPr>
        <w:t>SuB – о</w:t>
      </w:r>
      <w:r w:rsidRPr="00913129">
        <w:rPr>
          <w:color w:val="000000" w:themeColor="text1"/>
          <w:lang w:val="uk-UA"/>
        </w:rPr>
        <w:t>блігації сталого розвитку,</w:t>
      </w:r>
      <w:r w:rsidRPr="00913129">
        <w:rPr>
          <w:rStyle w:val="apple-converted-space"/>
          <w:rFonts w:eastAsiaTheme="majorEastAsia"/>
          <w:color w:val="000000" w:themeColor="text1"/>
          <w:lang w:val="uk-UA"/>
        </w:rPr>
        <w:t xml:space="preserve">  SLB </w:t>
      </w:r>
      <w:r w:rsidRPr="00913129">
        <w:rPr>
          <w:rStyle w:val="ac"/>
          <w:rFonts w:eastAsiaTheme="majorEastAsia"/>
          <w:b w:val="0"/>
          <w:bCs w:val="0"/>
          <w:color w:val="000000" w:themeColor="text1"/>
          <w:lang w:val="uk-UA"/>
        </w:rPr>
        <w:t>– о</w:t>
      </w:r>
      <w:r w:rsidRPr="00913129">
        <w:rPr>
          <w:color w:val="000000" w:themeColor="text1"/>
          <w:lang w:val="uk-UA"/>
        </w:rPr>
        <w:t>блігації, пов</w:t>
      </w:r>
      <w:r w:rsidR="00340D11" w:rsidRPr="00913129">
        <w:rPr>
          <w:color w:val="000000" w:themeColor="text1"/>
          <w:lang w:val="uk-UA"/>
        </w:rPr>
        <w:t>’</w:t>
      </w:r>
      <w:r w:rsidRPr="00913129">
        <w:rPr>
          <w:color w:val="000000" w:themeColor="text1"/>
          <w:lang w:val="uk-UA"/>
        </w:rPr>
        <w:t>язані зі сталим розвитком,</w:t>
      </w:r>
      <w:r w:rsidRPr="00913129">
        <w:rPr>
          <w:rStyle w:val="apple-converted-space"/>
          <w:rFonts w:eastAsiaTheme="majorEastAsia"/>
          <w:color w:val="000000" w:themeColor="text1"/>
          <w:lang w:val="uk-UA"/>
        </w:rPr>
        <w:t> </w:t>
      </w:r>
      <w:r w:rsidRPr="00913129">
        <w:rPr>
          <w:rStyle w:val="ac"/>
          <w:rFonts w:eastAsiaTheme="majorEastAsia"/>
          <w:b w:val="0"/>
          <w:bCs w:val="0"/>
          <w:color w:val="000000" w:themeColor="text1"/>
          <w:lang w:val="uk-UA"/>
        </w:rPr>
        <w:t>TB</w:t>
      </w:r>
      <w:r w:rsidRPr="00913129">
        <w:rPr>
          <w:rStyle w:val="ac"/>
          <w:b w:val="0"/>
          <w:bCs w:val="0"/>
          <w:color w:val="000000" w:themeColor="text1"/>
          <w:lang w:val="uk-UA"/>
        </w:rPr>
        <w:t xml:space="preserve"> </w:t>
      </w:r>
      <w:r w:rsidRPr="00913129">
        <w:rPr>
          <w:rStyle w:val="ac"/>
          <w:rFonts w:eastAsiaTheme="majorEastAsia"/>
          <w:b w:val="0"/>
          <w:bCs w:val="0"/>
          <w:color w:val="000000" w:themeColor="text1"/>
          <w:lang w:val="uk-UA"/>
        </w:rPr>
        <w:t xml:space="preserve">– </w:t>
      </w:r>
      <w:r w:rsidRPr="00913129">
        <w:rPr>
          <w:rStyle w:val="ac"/>
          <w:b w:val="0"/>
          <w:bCs w:val="0"/>
          <w:color w:val="000000" w:themeColor="text1"/>
          <w:lang w:val="uk-UA"/>
        </w:rPr>
        <w:t>п</w:t>
      </w:r>
      <w:r w:rsidRPr="00913129">
        <w:rPr>
          <w:color w:val="000000" w:themeColor="text1"/>
          <w:lang w:val="uk-UA"/>
        </w:rPr>
        <w:t>ерехідні облігації.</w:t>
      </w:r>
    </w:p>
    <w:p w14:paraId="08B695EA" w14:textId="77777777" w:rsidR="005D04E9" w:rsidRPr="00913129" w:rsidRDefault="005D04E9"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Рис. 2.5. Динаміка ринку сталого боргу за видами облігацій у 2019-2023 рр., млрд дол. США</w:t>
      </w:r>
    </w:p>
    <w:p w14:paraId="5FA1E93A" w14:textId="413999AC" w:rsidR="005D04E9" w:rsidRPr="00913129" w:rsidRDefault="005D04E9"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 xml:space="preserve">Джерело: складено на основі даних </w:t>
      </w:r>
      <w:r w:rsidRPr="00913129">
        <w:rPr>
          <w:color w:val="000000" w:themeColor="text1"/>
          <w:sz w:val="28"/>
          <w:szCs w:val="28"/>
          <w:lang w:val="uk-UA"/>
        </w:rPr>
        <w:fldChar w:fldCharType="begin"/>
      </w:r>
      <w:r w:rsidR="00DF2F30" w:rsidRPr="00913129">
        <w:rPr>
          <w:color w:val="000000" w:themeColor="text1"/>
          <w:sz w:val="28"/>
          <w:szCs w:val="28"/>
          <w:lang w:val="uk-UA"/>
        </w:rPr>
        <w:instrText xml:space="preserve"> ADDIN ZOTERO_ITEM CSL_CITATION {"citationID":"PxQM7w7o","properties":{"formattedCitation":"\\super [28\\uc0\\u8211{}32]\\nosupersub{}","plainCitation":"[28–32]","noteIndex":0},"citationItems":[{"id":660,"uris":["http://zotero.org/users/10910668/items/YUIV8THH"],"itemData":{"id":660,"type":"webpage","abstract":"Bonds used to finance activities that address climate change and environmental issues - green bonds - provide a means to increase green investment. Green bonds account for only 0.3% of all bonds issued by corporations and governments in the European Union in 2014. This rose to 9.2% in 2022, then fell to 6.8% in 2023. Trends reflect growing interest in offering financial products that support sustainability and demand among investors to finance environmentally sustainable projects. Issuances of green bonds are likely to increase given the ambitious environment and climate goals of the European Green Deal.","language":"en","title":"Green bonds in Europe","URL":"https://www.eea.europa.eu/en/analysis/indicators/green-bonds-8th-eap","accessed":{"date-parts":[["2025",5,18]]},"issued":{"date-parts":[["2024",11,4]]}}},{"id":658,"uris":["http://zotero.org/users/10910668/items/8XELND94"],"itemData":{"id":658,"type":"webpage","abstract":"The value of green bonds issued worldwide increased dramatically in the last few years.","container-title":"Statista","language":"en","title":"Green bonds issued worldwide 2014-2023","URL":"https://www-statista-com-icssr.glibrary.in/statistics/1289406/green-bonds-issued-worldwide/","accessed":{"date-parts":[["2025",5,18]]}}},{"id":656,"uris":["http://zotero.org/users/10910668/items/P6Q9XS4E"],"itemData":{"id":656,"type":"webpage","abstract":"7-minute read\n \nIn July 2021, the Global Sustainable Investment Alliance[1] (GSIA) published its fifth Global Sustainable Investment Review (GSIR) biennial report[2]. GSIA was founded back in 2010...","language":"en-GB","title":"Latest edition of the Global Sustainable Investment Review confirms strong growth of ESG assets all over the world | Our Center of Expertise","URL":"https://gsh.cib.natixis.com/our-center-of-expertise/articles/latest-edition-of-the-global-sustainable-investment-review-confirms-strong-growth-of-esg-assets-all-over-the-world","accessed":{"date-parts":[["2025",5,18]]}}},{"id":654,"uris":["http://zotero.org/users/10910668/items/M93J5AQT"],"itemData":{"id":654,"type":"webpage","abstract":"Dr Ioannis Ioannou on the challenges and opportunities presented by climate change and the economic, societal and political upheaval that affect all businesses","container-title":"Forbes","language":"en","note":"section: Leadership Strategies","title":"Achieving Sustainability: Trends And Opportunities For Family Offices","title-short":"Achieving Sustainability","URL":"https://www.forbes.com/sites/lbsbusinessstrategyreview/2024/02/28/emerging-opportunities-for-family-offices-in-sustainable-enterprises/","author":[{"family":"School","given":"London Business"}],"accessed":{"date-parts":[["2025",5,18]]}}},{"id":666,"uris":["http://zotero.org/users/10910668/items/XARRNSYI"],"itemData":{"id":666,"type":"document","title":"Global_ESG_Q4_2021_Flow_Report_FINAL.pdf","URL":"https://assets.contentstack.io/v3/assets/blt4eb669caa7dc65b2/blt608d2560e8c97e65/61f43439df9e4f26248691ea/Global_ESG_Q4_2021_Flow_Report_FINAL.pdf","accessed":{"date-parts":[["2025",5,18]]}},"label":"page"}],"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lang w:val="uk-UA"/>
        </w:rPr>
        <w:t>[28–32]</w:t>
      </w:r>
      <w:r w:rsidRPr="00913129">
        <w:rPr>
          <w:color w:val="000000" w:themeColor="text1"/>
          <w:sz w:val="28"/>
          <w:szCs w:val="28"/>
          <w:lang w:val="uk-UA"/>
        </w:rPr>
        <w:fldChar w:fldCharType="end"/>
      </w:r>
    </w:p>
    <w:p w14:paraId="0042EE6D" w14:textId="2F831BB4" w:rsidR="005D04E9" w:rsidRPr="00913129" w:rsidRDefault="005D04E9"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Сталий борговий інструмент характеризувався волатильністю. У 2019 році обсяг емітованих облігацій становив 53 млрд дол. США, а у 2021 році він досягнув 200 млрд дол. США. Це свідчить про зростання на 277%. Основний приріст припав на 2020 і 2021 роки, при активному використанні для фінансування проєктів з екологічним та соціальним впливом одночасно. У 2022 році ринок скоротився на 25% порівняно з попереднім періодом, що було пов</w:t>
      </w:r>
      <w:r w:rsidR="00340D11" w:rsidRPr="00913129">
        <w:rPr>
          <w:color w:val="000000" w:themeColor="text1"/>
          <w:sz w:val="28"/>
          <w:szCs w:val="28"/>
          <w:lang w:val="uk-UA"/>
        </w:rPr>
        <w:t>’</w:t>
      </w:r>
      <w:r w:rsidRPr="00913129">
        <w:rPr>
          <w:color w:val="000000" w:themeColor="text1"/>
          <w:sz w:val="28"/>
          <w:szCs w:val="28"/>
          <w:lang w:val="uk-UA"/>
        </w:rPr>
        <w:t xml:space="preserve">язано з частковим відновленням традиційних ринків капіталу та зростанням конкуренції з боку інших ESG-інструментів. Однак у 2023 році сегмент знову продемонстрував зростання на 5%, досягнувши 159 млрд дол. США. Це свідчить про стабілізацію попиту та адаптацію ринку до нових реалій регулювання </w:t>
      </w:r>
      <w:r w:rsidRPr="00913129">
        <w:rPr>
          <w:color w:val="000000" w:themeColor="text1"/>
          <w:sz w:val="28"/>
          <w:szCs w:val="28"/>
          <w:lang w:val="uk-UA"/>
        </w:rPr>
        <w:fldChar w:fldCharType="begin"/>
      </w:r>
      <w:r w:rsidR="00DF2F30" w:rsidRPr="00913129">
        <w:rPr>
          <w:color w:val="000000" w:themeColor="text1"/>
          <w:sz w:val="28"/>
          <w:szCs w:val="28"/>
          <w:lang w:val="uk-UA"/>
        </w:rPr>
        <w:instrText xml:space="preserve"> ADDIN ZOTERO_ITEM CSL_CITATION {"citationID":"y9Jc1UsP","properties":{"formattedCitation":"\\super [28\\uc0\\u8211{}32]\\nosupersub{}","plainCitation":"[28–32]","noteIndex":0},"citationItems":[{"id":660,"uris":["http://zotero.org/users/10910668/items/YUIV8THH"],"itemData":{"id":660,"type":"webpage","abstract":"Bonds used to finance activities that address climate change and environmental issues - green bonds - provide a means to increase green investment. Green bonds account for only 0.3% of all bonds issued by corporations and governments in the European Union in 2014. This rose to 9.2% in 2022, then fell to 6.8% in 2023. Trends reflect growing interest in offering financial products that support sustainability and demand among investors to finance environmentally sustainable projects. Issuances of green bonds are likely to increase given the ambitious environment and climate goals of the European Green Deal.","language":"en","title":"Green bonds in Europe","URL":"https://www.eea.europa.eu/en/analysis/indicators/green-bonds-8th-eap","accessed":{"date-parts":[["2025",5,18]]},"issued":{"date-parts":[["2024",11,4]]}}},{"id":658,"uris":["http://zotero.org/users/10910668/items/8XELND94"],"itemData":{"id":658,"type":"webpage","abstract":"The value of green bonds issued worldwide increased dramatically in the last few years.","container-title":"Statista","language":"en","title":"Green bonds issued worldwide 2014-2023","URL":"https://www-statista-com-icssr.glibrary.in/statistics/1289406/green-bonds-issued-worldwide/","accessed":{"date-parts":[["2025",5,18]]}}},{"id":656,"uris":["http://zotero.org/users/10910668/items/P6Q9XS4E"],"itemData":{"id":656,"type":"webpage","abstract":"7-minute read\n \nIn July 2021, the Global Sustainable Investment Alliance[1] (GSIA) published its fifth Global Sustainable Investment Review (GSIR) biennial report[2]. GSIA was founded back in 2010...","language":"en-GB","title":"Latest edition of the Global Sustainable Investment Review confirms strong growth of ESG assets all over the world | Our Center of Expertise","URL":"https://gsh.cib.natixis.com/our-center-of-expertise/articles/latest-edition-of-the-global-sustainable-investment-review-confirms-strong-growth-of-esg-assets-all-over-the-world","accessed":{"date-parts":[["2025",5,18]]}}},{"id":654,"uris":["http://zotero.org/users/10910668/items/M93J5AQT"],"itemData":{"id":654,"type":"webpage","abstract":"Dr Ioannis Ioannou on the challenges and opportunities presented by climate change and the economic, societal and political upheaval that affect all businesses","container-title":"Forbes","language":"en","note":"section: Leadership Strategies","title":"Achieving Sustainability: Trends And Opportunities For Family Offices","title-short":"Achieving Sustainability","URL":"https://www.forbes.com/sites/lbsbusinessstrategyreview/2024/02/28/emerging-opportunities-for-family-offices-in-sustainable-enterprises/","author":[{"family":"School","given":"London Business"}],"accessed":{"date-parts":[["2025",5,18]]}}},{"id":666,"uris":["http://zotero.org/users/10910668/items/XARRNSYI"],"itemData":{"id":666,"type":"document","title":"Global_ESG_Q4_2021_Flow_Report_FINAL.pdf","URL":"https://assets.contentstack.io/v3/assets/blt4eb669caa7dc65b2/blt608d2560e8c97e65/61f43439df9e4f26248691ea/Global_ESG_Q4_2021_Flow_Report_FINAL.pdf","accessed":{"date-parts":[["2025",5,18]]}},"label":"page"}],"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lang w:val="uk-UA"/>
        </w:rPr>
        <w:t>[28–32]</w:t>
      </w:r>
      <w:r w:rsidRPr="00913129">
        <w:rPr>
          <w:color w:val="000000" w:themeColor="text1"/>
          <w:sz w:val="28"/>
          <w:szCs w:val="28"/>
          <w:lang w:val="uk-UA"/>
        </w:rPr>
        <w:fldChar w:fldCharType="end"/>
      </w:r>
      <w:r w:rsidRPr="00913129">
        <w:rPr>
          <w:color w:val="000000" w:themeColor="text1"/>
          <w:sz w:val="28"/>
          <w:szCs w:val="28"/>
          <w:lang w:val="uk-UA"/>
        </w:rPr>
        <w:t>.</w:t>
      </w:r>
    </w:p>
    <w:p w14:paraId="22C18273" w14:textId="484BC225" w:rsidR="005D04E9" w:rsidRPr="00913129" w:rsidRDefault="005D04E9"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Облігації, пов</w:t>
      </w:r>
      <w:r w:rsidR="00340D11" w:rsidRPr="00913129">
        <w:rPr>
          <w:color w:val="000000" w:themeColor="text1"/>
          <w:sz w:val="28"/>
          <w:szCs w:val="28"/>
          <w:lang w:val="uk-UA"/>
        </w:rPr>
        <w:t>’</w:t>
      </w:r>
      <w:r w:rsidRPr="00913129">
        <w:rPr>
          <w:color w:val="000000" w:themeColor="text1"/>
          <w:sz w:val="28"/>
          <w:szCs w:val="28"/>
          <w:lang w:val="uk-UA"/>
        </w:rPr>
        <w:t xml:space="preserve">язані зі сталим розвитком, стали найдинамічнішим сегментом ринку. У 2021 році обсяг ринку цього інструменту зріс з 9 млрд дол. </w:t>
      </w:r>
      <w:r w:rsidRPr="00913129">
        <w:rPr>
          <w:color w:val="000000" w:themeColor="text1"/>
          <w:sz w:val="28"/>
          <w:szCs w:val="28"/>
          <w:lang w:val="uk-UA"/>
        </w:rPr>
        <w:lastRenderedPageBreak/>
        <w:t xml:space="preserve">США у 2020 році до 97 млрд дол. США у 2021 році. Такий приріст склав 978%. Водночас перехідні облігації протягом аналізованого періоду залишалися нішевим фінансовим інструментом, що пояснюється їхньою специфікою для окремих галузей </w:t>
      </w:r>
      <w:r w:rsidRPr="00913129">
        <w:rPr>
          <w:color w:val="000000" w:themeColor="text1"/>
          <w:sz w:val="28"/>
          <w:szCs w:val="28"/>
          <w:lang w:val="uk-UA"/>
        </w:rPr>
        <w:fldChar w:fldCharType="begin"/>
      </w:r>
      <w:r w:rsidR="00DF2F30" w:rsidRPr="00913129">
        <w:rPr>
          <w:color w:val="000000" w:themeColor="text1"/>
          <w:sz w:val="28"/>
          <w:szCs w:val="28"/>
          <w:lang w:val="uk-UA"/>
        </w:rPr>
        <w:instrText xml:space="preserve"> ADDIN ZOTERO_ITEM CSL_CITATION {"citationID":"OZ5HTSp1","properties":{"formattedCitation":"\\super [28\\uc0\\u8211{}32]\\nosupersub{}","plainCitation":"[28–32]","noteIndex":0},"citationItems":[{"id":660,"uris":["http://zotero.org/users/10910668/items/YUIV8THH"],"itemData":{"id":660,"type":"webpage","abstract":"Bonds used to finance activities that address climate change and environmental issues - green bonds - provide a means to increase green investment. Green bonds account for only 0.3% of all bonds issued by corporations and governments in the European Union in 2014. This rose to 9.2% in 2022, then fell to 6.8% in 2023. Trends reflect growing interest in offering financial products that support sustainability and demand among investors to finance environmentally sustainable projects. Issuances of green bonds are likely to increase given the ambitious environment and climate goals of the European Green Deal.","language":"en","title":"Green bonds in Europe","URL":"https://www.eea.europa.eu/en/analysis/indicators/green-bonds-8th-eap","accessed":{"date-parts":[["2025",5,18]]},"issued":{"date-parts":[["2024",11,4]]}}},{"id":658,"uris":["http://zotero.org/users/10910668/items/8XELND94"],"itemData":{"id":658,"type":"webpage","abstract":"The value of green bonds issued worldwide increased dramatically in the last few years.","container-title":"Statista","language":"en","title":"Green bonds issued worldwide 2014-2023","URL":"https://www-statista-com-icssr.glibrary.in/statistics/1289406/green-bonds-issued-worldwide/","accessed":{"date-parts":[["2025",5,18]]}}},{"id":656,"uris":["http://zotero.org/users/10910668/items/P6Q9XS4E"],"itemData":{"id":656,"type":"webpage","abstract":"7-minute read\n \nIn July 2021, the Global Sustainable Investment Alliance[1] (GSIA) published its fifth Global Sustainable Investment Review (GSIR) biennial report[2]. GSIA was founded back in 2010...","language":"en-GB","title":"Latest edition of the Global Sustainable Investment Review confirms strong growth of ESG assets all over the world | Our Center of Expertise","URL":"https://gsh.cib.natixis.com/our-center-of-expertise/articles/latest-edition-of-the-global-sustainable-investment-review-confirms-strong-growth-of-esg-assets-all-over-the-world","accessed":{"date-parts":[["2025",5,18]]}}},{"id":654,"uris":["http://zotero.org/users/10910668/items/M93J5AQT"],"itemData":{"id":654,"type":"webpage","abstract":"Dr Ioannis Ioannou on the challenges and opportunities presented by climate change and the economic, societal and political upheaval that affect all businesses","container-title":"Forbes","language":"en","note":"section: Leadership Strategies","title":"Achieving Sustainability: Trends And Opportunities For Family Offices","title-short":"Achieving Sustainability","URL":"https://www.forbes.com/sites/lbsbusinessstrategyreview/2024/02/28/emerging-opportunities-for-family-offices-in-sustainable-enterprises/","author":[{"family":"School","given":"London Business"}],"accessed":{"date-parts":[["2025",5,18]]}}},{"id":666,"uris":["http://zotero.org/users/10910668/items/XARRNSYI"],"itemData":{"id":666,"type":"document","title":"Global_ESG_Q4_2021_Flow_Report_FINAL.pdf","URL":"https://assets.contentstack.io/v3/assets/blt4eb669caa7dc65b2/blt608d2560e8c97e65/61f43439df9e4f26248691ea/Global_ESG_Q4_2021_Flow_Report_FINAL.pdf","accessed":{"date-parts":[["2025",5,18]]}},"label":"page"}],"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lang w:val="uk-UA"/>
        </w:rPr>
        <w:t>[28–32]</w:t>
      </w:r>
      <w:r w:rsidRPr="00913129">
        <w:rPr>
          <w:color w:val="000000" w:themeColor="text1"/>
          <w:sz w:val="28"/>
          <w:szCs w:val="28"/>
          <w:lang w:val="uk-UA"/>
        </w:rPr>
        <w:fldChar w:fldCharType="end"/>
      </w:r>
      <w:r w:rsidRPr="00913129">
        <w:rPr>
          <w:color w:val="000000" w:themeColor="text1"/>
          <w:sz w:val="28"/>
          <w:szCs w:val="28"/>
          <w:lang w:val="uk-UA"/>
        </w:rPr>
        <w:t>.</w:t>
      </w:r>
    </w:p>
    <w:p w14:paraId="1A17AF8C" w14:textId="7FB7E00C" w:rsidR="005D04E9" w:rsidRPr="00913129" w:rsidRDefault="005D04E9" w:rsidP="00B5458A">
      <w:pPr>
        <w:spacing w:line="360" w:lineRule="auto"/>
        <w:ind w:right="-2" w:firstLine="851"/>
        <w:jc w:val="both"/>
        <w:rPr>
          <w:color w:val="000000" w:themeColor="text1"/>
          <w:sz w:val="28"/>
          <w:szCs w:val="28"/>
          <w:lang w:val="uk-UA"/>
        </w:rPr>
      </w:pPr>
      <w:r w:rsidRPr="00913129">
        <w:rPr>
          <w:color w:val="000000" w:themeColor="text1"/>
          <w:sz w:val="28"/>
          <w:szCs w:val="28"/>
          <w:lang w:val="uk-UA"/>
        </w:rPr>
        <w:t>На рисунку 2.</w:t>
      </w:r>
      <w:r w:rsidR="005B37AA" w:rsidRPr="00913129">
        <w:rPr>
          <w:color w:val="000000" w:themeColor="text1"/>
          <w:sz w:val="28"/>
          <w:szCs w:val="28"/>
          <w:lang w:val="uk-UA"/>
        </w:rPr>
        <w:t>6</w:t>
      </w:r>
      <w:r w:rsidRPr="00913129">
        <w:rPr>
          <w:color w:val="000000" w:themeColor="text1"/>
          <w:sz w:val="28"/>
          <w:szCs w:val="28"/>
          <w:lang w:val="uk-UA"/>
        </w:rPr>
        <w:t>. представлено структуру боргових інструментів.</w:t>
      </w:r>
    </w:p>
    <w:p w14:paraId="25CE9BDD" w14:textId="5702F376" w:rsidR="005D04E9" w:rsidRPr="00913129" w:rsidRDefault="005D04E9" w:rsidP="005D04E9">
      <w:pPr>
        <w:spacing w:line="360" w:lineRule="auto"/>
        <w:ind w:right="-2"/>
        <w:jc w:val="both"/>
        <w:rPr>
          <w:color w:val="000000" w:themeColor="text1"/>
          <w:sz w:val="28"/>
          <w:szCs w:val="28"/>
          <w:lang w:val="uk-UA"/>
        </w:rPr>
      </w:pPr>
      <w:r w:rsidRPr="00913129">
        <w:rPr>
          <w:noProof/>
          <w:sz w:val="28"/>
          <w:szCs w:val="28"/>
          <w:lang w:val="ru-RU" w:eastAsia="ru-RU"/>
          <w14:ligatures w14:val="standardContextual"/>
        </w:rPr>
        <w:drawing>
          <wp:inline distT="0" distB="0" distL="0" distR="0" wp14:anchorId="2742DF85" wp14:editId="1695E109">
            <wp:extent cx="5939790" cy="2670810"/>
            <wp:effectExtent l="0" t="0" r="16510" b="8890"/>
            <wp:docPr id="1343079416"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4ED9BDD-1E11-90BB-C5E3-A208EE69C3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C12F217" w14:textId="62C02455" w:rsidR="005D04E9" w:rsidRPr="00913129" w:rsidRDefault="005D04E9" w:rsidP="00B5458A">
      <w:pPr>
        <w:spacing w:line="360" w:lineRule="auto"/>
        <w:ind w:firstLine="851"/>
        <w:jc w:val="both"/>
        <w:rPr>
          <w:color w:val="000000" w:themeColor="text1"/>
          <w:sz w:val="28"/>
          <w:szCs w:val="28"/>
          <w:lang w:val="uk-UA"/>
        </w:rPr>
      </w:pPr>
      <w:r w:rsidRPr="00913129">
        <w:rPr>
          <w:color w:val="000000" w:themeColor="text1"/>
          <w:sz w:val="28"/>
          <w:szCs w:val="28"/>
          <w:lang w:val="uk-UA"/>
        </w:rPr>
        <w:t>Рис. 2.</w:t>
      </w:r>
      <w:r w:rsidR="005B37AA" w:rsidRPr="00913129">
        <w:rPr>
          <w:color w:val="000000" w:themeColor="text1"/>
          <w:sz w:val="28"/>
          <w:szCs w:val="28"/>
          <w:lang w:val="uk-UA"/>
        </w:rPr>
        <w:t>6</w:t>
      </w:r>
      <w:r w:rsidRPr="00913129">
        <w:rPr>
          <w:color w:val="000000" w:themeColor="text1"/>
          <w:sz w:val="28"/>
          <w:szCs w:val="28"/>
          <w:lang w:val="uk-UA"/>
        </w:rPr>
        <w:t>. Еволюція структури випуску сталих облігацій за категоріями у 2019 та 2023 роках, %</w:t>
      </w:r>
    </w:p>
    <w:p w14:paraId="7DDE4C38" w14:textId="77777777" w:rsidR="005D04E9" w:rsidRPr="00913129" w:rsidRDefault="005D04E9" w:rsidP="00B5458A">
      <w:pPr>
        <w:spacing w:line="360" w:lineRule="auto"/>
        <w:ind w:firstLine="851"/>
        <w:jc w:val="both"/>
        <w:rPr>
          <w:color w:val="000000" w:themeColor="text1"/>
          <w:sz w:val="28"/>
          <w:szCs w:val="28"/>
          <w:lang w:val="uk-UA"/>
        </w:rPr>
      </w:pPr>
      <w:r w:rsidRPr="00913129">
        <w:rPr>
          <w:color w:val="000000" w:themeColor="text1"/>
          <w:sz w:val="28"/>
          <w:szCs w:val="28"/>
          <w:lang w:val="uk-UA"/>
        </w:rPr>
        <w:t xml:space="preserve">Джерело: складено на основі даних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{"citationID":"a8rucnkrf0","properties":{"formattedCitation":"\\super [33\\uc0\\u8211{}35]\\nosupersub{}","plainCitation":"[33–35]","noteIndex":0},"citationItems":[{"id":682,"uris":["http://zotero.org/users/10910668/items/PYXCET5N"],"itemData":{"id":682,"type":"document","title":"101593071.pdf","URL":"https://www.spglobal.com/_assets/documents/ratings/research/101593071.pdf","accessed":{"date-parts":[["2025",5,18]]}}},{"id":683,"uris":["http://zotero.org/users/10910668/items/65ZVGG94"],"itemData":{"id":683,"type":"document","title":"GSSS-Quarterly-Newsletter-Issue-No-6.pdf","URL":"https://thedocs.worldbank.org/en/doc/dc1d70af2c45cb377ed3ee12b27399d4-0340012024/original/GSSS-Quarterly-Newsletter-Issue-No-6.pdf","accessed":{"date-parts":[["2025",5,18]]}}},{"id":685,"uris":["http://zotero.org/users/10910668/items/2DCCHVD8"],"itemData":{"id":685,"type":"article-journal","language":"en","source":"Zotero","title":"Green and Social Bond Bulletin","author":[{"family":"Toranzo","given":"Ruiz"}]},"label":"page"}],"schema":"https://github.com/citation-style-language/schema/raw/master/csl-citation.json"}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lang w:val="uk-UA"/>
        </w:rPr>
        <w:t>[33–35]</w:t>
      </w:r>
      <w:r w:rsidRPr="00913129">
        <w:rPr>
          <w:color w:val="000000" w:themeColor="text1"/>
          <w:sz w:val="28"/>
          <w:szCs w:val="28"/>
          <w:lang w:val="uk-UA"/>
        </w:rPr>
        <w:fldChar w:fldCharType="end"/>
      </w:r>
    </w:p>
    <w:p w14:paraId="541F07E3" w14:textId="1C22DDB0" w:rsidR="005D04E9" w:rsidRPr="00913129" w:rsidRDefault="005D04E9" w:rsidP="00B5458A">
      <w:pPr>
        <w:spacing w:line="360" w:lineRule="auto"/>
        <w:ind w:firstLine="851"/>
        <w:jc w:val="both"/>
        <w:rPr>
          <w:rFonts w:eastAsiaTheme="majorEastAsia"/>
          <w:color w:val="000000" w:themeColor="text1"/>
          <w:sz w:val="28"/>
          <w:szCs w:val="28"/>
          <w:lang w:val="uk-UA"/>
        </w:rPr>
      </w:pPr>
      <w:r w:rsidRPr="00913129">
        <w:rPr>
          <w:rStyle w:val="ms-1"/>
          <w:rFonts w:eastAsiaTheme="majorEastAsia"/>
          <w:color w:val="000000" w:themeColor="text1"/>
          <w:sz w:val="28"/>
          <w:szCs w:val="28"/>
          <w:lang w:val="uk-UA"/>
        </w:rPr>
        <w:t xml:space="preserve">Представлені дані дозволяються зазначити про </w:t>
      </w:r>
      <w:r w:rsidRPr="00913129">
        <w:rPr>
          <w:color w:val="000000" w:themeColor="text1"/>
          <w:sz w:val="28"/>
          <w:szCs w:val="28"/>
          <w:lang w:val="uk-UA"/>
        </w:rPr>
        <w:t>вагому трансформацію структури глобального ринку сталих облігацій у 2019-2023 роках. Якщо у 2019 році зелені облігації займали домінуючу частку ринку зі значенням 77,49%, то у 2023 році їх частка знизилась до 58,43%. Водночас частка соціальних облігацій зросла у 3 рази, що склало зростання від 5,56% до 18,39%, а «SLB» облігації зросли майже на 5 відсоткові пункти. Інші два інструменти не зазнали вагомих змін в значенні частки</w:t>
      </w:r>
      <w:r w:rsidR="00A22A28" w:rsidRPr="00913129">
        <w:rPr>
          <w:color w:val="000000" w:themeColor="text1"/>
          <w:sz w:val="28"/>
          <w:szCs w:val="28"/>
          <w:lang w:val="uk-UA"/>
        </w:rPr>
        <w:t xml:space="preserve">  </w:t>
      </w:r>
      <w:r w:rsidR="00A22A28" w:rsidRPr="00913129">
        <w:rPr>
          <w:color w:val="000000" w:themeColor="text1"/>
          <w:sz w:val="28"/>
          <w:szCs w:val="28"/>
          <w:lang w:val="uk-UA"/>
        </w:rPr>
        <w:fldChar w:fldCharType="begin"/>
      </w:r>
      <w:r w:rsidR="00DF2F30" w:rsidRPr="00913129">
        <w:rPr>
          <w:color w:val="000000" w:themeColor="text1"/>
          <w:sz w:val="28"/>
          <w:szCs w:val="28"/>
          <w:lang w:val="uk-UA"/>
        </w:rPr>
        <w:instrText xml:space="preserve"> ADDIN ZOTERO_ITEM CSL_CITATION {"citationID":"z8EMdqu4","properties":{"formattedCitation":"\\super [33\\uc0\\u8211{}35]\\nosupersub{}","plainCitation":"[33–35]","noteIndex":0},"citationItems":[{"id":682,"uris":["http://zotero.org/users/10910668/items/PYXCET5N"],"itemData":{"id":682,"type":"document","title":"101593071.pdf","URL":"https://www.spglobal.com/_assets/documents/ratings/research/101593071.pdf","accessed":{"date-parts":[["2025",5,18]]}}},{"id":683,"uris":["http://zotero.org/users/10910668/items/65ZVGG94"],"itemData":{"id":683,"type":"document","title":"GSSS-Quarterly-Newsletter-Issue-No-6.pdf","URL":"https://thedocs.worldbank.org/en/doc/dc1d70af2c45cb377ed3ee12b27399d4-0340012024/original/GSSS-Quarterly-Newsletter-Issue-No-6.pdf","accessed":{"date-parts":[["2025",5,18]]}}},{"id":685,"uris":["http://zotero.org/users/10910668/items/2DCCHVD8"],"itemData":{"id":685,"type":"article-journal","language":"en","source":"Zotero","title":"Green and Social Bond Bulletin","author":[{"family":"Toranzo","given":"Ruiz"}]},"label":"page"}],"schema":"https://github.com/citation-style-language/schema/raw/master/csl-citation.json"} </w:instrText>
      </w:r>
      <w:r w:rsidR="00A22A28" w:rsidRPr="00913129">
        <w:rPr>
          <w:color w:val="000000" w:themeColor="text1"/>
          <w:sz w:val="28"/>
          <w:szCs w:val="28"/>
          <w:lang w:val="uk-UA"/>
        </w:rPr>
        <w:fldChar w:fldCharType="separate"/>
      </w:r>
      <w:r w:rsidR="00A22A28" w:rsidRPr="00913129">
        <w:rPr>
          <w:color w:val="000000" w:themeColor="text1"/>
          <w:sz w:val="28"/>
          <w:lang w:val="uk-UA"/>
        </w:rPr>
        <w:t>[33–35]</w:t>
      </w:r>
      <w:r w:rsidR="00A22A28" w:rsidRPr="00913129">
        <w:rPr>
          <w:color w:val="000000" w:themeColor="text1"/>
          <w:sz w:val="28"/>
          <w:szCs w:val="28"/>
          <w:lang w:val="uk-UA"/>
        </w:rPr>
        <w:fldChar w:fldCharType="end"/>
      </w:r>
      <w:r w:rsidRPr="00913129">
        <w:rPr>
          <w:color w:val="000000" w:themeColor="text1"/>
          <w:sz w:val="28"/>
          <w:szCs w:val="28"/>
          <w:lang w:val="uk-UA"/>
        </w:rPr>
        <w:t>.</w:t>
      </w:r>
    </w:p>
    <w:p w14:paraId="337FEC00" w14:textId="5271CC27" w:rsidR="005D04E9" w:rsidRPr="00913129" w:rsidRDefault="005D04E9" w:rsidP="00B5458A">
      <w:pPr>
        <w:tabs>
          <w:tab w:val="left" w:pos="800"/>
        </w:tabs>
        <w:spacing w:line="360" w:lineRule="auto"/>
        <w:ind w:firstLine="851"/>
        <w:jc w:val="both"/>
        <w:rPr>
          <w:b/>
          <w:bCs/>
          <w:color w:val="000000" w:themeColor="text1"/>
          <w:sz w:val="28"/>
          <w:szCs w:val="28"/>
          <w:lang w:val="uk-UA"/>
        </w:rPr>
      </w:pPr>
      <w:r w:rsidRPr="00913129">
        <w:rPr>
          <w:color w:val="000000" w:themeColor="text1"/>
          <w:sz w:val="28"/>
          <w:szCs w:val="28"/>
          <w:lang w:val="uk-UA"/>
        </w:rPr>
        <w:t>Загалом, сумарний ринок боргових інструментів СВІ у 3,2 раза, або на 219% від 2019 року до 2021 року, після чого через регуляторні зміни відбулось зниження на 15%, та подальше зростання у 2023 році на 6%</w:t>
      </w:r>
      <w:r w:rsidR="00A22A28" w:rsidRPr="00913129">
        <w:rPr>
          <w:color w:val="000000" w:themeColor="text1"/>
          <w:sz w:val="28"/>
          <w:szCs w:val="28"/>
          <w:lang w:val="uk-UA"/>
        </w:rPr>
        <w:t xml:space="preserve">  </w:t>
      </w:r>
      <w:r w:rsidR="00A22A28" w:rsidRPr="00913129">
        <w:rPr>
          <w:color w:val="000000" w:themeColor="text1"/>
          <w:sz w:val="28"/>
          <w:szCs w:val="28"/>
          <w:lang w:val="uk-UA"/>
        </w:rPr>
        <w:fldChar w:fldCharType="begin"/>
      </w:r>
      <w:r w:rsidR="00DF2F30" w:rsidRPr="00913129">
        <w:rPr>
          <w:color w:val="000000" w:themeColor="text1"/>
          <w:sz w:val="28"/>
          <w:szCs w:val="28"/>
          <w:lang w:val="uk-UA"/>
        </w:rPr>
        <w:instrText xml:space="preserve"> ADDIN ZOTERO_ITEM CSL_CITATION {"citationID":"8VQa3ZIJ","properties":{"formattedCitation":"\\super [33\\uc0\\u8211{}35]\\nosupersub{}","plainCitation":"[33–35]","noteIndex":0},"citationItems":[{"id":682,"uris":["http://zotero.org/users/10910668/items/PYXCET5N"],"itemData":{"id":682,"type":"document","title":"101593071.pdf","URL":"https://www.spglobal.com/_assets/documents/ratings/research/101593071.pdf","accessed":{"date-parts":[["2025",5,18]]}}},{"id":683,"uris":["http://zotero.org/users/10910668/items/65ZVGG94"],"itemData":{"id":683,"type":"document","title":"GSSS-Quarterly-Newsletter-Issue-No-6.pdf","URL":"https://thedocs.worldbank.org/en/doc/dc1d70af2c45cb377ed3ee12b27399d4-0340012024/original/GSSS-Quarterly-Newsletter-Issue-No-6.pdf","accessed":{"date-parts":[["2025",5,18]]}}},{"id":685,"uris":["http://zotero.org/users/10910668/items/2DCCHVD8"],"itemData":{"id":685,"type":"article-journal","language":"en","source":"Zotero","title":"Green and Social Bond Bulletin","author":[{"family":"Toranzo","given":"Ruiz"}]},"label":"page"}],"schema":"https://github.com/citation-style-language/schema/raw/master/csl-citation.json"} </w:instrText>
      </w:r>
      <w:r w:rsidR="00A22A28" w:rsidRPr="00913129">
        <w:rPr>
          <w:color w:val="000000" w:themeColor="text1"/>
          <w:sz w:val="28"/>
          <w:szCs w:val="28"/>
          <w:lang w:val="uk-UA"/>
        </w:rPr>
        <w:fldChar w:fldCharType="separate"/>
      </w:r>
      <w:r w:rsidR="00A22A28" w:rsidRPr="00913129">
        <w:rPr>
          <w:color w:val="000000" w:themeColor="text1"/>
          <w:sz w:val="28"/>
          <w:lang w:val="uk-UA"/>
        </w:rPr>
        <w:t>[33–35]</w:t>
      </w:r>
      <w:r w:rsidR="00A22A28" w:rsidRPr="00913129">
        <w:rPr>
          <w:color w:val="000000" w:themeColor="text1"/>
          <w:sz w:val="28"/>
          <w:szCs w:val="28"/>
          <w:lang w:val="uk-UA"/>
        </w:rPr>
        <w:fldChar w:fldCharType="end"/>
      </w:r>
      <w:r w:rsidRPr="00913129">
        <w:rPr>
          <w:color w:val="000000" w:themeColor="text1"/>
          <w:sz w:val="28"/>
          <w:szCs w:val="28"/>
          <w:lang w:val="uk-UA"/>
        </w:rPr>
        <w:t>. Головними причинами так</w:t>
      </w:r>
      <w:r w:rsidR="00CB5B31" w:rsidRPr="00913129">
        <w:rPr>
          <w:color w:val="000000" w:themeColor="text1"/>
          <w:sz w:val="28"/>
          <w:szCs w:val="28"/>
          <w:lang w:val="uk-UA"/>
        </w:rPr>
        <w:t xml:space="preserve">их змін </w:t>
      </w:r>
      <w:r w:rsidRPr="00913129">
        <w:rPr>
          <w:color w:val="000000" w:themeColor="text1"/>
          <w:sz w:val="28"/>
          <w:szCs w:val="28"/>
          <w:lang w:val="uk-UA"/>
        </w:rPr>
        <w:t xml:space="preserve">були як структурні, так і короткострокові фактори. Серед структурних варто виділити посилення глобальних ESG-стандартів, поява нових регуляторних вимог, державна підтримка </w:t>
      </w:r>
      <w:r w:rsidRPr="00913129">
        <w:rPr>
          <w:color w:val="000000" w:themeColor="text1"/>
          <w:sz w:val="28"/>
          <w:szCs w:val="28"/>
          <w:lang w:val="uk-UA"/>
        </w:rPr>
        <w:lastRenderedPageBreak/>
        <w:t>декарбонізації, інституційний попит на ESG-активи. Короткостроковими варто означити наслідки пандемії COVID-19, зниження ставок у 2020-2021</w:t>
      </w:r>
      <w:r w:rsidR="00CB5B31" w:rsidRPr="00913129">
        <w:rPr>
          <w:color w:val="000000" w:themeColor="text1"/>
          <w:sz w:val="28"/>
          <w:szCs w:val="28"/>
          <w:lang w:val="uk-UA"/>
        </w:rPr>
        <w:t xml:space="preserve"> роках</w:t>
      </w:r>
      <w:r w:rsidRPr="00913129">
        <w:rPr>
          <w:color w:val="000000" w:themeColor="text1"/>
          <w:sz w:val="28"/>
          <w:szCs w:val="28"/>
          <w:lang w:val="uk-UA"/>
        </w:rPr>
        <w:t>, та їх різке підвищення у 2022-2023 роках, зростання вартості боргового фінансування й загострення конкуренції на ринку капіталу. У результаті зелений і сталий борговий ринок зберігає довгострокову позитивну тенденцію, адаптуючись до нових викликів і зміцнюючи свою роль у глобальних економічних трансформаціях</w:t>
      </w:r>
    </w:p>
    <w:p w14:paraId="3872821F" w14:textId="77777777" w:rsidR="00AA0E17" w:rsidRPr="00913129" w:rsidRDefault="00AA0E17" w:rsidP="00B5458A">
      <w:pPr>
        <w:pStyle w:val="ae"/>
        <w:spacing w:before="0" w:beforeAutospacing="0" w:after="0" w:afterAutospacing="0" w:line="360" w:lineRule="auto"/>
        <w:ind w:firstLine="851"/>
        <w:rPr>
          <w:b/>
          <w:bCs/>
          <w:color w:val="000000"/>
          <w:sz w:val="28"/>
          <w:szCs w:val="28"/>
          <w:lang w:val="uk-UA"/>
        </w:rPr>
      </w:pPr>
    </w:p>
    <w:p w14:paraId="2EAD6D18" w14:textId="77777777" w:rsidR="00B149BB" w:rsidRPr="00913129" w:rsidRDefault="00B149BB" w:rsidP="00B5458A">
      <w:pPr>
        <w:pStyle w:val="ae"/>
        <w:spacing w:before="0" w:beforeAutospacing="0" w:after="0" w:afterAutospacing="0" w:line="360" w:lineRule="auto"/>
        <w:ind w:firstLine="851"/>
        <w:rPr>
          <w:b/>
          <w:bCs/>
          <w:color w:val="000000"/>
          <w:sz w:val="28"/>
          <w:szCs w:val="28"/>
          <w:lang w:val="uk-UA"/>
        </w:rPr>
      </w:pPr>
    </w:p>
    <w:p w14:paraId="6284137D" w14:textId="29EAFF6A" w:rsidR="00AA0E17" w:rsidRPr="00913129" w:rsidRDefault="00AA0E17" w:rsidP="00B5458A">
      <w:pPr>
        <w:pStyle w:val="ae"/>
        <w:spacing w:before="0" w:beforeAutospacing="0" w:after="0" w:afterAutospacing="0" w:line="360" w:lineRule="auto"/>
        <w:ind w:firstLine="851"/>
        <w:rPr>
          <w:b/>
          <w:bCs/>
          <w:color w:val="000000"/>
          <w:sz w:val="28"/>
          <w:szCs w:val="28"/>
          <w:lang w:val="uk-UA"/>
        </w:rPr>
      </w:pPr>
      <w:r w:rsidRPr="00913129">
        <w:rPr>
          <w:b/>
          <w:bCs/>
          <w:color w:val="000000"/>
          <w:sz w:val="28"/>
          <w:szCs w:val="28"/>
          <w:lang w:val="uk-UA"/>
        </w:rPr>
        <w:t xml:space="preserve">2.3. </w:t>
      </w:r>
      <w:r w:rsidR="00B149BB" w:rsidRPr="00913129">
        <w:rPr>
          <w:b/>
          <w:bCs/>
          <w:color w:val="000000"/>
          <w:sz w:val="28"/>
          <w:szCs w:val="28"/>
          <w:lang w:val="uk-UA"/>
        </w:rPr>
        <w:t>С</w:t>
      </w:r>
      <w:r w:rsidRPr="00913129">
        <w:rPr>
          <w:b/>
          <w:bCs/>
          <w:color w:val="000000"/>
          <w:sz w:val="28"/>
          <w:szCs w:val="28"/>
          <w:lang w:val="uk-UA"/>
        </w:rPr>
        <w:t>оціально відповідальн</w:t>
      </w:r>
      <w:r w:rsidR="00B149BB" w:rsidRPr="00913129">
        <w:rPr>
          <w:b/>
          <w:bCs/>
          <w:color w:val="000000"/>
          <w:sz w:val="28"/>
          <w:szCs w:val="28"/>
          <w:lang w:val="uk-UA"/>
        </w:rPr>
        <w:t>е</w:t>
      </w:r>
      <w:r w:rsidRPr="00913129">
        <w:rPr>
          <w:b/>
          <w:bCs/>
          <w:color w:val="000000"/>
          <w:sz w:val="28"/>
          <w:szCs w:val="28"/>
          <w:lang w:val="uk-UA"/>
        </w:rPr>
        <w:t xml:space="preserve"> інвестування в Україні</w:t>
      </w:r>
    </w:p>
    <w:p w14:paraId="60A8E147" w14:textId="77777777" w:rsidR="00B149BB" w:rsidRPr="00913129" w:rsidRDefault="00B149BB" w:rsidP="00B5458A">
      <w:pPr>
        <w:pStyle w:val="ae"/>
        <w:spacing w:before="0" w:beforeAutospacing="0" w:after="0" w:afterAutospacing="0" w:line="360" w:lineRule="auto"/>
        <w:ind w:firstLine="851"/>
        <w:rPr>
          <w:b/>
          <w:bCs/>
          <w:color w:val="000000"/>
          <w:sz w:val="28"/>
          <w:szCs w:val="28"/>
          <w:lang w:val="uk-UA"/>
        </w:rPr>
      </w:pPr>
    </w:p>
    <w:p w14:paraId="7FEC8084" w14:textId="059E14EE" w:rsidR="00AA0E17" w:rsidRPr="00913129" w:rsidRDefault="00AA0E17" w:rsidP="00B5458A">
      <w:pPr>
        <w:pStyle w:val="a7"/>
        <w:spacing w:after="0" w:line="360" w:lineRule="auto"/>
        <w:ind w:left="0"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Україна поступово інтегрує принципи соціально-відповідального інвестування у фінансову систему. Незважаючи на складні економічні та політичні умови, національний ринок почав формувати окремі сегменти сталого фінансування</w:t>
      </w:r>
      <w:r w:rsidR="00B70060" w:rsidRPr="00913129">
        <w:rPr>
          <w:rFonts w:ascii="Times New Roman" w:hAnsi="Times New Roman" w:cs="Times New Roman"/>
          <w:color w:val="000000" w:themeColor="text1"/>
          <w:sz w:val="28"/>
          <w:szCs w:val="28"/>
          <w:lang w:val="uk-UA"/>
        </w:rPr>
        <w:t>, так</w:t>
      </w:r>
      <w:r w:rsidRPr="00913129">
        <w:rPr>
          <w:rFonts w:ascii="Times New Roman" w:hAnsi="Times New Roman" w:cs="Times New Roman"/>
          <w:color w:val="000000" w:themeColor="text1"/>
          <w:sz w:val="28"/>
          <w:szCs w:val="28"/>
          <w:lang w:val="uk-UA"/>
        </w:rPr>
        <w:t xml:space="preserve"> з</w:t>
      </w:r>
      <w:r w:rsidR="00340D11" w:rsidRPr="00913129">
        <w:rPr>
          <w:rFonts w:ascii="Times New Roman" w:hAnsi="Times New Roman" w:cs="Times New Roman"/>
          <w:color w:val="000000" w:themeColor="text1"/>
          <w:sz w:val="28"/>
          <w:szCs w:val="28"/>
          <w:lang w:val="uk-UA"/>
        </w:rPr>
        <w:t>’</w:t>
      </w:r>
      <w:r w:rsidRPr="00913129">
        <w:rPr>
          <w:rFonts w:ascii="Times New Roman" w:hAnsi="Times New Roman" w:cs="Times New Roman"/>
          <w:color w:val="000000" w:themeColor="text1"/>
          <w:sz w:val="28"/>
          <w:szCs w:val="28"/>
          <w:lang w:val="uk-UA"/>
        </w:rPr>
        <w:t>явилися перші випуски «зелених» облігацій, впроваджуються елементи ESG-кредитування, активно працюють донорські програми для підтримки МСП та соціальних підприємств. Проте загальний обсяг і різноманіття відповідальних фінансових інструментів залишаються порівняно невеликими. Далі представлено динаміку та основні статистичні показники розвитку СВІ ринку, починаючи з аналізу випуску «зелених» облігацій в Україні.</w:t>
      </w:r>
    </w:p>
    <w:p w14:paraId="37B0F36C" w14:textId="1A774416" w:rsidR="006701FA" w:rsidRPr="00913129" w:rsidRDefault="006701FA" w:rsidP="00B5458A">
      <w:pPr>
        <w:pStyle w:val="a7"/>
        <w:spacing w:after="0" w:line="360" w:lineRule="auto"/>
        <w:ind w:left="0"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До 2019 року українські емітенти не здійснювали випусків «зелених» чи «соціальних» облігацій. Перший випуск відбувся наприкінці 2019 року, коли енергетична компанія</w:t>
      </w:r>
      <w:r w:rsidRPr="00913129">
        <w:rPr>
          <w:rStyle w:val="apple-converted-space"/>
          <w:rFonts w:ascii="Times New Roman" w:hAnsi="Times New Roman" w:cs="Times New Roman"/>
          <w:color w:val="000000" w:themeColor="text1"/>
          <w:sz w:val="28"/>
          <w:szCs w:val="28"/>
          <w:lang w:val="uk-UA"/>
        </w:rPr>
        <w:t> </w:t>
      </w:r>
      <w:r w:rsidRPr="00913129">
        <w:rPr>
          <w:rStyle w:val="ac"/>
          <w:rFonts w:ascii="Times New Roman" w:hAnsi="Times New Roman" w:cs="Times New Roman"/>
          <w:b w:val="0"/>
          <w:bCs w:val="0"/>
          <w:color w:val="000000" w:themeColor="text1"/>
          <w:sz w:val="28"/>
          <w:szCs w:val="28"/>
          <w:lang w:val="uk-UA"/>
        </w:rPr>
        <w:t>ДТЕК</w:t>
      </w:r>
      <w:r w:rsidRPr="00913129">
        <w:rPr>
          <w:rStyle w:val="apple-converted-space"/>
          <w:rFonts w:ascii="Times New Roman" w:hAnsi="Times New Roman" w:cs="Times New Roman"/>
          <w:color w:val="000000" w:themeColor="text1"/>
          <w:sz w:val="28"/>
          <w:szCs w:val="28"/>
          <w:lang w:val="uk-UA"/>
        </w:rPr>
        <w:t> </w:t>
      </w:r>
      <w:r w:rsidRPr="00913129">
        <w:rPr>
          <w:rFonts w:ascii="Times New Roman" w:hAnsi="Times New Roman" w:cs="Times New Roman"/>
          <w:color w:val="000000" w:themeColor="text1"/>
          <w:sz w:val="28"/>
          <w:szCs w:val="28"/>
          <w:lang w:val="uk-UA"/>
        </w:rPr>
        <w:t>розмістила перші зелені єврооблігації обсягом</w:t>
      </w:r>
      <w:r w:rsidRPr="00913129">
        <w:rPr>
          <w:rStyle w:val="apple-converted-space"/>
          <w:rFonts w:ascii="Times New Roman" w:hAnsi="Times New Roman" w:cs="Times New Roman"/>
          <w:color w:val="000000" w:themeColor="text1"/>
          <w:sz w:val="28"/>
          <w:szCs w:val="28"/>
          <w:lang w:val="uk-UA"/>
        </w:rPr>
        <w:t> </w:t>
      </w:r>
      <w:r w:rsidRPr="00913129">
        <w:rPr>
          <w:rStyle w:val="ac"/>
          <w:rFonts w:ascii="Times New Roman" w:hAnsi="Times New Roman" w:cs="Times New Roman"/>
          <w:b w:val="0"/>
          <w:bCs w:val="0"/>
          <w:color w:val="000000" w:themeColor="text1"/>
          <w:sz w:val="28"/>
          <w:szCs w:val="28"/>
          <w:lang w:val="uk-UA"/>
        </w:rPr>
        <w:t xml:space="preserve"> 358 млн</w:t>
      </w:r>
      <w:r w:rsidRPr="00913129">
        <w:rPr>
          <w:rFonts w:ascii="Times New Roman" w:hAnsi="Times New Roman" w:cs="Times New Roman"/>
          <w:color w:val="000000" w:themeColor="text1"/>
          <w:sz w:val="28"/>
          <w:szCs w:val="28"/>
          <w:lang w:val="uk-UA"/>
        </w:rPr>
        <w:t xml:space="preserve"> дол. США на Ірландській біржі. Відсоткова ставка склала 8,5% річних з п’ятирічним терміном обігу </w:t>
      </w:r>
      <w:r w:rsidRPr="00913129">
        <w:rPr>
          <w:rFonts w:ascii="Times New Roman" w:hAnsi="Times New Roman" w:cs="Times New Roman"/>
          <w:color w:val="000000" w:themeColor="text1"/>
          <w:sz w:val="28"/>
          <w:szCs w:val="28"/>
          <w:lang w:val="uk-UA"/>
        </w:rPr>
        <w:fldChar w:fldCharType="begin"/>
      </w:r>
      <w:r w:rsidRPr="00913129">
        <w:rPr>
          <w:rFonts w:ascii="Times New Roman" w:hAnsi="Times New Roman" w:cs="Times New Roman"/>
          <w:color w:val="000000" w:themeColor="text1"/>
          <w:sz w:val="28"/>
          <w:szCs w:val="28"/>
          <w:lang w:val="uk-UA"/>
        </w:rPr>
        <w:instrText xml:space="preserve"> ADDIN ZOTERO_ITEM CSL_CITATION {"citationID":"kxcWxfKo","properties":{"formattedCitation":"\\super [36]\\nosupersub{}","plainCitation":"[36]","noteIndex":0},"citationItems":[{"id":623,"uris":["http://zotero.org/users/10910668/items/7LUGS3KX"],"itemData":{"id":623,"type":"webpage","abstract":"ДТЕК ВДЕ першим серед українських компаній розмістив спеціалізовані цінні папери для розвитку відновлюваної енергетики. Дебютні зелені єврооблігації зі строком обігу п’ять років розміщені на суму 325 млн євро за ставкою 8,5% річних.","container-title":"renewables.dtek.com","language":"uk","title":"Група ДТЕК вперше в історії українського бізнесу розмістила зелені єврооблігації","URL":"https://renewables.dtek.com/media-center/press/gruppa-dtek-vpervye-v-istorii-ukrainskogo-biznesa-razmestila-zelenye-evroobligatsii/","accessed":{"date-parts":[["2025",5,16]]}}}],"schema":"https://github.com/citation-style-language/schema/raw/master/csl-citation.json"} </w:instrText>
      </w:r>
      <w:r w:rsidRPr="00913129">
        <w:rPr>
          <w:rFonts w:ascii="Times New Roman" w:hAnsi="Times New Roman" w:cs="Times New Roman"/>
          <w:color w:val="000000" w:themeColor="text1"/>
          <w:sz w:val="28"/>
          <w:szCs w:val="28"/>
          <w:lang w:val="uk-UA"/>
        </w:rPr>
        <w:fldChar w:fldCharType="separate"/>
      </w:r>
      <w:r w:rsidRPr="00913129">
        <w:rPr>
          <w:rFonts w:ascii="Times New Roman" w:hAnsi="Times New Roman" w:cs="Times New Roman"/>
          <w:color w:val="000000" w:themeColor="text1"/>
          <w:kern w:val="0"/>
          <w:sz w:val="28"/>
          <w:szCs w:val="28"/>
          <w:lang w:val="uk-UA"/>
        </w:rPr>
        <w:t>[36]</w:t>
      </w:r>
      <w:r w:rsidRPr="00913129">
        <w:rPr>
          <w:rFonts w:ascii="Times New Roman" w:hAnsi="Times New Roman" w:cs="Times New Roman"/>
          <w:color w:val="000000" w:themeColor="text1"/>
          <w:sz w:val="28"/>
          <w:szCs w:val="28"/>
          <w:lang w:val="uk-UA"/>
        </w:rPr>
        <w:fldChar w:fldCharType="end"/>
      </w:r>
      <w:r w:rsidRPr="00913129">
        <w:rPr>
          <w:rFonts w:ascii="Times New Roman" w:hAnsi="Times New Roman" w:cs="Times New Roman"/>
          <w:color w:val="000000" w:themeColor="text1"/>
          <w:sz w:val="28"/>
          <w:szCs w:val="28"/>
          <w:lang w:val="uk-UA"/>
        </w:rPr>
        <w:t xml:space="preserve">. Залучені кошти були спрямовані на будівництво Тілігульської ВЕС та інші проєкти відновлювальної енергетики </w:t>
      </w:r>
      <w:r w:rsidRPr="00913129">
        <w:rPr>
          <w:rFonts w:ascii="Times New Roman" w:hAnsi="Times New Roman" w:cs="Times New Roman"/>
          <w:color w:val="000000" w:themeColor="text1"/>
          <w:sz w:val="28"/>
          <w:szCs w:val="28"/>
          <w:lang w:val="uk-UA"/>
        </w:rPr>
        <w:fldChar w:fldCharType="begin"/>
      </w:r>
      <w:r w:rsidRPr="00913129">
        <w:rPr>
          <w:rFonts w:ascii="Times New Roman" w:hAnsi="Times New Roman" w:cs="Times New Roman"/>
          <w:color w:val="000000" w:themeColor="text1"/>
          <w:sz w:val="28"/>
          <w:szCs w:val="28"/>
          <w:lang w:val="uk-UA"/>
        </w:rPr>
        <w:instrText xml:space="preserve"> ADDIN ZOTERO_ITEM CSL_CITATION {"citationID":"Cj22753v","properties":{"formattedCitation":"\\super [37]\\nosupersub{}","plainCitation":"[37]","noteIndex":0},"citationItems":[{"id":625,"uris":["http://zotero.org/users/10910668/items/BIY4QPF5"],"itemData":{"id":625,"type":"article-journal","abstract":"The purpose of the article is to study the essence of «green» finance in the context of sustainable development on the basis of the «green» economy and under the conditions of the need for the post-war recovery of Ukraine. To achieve the outlined goal, the following tasks were performed: an analysis of approaches to understanding the essence of «green» finance was carried out, institutional and organizational support for «green» finance was determined, and financial instruments of «green» finance were systematized.The following methods were used in the study: dialectical and historical - to study the evolution of «green» finance, and its financial instruments; induction and deduction, a systematic approach - to determine the essence of «green» finance and the main organizational and financial aspects, a comparative method - to study the degree of activation of «green» financing in OECD countries, etc.It is recommended that the post-war recovery of Ukraine should be carried out on the basis of «green» finances, in compliance with the obligations to implement the European Green Course. To restore Ukraine on the basis of «green» finance, it is necessary to ensure the implementation of comprehensive measures in the following areas: raising awareness and public awareness of \"green\" finance, opportunities for financial participation in the implementation of environmental policy and environmental projects; introduction of progressive rates for environmental tax, rent, etc.; review of the budget policy and transfer of environmental tax revenues to the special fund of the state and local budgets; ensuring the attraction of funding from various sources for the implementation of environmental projects; creation of prerequisites for the introduction of the green bond market, the issuers of which will be the state, local authorities and business entities; development and implementation of state targeted programs and environmental projects, which will be financed from tax and non-tax revenues; introduction of fiscal and non-fiscal incentives for the implementation of environmental projects, etc.","container-title":"Financial and credit activity problems of theory and practice","DOI":"10.55643/fcaptp.3.56.2024.4403","ISSN":"2310-8770","issue":"56","language":"uk","license":"Авторське право (c) 2024 Оксана Драган","note":"number: 56","page":"75-85","source":"www.fkd.net.ua","title":"«ЗЕЛЕНІ ФІНАНСИ» В ПОВОЄННОМУ ВІДНОВЛЕННІ УКРАЇНИ: ОРГАНІЗАЦІЙНО-ФІНАНСОВІ АСПЕКТИ","title-short":"«ЗЕЛЕНІ ФІНАНСИ» В ПОВОЄННОМУ ВІДНОВЛЕННІ УКРАЇНИ","volume":"3","author":[{"family":"Варченко","given":"Ольга"},{"family":"Драган","given":"Оксана"},{"family":"Ткаченко","given":"Катерина"},{"family":"Рибак","given":"Надія"},{"family":"Зубченко","given":"Вікторія"}],"issued":{"date-parts":[["2024",6,30]]}}}],"schema":"https://github.com/citation-style-language/schema/raw/master/csl-citation.json"} </w:instrText>
      </w:r>
      <w:r w:rsidRPr="00913129">
        <w:rPr>
          <w:rFonts w:ascii="Times New Roman" w:hAnsi="Times New Roman" w:cs="Times New Roman"/>
          <w:color w:val="000000" w:themeColor="text1"/>
          <w:sz w:val="28"/>
          <w:szCs w:val="28"/>
          <w:lang w:val="uk-UA"/>
        </w:rPr>
        <w:fldChar w:fldCharType="separate"/>
      </w:r>
      <w:r w:rsidRPr="00913129">
        <w:rPr>
          <w:rFonts w:ascii="Times New Roman" w:hAnsi="Times New Roman" w:cs="Times New Roman"/>
          <w:color w:val="000000" w:themeColor="text1"/>
          <w:kern w:val="0"/>
          <w:sz w:val="28"/>
          <w:szCs w:val="28"/>
          <w:lang w:val="uk-UA"/>
        </w:rPr>
        <w:t>[37]</w:t>
      </w:r>
      <w:r w:rsidRPr="00913129">
        <w:rPr>
          <w:rFonts w:ascii="Times New Roman" w:hAnsi="Times New Roman" w:cs="Times New Roman"/>
          <w:color w:val="000000" w:themeColor="text1"/>
          <w:sz w:val="28"/>
          <w:szCs w:val="28"/>
          <w:lang w:val="uk-UA"/>
        </w:rPr>
        <w:fldChar w:fldCharType="end"/>
      </w:r>
      <w:r w:rsidRPr="00913129">
        <w:rPr>
          <w:rFonts w:ascii="Times New Roman" w:hAnsi="Times New Roman" w:cs="Times New Roman"/>
          <w:color w:val="000000" w:themeColor="text1"/>
          <w:sz w:val="28"/>
          <w:szCs w:val="28"/>
          <w:lang w:val="uk-UA"/>
        </w:rPr>
        <w:t xml:space="preserve">. </w:t>
      </w:r>
    </w:p>
    <w:p w14:paraId="68F7D98C" w14:textId="77777777" w:rsidR="006701FA" w:rsidRPr="00913129" w:rsidRDefault="006701FA" w:rsidP="00B5458A">
      <w:pPr>
        <w:pStyle w:val="a7"/>
        <w:spacing w:after="0" w:line="360" w:lineRule="auto"/>
        <w:ind w:left="0" w:firstLine="851"/>
        <w:jc w:val="both"/>
        <w:rPr>
          <w:rFonts w:ascii="Times New Roman" w:hAnsi="Times New Roman" w:cs="Times New Roman"/>
          <w:color w:val="000000" w:themeColor="text1"/>
          <w:sz w:val="28"/>
          <w:szCs w:val="28"/>
          <w:lang w:val="uk-UA"/>
        </w:rPr>
      </w:pPr>
    </w:p>
    <w:p w14:paraId="4D751320" w14:textId="77777777" w:rsidR="006701FA" w:rsidRPr="00913129" w:rsidRDefault="006701FA" w:rsidP="00B5458A">
      <w:pPr>
        <w:pStyle w:val="a7"/>
        <w:spacing w:after="0" w:line="360" w:lineRule="auto"/>
        <w:ind w:left="0" w:firstLine="851"/>
        <w:jc w:val="both"/>
        <w:rPr>
          <w:rFonts w:ascii="Times New Roman" w:hAnsi="Times New Roman" w:cs="Times New Roman"/>
          <w:color w:val="000000" w:themeColor="text1"/>
          <w:sz w:val="28"/>
          <w:szCs w:val="28"/>
          <w:lang w:val="uk-UA"/>
        </w:rPr>
      </w:pPr>
    </w:p>
    <w:p w14:paraId="54D737B0" w14:textId="5B17FCFA" w:rsidR="00B70060" w:rsidRPr="00913129" w:rsidRDefault="00B70060" w:rsidP="00B70060">
      <w:pPr>
        <w:pStyle w:val="a7"/>
        <w:spacing w:after="0" w:line="360" w:lineRule="auto"/>
        <w:ind w:left="0" w:firstLine="851"/>
        <w:jc w:val="right"/>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lastRenderedPageBreak/>
        <w:t>Таблиця 2.2</w:t>
      </w:r>
    </w:p>
    <w:p w14:paraId="7BD5CAA2" w14:textId="465F625A" w:rsidR="00B70060" w:rsidRPr="00913129" w:rsidRDefault="00B70060" w:rsidP="00B5458A">
      <w:pPr>
        <w:pStyle w:val="a7"/>
        <w:spacing w:after="0" w:line="360" w:lineRule="auto"/>
        <w:ind w:left="0"/>
        <w:jc w:val="center"/>
        <w:rPr>
          <w:rFonts w:ascii="Times New Roman" w:hAnsi="Times New Roman" w:cs="Times New Roman"/>
          <w:color w:val="000000" w:themeColor="text1"/>
          <w:sz w:val="28"/>
          <w:szCs w:val="28"/>
          <w:lang w:val="uk-UA"/>
        </w:rPr>
      </w:pPr>
      <w:r w:rsidRPr="00913129">
        <w:rPr>
          <w:rFonts w:ascii="Times New Roman" w:hAnsi="Times New Roman" w:cs="Times New Roman"/>
          <w:color w:val="000000"/>
          <w:sz w:val="28"/>
          <w:szCs w:val="28"/>
          <w:lang w:val="uk-UA"/>
        </w:rPr>
        <w:t>Ключові події та інструменти соціально відповідального інвестування в Україні, 2019-2024 рр</w:t>
      </w:r>
      <w:r w:rsidR="00CB5B31" w:rsidRPr="00913129">
        <w:rPr>
          <w:rFonts w:ascii="Times New Roman" w:hAnsi="Times New Roman" w:cs="Times New Roman"/>
          <w:color w:val="000000"/>
          <w:sz w:val="28"/>
          <w:szCs w:val="28"/>
          <w:lang w:val="uk-UA"/>
        </w:rPr>
        <w:t>.</w:t>
      </w:r>
    </w:p>
    <w:tbl>
      <w:tblPr>
        <w:tblStyle w:val="af"/>
        <w:tblW w:w="0" w:type="auto"/>
        <w:tblLayout w:type="fixed"/>
        <w:tblLook w:val="04A0" w:firstRow="1" w:lastRow="0" w:firstColumn="1" w:lastColumn="0" w:noHBand="0" w:noVBand="1"/>
      </w:tblPr>
      <w:tblGrid>
        <w:gridCol w:w="846"/>
        <w:gridCol w:w="3260"/>
        <w:gridCol w:w="2410"/>
        <w:gridCol w:w="2828"/>
      </w:tblGrid>
      <w:tr w:rsidR="00B70060" w:rsidRPr="00913129" w14:paraId="3C16EDD1" w14:textId="77777777" w:rsidTr="005165C4">
        <w:tc>
          <w:tcPr>
            <w:tcW w:w="846" w:type="dxa"/>
            <w:vAlign w:val="center"/>
            <w:hideMark/>
          </w:tcPr>
          <w:p w14:paraId="7185238E" w14:textId="77777777" w:rsidR="00B70060" w:rsidRPr="00913129" w:rsidRDefault="00B70060" w:rsidP="00B70060">
            <w:pPr>
              <w:spacing w:before="60" w:after="60"/>
              <w:jc w:val="center"/>
              <w:rPr>
                <w:color w:val="000000"/>
                <w:lang w:val="uk-UA"/>
              </w:rPr>
            </w:pPr>
            <w:r w:rsidRPr="00913129">
              <w:rPr>
                <w:color w:val="000000"/>
                <w:lang w:val="uk-UA"/>
              </w:rPr>
              <w:t>Рік</w:t>
            </w:r>
          </w:p>
        </w:tc>
        <w:tc>
          <w:tcPr>
            <w:tcW w:w="3260" w:type="dxa"/>
            <w:vAlign w:val="center"/>
            <w:hideMark/>
          </w:tcPr>
          <w:p w14:paraId="1BB1FE31" w14:textId="77777777" w:rsidR="00B70060" w:rsidRPr="00913129" w:rsidRDefault="00B70060" w:rsidP="00B70060">
            <w:pPr>
              <w:spacing w:before="60" w:after="60"/>
              <w:jc w:val="center"/>
              <w:rPr>
                <w:color w:val="000000"/>
                <w:lang w:val="uk-UA"/>
              </w:rPr>
            </w:pPr>
            <w:r w:rsidRPr="00913129">
              <w:rPr>
                <w:color w:val="000000"/>
                <w:lang w:val="uk-UA"/>
              </w:rPr>
              <w:t>Інструмент/Подія</w:t>
            </w:r>
          </w:p>
        </w:tc>
        <w:tc>
          <w:tcPr>
            <w:tcW w:w="2410" w:type="dxa"/>
            <w:vAlign w:val="center"/>
            <w:hideMark/>
          </w:tcPr>
          <w:p w14:paraId="16715E2B" w14:textId="77777777" w:rsidR="00B70060" w:rsidRPr="00913129" w:rsidRDefault="00B70060" w:rsidP="00B70060">
            <w:pPr>
              <w:spacing w:before="60" w:after="60"/>
              <w:jc w:val="center"/>
              <w:rPr>
                <w:color w:val="000000"/>
                <w:lang w:val="uk-UA"/>
              </w:rPr>
            </w:pPr>
            <w:r w:rsidRPr="00913129">
              <w:rPr>
                <w:color w:val="000000"/>
                <w:lang w:val="uk-UA"/>
              </w:rPr>
              <w:t>Обсяг/Кількість</w:t>
            </w:r>
          </w:p>
        </w:tc>
        <w:tc>
          <w:tcPr>
            <w:tcW w:w="2828" w:type="dxa"/>
            <w:vAlign w:val="center"/>
            <w:hideMark/>
          </w:tcPr>
          <w:p w14:paraId="16364C39" w14:textId="1002FDE5" w:rsidR="00B70060" w:rsidRPr="00913129" w:rsidRDefault="00B70060" w:rsidP="00B70060">
            <w:pPr>
              <w:spacing w:before="60" w:after="60"/>
              <w:jc w:val="center"/>
              <w:rPr>
                <w:color w:val="000000"/>
                <w:lang w:val="uk-UA"/>
              </w:rPr>
            </w:pPr>
            <w:r w:rsidRPr="00913129">
              <w:rPr>
                <w:color w:val="000000"/>
                <w:lang w:val="uk-UA"/>
              </w:rPr>
              <w:t>Коментар</w:t>
            </w:r>
          </w:p>
        </w:tc>
      </w:tr>
      <w:tr w:rsidR="00B70060" w:rsidRPr="00913129" w14:paraId="1A58F002" w14:textId="77777777" w:rsidTr="005165C4">
        <w:tc>
          <w:tcPr>
            <w:tcW w:w="846" w:type="dxa"/>
            <w:vAlign w:val="center"/>
            <w:hideMark/>
          </w:tcPr>
          <w:p w14:paraId="56AE2CDD" w14:textId="77777777" w:rsidR="00B70060" w:rsidRPr="00913129" w:rsidRDefault="00B70060" w:rsidP="00B70060">
            <w:pPr>
              <w:spacing w:before="60" w:after="60"/>
              <w:jc w:val="center"/>
              <w:rPr>
                <w:color w:val="000000"/>
                <w:lang w:val="uk-UA"/>
              </w:rPr>
            </w:pPr>
            <w:r w:rsidRPr="00913129">
              <w:rPr>
                <w:color w:val="000000"/>
                <w:lang w:val="uk-UA"/>
              </w:rPr>
              <w:t>2019</w:t>
            </w:r>
          </w:p>
        </w:tc>
        <w:tc>
          <w:tcPr>
            <w:tcW w:w="3260" w:type="dxa"/>
            <w:vAlign w:val="center"/>
            <w:hideMark/>
          </w:tcPr>
          <w:p w14:paraId="72FBEE21" w14:textId="71E8184C" w:rsidR="00B70060" w:rsidRPr="00913129" w:rsidRDefault="00B70060" w:rsidP="00B70060">
            <w:pPr>
              <w:spacing w:before="60" w:after="60"/>
              <w:jc w:val="center"/>
              <w:rPr>
                <w:color w:val="000000"/>
                <w:lang w:val="uk-UA"/>
              </w:rPr>
            </w:pPr>
            <w:r w:rsidRPr="00913129">
              <w:rPr>
                <w:color w:val="000000"/>
                <w:lang w:val="uk-UA"/>
              </w:rPr>
              <w:t>Перший випуск «зелених» облігацій</w:t>
            </w:r>
            <w:r w:rsidR="005165C4" w:rsidRPr="00913129">
              <w:rPr>
                <w:color w:val="000000"/>
                <w:lang w:val="uk-UA"/>
              </w:rPr>
              <w:t xml:space="preserve"> (ЗБ)</w:t>
            </w:r>
          </w:p>
        </w:tc>
        <w:tc>
          <w:tcPr>
            <w:tcW w:w="2410" w:type="dxa"/>
            <w:vAlign w:val="center"/>
            <w:hideMark/>
          </w:tcPr>
          <w:p w14:paraId="45EB4BA5" w14:textId="6B620F29" w:rsidR="00B70060" w:rsidRPr="00913129" w:rsidRDefault="00B70060" w:rsidP="00B70060">
            <w:pPr>
              <w:spacing w:before="60" w:after="60"/>
              <w:jc w:val="center"/>
              <w:rPr>
                <w:color w:val="000000"/>
                <w:lang w:val="uk-UA"/>
              </w:rPr>
            </w:pPr>
            <w:r w:rsidRPr="00913129">
              <w:rPr>
                <w:color w:val="000000"/>
                <w:lang w:val="uk-UA"/>
              </w:rPr>
              <w:t>358 млн дол. США</w:t>
            </w:r>
          </w:p>
        </w:tc>
        <w:tc>
          <w:tcPr>
            <w:tcW w:w="2828" w:type="dxa"/>
            <w:vAlign w:val="center"/>
            <w:hideMark/>
          </w:tcPr>
          <w:p w14:paraId="6EC1C2BE" w14:textId="77777777" w:rsidR="00B70060" w:rsidRPr="00913129" w:rsidRDefault="00B70060" w:rsidP="00B70060">
            <w:pPr>
              <w:spacing w:before="60" w:after="60"/>
              <w:jc w:val="center"/>
              <w:rPr>
                <w:color w:val="000000"/>
                <w:lang w:val="uk-UA"/>
              </w:rPr>
            </w:pPr>
            <w:r w:rsidRPr="00913129">
              <w:rPr>
                <w:color w:val="000000"/>
                <w:lang w:val="uk-UA"/>
              </w:rPr>
              <w:t>ДТЕК (Ірландська біржа)</w:t>
            </w:r>
          </w:p>
        </w:tc>
      </w:tr>
      <w:tr w:rsidR="00B70060" w:rsidRPr="00913129" w14:paraId="76927CB8" w14:textId="77777777" w:rsidTr="005165C4">
        <w:tc>
          <w:tcPr>
            <w:tcW w:w="846" w:type="dxa"/>
            <w:vAlign w:val="center"/>
            <w:hideMark/>
          </w:tcPr>
          <w:p w14:paraId="60FC2F4D" w14:textId="77777777" w:rsidR="00B70060" w:rsidRPr="00913129" w:rsidRDefault="00B70060" w:rsidP="00B70060">
            <w:pPr>
              <w:spacing w:before="60" w:after="60"/>
              <w:jc w:val="center"/>
              <w:rPr>
                <w:color w:val="000000"/>
                <w:lang w:val="uk-UA"/>
              </w:rPr>
            </w:pPr>
            <w:r w:rsidRPr="00913129">
              <w:rPr>
                <w:color w:val="000000"/>
                <w:lang w:val="uk-UA"/>
              </w:rPr>
              <w:t>2021</w:t>
            </w:r>
          </w:p>
        </w:tc>
        <w:tc>
          <w:tcPr>
            <w:tcW w:w="3260" w:type="dxa"/>
            <w:vAlign w:val="center"/>
            <w:hideMark/>
          </w:tcPr>
          <w:p w14:paraId="45AF8E1D" w14:textId="07D2E0E2" w:rsidR="00B70060" w:rsidRPr="00913129" w:rsidRDefault="00B70060" w:rsidP="00B70060">
            <w:pPr>
              <w:spacing w:before="60" w:after="60"/>
              <w:jc w:val="center"/>
              <w:rPr>
                <w:color w:val="000000"/>
                <w:lang w:val="uk-UA"/>
              </w:rPr>
            </w:pPr>
            <w:r w:rsidRPr="00913129">
              <w:rPr>
                <w:color w:val="000000"/>
                <w:lang w:val="uk-UA"/>
              </w:rPr>
              <w:t>Випуск «зелених» суверенних облігацій</w:t>
            </w:r>
          </w:p>
        </w:tc>
        <w:tc>
          <w:tcPr>
            <w:tcW w:w="2410" w:type="dxa"/>
            <w:vAlign w:val="center"/>
            <w:hideMark/>
          </w:tcPr>
          <w:p w14:paraId="7AEBD303" w14:textId="61007EE9" w:rsidR="00B70060" w:rsidRPr="00913129" w:rsidRDefault="00B70060" w:rsidP="00B70060">
            <w:pPr>
              <w:spacing w:before="60" w:after="60"/>
              <w:jc w:val="center"/>
              <w:rPr>
                <w:color w:val="000000"/>
                <w:lang w:val="uk-UA"/>
              </w:rPr>
            </w:pPr>
            <w:r w:rsidRPr="00913129">
              <w:rPr>
                <w:color w:val="000000"/>
                <w:lang w:val="uk-UA"/>
              </w:rPr>
              <w:t>825 млн дол. США</w:t>
            </w:r>
          </w:p>
        </w:tc>
        <w:tc>
          <w:tcPr>
            <w:tcW w:w="2828" w:type="dxa"/>
            <w:vAlign w:val="center"/>
            <w:hideMark/>
          </w:tcPr>
          <w:p w14:paraId="440B0A2F" w14:textId="1442A972" w:rsidR="00B70060" w:rsidRPr="00913129" w:rsidRDefault="00B70060" w:rsidP="00B70060">
            <w:pPr>
              <w:spacing w:before="60" w:after="60"/>
              <w:jc w:val="center"/>
              <w:rPr>
                <w:color w:val="000000"/>
                <w:lang w:val="uk-UA"/>
              </w:rPr>
            </w:pPr>
            <w:r w:rsidRPr="00913129">
              <w:rPr>
                <w:color w:val="000000"/>
                <w:lang w:val="uk-UA"/>
              </w:rPr>
              <w:t>НЕК «Укренерго» (</w:t>
            </w:r>
            <w:r w:rsidR="0016721D" w:rsidRPr="00913129">
              <w:rPr>
                <w:color w:val="000000"/>
                <w:lang w:val="uk-UA"/>
              </w:rPr>
              <w:t>Лондонська біржа</w:t>
            </w:r>
            <w:r w:rsidRPr="00913129">
              <w:rPr>
                <w:color w:val="000000"/>
                <w:lang w:val="uk-UA"/>
              </w:rPr>
              <w:t>)</w:t>
            </w:r>
          </w:p>
        </w:tc>
      </w:tr>
      <w:tr w:rsidR="00B70060" w:rsidRPr="00913129" w14:paraId="53159240" w14:textId="77777777" w:rsidTr="005165C4">
        <w:tc>
          <w:tcPr>
            <w:tcW w:w="846" w:type="dxa"/>
            <w:vAlign w:val="center"/>
            <w:hideMark/>
          </w:tcPr>
          <w:p w14:paraId="6CC7A244" w14:textId="1A738B8F" w:rsidR="00B70060" w:rsidRPr="00913129" w:rsidRDefault="00B70060" w:rsidP="00B70060">
            <w:pPr>
              <w:spacing w:before="60" w:after="60"/>
              <w:jc w:val="center"/>
              <w:rPr>
                <w:color w:val="000000"/>
                <w:lang w:val="uk-UA"/>
              </w:rPr>
            </w:pPr>
            <w:r w:rsidRPr="00913129">
              <w:rPr>
                <w:color w:val="000000"/>
                <w:lang w:val="uk-UA"/>
              </w:rPr>
              <w:t>2015-2019</w:t>
            </w:r>
          </w:p>
        </w:tc>
        <w:tc>
          <w:tcPr>
            <w:tcW w:w="3260" w:type="dxa"/>
            <w:vAlign w:val="center"/>
            <w:hideMark/>
          </w:tcPr>
          <w:p w14:paraId="41A8FB78" w14:textId="665793DE" w:rsidR="00B70060" w:rsidRPr="00913129" w:rsidRDefault="00B70060" w:rsidP="00B70060">
            <w:pPr>
              <w:spacing w:before="60" w:after="60"/>
              <w:jc w:val="center"/>
              <w:rPr>
                <w:color w:val="000000"/>
                <w:lang w:val="uk-UA"/>
              </w:rPr>
            </w:pPr>
            <w:r w:rsidRPr="00913129">
              <w:rPr>
                <w:color w:val="000000"/>
                <w:lang w:val="uk-UA"/>
              </w:rPr>
              <w:t>Гранти для МСП</w:t>
            </w:r>
          </w:p>
        </w:tc>
        <w:tc>
          <w:tcPr>
            <w:tcW w:w="2410" w:type="dxa"/>
            <w:vAlign w:val="center"/>
            <w:hideMark/>
          </w:tcPr>
          <w:p w14:paraId="0AC412AC" w14:textId="77777777" w:rsidR="00B70060" w:rsidRPr="00913129" w:rsidRDefault="00B70060" w:rsidP="00B70060">
            <w:pPr>
              <w:spacing w:before="60" w:after="60"/>
              <w:jc w:val="center"/>
              <w:rPr>
                <w:color w:val="000000"/>
                <w:lang w:val="uk-UA"/>
              </w:rPr>
            </w:pPr>
            <w:r w:rsidRPr="00913129">
              <w:rPr>
                <w:color w:val="000000"/>
                <w:lang w:val="uk-UA"/>
              </w:rPr>
              <w:t>650 підприємств</w:t>
            </w:r>
          </w:p>
        </w:tc>
        <w:tc>
          <w:tcPr>
            <w:tcW w:w="2828" w:type="dxa"/>
            <w:vAlign w:val="center"/>
            <w:hideMark/>
          </w:tcPr>
          <w:p w14:paraId="1F0D0F6D" w14:textId="77777777" w:rsidR="00B70060" w:rsidRPr="00913129" w:rsidRDefault="00B70060" w:rsidP="00B70060">
            <w:pPr>
              <w:spacing w:before="60" w:after="60"/>
              <w:jc w:val="center"/>
              <w:rPr>
                <w:color w:val="000000"/>
                <w:lang w:val="uk-UA"/>
              </w:rPr>
            </w:pPr>
            <w:r w:rsidRPr="00913129">
              <w:rPr>
                <w:color w:val="000000"/>
                <w:lang w:val="uk-UA"/>
              </w:rPr>
              <w:t>ПРООН, МОМ</w:t>
            </w:r>
          </w:p>
        </w:tc>
      </w:tr>
      <w:tr w:rsidR="00B70060" w:rsidRPr="00913129" w14:paraId="5BCB8CCA" w14:textId="77777777" w:rsidTr="005165C4">
        <w:tc>
          <w:tcPr>
            <w:tcW w:w="846" w:type="dxa"/>
            <w:vAlign w:val="center"/>
            <w:hideMark/>
          </w:tcPr>
          <w:p w14:paraId="7D98904A" w14:textId="77777777" w:rsidR="00B70060" w:rsidRPr="00913129" w:rsidRDefault="00B70060" w:rsidP="00B70060">
            <w:pPr>
              <w:spacing w:before="60" w:after="60"/>
              <w:jc w:val="center"/>
              <w:rPr>
                <w:color w:val="000000"/>
                <w:lang w:val="uk-UA"/>
              </w:rPr>
            </w:pPr>
            <w:r w:rsidRPr="00913129">
              <w:rPr>
                <w:color w:val="000000"/>
                <w:lang w:val="uk-UA"/>
              </w:rPr>
              <w:t>2016</w:t>
            </w:r>
          </w:p>
        </w:tc>
        <w:tc>
          <w:tcPr>
            <w:tcW w:w="3260" w:type="dxa"/>
            <w:vAlign w:val="center"/>
            <w:hideMark/>
          </w:tcPr>
          <w:p w14:paraId="60E46E6D" w14:textId="5DED5230" w:rsidR="00B70060" w:rsidRPr="00913129" w:rsidRDefault="00B70060" w:rsidP="00B70060">
            <w:pPr>
              <w:spacing w:before="60" w:after="60"/>
              <w:jc w:val="center"/>
              <w:rPr>
                <w:color w:val="000000"/>
                <w:lang w:val="uk-UA"/>
              </w:rPr>
            </w:pPr>
            <w:r w:rsidRPr="00913129">
              <w:rPr>
                <w:color w:val="000000"/>
                <w:lang w:val="uk-UA"/>
              </w:rPr>
              <w:t xml:space="preserve">Перший impact-фонд </w:t>
            </w:r>
          </w:p>
        </w:tc>
        <w:tc>
          <w:tcPr>
            <w:tcW w:w="2410" w:type="dxa"/>
            <w:vAlign w:val="center"/>
            <w:hideMark/>
          </w:tcPr>
          <w:p w14:paraId="366D3C11" w14:textId="77777777" w:rsidR="00B70060" w:rsidRPr="00913129" w:rsidRDefault="00B70060" w:rsidP="00B70060">
            <w:pPr>
              <w:spacing w:before="60" w:after="60"/>
              <w:jc w:val="center"/>
              <w:rPr>
                <w:color w:val="000000"/>
                <w:lang w:val="uk-UA"/>
              </w:rPr>
            </w:pPr>
            <w:r w:rsidRPr="00913129">
              <w:rPr>
                <w:color w:val="000000"/>
                <w:lang w:val="uk-UA"/>
              </w:rPr>
              <w:t>десятки підприємств</w:t>
            </w:r>
          </w:p>
        </w:tc>
        <w:tc>
          <w:tcPr>
            <w:tcW w:w="2828" w:type="dxa"/>
            <w:vAlign w:val="center"/>
            <w:hideMark/>
          </w:tcPr>
          <w:p w14:paraId="17A6244E" w14:textId="77777777" w:rsidR="00B70060" w:rsidRPr="00913129" w:rsidRDefault="00B70060" w:rsidP="00B70060">
            <w:pPr>
              <w:spacing w:before="60" w:after="60"/>
              <w:jc w:val="center"/>
              <w:rPr>
                <w:color w:val="000000"/>
                <w:lang w:val="uk-UA"/>
              </w:rPr>
            </w:pPr>
            <w:r w:rsidRPr="00913129">
              <w:rPr>
                <w:color w:val="000000"/>
                <w:lang w:val="uk-UA"/>
              </w:rPr>
              <w:t>Пільгові кредити, гранти</w:t>
            </w:r>
          </w:p>
        </w:tc>
      </w:tr>
      <w:tr w:rsidR="00B70060" w:rsidRPr="00913129" w14:paraId="33EFCE5F" w14:textId="77777777" w:rsidTr="005165C4">
        <w:tc>
          <w:tcPr>
            <w:tcW w:w="846" w:type="dxa"/>
            <w:vAlign w:val="center"/>
            <w:hideMark/>
          </w:tcPr>
          <w:p w14:paraId="2AE51406" w14:textId="77777777" w:rsidR="00B70060" w:rsidRPr="00913129" w:rsidRDefault="00B70060" w:rsidP="00B70060">
            <w:pPr>
              <w:spacing w:before="60" w:after="60"/>
              <w:jc w:val="center"/>
              <w:rPr>
                <w:color w:val="000000"/>
                <w:lang w:val="uk-UA"/>
              </w:rPr>
            </w:pPr>
            <w:r w:rsidRPr="00913129">
              <w:rPr>
                <w:color w:val="000000"/>
                <w:lang w:val="uk-UA"/>
              </w:rPr>
              <w:t>2021</w:t>
            </w:r>
          </w:p>
        </w:tc>
        <w:tc>
          <w:tcPr>
            <w:tcW w:w="3260" w:type="dxa"/>
            <w:vAlign w:val="center"/>
            <w:hideMark/>
          </w:tcPr>
          <w:p w14:paraId="313E0093" w14:textId="77777777" w:rsidR="00B70060" w:rsidRPr="00913129" w:rsidRDefault="00B70060" w:rsidP="00B70060">
            <w:pPr>
              <w:spacing w:before="60" w:after="60"/>
              <w:jc w:val="center"/>
              <w:rPr>
                <w:color w:val="000000"/>
                <w:lang w:val="uk-UA"/>
              </w:rPr>
            </w:pPr>
            <w:r w:rsidRPr="00913129">
              <w:rPr>
                <w:color w:val="000000"/>
                <w:lang w:val="uk-UA"/>
              </w:rPr>
              <w:t>Створення першого Green Investment Fund</w:t>
            </w:r>
          </w:p>
        </w:tc>
        <w:tc>
          <w:tcPr>
            <w:tcW w:w="2410" w:type="dxa"/>
            <w:vAlign w:val="center"/>
            <w:hideMark/>
          </w:tcPr>
          <w:p w14:paraId="32A8CB70" w14:textId="77777777" w:rsidR="00B70060" w:rsidRPr="00913129" w:rsidRDefault="00B70060" w:rsidP="00B70060">
            <w:pPr>
              <w:spacing w:before="60" w:after="60"/>
              <w:jc w:val="center"/>
              <w:rPr>
                <w:color w:val="000000"/>
                <w:lang w:val="uk-UA"/>
              </w:rPr>
            </w:pPr>
            <w:r w:rsidRPr="00913129">
              <w:rPr>
                <w:color w:val="000000"/>
                <w:lang w:val="uk-UA"/>
              </w:rPr>
              <w:t>—</w:t>
            </w:r>
          </w:p>
        </w:tc>
        <w:tc>
          <w:tcPr>
            <w:tcW w:w="2828" w:type="dxa"/>
            <w:vAlign w:val="center"/>
            <w:hideMark/>
          </w:tcPr>
          <w:p w14:paraId="10915ED5" w14:textId="2C00E0F0" w:rsidR="00B70060" w:rsidRPr="00913129" w:rsidRDefault="00B70060" w:rsidP="00B70060">
            <w:pPr>
              <w:spacing w:before="60" w:after="60"/>
              <w:jc w:val="center"/>
              <w:rPr>
                <w:color w:val="000000"/>
                <w:lang w:val="uk-UA"/>
              </w:rPr>
            </w:pPr>
            <w:r w:rsidRPr="00913129">
              <w:rPr>
                <w:color w:val="000000"/>
                <w:lang w:val="uk-UA"/>
              </w:rPr>
              <w:t>Приватний фонд</w:t>
            </w:r>
            <w:r w:rsidR="0016721D" w:rsidRPr="00913129">
              <w:rPr>
                <w:color w:val="000000"/>
                <w:lang w:val="uk-UA"/>
              </w:rPr>
              <w:t xml:space="preserve"> (жовтень 2021 р.)</w:t>
            </w:r>
          </w:p>
        </w:tc>
      </w:tr>
      <w:tr w:rsidR="00B70060" w:rsidRPr="00913129" w14:paraId="597E18BD" w14:textId="77777777" w:rsidTr="005165C4">
        <w:tc>
          <w:tcPr>
            <w:tcW w:w="846" w:type="dxa"/>
            <w:vAlign w:val="center"/>
            <w:hideMark/>
          </w:tcPr>
          <w:p w14:paraId="11CCE6CF" w14:textId="77777777" w:rsidR="00B70060" w:rsidRPr="00913129" w:rsidRDefault="00B70060" w:rsidP="00B70060">
            <w:pPr>
              <w:spacing w:before="60" w:after="60"/>
              <w:jc w:val="center"/>
              <w:rPr>
                <w:color w:val="000000"/>
                <w:lang w:val="uk-UA"/>
              </w:rPr>
            </w:pPr>
            <w:r w:rsidRPr="00913129">
              <w:rPr>
                <w:color w:val="000000"/>
                <w:lang w:val="uk-UA"/>
              </w:rPr>
              <w:t>2023</w:t>
            </w:r>
          </w:p>
        </w:tc>
        <w:tc>
          <w:tcPr>
            <w:tcW w:w="3260" w:type="dxa"/>
            <w:vAlign w:val="center"/>
            <w:hideMark/>
          </w:tcPr>
          <w:p w14:paraId="7CBF53EF" w14:textId="77777777" w:rsidR="00B70060" w:rsidRPr="00913129" w:rsidRDefault="00B70060" w:rsidP="00B70060">
            <w:pPr>
              <w:spacing w:before="60" w:after="60"/>
              <w:jc w:val="center"/>
              <w:rPr>
                <w:color w:val="000000"/>
                <w:lang w:val="uk-UA"/>
              </w:rPr>
            </w:pPr>
            <w:r w:rsidRPr="00913129">
              <w:rPr>
                <w:color w:val="000000"/>
                <w:lang w:val="uk-UA"/>
              </w:rPr>
              <w:t>Участь Horizon Capital у PRI</w:t>
            </w:r>
          </w:p>
        </w:tc>
        <w:tc>
          <w:tcPr>
            <w:tcW w:w="2410" w:type="dxa"/>
            <w:vAlign w:val="center"/>
            <w:hideMark/>
          </w:tcPr>
          <w:p w14:paraId="5303F5A1" w14:textId="646D6D7C" w:rsidR="00B70060" w:rsidRPr="00913129" w:rsidRDefault="0016721D" w:rsidP="00B70060">
            <w:pPr>
              <w:spacing w:before="60" w:after="60"/>
              <w:jc w:val="center"/>
              <w:rPr>
                <w:color w:val="000000"/>
                <w:lang w:val="uk-UA"/>
              </w:rPr>
            </w:pPr>
            <w:r w:rsidRPr="00913129">
              <w:rPr>
                <w:color w:val="000000"/>
                <w:lang w:val="uk-UA"/>
              </w:rPr>
              <w:t>1,2 млрд дол. США AUM</w:t>
            </w:r>
          </w:p>
        </w:tc>
        <w:tc>
          <w:tcPr>
            <w:tcW w:w="2828" w:type="dxa"/>
            <w:vAlign w:val="center"/>
            <w:hideMark/>
          </w:tcPr>
          <w:p w14:paraId="59F2FA6D" w14:textId="4F2AAEE0" w:rsidR="00B70060" w:rsidRPr="00913129" w:rsidRDefault="00B70060" w:rsidP="00B70060">
            <w:pPr>
              <w:spacing w:before="60" w:after="60"/>
              <w:jc w:val="center"/>
              <w:rPr>
                <w:color w:val="000000"/>
                <w:lang w:val="uk-UA"/>
              </w:rPr>
            </w:pPr>
            <w:r w:rsidRPr="00913129">
              <w:rPr>
                <w:color w:val="000000"/>
                <w:lang w:val="uk-UA"/>
              </w:rPr>
              <w:t>Перший підписант із України</w:t>
            </w:r>
            <w:r w:rsidR="0016721D" w:rsidRPr="00913129">
              <w:rPr>
                <w:color w:val="000000"/>
                <w:lang w:val="uk-UA"/>
              </w:rPr>
              <w:t xml:space="preserve"> (березень 2023 р.)</w:t>
            </w:r>
          </w:p>
        </w:tc>
      </w:tr>
      <w:tr w:rsidR="00B70060" w:rsidRPr="00913129" w14:paraId="1E6CD199" w14:textId="77777777" w:rsidTr="005165C4">
        <w:tc>
          <w:tcPr>
            <w:tcW w:w="846" w:type="dxa"/>
            <w:vAlign w:val="center"/>
            <w:hideMark/>
          </w:tcPr>
          <w:p w14:paraId="5587EF23" w14:textId="77777777" w:rsidR="00B70060" w:rsidRPr="00913129" w:rsidRDefault="00B70060" w:rsidP="00B70060">
            <w:pPr>
              <w:spacing w:before="60" w:after="60"/>
              <w:jc w:val="center"/>
              <w:rPr>
                <w:color w:val="000000"/>
                <w:lang w:val="uk-UA"/>
              </w:rPr>
            </w:pPr>
            <w:r w:rsidRPr="00913129">
              <w:rPr>
                <w:color w:val="000000"/>
                <w:lang w:val="uk-UA"/>
              </w:rPr>
              <w:t>2024</w:t>
            </w:r>
          </w:p>
        </w:tc>
        <w:tc>
          <w:tcPr>
            <w:tcW w:w="3260" w:type="dxa"/>
            <w:vAlign w:val="center"/>
            <w:hideMark/>
          </w:tcPr>
          <w:p w14:paraId="5AEE01CE" w14:textId="6F68587B" w:rsidR="00B70060" w:rsidRPr="00913129" w:rsidRDefault="005165C4" w:rsidP="00B70060">
            <w:pPr>
              <w:spacing w:before="60" w:after="60"/>
              <w:jc w:val="center"/>
              <w:rPr>
                <w:color w:val="000000"/>
                <w:lang w:val="uk-UA"/>
              </w:rPr>
            </w:pPr>
            <w:r w:rsidRPr="00913129">
              <w:rPr>
                <w:color w:val="000000"/>
                <w:lang w:val="uk-UA"/>
              </w:rPr>
              <w:t>Сума</w:t>
            </w:r>
            <w:r w:rsidR="00B70060" w:rsidRPr="00913129">
              <w:rPr>
                <w:color w:val="000000"/>
                <w:lang w:val="uk-UA"/>
              </w:rPr>
              <w:t xml:space="preserve"> «зелених» облігацій</w:t>
            </w:r>
          </w:p>
        </w:tc>
        <w:tc>
          <w:tcPr>
            <w:tcW w:w="2410" w:type="dxa"/>
            <w:vAlign w:val="center"/>
            <w:hideMark/>
          </w:tcPr>
          <w:p w14:paraId="77C831D8" w14:textId="53E544A9" w:rsidR="00B70060" w:rsidRPr="00913129" w:rsidRDefault="00B70060" w:rsidP="00B70060">
            <w:pPr>
              <w:spacing w:before="60" w:after="60"/>
              <w:jc w:val="center"/>
              <w:rPr>
                <w:color w:val="000000"/>
                <w:lang w:val="uk-UA"/>
              </w:rPr>
            </w:pPr>
            <w:r w:rsidRPr="00913129">
              <w:rPr>
                <w:color w:val="000000"/>
                <w:lang w:val="uk-UA"/>
              </w:rPr>
              <w:t>1,2 млрд дол. США</w:t>
            </w:r>
          </w:p>
        </w:tc>
        <w:tc>
          <w:tcPr>
            <w:tcW w:w="2828" w:type="dxa"/>
            <w:vAlign w:val="center"/>
            <w:hideMark/>
          </w:tcPr>
          <w:p w14:paraId="562D2EE4" w14:textId="77777777" w:rsidR="00B70060" w:rsidRPr="00913129" w:rsidRDefault="00B70060" w:rsidP="00B70060">
            <w:pPr>
              <w:spacing w:before="60" w:after="60"/>
              <w:jc w:val="center"/>
              <w:rPr>
                <w:color w:val="000000"/>
                <w:lang w:val="uk-UA"/>
              </w:rPr>
            </w:pPr>
            <w:r w:rsidRPr="00913129">
              <w:rPr>
                <w:color w:val="000000"/>
                <w:lang w:val="uk-UA"/>
              </w:rPr>
              <w:t>—</w:t>
            </w:r>
          </w:p>
        </w:tc>
      </w:tr>
    </w:tbl>
    <w:p w14:paraId="7F7C52DE" w14:textId="0559D29D" w:rsidR="00B70060" w:rsidRPr="00913129" w:rsidRDefault="00B70060" w:rsidP="003E75AE">
      <w:pPr>
        <w:pStyle w:val="a7"/>
        <w:spacing w:before="120" w:after="0" w:line="360" w:lineRule="auto"/>
        <w:ind w:left="0"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 xml:space="preserve">Джерело: складено на основі даних </w:t>
      </w:r>
      <w:r w:rsidR="00CB5B31" w:rsidRPr="00913129">
        <w:rPr>
          <w:rFonts w:ascii="Times New Roman" w:hAnsi="Times New Roman" w:cs="Times New Roman"/>
          <w:color w:val="000000" w:themeColor="text1"/>
          <w:sz w:val="28"/>
          <w:szCs w:val="28"/>
          <w:lang w:val="uk-UA"/>
        </w:rPr>
        <w:t>[36-51]</w:t>
      </w:r>
    </w:p>
    <w:p w14:paraId="770C0352" w14:textId="33FBC4DD" w:rsidR="00B70060" w:rsidRPr="00913129" w:rsidRDefault="00AB5B6A" w:rsidP="00B5458A">
      <w:pPr>
        <w:pStyle w:val="a7"/>
        <w:spacing w:after="0" w:line="360" w:lineRule="auto"/>
        <w:ind w:left="0"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У 2021 році відбувся наступний</w:t>
      </w:r>
      <w:r w:rsidRPr="00913129">
        <w:rPr>
          <w:rStyle w:val="apple-converted-space"/>
          <w:rFonts w:ascii="Times New Roman" w:hAnsi="Times New Roman" w:cs="Times New Roman"/>
          <w:color w:val="000000" w:themeColor="text1"/>
          <w:sz w:val="28"/>
          <w:szCs w:val="28"/>
          <w:lang w:val="uk-UA"/>
        </w:rPr>
        <w:t> </w:t>
      </w:r>
      <w:r w:rsidR="00AA0E17" w:rsidRPr="00913129">
        <w:rPr>
          <w:rFonts w:ascii="Times New Roman" w:hAnsi="Times New Roman" w:cs="Times New Roman"/>
          <w:color w:val="000000" w:themeColor="text1"/>
          <w:sz w:val="28"/>
          <w:szCs w:val="28"/>
          <w:lang w:val="uk-UA"/>
        </w:rPr>
        <w:t xml:space="preserve">випуск зелених облігацій на Лондонській біржі під 6,875% річних. Емітентом виступила НЕК «Укренерго». Сума випуску </w:t>
      </w:r>
      <w:r w:rsidR="003C29D6" w:rsidRPr="00913129">
        <w:rPr>
          <w:rFonts w:ascii="Times New Roman" w:hAnsi="Times New Roman" w:cs="Times New Roman"/>
          <w:color w:val="000000" w:themeColor="text1"/>
          <w:sz w:val="28"/>
          <w:szCs w:val="28"/>
          <w:lang w:val="uk-UA"/>
        </w:rPr>
        <w:t>оцінюється</w:t>
      </w:r>
      <w:r w:rsidR="00AA0E17" w:rsidRPr="00913129">
        <w:rPr>
          <w:rFonts w:ascii="Times New Roman" w:hAnsi="Times New Roman" w:cs="Times New Roman"/>
          <w:color w:val="000000" w:themeColor="text1"/>
          <w:sz w:val="28"/>
          <w:szCs w:val="28"/>
          <w:lang w:val="uk-UA"/>
        </w:rPr>
        <w:t xml:space="preserve"> </w:t>
      </w:r>
      <w:r w:rsidRPr="00913129">
        <w:rPr>
          <w:rFonts w:ascii="Times New Roman" w:hAnsi="Times New Roman" w:cs="Times New Roman"/>
          <w:color w:val="000000" w:themeColor="text1"/>
          <w:sz w:val="28"/>
          <w:szCs w:val="28"/>
          <w:lang w:val="uk-UA"/>
        </w:rPr>
        <w:t xml:space="preserve">як </w:t>
      </w:r>
      <w:r w:rsidR="00AA0E17" w:rsidRPr="00913129">
        <w:rPr>
          <w:rFonts w:ascii="Times New Roman" w:hAnsi="Times New Roman" w:cs="Times New Roman"/>
          <w:color w:val="000000" w:themeColor="text1"/>
          <w:sz w:val="28"/>
          <w:szCs w:val="28"/>
          <w:lang w:val="uk-UA"/>
        </w:rPr>
        <w:t xml:space="preserve">825 млн дол. США </w:t>
      </w:r>
      <w:r w:rsidRPr="00913129">
        <w:rPr>
          <w:rFonts w:ascii="Times New Roman" w:hAnsi="Times New Roman" w:cs="Times New Roman"/>
          <w:color w:val="000000" w:themeColor="text1"/>
          <w:sz w:val="28"/>
          <w:szCs w:val="28"/>
          <w:lang w:val="uk-UA"/>
        </w:rPr>
        <w:t>із п</w:t>
      </w:r>
      <w:r w:rsidR="00340D11" w:rsidRPr="00913129">
        <w:rPr>
          <w:rFonts w:ascii="Times New Roman" w:hAnsi="Times New Roman" w:cs="Times New Roman"/>
          <w:color w:val="000000" w:themeColor="text1"/>
          <w:sz w:val="28"/>
          <w:szCs w:val="28"/>
          <w:lang w:val="uk-UA"/>
        </w:rPr>
        <w:t>’</w:t>
      </w:r>
      <w:r w:rsidRPr="00913129">
        <w:rPr>
          <w:rFonts w:ascii="Times New Roman" w:hAnsi="Times New Roman" w:cs="Times New Roman"/>
          <w:color w:val="000000" w:themeColor="text1"/>
          <w:sz w:val="28"/>
          <w:szCs w:val="28"/>
          <w:lang w:val="uk-UA"/>
        </w:rPr>
        <w:t xml:space="preserve">ятирічним терміном обігу </w:t>
      </w:r>
      <w:r w:rsidR="00AA0E17" w:rsidRPr="00913129">
        <w:rPr>
          <w:rFonts w:ascii="Times New Roman" w:hAnsi="Times New Roman" w:cs="Times New Roman"/>
          <w:color w:val="000000" w:themeColor="text1"/>
          <w:sz w:val="28"/>
          <w:szCs w:val="28"/>
          <w:lang w:val="uk-UA"/>
        </w:rPr>
        <w:fldChar w:fldCharType="begin"/>
      </w:r>
      <w:r w:rsidR="00D04550" w:rsidRPr="00913129">
        <w:rPr>
          <w:rFonts w:ascii="Times New Roman" w:hAnsi="Times New Roman" w:cs="Times New Roman"/>
          <w:color w:val="000000" w:themeColor="text1"/>
          <w:sz w:val="28"/>
          <w:szCs w:val="28"/>
          <w:lang w:val="uk-UA"/>
        </w:rPr>
        <w:instrText xml:space="preserve"> ADDIN ZOTERO_ITEM CSL_CITATION {"citationID":"x9wOkyHo","properties":{"formattedCitation":"\\super [37,38]\\nosupersub{}","plainCitation":"[37,38]","noteIndex":0},"citationItems":[{"id":625,"uris":["http://zotero.org/users/10910668/items/BIY4QPF5"],"itemData":{"id":625,"type":"article-journal","abstract":"The purpose of the article is to study the essence of «green» finance in the context of sustainable development on the basis of the «green» economy and under the conditions of the need for the post-war recovery of Ukraine. To achieve the outlined goal, the following tasks were performed: an analysis of approaches to understanding the essence of «green» finance was carried out, institutional and organizational support for «green» finance was determined, and financial instruments of «green» finance were systematized.The following methods were used in the study: dialectical and historical - to study the evolution of «green» finance, and its financial instruments; induction and deduction, a systematic approach - to determine the essence of «green» finance and the main organizational and financial aspects, a comparative method - to study the degree of activation of «green» financing in OECD countries, etc.It is recommended that the post-war recovery of Ukraine should be carried out on the basis of «green» finances, in compliance with the obligations to implement the European Green Course. To restore Ukraine on the basis of «green» finance, it is necessary to ensure the implementation of comprehensive measures in the following areas: raising awareness and public awareness of \"green\" finance, opportunities for financial participation in the implementation of environmental policy and environmental projects; introduction of progressive rates for environmental tax, rent, etc.; review of the budget policy and transfer of environmental tax revenues to the special fund of the state and local budgets; ensuring the attraction of funding from various sources for the implementation of environmental projects; creation of prerequisites for the introduction of the green bond market, the issuers of which will be the state, local authorities and business entities; development and implementation of state targeted programs and environmental projects, which will be financed from tax and non-tax revenues; introduction of fiscal and non-fiscal incentives for the implementation of environmental projects, etc.","container-title":"Financial and credit activity problems of theory and practice","DOI":"10.55643/fcaptp.3.56.2024.4403","ISSN":"2310-8770","issue":"56","language":"uk","license":"Авторське право (c) 2024 Оксана Драган","note":"number: 56","page":"75-85","source":"www.fkd.net.ua","title":"«ЗЕЛЕНІ ФІНАНСИ» В ПОВОЄННОМУ ВІДНОВЛЕННІ УКРАЇНИ: ОРГАНІЗАЦІЙНО-ФІНАНСОВІ АСПЕКТИ","title-short":"«ЗЕЛЕНІ ФІНАНСИ» В ПОВОЄННОМУ ВІДНОВЛЕННІ УКРАЇНИ","volume":"3","author":[{"family":"Варченко","given":"Ольга"},{"family":"Драган","given":"Оксана"},{"family":"Ткаченко","given":"Катерина"},{"family":"Рибак","given":"Надія"},{"family":"Зубченко","given":"Вікторія"}],"issued":{"date-parts":[["2024",6,30]]}},"label":"page"},{"id":627,"uris":["http://zotero.org/users/10910668/items/DA9NA3ZZ"],"itemData":{"id":627,"type":"webpage","abstract":"On November 3, 2021, NEC \"Ukrenergo\" announced the placement of USD 825 mln debut 5-year Green and Sustainability-linked Eurobonds","container-title":"Integrites","language":"en","title":"Ukrenergo Has Successfully Placed USD 825 mln Debut 5-year \"Green\" Eurobonds at 6.875%","URL":"https://www.integrites.com/publications/ukrenergo-has-successfully-placed-usd-825-mln-debut-5-year-green-eurobonds-at-6-875/","accessed":{"date-parts":[["2025",5,16]]}},"label":"page"}],"schema":"https://github.com/citation-style-language/schema/raw/master/csl-citation.json"} </w:instrText>
      </w:r>
      <w:r w:rsidR="00AA0E17" w:rsidRPr="00913129">
        <w:rPr>
          <w:rFonts w:ascii="Times New Roman" w:hAnsi="Times New Roman" w:cs="Times New Roman"/>
          <w:color w:val="000000" w:themeColor="text1"/>
          <w:sz w:val="28"/>
          <w:szCs w:val="28"/>
          <w:lang w:val="uk-UA"/>
        </w:rPr>
        <w:fldChar w:fldCharType="separate"/>
      </w:r>
      <w:r w:rsidR="00D04550" w:rsidRPr="00913129">
        <w:rPr>
          <w:rFonts w:ascii="Times New Roman" w:hAnsi="Times New Roman" w:cs="Times New Roman"/>
          <w:color w:val="000000" w:themeColor="text1"/>
          <w:kern w:val="0"/>
          <w:sz w:val="28"/>
          <w:szCs w:val="28"/>
          <w:lang w:val="uk-UA"/>
        </w:rPr>
        <w:t>[37,38]</w:t>
      </w:r>
      <w:r w:rsidR="00AA0E17" w:rsidRPr="00913129">
        <w:rPr>
          <w:rFonts w:ascii="Times New Roman" w:hAnsi="Times New Roman" w:cs="Times New Roman"/>
          <w:color w:val="000000" w:themeColor="text1"/>
          <w:sz w:val="28"/>
          <w:szCs w:val="28"/>
          <w:lang w:val="uk-UA"/>
        </w:rPr>
        <w:fldChar w:fldCharType="end"/>
      </w:r>
      <w:r w:rsidR="00AA0E17" w:rsidRPr="00913129">
        <w:rPr>
          <w:rFonts w:ascii="Times New Roman" w:hAnsi="Times New Roman" w:cs="Times New Roman"/>
          <w:color w:val="000000" w:themeColor="text1"/>
          <w:sz w:val="28"/>
          <w:szCs w:val="28"/>
          <w:lang w:val="uk-UA"/>
        </w:rPr>
        <w:t>. Цей випуск був підтриманий ЄБРР як інвестором із сумою</w:t>
      </w:r>
      <w:r w:rsidRPr="00913129">
        <w:rPr>
          <w:rFonts w:ascii="Times New Roman" w:hAnsi="Times New Roman" w:cs="Times New Roman"/>
          <w:color w:val="000000" w:themeColor="text1"/>
          <w:sz w:val="28"/>
          <w:szCs w:val="28"/>
          <w:lang w:val="uk-UA"/>
        </w:rPr>
        <w:t xml:space="preserve"> вкладення</w:t>
      </w:r>
      <w:r w:rsidR="00AA0E17" w:rsidRPr="00913129">
        <w:rPr>
          <w:rFonts w:ascii="Times New Roman" w:hAnsi="Times New Roman" w:cs="Times New Roman"/>
          <w:color w:val="000000" w:themeColor="text1"/>
          <w:sz w:val="28"/>
          <w:szCs w:val="28"/>
          <w:lang w:val="uk-UA"/>
        </w:rPr>
        <w:t xml:space="preserve"> 75 млн дол. США і став першим</w:t>
      </w:r>
      <w:r w:rsidR="003C29D6" w:rsidRPr="00913129">
        <w:rPr>
          <w:rFonts w:ascii="Times New Roman" w:hAnsi="Times New Roman" w:cs="Times New Roman"/>
          <w:color w:val="000000" w:themeColor="text1"/>
          <w:sz w:val="28"/>
          <w:szCs w:val="28"/>
          <w:lang w:val="uk-UA"/>
        </w:rPr>
        <w:t xml:space="preserve"> випадком</w:t>
      </w:r>
      <w:r w:rsidR="00AA0E17" w:rsidRPr="00913129">
        <w:rPr>
          <w:rFonts w:ascii="Times New Roman" w:hAnsi="Times New Roman" w:cs="Times New Roman"/>
          <w:color w:val="000000" w:themeColor="text1"/>
          <w:sz w:val="28"/>
          <w:szCs w:val="28"/>
          <w:lang w:val="uk-UA"/>
        </w:rPr>
        <w:t xml:space="preserve"> в Україні «зелени</w:t>
      </w:r>
      <w:r w:rsidR="003C29D6" w:rsidRPr="00913129">
        <w:rPr>
          <w:rFonts w:ascii="Times New Roman" w:hAnsi="Times New Roman" w:cs="Times New Roman"/>
          <w:color w:val="000000" w:themeColor="text1"/>
          <w:sz w:val="28"/>
          <w:szCs w:val="28"/>
          <w:lang w:val="uk-UA"/>
        </w:rPr>
        <w:t>х</w:t>
      </w:r>
      <w:r w:rsidR="00AA0E17" w:rsidRPr="00913129">
        <w:rPr>
          <w:rFonts w:ascii="Times New Roman" w:hAnsi="Times New Roman" w:cs="Times New Roman"/>
          <w:color w:val="000000" w:themeColor="text1"/>
          <w:sz w:val="28"/>
          <w:szCs w:val="28"/>
          <w:lang w:val="uk-UA"/>
        </w:rPr>
        <w:t>» суверенн</w:t>
      </w:r>
      <w:r w:rsidR="003C29D6" w:rsidRPr="00913129">
        <w:rPr>
          <w:rFonts w:ascii="Times New Roman" w:hAnsi="Times New Roman" w:cs="Times New Roman"/>
          <w:color w:val="000000" w:themeColor="text1"/>
          <w:sz w:val="28"/>
          <w:szCs w:val="28"/>
          <w:lang w:val="uk-UA"/>
        </w:rPr>
        <w:t>х</w:t>
      </w:r>
      <w:r w:rsidR="00AA0E17" w:rsidRPr="00913129">
        <w:rPr>
          <w:rFonts w:ascii="Times New Roman" w:hAnsi="Times New Roman" w:cs="Times New Roman"/>
          <w:color w:val="000000" w:themeColor="text1"/>
          <w:sz w:val="28"/>
          <w:szCs w:val="28"/>
          <w:lang w:val="uk-UA"/>
        </w:rPr>
        <w:t xml:space="preserve"> єврооблігаці</w:t>
      </w:r>
      <w:r w:rsidR="003C29D6" w:rsidRPr="00913129">
        <w:rPr>
          <w:rFonts w:ascii="Times New Roman" w:hAnsi="Times New Roman" w:cs="Times New Roman"/>
          <w:color w:val="000000" w:themeColor="text1"/>
          <w:sz w:val="28"/>
          <w:szCs w:val="28"/>
          <w:lang w:val="uk-UA"/>
        </w:rPr>
        <w:t>й</w:t>
      </w:r>
      <w:r w:rsidR="00AA0E17" w:rsidRPr="00913129">
        <w:rPr>
          <w:rFonts w:ascii="Times New Roman" w:hAnsi="Times New Roman" w:cs="Times New Roman"/>
          <w:color w:val="000000" w:themeColor="text1"/>
          <w:sz w:val="28"/>
          <w:szCs w:val="28"/>
          <w:lang w:val="uk-UA"/>
        </w:rPr>
        <w:t xml:space="preserve">, поєднаними із </w:t>
      </w:r>
      <w:r w:rsidR="003C29D6" w:rsidRPr="00913129">
        <w:rPr>
          <w:rFonts w:ascii="Times New Roman" w:hAnsi="Times New Roman" w:cs="Times New Roman"/>
          <w:color w:val="000000" w:themeColor="text1"/>
          <w:sz w:val="28"/>
          <w:szCs w:val="28"/>
          <w:lang w:val="uk-UA"/>
        </w:rPr>
        <w:t>«</w:t>
      </w:r>
      <w:r w:rsidR="00B70060" w:rsidRPr="00913129">
        <w:rPr>
          <w:rFonts w:ascii="Times New Roman" w:hAnsi="Times New Roman" w:cs="Times New Roman"/>
          <w:color w:val="000000" w:themeColor="text1"/>
          <w:sz w:val="28"/>
          <w:szCs w:val="28"/>
          <w:lang w:val="uk-UA"/>
        </w:rPr>
        <w:t>sustainability-linked</w:t>
      </w:r>
      <w:r w:rsidR="003C29D6" w:rsidRPr="00913129">
        <w:rPr>
          <w:rFonts w:ascii="Times New Roman" w:hAnsi="Times New Roman" w:cs="Times New Roman"/>
          <w:color w:val="000000" w:themeColor="text1"/>
          <w:sz w:val="28"/>
          <w:szCs w:val="28"/>
          <w:lang w:val="uk-UA"/>
        </w:rPr>
        <w:t>»</w:t>
      </w:r>
      <w:r w:rsidR="00AA0E17" w:rsidRPr="00913129">
        <w:rPr>
          <w:rFonts w:ascii="Times New Roman" w:hAnsi="Times New Roman" w:cs="Times New Roman"/>
          <w:color w:val="000000" w:themeColor="text1"/>
          <w:sz w:val="28"/>
          <w:szCs w:val="28"/>
          <w:lang w:val="uk-UA"/>
        </w:rPr>
        <w:t xml:space="preserve"> умовами. Це означає, що процентна ставка залежить від досягнення цілей з відновлюваної енергетики </w:t>
      </w:r>
      <w:r w:rsidR="00AA0E17" w:rsidRPr="00913129">
        <w:rPr>
          <w:rFonts w:ascii="Times New Roman" w:hAnsi="Times New Roman" w:cs="Times New Roman"/>
          <w:color w:val="000000" w:themeColor="text1"/>
          <w:sz w:val="28"/>
          <w:szCs w:val="28"/>
          <w:lang w:val="uk-UA"/>
        </w:rPr>
        <w:fldChar w:fldCharType="begin"/>
      </w:r>
      <w:r w:rsidR="00D04550" w:rsidRPr="00913129">
        <w:rPr>
          <w:rFonts w:ascii="Times New Roman" w:hAnsi="Times New Roman" w:cs="Times New Roman"/>
          <w:color w:val="000000" w:themeColor="text1"/>
          <w:sz w:val="28"/>
          <w:szCs w:val="28"/>
          <w:lang w:val="uk-UA"/>
        </w:rPr>
        <w:instrText xml:space="preserve"> ADDIN ZOTERO_ITEM CSL_CITATION {"citationID":"6k80GEaN","properties":{"formattedCitation":"\\super [38]\\nosupersub{}","plainCitation":"[38]","noteIndex":0},"citationItems":[{"id":627,"uris":["http://zotero.org/users/10910668/items/DA9NA3ZZ"],"itemData":{"id":627,"type":"webpage","abstract":"On November 3, 2021, NEC \"Ukrenergo\" announced the placement of USD 825 mln debut 5-year Green and Sustainability-linked Eurobonds","container-title":"Integrites","language":"en","title":"Ukrenergo Has Successfully Placed USD 825 mln Debut 5-year \"Green\" Eurobonds at 6.875%","URL":"https://www.integrites.com/publications/ukrenergo-has-successfully-placed-usd-825-mln-debut-5-year-green-eurobonds-at-6-875/","accessed":{"date-parts":[["2025",5,16]]}}}],"schema":"https://github.com/citation-style-language/schema/raw/master/csl-citation.json"} </w:instrText>
      </w:r>
      <w:r w:rsidR="00AA0E17" w:rsidRPr="00913129">
        <w:rPr>
          <w:rFonts w:ascii="Times New Roman" w:hAnsi="Times New Roman" w:cs="Times New Roman"/>
          <w:color w:val="000000" w:themeColor="text1"/>
          <w:sz w:val="28"/>
          <w:szCs w:val="28"/>
          <w:lang w:val="uk-UA"/>
        </w:rPr>
        <w:fldChar w:fldCharType="separate"/>
      </w:r>
      <w:r w:rsidR="00D04550" w:rsidRPr="00913129">
        <w:rPr>
          <w:rFonts w:ascii="Times New Roman" w:hAnsi="Times New Roman" w:cs="Times New Roman"/>
          <w:color w:val="000000" w:themeColor="text1"/>
          <w:kern w:val="0"/>
          <w:sz w:val="28"/>
          <w:szCs w:val="28"/>
          <w:lang w:val="uk-UA"/>
        </w:rPr>
        <w:t>[38]</w:t>
      </w:r>
      <w:r w:rsidR="00AA0E17" w:rsidRPr="00913129">
        <w:rPr>
          <w:rFonts w:ascii="Times New Roman" w:hAnsi="Times New Roman" w:cs="Times New Roman"/>
          <w:color w:val="000000" w:themeColor="text1"/>
          <w:sz w:val="28"/>
          <w:szCs w:val="28"/>
          <w:lang w:val="uk-UA"/>
        </w:rPr>
        <w:fldChar w:fldCharType="end"/>
      </w:r>
      <w:r w:rsidR="00AA0E17" w:rsidRPr="00913129">
        <w:rPr>
          <w:rFonts w:ascii="Times New Roman" w:hAnsi="Times New Roman" w:cs="Times New Roman"/>
          <w:color w:val="000000" w:themeColor="text1"/>
          <w:sz w:val="28"/>
          <w:szCs w:val="28"/>
          <w:lang w:val="uk-UA"/>
        </w:rPr>
        <w:t>. </w:t>
      </w:r>
      <w:r w:rsidR="00B70060" w:rsidRPr="00913129">
        <w:rPr>
          <w:rFonts w:ascii="Times New Roman" w:hAnsi="Times New Roman" w:cs="Times New Roman"/>
          <w:color w:val="000000" w:themeColor="text1"/>
          <w:sz w:val="28"/>
          <w:szCs w:val="28"/>
          <w:lang w:val="uk-UA"/>
        </w:rPr>
        <w:t>Сукупний обсяг випусків «зелених» облігацій українськими емітентами на початок 2024 року становив близько 1,2 млрд дол. США.</w:t>
      </w:r>
    </w:p>
    <w:p w14:paraId="6F76CEA6" w14:textId="77777777" w:rsidR="00B70060" w:rsidRPr="00913129" w:rsidRDefault="00B70060" w:rsidP="00B5458A">
      <w:pPr>
        <w:pStyle w:val="a7"/>
        <w:spacing w:after="0" w:line="360" w:lineRule="auto"/>
        <w:ind w:left="0"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 xml:space="preserve">Варто зазначити, що випуск соціальних облігацій в Україні станом на 2024 рік не зафіксовано. Це контрастує із загальносвітовою тенденцією зростання обсягів соціальних боргових інструментів, зокрема під час пандемії COVID-19, коли багато країн використовували соціальні облігації для фінансування відповідних програм </w:t>
      </w:r>
      <w:r w:rsidR="00AA0E17" w:rsidRPr="00913129">
        <w:rPr>
          <w:rFonts w:ascii="Times New Roman" w:hAnsi="Times New Roman" w:cs="Times New Roman"/>
          <w:color w:val="000000" w:themeColor="text1"/>
          <w:sz w:val="28"/>
          <w:szCs w:val="28"/>
          <w:lang w:val="uk-UA"/>
        </w:rPr>
        <w:fldChar w:fldCharType="begin"/>
      </w:r>
      <w:r w:rsidR="00D04550" w:rsidRPr="00913129">
        <w:rPr>
          <w:rFonts w:ascii="Times New Roman" w:hAnsi="Times New Roman" w:cs="Times New Roman"/>
          <w:color w:val="000000" w:themeColor="text1"/>
          <w:sz w:val="28"/>
          <w:szCs w:val="28"/>
          <w:lang w:val="uk-UA"/>
        </w:rPr>
        <w:instrText xml:space="preserve"> ADDIN ZOTERO_ITEM CSL_CITATION {"citationID":"RS3UJ2zM","properties":{"formattedCitation":"\\super [37]\\nosupersub{}","plainCitation":"[37]","noteIndex":0},"citationItems":[{"id":625,"uris":["http://zotero.org/users/10910668/items/BIY4QPF5"],"itemData":{"id":625,"type":"article-journal","abstract":"The purpose of the article is to study the essence of «green» finance in the context of sustainable development on the basis of the «green» economy and under the conditions of the need for the post-war recovery of Ukraine. To achieve the outlined goal, the following tasks were performed: an analysis of approaches to understanding the essence of «green» finance was carried out, institutional and organizational support for «green» finance was determined, and financial instruments of «green» finance were systematized.The following methods were used in the study: dialectical and historical - to study the evolution of «green» finance, and its financial instruments; induction and deduction, a systematic approach - to determine the essence of «green» finance and the main organizational and financial aspects, a comparative method - to study the degree of activation of «green» financing in OECD countries, etc.It is recommended that the post-war recovery of Ukraine should be carried out on the basis of «green» finances, in compliance with the obligations to implement the European Green Course. To restore Ukraine on the basis of «green» finance, it is necessary to ensure the implementation of comprehensive measures in the following areas: raising awareness and public awareness of \"green\" finance, opportunities for financial participation in the implementation of environmental policy and environmental projects; introduction of progressive rates for environmental tax, rent, etc.; review of the budget policy and transfer of environmental tax revenues to the special fund of the state and local budgets; ensuring the attraction of funding from various sources for the implementation of environmental projects; creation of prerequisites for the introduction of the green bond market, the issuers of which will be the state, local authorities and business entities; development and implementation of state targeted programs and environmental projects, which will be financed from tax and non-tax revenues; introduction of fiscal and non-fiscal incentives for the implementation of environmental projects, etc.","container-title":"Financial and credit activity problems of theory and practice","DOI":"10.55643/fcaptp.3.56.2024.4403","ISSN":"2310-8770","issue":"56","language":"uk","license":"Авторське право (c) 2024 Оксана Драган","note":"number: 56","page":"75-85","source":"www.fkd.net.ua","title":"«ЗЕЛЕНІ ФІНАНСИ» В ПОВОЄННОМУ ВІДНОВЛЕННІ УКРАЇНИ: ОРГАНІЗАЦІЙНО-ФІНАНСОВІ АСПЕКТИ","title-short":"«ЗЕЛЕНІ ФІНАНСИ» В ПОВОЄННОМУ ВІДНОВЛЕННІ УКРАЇНИ","volume":"3","author":[{"family":"Варченко","given":"Ольга"},{"family":"Драган","given":"Оксана"},{"family":"Ткаченко","given":"Катерина"},{"family":"Рибак","given":"Надія"},{"family":"Зубченко","given":"Вікторія"}],"issued":{"date-parts":[["2024",6,30]]}}}],"schema":"https://github.com/citation-style-language/schema/raw/master/csl-citation.json"} </w:instrText>
      </w:r>
      <w:r w:rsidR="00AA0E17" w:rsidRPr="00913129">
        <w:rPr>
          <w:rFonts w:ascii="Times New Roman" w:hAnsi="Times New Roman" w:cs="Times New Roman"/>
          <w:color w:val="000000" w:themeColor="text1"/>
          <w:sz w:val="28"/>
          <w:szCs w:val="28"/>
          <w:lang w:val="uk-UA"/>
        </w:rPr>
        <w:fldChar w:fldCharType="separate"/>
      </w:r>
      <w:r w:rsidR="00D04550" w:rsidRPr="00913129">
        <w:rPr>
          <w:rFonts w:ascii="Times New Roman" w:hAnsi="Times New Roman" w:cs="Times New Roman"/>
          <w:color w:val="000000" w:themeColor="text1"/>
          <w:kern w:val="0"/>
          <w:sz w:val="28"/>
          <w:szCs w:val="28"/>
          <w:lang w:val="uk-UA"/>
        </w:rPr>
        <w:t>[37]</w:t>
      </w:r>
      <w:r w:rsidR="00AA0E17" w:rsidRPr="00913129">
        <w:rPr>
          <w:rFonts w:ascii="Times New Roman" w:hAnsi="Times New Roman" w:cs="Times New Roman"/>
          <w:color w:val="000000" w:themeColor="text1"/>
          <w:sz w:val="28"/>
          <w:szCs w:val="28"/>
          <w:lang w:val="uk-UA"/>
        </w:rPr>
        <w:fldChar w:fldCharType="end"/>
      </w:r>
      <w:r w:rsidR="00AA0E17" w:rsidRPr="00913129">
        <w:rPr>
          <w:rFonts w:ascii="Times New Roman" w:hAnsi="Times New Roman" w:cs="Times New Roman"/>
          <w:color w:val="000000" w:themeColor="text1"/>
          <w:sz w:val="28"/>
          <w:szCs w:val="28"/>
          <w:lang w:val="uk-UA"/>
        </w:rPr>
        <w:t>.</w:t>
      </w:r>
    </w:p>
    <w:p w14:paraId="31C480B6" w14:textId="0AEB8AE5" w:rsidR="00B70060" w:rsidRPr="00913129" w:rsidRDefault="00B70060" w:rsidP="00B5458A">
      <w:pPr>
        <w:pStyle w:val="a7"/>
        <w:spacing w:after="0" w:line="360" w:lineRule="auto"/>
        <w:ind w:left="0"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Інструменти, умови яких прив</w:t>
      </w:r>
      <w:r w:rsidR="00340D11" w:rsidRPr="00913129">
        <w:rPr>
          <w:rFonts w:ascii="Times New Roman" w:hAnsi="Times New Roman" w:cs="Times New Roman"/>
          <w:color w:val="000000" w:themeColor="text1"/>
          <w:sz w:val="28"/>
          <w:szCs w:val="28"/>
          <w:lang w:val="uk-UA"/>
        </w:rPr>
        <w:t>’</w:t>
      </w:r>
      <w:r w:rsidRPr="00913129">
        <w:rPr>
          <w:rFonts w:ascii="Times New Roman" w:hAnsi="Times New Roman" w:cs="Times New Roman"/>
          <w:color w:val="000000" w:themeColor="text1"/>
          <w:sz w:val="28"/>
          <w:szCs w:val="28"/>
          <w:lang w:val="uk-UA"/>
        </w:rPr>
        <w:t xml:space="preserve">язані до досягнення ESG-орієнтованих показників, такі як </w:t>
      </w:r>
      <w:r w:rsidR="0016721D" w:rsidRPr="00913129">
        <w:rPr>
          <w:rFonts w:ascii="Times New Roman" w:hAnsi="Times New Roman" w:cs="Times New Roman"/>
          <w:color w:val="000000" w:themeColor="text1"/>
          <w:sz w:val="28"/>
          <w:szCs w:val="28"/>
          <w:lang w:val="uk-UA"/>
        </w:rPr>
        <w:t xml:space="preserve">облігації зі ставкою, прив’язаною до показників сталого </w:t>
      </w:r>
      <w:r w:rsidR="0016721D" w:rsidRPr="00913129">
        <w:rPr>
          <w:rFonts w:ascii="Times New Roman" w:hAnsi="Times New Roman" w:cs="Times New Roman"/>
          <w:color w:val="000000" w:themeColor="text1"/>
          <w:sz w:val="28"/>
          <w:szCs w:val="28"/>
          <w:lang w:val="uk-UA"/>
        </w:rPr>
        <w:lastRenderedPageBreak/>
        <w:t>розвитку (SLB)</w:t>
      </w:r>
      <w:r w:rsidR="00CB5B31" w:rsidRPr="00913129">
        <w:rPr>
          <w:rFonts w:ascii="Times New Roman" w:hAnsi="Times New Roman" w:cs="Times New Roman"/>
          <w:color w:val="000000" w:themeColor="text1"/>
          <w:sz w:val="28"/>
          <w:szCs w:val="28"/>
          <w:lang w:val="uk-UA"/>
        </w:rPr>
        <w:t xml:space="preserve"> </w:t>
      </w:r>
      <w:r w:rsidR="0016721D" w:rsidRPr="00913129">
        <w:rPr>
          <w:rFonts w:ascii="Times New Roman" w:hAnsi="Times New Roman" w:cs="Times New Roman"/>
          <w:color w:val="000000" w:themeColor="text1"/>
          <w:sz w:val="28"/>
          <w:szCs w:val="28"/>
          <w:lang w:val="uk-UA"/>
        </w:rPr>
        <w:t>та кредити зі ставкою, прив’язаною до показників сталого розвитку (SLL),</w:t>
      </w:r>
      <w:r w:rsidRPr="00913129">
        <w:rPr>
          <w:rFonts w:ascii="Times New Roman" w:hAnsi="Times New Roman" w:cs="Times New Roman"/>
          <w:color w:val="000000" w:themeColor="text1"/>
          <w:sz w:val="28"/>
          <w:szCs w:val="28"/>
          <w:lang w:val="uk-UA"/>
        </w:rPr>
        <w:t xml:space="preserve"> на українському ринку представлені поодинокими прикладами. Зокрема, випуск НЕК «Укренерго» є першою та наразі єдиною реалізованою угодою такого типу. Загалом, застосування механізмів фінансування із прив</w:t>
      </w:r>
      <w:r w:rsidR="00340D11" w:rsidRPr="00913129">
        <w:rPr>
          <w:rFonts w:ascii="Times New Roman" w:hAnsi="Times New Roman" w:cs="Times New Roman"/>
          <w:color w:val="000000" w:themeColor="text1"/>
          <w:sz w:val="28"/>
          <w:szCs w:val="28"/>
          <w:lang w:val="uk-UA"/>
        </w:rPr>
        <w:t>’</w:t>
      </w:r>
      <w:r w:rsidRPr="00913129">
        <w:rPr>
          <w:rFonts w:ascii="Times New Roman" w:hAnsi="Times New Roman" w:cs="Times New Roman"/>
          <w:color w:val="000000" w:themeColor="text1"/>
          <w:sz w:val="28"/>
          <w:szCs w:val="28"/>
          <w:lang w:val="uk-UA"/>
        </w:rPr>
        <w:t>язкою до ESG-критеріїв в Україні залишається недостатньо інституалізованим. Попри те, що на глобальному ринку обсяг випуску SLB та укладання SLL демонструє експоненційне зростання, національна практика впровадження таких інструментів перебуває на ранній стадії розвитку. Однак із врахуванням очікуваної економічної стабілізації та поступового відновлення доступу до зовнішніх джерел фінансування, прогнозується підвищення інтересу українських позичальників до ESG-орієнтованих кредитних продуктів і відповідних боргових інструментів у середньостроковій перспективі</w:t>
      </w:r>
      <w:r w:rsidR="008B0D1B" w:rsidRPr="00913129">
        <w:rPr>
          <w:rFonts w:ascii="Times New Roman" w:hAnsi="Times New Roman" w:cs="Times New Roman"/>
          <w:color w:val="000000" w:themeColor="text1"/>
          <w:sz w:val="28"/>
          <w:szCs w:val="28"/>
          <w:lang w:val="uk-UA"/>
        </w:rPr>
        <w:t xml:space="preserve"> </w:t>
      </w:r>
      <w:r w:rsidR="00B34632" w:rsidRPr="00913129">
        <w:rPr>
          <w:rFonts w:ascii="Times New Roman" w:hAnsi="Times New Roman" w:cs="Times New Roman"/>
          <w:color w:val="000000" w:themeColor="text1"/>
          <w:sz w:val="28"/>
          <w:szCs w:val="28"/>
          <w:lang w:val="uk-UA"/>
        </w:rPr>
        <w:fldChar w:fldCharType="begin"/>
      </w:r>
      <w:r w:rsidR="00B34632" w:rsidRPr="00913129">
        <w:rPr>
          <w:rFonts w:ascii="Times New Roman" w:hAnsi="Times New Roman" w:cs="Times New Roman"/>
          <w:color w:val="000000" w:themeColor="text1"/>
          <w:sz w:val="28"/>
          <w:szCs w:val="28"/>
          <w:lang w:val="uk-UA"/>
        </w:rPr>
        <w:instrText xml:space="preserve"> ADDIN ZOTERO_ITEM CSL_CITATION {"citationID":"RS3UJ2zM","properties":{"formattedCitation":"\\super [37]\\nosupersub{}","plainCitation":"[37]","noteIndex":0},"citationItems":[{"id":625,"uris":["http://zotero.org/users/10910668/items/BIY4QPF5"],"itemData":{"id":625,"type":"article-journal","abstract":"The purpose of the article is to study the essence of «green» finance in the context of sustainable development on the basis of the «green» economy and under the conditions of the need for the post-war recovery of Ukraine. To achieve the outlined goal, the following tasks were performed: an analysis of approaches to understanding the essence of «green» finance was carried out, institutional and organizational support for «green» finance was determined, and financial instruments of «green» finance were systematized.The following methods were used in the study: dialectical and historical - to study the evolution of «green» finance, and its financial instruments; induction and deduction, a systematic approach - to determine the essence of «green» finance and the main organizational and financial aspects, a comparative method - to study the degree of activation of «green» financing in OECD countries, etc.It is recommended that the post-war recovery of Ukraine should be carried out on the basis of «green» finances, in compliance with the obligations to implement the European Green Course. To restore Ukraine on the basis of «green» finance, it is necessary to ensure the implementation of comprehensive measures in the following areas: raising awareness and public awareness of \"green\" finance, opportunities for financial participation in the implementation of environmental policy and environmental projects; introduction of progressive rates for environmental tax, rent, etc.; review of the budget policy and transfer of environmental tax revenues to the special fund of the state and local budgets; ensuring the attraction of funding from various sources for the implementation of environmental projects; creation of prerequisites for the introduction of the green bond market, the issuers of which will be the state, local authorities and business entities; development and implementation of state targeted programs and environmental projects, which will be financed from tax and non-tax revenues; introduction of fiscal and non-fiscal incentives for the implementation of environmental projects, etc.","container-title":"Financial and credit activity problems of theory and practice","DOI":"10.55643/fcaptp.3.56.2024.4403","ISSN":"2310-8770","issue":"56","language":"uk","license":"Авторське право (c) 2024 Оксана Драган","note":"number: 56","page":"75-85","source":"www.fkd.net.ua","title":"«ЗЕЛЕНІ ФІНАНСИ» В ПОВОЄННОМУ ВІДНОВЛЕННІ УКРАЇНИ: ОРГАНІЗАЦІЙНО-ФІНАНСОВІ АСПЕКТИ","title-short":"«ЗЕЛЕНІ ФІНАНСИ» В ПОВОЄННОМУ ВІДНОВЛЕННІ УКРАЇНИ","volume":"3","author":[{"family":"Варченко","given":"Ольга"},{"family":"Драган","given":"Оксана"},{"family":"Ткаченко","given":"Катерина"},{"family":"Рибак","given":"Надія"},{"family":"Зубченко","given":"Вікторія"}],"issued":{"date-parts":[["2024",6,30]]}}}],"schema":"https://github.com/citation-style-language/schema/raw/master/csl-citation.json"} </w:instrText>
      </w:r>
      <w:r w:rsidR="00B34632" w:rsidRPr="00913129">
        <w:rPr>
          <w:rFonts w:ascii="Times New Roman" w:hAnsi="Times New Roman" w:cs="Times New Roman"/>
          <w:color w:val="000000" w:themeColor="text1"/>
          <w:sz w:val="28"/>
          <w:szCs w:val="28"/>
          <w:lang w:val="uk-UA"/>
        </w:rPr>
        <w:fldChar w:fldCharType="separate"/>
      </w:r>
      <w:r w:rsidR="00B34632" w:rsidRPr="00913129">
        <w:rPr>
          <w:rFonts w:ascii="Times New Roman" w:hAnsi="Times New Roman" w:cs="Times New Roman"/>
          <w:color w:val="000000" w:themeColor="text1"/>
          <w:kern w:val="0"/>
          <w:sz w:val="28"/>
          <w:szCs w:val="28"/>
          <w:lang w:val="uk-UA"/>
        </w:rPr>
        <w:t>[37]</w:t>
      </w:r>
      <w:r w:rsidR="00B34632" w:rsidRPr="00913129">
        <w:rPr>
          <w:rFonts w:ascii="Times New Roman" w:hAnsi="Times New Roman" w:cs="Times New Roman"/>
          <w:color w:val="000000" w:themeColor="text1"/>
          <w:sz w:val="28"/>
          <w:szCs w:val="28"/>
          <w:lang w:val="uk-UA"/>
        </w:rPr>
        <w:fldChar w:fldCharType="end"/>
      </w:r>
      <w:r w:rsidRPr="00913129">
        <w:rPr>
          <w:rFonts w:ascii="Times New Roman" w:hAnsi="Times New Roman" w:cs="Times New Roman"/>
          <w:color w:val="000000" w:themeColor="text1"/>
          <w:sz w:val="28"/>
          <w:szCs w:val="28"/>
          <w:lang w:val="uk-UA"/>
        </w:rPr>
        <w:t>.</w:t>
      </w:r>
    </w:p>
    <w:p w14:paraId="7F658EF3" w14:textId="11CAAED7"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У період 2014-2021 років імпакт-інвестування в Україні здебільшого реалізовувалося через програми міжнародних донорських організацій і спеціалізованих фондів. Вагомий внесок у розвиток цього напряму забезпечили проєкти Організації Об</w:t>
      </w:r>
      <w:r w:rsidR="00340D11" w:rsidRPr="00913129">
        <w:rPr>
          <w:color w:val="000000" w:themeColor="text1"/>
          <w:sz w:val="28"/>
          <w:szCs w:val="28"/>
          <w:lang w:val="uk-UA"/>
        </w:rPr>
        <w:t>’</w:t>
      </w:r>
      <w:r w:rsidRPr="00913129">
        <w:rPr>
          <w:color w:val="000000" w:themeColor="text1"/>
          <w:sz w:val="28"/>
          <w:szCs w:val="28"/>
          <w:lang w:val="uk-UA"/>
        </w:rPr>
        <w:t>єднаних Націй та низки інших міжнародних інституцій, особливо у східних регіонах країни, що зазнали наслідків збройного конфлікту.</w:t>
      </w:r>
    </w:p>
    <w:p w14:paraId="762A0E0A" w14:textId="6A558E1F"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Зокрема, Програма розвитку ООН у 2015</w:t>
      </w:r>
      <w:r w:rsidR="002B5914" w:rsidRPr="00913129">
        <w:rPr>
          <w:color w:val="000000" w:themeColor="text1"/>
          <w:sz w:val="28"/>
          <w:szCs w:val="28"/>
          <w:lang w:val="uk-UA"/>
        </w:rPr>
        <w:t>-</w:t>
      </w:r>
      <w:r w:rsidRPr="00913129">
        <w:rPr>
          <w:color w:val="000000" w:themeColor="text1"/>
          <w:sz w:val="28"/>
          <w:szCs w:val="28"/>
          <w:lang w:val="uk-UA"/>
        </w:rPr>
        <w:t>2019 роках надала мікрогранти для 650 мікро, малих і середніх підприємств, включаючи соціальні підприємства, які працювали в постраждалих областях. Розмір підтримки сягав 3 000 дол. США на кожного працевлаштованого працівника (максимум до чотирьох працівників на одне підприємство</w:t>
      </w:r>
      <w:r w:rsidR="002B5914" w:rsidRPr="00913129">
        <w:rPr>
          <w:color w:val="000000" w:themeColor="text1"/>
          <w:sz w:val="28"/>
          <w:szCs w:val="28"/>
          <w:lang w:val="uk-UA"/>
        </w:rPr>
        <w:t>).</w:t>
      </w:r>
      <w:r w:rsidRPr="00913129">
        <w:rPr>
          <w:color w:val="000000" w:themeColor="text1"/>
          <w:sz w:val="28"/>
          <w:szCs w:val="28"/>
          <w:lang w:val="uk-UA"/>
        </w:rPr>
        <w:t xml:space="preserve"> Грантові кошти були спрямовані насамперед на бізнеси, які працевлаштовували внутрішньо переміщених осіб та ветеранів. За чотири роки дії програми це дозволило створити 3 360 робочих місць для ВПО та ветеранів у Донецькій і Луганській областях </w:t>
      </w:r>
      <w:r w:rsidRPr="00913129">
        <w:rPr>
          <w:color w:val="000000" w:themeColor="text1"/>
          <w:sz w:val="28"/>
          <w:szCs w:val="28"/>
          <w:lang w:val="uk-UA"/>
        </w:rPr>
        <w:fldChar w:fldCharType="begin"/>
      </w:r>
      <w:r w:rsidR="00DF2F30" w:rsidRPr="00913129">
        <w:rPr>
          <w:color w:val="000000" w:themeColor="text1"/>
          <w:sz w:val="28"/>
          <w:szCs w:val="28"/>
          <w:lang w:val="uk-UA"/>
        </w:rPr>
        <w:instrText xml:space="preserve"> ADDIN ZOTERO_ITEM CSL_CITATION {"citationID":"9dnFgQW5","properties":{"formattedCitation":"\\super [39]\\nosupersub{}","plainCitation":"[39]","noteIndex":0},"citationItems":[{"id":630,"uris":["http://zotero.org/users/10910668/items/7MJZ3JM2"],"itemData":{"id":630,"type":"document","title":"National_SE_ecosystem_research_Ukraine_eng.pdf","URL":"https://ec.europa.eu/programmes/erasmus-plus/project-result-content/fcc22362-d0fc-4fae-b116-012581eb631d/National_SE_ecosystem_research_Ukraine_eng.pdf","accessed":{"date-parts":[["2025",5,16]]}}}],"schema":"https://github.com/citation-style-language/schema/raw/master/csl-citation.json"} </w:instrText>
      </w:r>
      <w:r w:rsidRPr="00913129">
        <w:rPr>
          <w:color w:val="000000" w:themeColor="text1"/>
          <w:sz w:val="28"/>
          <w:szCs w:val="28"/>
          <w:lang w:val="uk-UA"/>
        </w:rPr>
        <w:fldChar w:fldCharType="separate"/>
      </w:r>
      <w:r w:rsidR="00DF2F30" w:rsidRPr="00913129">
        <w:rPr>
          <w:color w:val="000000"/>
          <w:sz w:val="28"/>
          <w:lang w:val="uk-UA"/>
        </w:rPr>
        <w:t>[39]</w:t>
      </w:r>
      <w:r w:rsidRPr="00913129">
        <w:rPr>
          <w:color w:val="000000" w:themeColor="text1"/>
          <w:sz w:val="28"/>
          <w:szCs w:val="28"/>
          <w:lang w:val="uk-UA"/>
        </w:rPr>
        <w:fldChar w:fldCharType="end"/>
      </w:r>
      <w:r w:rsidRPr="00913129">
        <w:rPr>
          <w:color w:val="000000" w:themeColor="text1"/>
          <w:sz w:val="28"/>
          <w:szCs w:val="28"/>
          <w:lang w:val="uk-UA"/>
        </w:rPr>
        <w:t>.</w:t>
      </w:r>
    </w:p>
    <w:p w14:paraId="466988F3" w14:textId="42F56103"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Аналогічну підтримку у 2015</w:t>
      </w:r>
      <w:r w:rsidR="002B5914" w:rsidRPr="00913129">
        <w:rPr>
          <w:color w:val="000000" w:themeColor="text1"/>
          <w:sz w:val="28"/>
          <w:szCs w:val="28"/>
          <w:lang w:val="uk-UA"/>
        </w:rPr>
        <w:t>-</w:t>
      </w:r>
      <w:r w:rsidRPr="00913129">
        <w:rPr>
          <w:color w:val="000000" w:themeColor="text1"/>
          <w:sz w:val="28"/>
          <w:szCs w:val="28"/>
          <w:lang w:val="uk-UA"/>
        </w:rPr>
        <w:t xml:space="preserve">2018 роках надавала Міжнародна організація з міграції (МОМ), яка сприяла відкриттю сотень нових </w:t>
      </w:r>
      <w:r w:rsidRPr="00913129">
        <w:rPr>
          <w:color w:val="000000" w:themeColor="text1"/>
          <w:sz w:val="28"/>
          <w:szCs w:val="28"/>
          <w:lang w:val="uk-UA"/>
        </w:rPr>
        <w:lastRenderedPageBreak/>
        <w:t xml:space="preserve">мікропідприємств переселенців. Допомога надавалася у вигляді грантів на обладнання вартістю до 3 000 дол. США, що покривало до 50% стартових витрат бізнесу [40]. Починаючи з 2019 року, МОМ реалізує подібну програму для підтримки бізнесів, заснованих ветеранами </w:t>
      </w:r>
      <w:r w:rsidRPr="00913129">
        <w:rPr>
          <w:color w:val="000000" w:themeColor="text1"/>
          <w:sz w:val="28"/>
          <w:szCs w:val="28"/>
          <w:lang w:val="uk-UA"/>
        </w:rPr>
        <w:fldChar w:fldCharType="begin"/>
      </w:r>
      <w:r w:rsidR="00DF2F30" w:rsidRPr="00913129">
        <w:rPr>
          <w:color w:val="000000" w:themeColor="text1"/>
          <w:sz w:val="28"/>
          <w:szCs w:val="28"/>
          <w:lang w:val="uk-UA"/>
        </w:rPr>
        <w:instrText xml:space="preserve"> ADDIN ZOTERO_ITEM CSL_CITATION {"citationID":"Kndcg3gg","properties":{"formattedCitation":"\\super [39]\\nosupersub{}","plainCitation":"[39]","noteIndex":0},"citationItems":[{"id":630,"uris":["http://zotero.org/users/10910668/items/7MJZ3JM2"],"itemData":{"id":630,"type":"document","title":"National_SE_ecosystem_research_Ukraine_eng.pdf","URL":"https://ec.europa.eu/programmes/erasmus-plus/project-result-content/fcc22362-d0fc-4fae-b116-012581eb631d/National_SE_ecosystem_research_Ukraine_eng.pdf","accessed":{"date-parts":[["2025",5,16]]}}}],"schema":"https://github.com/citation-style-language/schema/raw/master/csl-citation.json"} </w:instrText>
      </w:r>
      <w:r w:rsidRPr="00913129">
        <w:rPr>
          <w:color w:val="000000" w:themeColor="text1"/>
          <w:sz w:val="28"/>
          <w:szCs w:val="28"/>
          <w:lang w:val="uk-UA"/>
        </w:rPr>
        <w:fldChar w:fldCharType="separate"/>
      </w:r>
      <w:r w:rsidR="00DF2F30" w:rsidRPr="00913129">
        <w:rPr>
          <w:color w:val="000000"/>
          <w:sz w:val="28"/>
          <w:lang w:val="uk-UA"/>
        </w:rPr>
        <w:t>[39]</w:t>
      </w:r>
      <w:r w:rsidRPr="00913129">
        <w:rPr>
          <w:color w:val="000000" w:themeColor="text1"/>
          <w:sz w:val="28"/>
          <w:szCs w:val="28"/>
          <w:lang w:val="uk-UA"/>
        </w:rPr>
        <w:fldChar w:fldCharType="end"/>
      </w:r>
      <w:r w:rsidRPr="00913129">
        <w:rPr>
          <w:color w:val="000000" w:themeColor="text1"/>
          <w:sz w:val="28"/>
          <w:szCs w:val="28"/>
          <w:lang w:val="uk-UA"/>
        </w:rPr>
        <w:t>.</w:t>
      </w:r>
    </w:p>
    <w:p w14:paraId="7265A97F" w14:textId="245F62C5"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Вагомий внесок у розвиток соціального підприємництва в Україні забезпечують impact-фонди, що надають пільгові кредити та інвестиції підприємствам із соціальною місією. Одним із перших інституційних учасників на цьому ринку став Western NIS Enterprise Fund (WNISEF)</w:t>
      </w:r>
      <w:r w:rsidR="002B5914" w:rsidRPr="00913129">
        <w:rPr>
          <w:color w:val="000000" w:themeColor="text1"/>
          <w:sz w:val="28"/>
          <w:szCs w:val="28"/>
          <w:lang w:val="uk-UA"/>
        </w:rPr>
        <w:t>,</w:t>
      </w:r>
      <w:r w:rsidRPr="00913129">
        <w:rPr>
          <w:color w:val="000000" w:themeColor="text1"/>
          <w:sz w:val="28"/>
          <w:szCs w:val="28"/>
          <w:lang w:val="uk-UA"/>
        </w:rPr>
        <w:t xml:space="preserve"> регіональний фонд, заснований урядом США. У 2016 році фонд започаткував програму доступного фінансування для соціальних підприємств, </w:t>
      </w:r>
      <w:r w:rsidR="00834C4D" w:rsidRPr="00913129">
        <w:rPr>
          <w:color w:val="000000" w:themeColor="text1"/>
          <w:sz w:val="28"/>
          <w:szCs w:val="28"/>
          <w:lang w:val="uk-UA"/>
        </w:rPr>
        <w:t>яка</w:t>
      </w:r>
      <w:r w:rsidRPr="00913129">
        <w:rPr>
          <w:color w:val="000000" w:themeColor="text1"/>
          <w:sz w:val="28"/>
          <w:szCs w:val="28"/>
          <w:lang w:val="uk-UA"/>
        </w:rPr>
        <w:t xml:space="preserve"> реалізовувалася за участю банків-партнерів, зокрема Ощадбанку та Кредобанку. Соціальні підприємства отримували можливість залучати позики в розмірі від 10 до 100 тис. дол. США строком до трьох років за пільговою ставкою 5</w:t>
      </w:r>
      <w:r w:rsidR="002B5914" w:rsidRPr="00913129">
        <w:rPr>
          <w:color w:val="000000" w:themeColor="text1"/>
          <w:sz w:val="28"/>
          <w:szCs w:val="28"/>
          <w:lang w:val="uk-UA"/>
        </w:rPr>
        <w:t>-</w:t>
      </w:r>
      <w:r w:rsidRPr="00913129">
        <w:rPr>
          <w:color w:val="000000" w:themeColor="text1"/>
          <w:sz w:val="28"/>
          <w:szCs w:val="28"/>
          <w:lang w:val="uk-UA"/>
        </w:rPr>
        <w:t xml:space="preserve">10% річних. Протягом першого року реалізації програми фонд отримав 96 заявок та профінансував три соціальні проєкти </w:t>
      </w:r>
      <w:r w:rsidRPr="00913129">
        <w:rPr>
          <w:rStyle w:val="ac"/>
          <w:b w:val="0"/>
          <w:bCs w:val="0"/>
          <w:color w:val="000000" w:themeColor="text1"/>
          <w:sz w:val="28"/>
          <w:szCs w:val="28"/>
          <w:lang w:val="uk-UA"/>
        </w:rPr>
        <w:fldChar w:fldCharType="begin"/>
      </w:r>
      <w:r w:rsidR="00DF2F30" w:rsidRPr="00913129">
        <w:rPr>
          <w:rStyle w:val="ac"/>
          <w:b w:val="0"/>
          <w:bCs w:val="0"/>
          <w:color w:val="000000" w:themeColor="text1"/>
          <w:sz w:val="28"/>
          <w:szCs w:val="28"/>
          <w:lang w:val="uk-UA"/>
        </w:rPr>
        <w:instrText xml:space="preserve"> ADDIN ZOTERO_ITEM CSL_CITATION {"citationID":"MbIRv1Z9","properties":{"formattedCitation":"\\super [39,40]\\nosupersub{}","plainCitation":"[39,40]","noteIndex":0},"citationItems":[{"id":630,"uris":["http://zotero.org/users/10910668/items/7MJZ3JM2"],"itemData":{"id":630,"type":"document","title":"National_SE_ecosystem_research_Ukraine_eng.pdf","URL":"https://ec.europa.eu/programmes/erasmus-plus/project-result-content/fcc22362-d0fc-4fae-b116-012581eb631d/National_SE_ecosystem_research_Ukraine_eng.pdf","accessed":{"date-parts":[["2025",5,16]]}},"label":"page"},{"id":631,"uris":["http://zotero.org/users/10910668/items/L33ZR7KE"],"itemData":{"id":631,"type":"document","title":"Western-NIS-Enterprise-Fund-Annual-Report-2016.pdf","URL":"https://wnisef.org/wp-content/uploads/2018/01/Western-NIS-Enterprise-Fund-Annual-Report-2016.pdf","accessed":{"date-parts":[["2025",5,16]]}},"label":"page"}],"schema":"https://github.com/citation-style-language/schema/raw/master/csl-citation.json"} </w:instrText>
      </w:r>
      <w:r w:rsidRPr="00913129">
        <w:rPr>
          <w:rStyle w:val="ac"/>
          <w:b w:val="0"/>
          <w:bCs w:val="0"/>
          <w:color w:val="000000" w:themeColor="text1"/>
          <w:sz w:val="28"/>
          <w:szCs w:val="28"/>
          <w:lang w:val="uk-UA"/>
        </w:rPr>
        <w:fldChar w:fldCharType="separate"/>
      </w:r>
      <w:r w:rsidR="00DF2F30" w:rsidRPr="00913129">
        <w:rPr>
          <w:color w:val="000000"/>
          <w:sz w:val="28"/>
          <w:lang w:val="uk-UA"/>
        </w:rPr>
        <w:t>[39,40]</w:t>
      </w:r>
      <w:r w:rsidRPr="00913129">
        <w:rPr>
          <w:rStyle w:val="ac"/>
          <w:b w:val="0"/>
          <w:bCs w:val="0"/>
          <w:color w:val="000000" w:themeColor="text1"/>
          <w:sz w:val="28"/>
          <w:szCs w:val="28"/>
          <w:lang w:val="uk-UA"/>
        </w:rPr>
        <w:fldChar w:fldCharType="end"/>
      </w:r>
      <w:r w:rsidRPr="00913129">
        <w:rPr>
          <w:color w:val="000000" w:themeColor="text1"/>
          <w:sz w:val="28"/>
          <w:szCs w:val="28"/>
          <w:lang w:val="uk-UA"/>
        </w:rPr>
        <w:t>. У наступні роки WNISEF щорічно розширював підтримку, і в цілому в 2016</w:t>
      </w:r>
      <w:r w:rsidR="002B5914" w:rsidRPr="00913129">
        <w:rPr>
          <w:color w:val="000000" w:themeColor="text1"/>
          <w:sz w:val="28"/>
          <w:szCs w:val="28"/>
          <w:lang w:val="uk-UA"/>
        </w:rPr>
        <w:t>-</w:t>
      </w:r>
      <w:r w:rsidRPr="00913129">
        <w:rPr>
          <w:color w:val="000000" w:themeColor="text1"/>
          <w:sz w:val="28"/>
          <w:szCs w:val="28"/>
          <w:lang w:val="uk-UA"/>
        </w:rPr>
        <w:t>2021 роках було профінансовано десятки соціальних підприємств на пільгових умовах. При цьому діяльність фонду охоплює також фінансування комерційних малих і середніх підприємств.</w:t>
      </w:r>
    </w:p>
    <w:p w14:paraId="41246EC3" w14:textId="7D3B70B8"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 xml:space="preserve">Серед інших учасників сфери impact-інвестування в Україні варто виділити Український соціальний венчурний фонд, який впроваджує механізм часткового викупу частки у соціальних підприємствах (до 25%) з правом зворотного викупу. Крім того, вагому роль відіграють такі донорські організації, як шведське агентство SIDA та благодійні фонди ChildFund, що надають безвідсоткові позики та гранти для підтримки соціально орієнтованих стартапів </w:t>
      </w:r>
      <w:r w:rsidRPr="00913129">
        <w:rPr>
          <w:rStyle w:val="ms-1"/>
          <w:color w:val="000000" w:themeColor="text1"/>
          <w:sz w:val="28"/>
          <w:szCs w:val="28"/>
          <w:lang w:val="uk-UA"/>
        </w:rPr>
        <w:fldChar w:fldCharType="begin"/>
      </w:r>
      <w:r w:rsidR="00DF2F30" w:rsidRPr="00913129">
        <w:rPr>
          <w:rStyle w:val="ms-1"/>
          <w:color w:val="000000" w:themeColor="text1"/>
          <w:sz w:val="28"/>
          <w:szCs w:val="28"/>
          <w:lang w:val="uk-UA"/>
        </w:rPr>
        <w:instrText xml:space="preserve"> ADDIN ZOTERO_ITEM CSL_CITATION {"citationID":"aLQLIqLf","properties":{"formattedCitation":"\\super [39,41]\\nosupersub{}","plainCitation":"[39,41]","noteIndex":0},"citationItems":[{"id":629,"uris":["http://zotero.org/users/10910668/items/H2T3LX76"],"itemData":{"id":629,"type":"document","title":"sustainability-linked-bonds-and-loans-kpis.pdf","URL":"https://www.environmental-finance.com/assets/files/research/sustainability-linked-bonds-and-loans-kpis.pdf","accessed":{"date-parts":[["2025",5,16]]}},"label":"page"},{"id":630,"uris":["http://zotero.org/users/10910668/items/7MJZ3JM2"],"itemData":{"id":630,"type":"document","title":"National_SE_ecosystem_research_Ukraine_eng.pdf","URL":"https://ec.europa.eu/programmes/erasmus-plus/project-result-content/fcc22362-d0fc-4fae-b116-012581eb631d/National_SE_ecosystem_research_Ukraine_eng.pdf","accessed":{"date-parts":[["2025",5,16]]}}}],"schema":"https://github.com/citation-style-language/schema/raw/master/csl-citation.json"} </w:instrText>
      </w:r>
      <w:r w:rsidRPr="00913129">
        <w:rPr>
          <w:rStyle w:val="ms-1"/>
          <w:color w:val="000000" w:themeColor="text1"/>
          <w:sz w:val="28"/>
          <w:szCs w:val="28"/>
          <w:lang w:val="uk-UA"/>
        </w:rPr>
        <w:fldChar w:fldCharType="separate"/>
      </w:r>
      <w:r w:rsidR="00DF2F30" w:rsidRPr="00913129">
        <w:rPr>
          <w:color w:val="000000"/>
          <w:sz w:val="28"/>
          <w:lang w:val="uk-UA"/>
        </w:rPr>
        <w:t>[39,41]</w:t>
      </w:r>
      <w:r w:rsidRPr="00913129">
        <w:rPr>
          <w:rStyle w:val="ms-1"/>
          <w:color w:val="000000" w:themeColor="text1"/>
          <w:sz w:val="28"/>
          <w:szCs w:val="28"/>
          <w:lang w:val="uk-UA"/>
        </w:rPr>
        <w:fldChar w:fldCharType="end"/>
      </w:r>
      <w:r w:rsidRPr="00913129">
        <w:rPr>
          <w:rStyle w:val="ms-1"/>
          <w:color w:val="000000" w:themeColor="text1"/>
          <w:sz w:val="28"/>
          <w:szCs w:val="28"/>
          <w:lang w:val="uk-UA"/>
        </w:rPr>
        <w:t>.</w:t>
      </w:r>
    </w:p>
    <w:p w14:paraId="463E8F52" w14:textId="59C863EA"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 xml:space="preserve">Мікрофінансування малого та середнього підприємництва є важливою складовою системи соціально відповідального інвестування в Україні. До 2021 року український ринок небанківських мікрокредитів характеризувався стабільним зростанням, однак з 2022 року, під впливом повномасштабної </w:t>
      </w:r>
      <w:r w:rsidRPr="00913129">
        <w:rPr>
          <w:color w:val="000000" w:themeColor="text1"/>
          <w:sz w:val="28"/>
          <w:szCs w:val="28"/>
          <w:lang w:val="uk-UA"/>
        </w:rPr>
        <w:lastRenderedPageBreak/>
        <w:t xml:space="preserve">війни, обсяги мікрокредитування суттєво скоротилися. За цей період загальний обсяг заборгованості позичальників перед мікрофінансовими організаціями зменшився більш ніж на 5 млрд </w:t>
      </w:r>
      <w:r w:rsidR="0016721D" w:rsidRPr="00913129">
        <w:rPr>
          <w:color w:val="000000" w:themeColor="text1"/>
          <w:sz w:val="28"/>
          <w:szCs w:val="28"/>
          <w:lang w:val="uk-UA"/>
        </w:rPr>
        <w:t>грн</w:t>
      </w:r>
      <w:r w:rsidRPr="00913129">
        <w:rPr>
          <w:color w:val="000000" w:themeColor="text1"/>
          <w:sz w:val="28"/>
          <w:szCs w:val="28"/>
          <w:lang w:val="uk-UA"/>
        </w:rPr>
        <w:t xml:space="preserve">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{"citationID":"hxDkcmWg","properties":{"formattedCitation":"\\super [42]\\nosupersub{}","plainCitation":"[42]","noteIndex":0},"citationItems":[{"id":632,"uris":["http://zotero.org/users/10910668/items/XSHKPDJA"],"itemData":{"id":632,"type":"webpage","abstract":"Після спаду у 2022 році, українці активніше почали брати мікрокредити","language":"uk","title":"Відродження МФО: за три місяці мікрокредитування зросло на 39% — Опендатабот","title-short":"Відродження МФО","URL":"https://opendatabot.ua/analytics/mfo-2023-1","accessed":{"date-parts":[["2025",5,16]]}}}],"schema":"https://github.com/citation-style-language/schema/raw/master/csl-citation.json"}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[42]</w:t>
      </w:r>
      <w:r w:rsidRPr="00913129">
        <w:rPr>
          <w:color w:val="000000" w:themeColor="text1"/>
          <w:sz w:val="28"/>
          <w:szCs w:val="28"/>
          <w:lang w:val="uk-UA"/>
        </w:rPr>
        <w:fldChar w:fldCharType="end"/>
      </w:r>
      <w:r w:rsidRPr="00913129">
        <w:rPr>
          <w:color w:val="000000" w:themeColor="text1"/>
          <w:sz w:val="28"/>
          <w:szCs w:val="28"/>
          <w:lang w:val="uk-UA"/>
        </w:rPr>
        <w:t xml:space="preserve">. У 2023 році ринок мікрофінансування продемонстрував перші ознаки відновлення: за перший квартал було видано мікрокредитів на суму близько </w:t>
      </w:r>
      <w:r w:rsidR="008C048A" w:rsidRPr="00913129">
        <w:rPr>
          <w:color w:val="000000" w:themeColor="text1"/>
          <w:sz w:val="28"/>
          <w:szCs w:val="28"/>
          <w:lang w:val="uk-UA"/>
        </w:rPr>
        <w:t>7,2</w:t>
      </w:r>
      <w:r w:rsidRPr="00913129">
        <w:rPr>
          <w:color w:val="000000" w:themeColor="text1"/>
          <w:sz w:val="28"/>
          <w:szCs w:val="28"/>
          <w:lang w:val="uk-UA"/>
        </w:rPr>
        <w:t xml:space="preserve"> </w:t>
      </w:r>
      <w:r w:rsidR="008C048A" w:rsidRPr="00913129">
        <w:rPr>
          <w:color w:val="000000" w:themeColor="text1"/>
          <w:sz w:val="28"/>
          <w:szCs w:val="28"/>
          <w:lang w:val="uk-UA"/>
        </w:rPr>
        <w:t>млрд</w:t>
      </w:r>
      <w:r w:rsidRPr="00913129">
        <w:rPr>
          <w:color w:val="000000" w:themeColor="text1"/>
          <w:sz w:val="28"/>
          <w:szCs w:val="28"/>
          <w:lang w:val="uk-UA"/>
        </w:rPr>
        <w:t xml:space="preserve"> </w:t>
      </w:r>
      <w:r w:rsidR="0016721D" w:rsidRPr="00913129">
        <w:rPr>
          <w:color w:val="000000" w:themeColor="text1"/>
          <w:sz w:val="28"/>
          <w:szCs w:val="28"/>
          <w:lang w:val="uk-UA"/>
        </w:rPr>
        <w:t>грн</w:t>
      </w:r>
      <w:r w:rsidRPr="00913129">
        <w:rPr>
          <w:color w:val="000000" w:themeColor="text1"/>
          <w:sz w:val="28"/>
          <w:szCs w:val="28"/>
          <w:lang w:val="uk-UA"/>
        </w:rPr>
        <w:t>, що на 39% перевищило результат попереднього кварталу. Загальна кількість нових договорів за цей період становила 1,9 млн</w:t>
      </w:r>
      <w:r w:rsidR="0016721D" w:rsidRPr="00913129">
        <w:rPr>
          <w:color w:val="000000" w:themeColor="text1"/>
          <w:sz w:val="28"/>
          <w:szCs w:val="28"/>
          <w:lang w:val="uk-UA"/>
        </w:rPr>
        <w:t xml:space="preserve"> </w:t>
      </w:r>
      <w:r w:rsidR="008C048A" w:rsidRPr="00913129">
        <w:rPr>
          <w:color w:val="000000" w:themeColor="text1"/>
          <w:sz w:val="28"/>
          <w:szCs w:val="28"/>
          <w:lang w:val="uk-UA"/>
        </w:rPr>
        <w:t>договорів</w:t>
      </w:r>
      <w:r w:rsidRPr="00913129">
        <w:rPr>
          <w:color w:val="000000" w:themeColor="text1"/>
          <w:sz w:val="28"/>
          <w:szCs w:val="28"/>
          <w:lang w:val="uk-UA"/>
        </w:rPr>
        <w:t xml:space="preserve"> або близько 627 тис</w:t>
      </w:r>
      <w:r w:rsidR="00D22CD5" w:rsidRPr="00913129">
        <w:rPr>
          <w:color w:val="000000" w:themeColor="text1"/>
          <w:sz w:val="28"/>
          <w:szCs w:val="28"/>
          <w:lang w:val="uk-UA"/>
        </w:rPr>
        <w:t xml:space="preserve">. </w:t>
      </w:r>
      <w:r w:rsidRPr="00913129">
        <w:rPr>
          <w:color w:val="000000" w:themeColor="text1"/>
          <w:sz w:val="28"/>
          <w:szCs w:val="28"/>
          <w:lang w:val="uk-UA"/>
        </w:rPr>
        <w:t xml:space="preserve">позик щомісяця, що, втім, у два рази менше від довоєнного рівня 2021 року. Середній розмір однієї мікропозики становив приблизно 4,9 тис. </w:t>
      </w:r>
      <w:r w:rsidR="0016721D" w:rsidRPr="00913129">
        <w:rPr>
          <w:color w:val="000000" w:themeColor="text1"/>
          <w:sz w:val="28"/>
          <w:szCs w:val="28"/>
          <w:lang w:val="uk-UA"/>
        </w:rPr>
        <w:t>грн</w:t>
      </w:r>
      <w:r w:rsidRPr="00913129">
        <w:rPr>
          <w:color w:val="000000" w:themeColor="text1"/>
          <w:sz w:val="28"/>
          <w:szCs w:val="28"/>
          <w:lang w:val="uk-UA"/>
        </w:rPr>
        <w:t xml:space="preserve">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{"citationID":"evQsPRqv","properties":{"formattedCitation":"\\super [43]\\nosupersub{}","plainCitation":"[43]","noteIndex":0},"citationItems":[{"id":634,"uris":["http://zotero.org/users/10910668/items/NFKCYRCC"],"itemData":{"id":634,"type":"post-weblog","abstract":"Report UBN","container-title":"UBN","language":"en-US","title":"Report","URL":"https://ubn.news/report/","accessed":{"date-parts":[["2025",5,16]]}}}],"schema":"https://github.com/citation-style-language/schema/raw/master/csl-citation.json"}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[43]</w:t>
      </w:r>
      <w:r w:rsidRPr="00913129">
        <w:rPr>
          <w:color w:val="000000" w:themeColor="text1"/>
          <w:sz w:val="28"/>
          <w:szCs w:val="28"/>
          <w:lang w:val="uk-UA"/>
        </w:rPr>
        <w:fldChar w:fldCharType="end"/>
      </w:r>
      <w:r w:rsidRPr="00913129">
        <w:rPr>
          <w:color w:val="000000" w:themeColor="text1"/>
          <w:sz w:val="28"/>
          <w:szCs w:val="28"/>
          <w:lang w:val="uk-UA"/>
        </w:rPr>
        <w:t>. Попри переважно споживчий характер більшості мікрофінансових продуктів та високі процентні ставки, мікрокредитування залишається ключовим інструментом фінансової інклюзії для населення й мікробізнесу.</w:t>
      </w:r>
    </w:p>
    <w:p w14:paraId="4E913A78" w14:textId="4696F6E5" w:rsidR="00B70060" w:rsidRPr="00913129" w:rsidRDefault="00B70060" w:rsidP="00B5458A">
      <w:pPr>
        <w:pStyle w:val="a7"/>
        <w:spacing w:after="0" w:line="360" w:lineRule="auto"/>
        <w:ind w:left="0" w:firstLine="851"/>
        <w:jc w:val="both"/>
        <w:rPr>
          <w:rFonts w:ascii="Times New Roman" w:hAnsi="Times New Roman" w:cs="Times New Roman"/>
          <w:color w:val="000000" w:themeColor="text1"/>
          <w:sz w:val="28"/>
          <w:szCs w:val="28"/>
          <w:lang w:val="uk-UA"/>
        </w:rPr>
      </w:pPr>
      <w:r w:rsidRPr="00913129">
        <w:rPr>
          <w:rFonts w:ascii="Times New Roman" w:hAnsi="Times New Roman" w:cs="Times New Roman"/>
          <w:color w:val="000000" w:themeColor="text1"/>
          <w:sz w:val="28"/>
          <w:szCs w:val="28"/>
          <w:lang w:val="uk-UA"/>
        </w:rPr>
        <w:t>Для підтримки МСП в умовах обмеженого доступу до фінансування держава впровадила програму пільгового кредитування «Доступні кредити 5-7-9%». У 2024 році умови цієї програми були модернізовані</w:t>
      </w:r>
      <w:r w:rsidR="002B5914" w:rsidRPr="00913129">
        <w:rPr>
          <w:rFonts w:ascii="Times New Roman" w:hAnsi="Times New Roman" w:cs="Times New Roman"/>
          <w:color w:val="000000" w:themeColor="text1"/>
          <w:sz w:val="28"/>
          <w:szCs w:val="28"/>
          <w:lang w:val="uk-UA"/>
        </w:rPr>
        <w:t xml:space="preserve">, так </w:t>
      </w:r>
      <w:r w:rsidRPr="00913129">
        <w:rPr>
          <w:rFonts w:ascii="Times New Roman" w:hAnsi="Times New Roman" w:cs="Times New Roman"/>
          <w:color w:val="000000" w:themeColor="text1"/>
          <w:sz w:val="28"/>
          <w:szCs w:val="28"/>
          <w:lang w:val="uk-UA"/>
        </w:rPr>
        <w:t>максимальний розмір кредиту на обігові кошти становить 5 млн грн, тоді як на інвестиційні цілі до 150 млн грн, що актуально для підприємств переробної промисловості та тваринництва. Основною метою оновленої програми визначено стимулювання інвестицій у реальний сектор економіки. Додатково було встановлено обмеження банківської маржі, що дозволило спрямувати близько 3 млрд грн на розширення обсягів кредитування бізнесу. У 2023 році ця програма забезпечила понад 90% усіх нових кредитів для МСП, однак лише близько 1</w:t>
      </w:r>
      <w:r w:rsidR="008C048A" w:rsidRPr="00913129">
        <w:rPr>
          <w:rFonts w:ascii="Times New Roman" w:hAnsi="Times New Roman" w:cs="Times New Roman"/>
          <w:color w:val="000000" w:themeColor="text1"/>
          <w:sz w:val="28"/>
          <w:szCs w:val="28"/>
          <w:lang w:val="uk-UA"/>
        </w:rPr>
        <w:t>0,1</w:t>
      </w:r>
      <w:r w:rsidRPr="00913129">
        <w:rPr>
          <w:rFonts w:ascii="Times New Roman" w:hAnsi="Times New Roman" w:cs="Times New Roman"/>
          <w:color w:val="000000" w:themeColor="text1"/>
          <w:sz w:val="28"/>
          <w:szCs w:val="28"/>
          <w:lang w:val="uk-UA"/>
        </w:rPr>
        <w:t xml:space="preserve">% із них були спрямовані на інвестиційні цілі </w:t>
      </w:r>
      <w:r w:rsidRPr="00913129">
        <w:rPr>
          <w:rFonts w:ascii="Times New Roman" w:hAnsi="Times New Roman" w:cs="Times New Roman"/>
          <w:color w:val="000000" w:themeColor="text1"/>
          <w:sz w:val="28"/>
          <w:szCs w:val="28"/>
          <w:lang w:val="uk-UA"/>
        </w:rPr>
        <w:fldChar w:fldCharType="begin"/>
      </w:r>
      <w:r w:rsidRPr="00913129">
        <w:rPr>
          <w:rFonts w:ascii="Times New Roman" w:hAnsi="Times New Roman" w:cs="Times New Roman"/>
          <w:color w:val="000000" w:themeColor="text1"/>
          <w:sz w:val="28"/>
          <w:szCs w:val="28"/>
          <w:lang w:val="uk-UA"/>
        </w:rPr>
        <w:instrText xml:space="preserve"> ADDIN ZOTERO_ITEM CSL_CITATION {"citationID":"6QPaVA0K","properties":{"formattedCitation":"\\super [43,44]\\nosupersub{}","plainCitation":"[43,44]","noteIndex":0},"citationItems":[{"id":634,"uris":["http://zotero.org/users/10910668/items/NFKCYRCC"],"itemData":{"id":634,"type":"post-weblog","abstract":"Report UBN","container-title":"UBN","language":"en-US","title":"Report","URL":"https://ubn.news/report/","accessed":{"date-parts":[["2025",5,16]]}},"label":"page"},{"id":636,"uris":["http://zotero.org/users/10910668/items/B98J9LKV"],"itemData":{"id":636,"type":"webpage","abstract":"Кабінет Міністрів України вніс зміни до Порядку надання фінансової державної підтримки суб’єктам підприємництва, який визначає параметри програми «Доступні кредити 5-7-9%»","language":"uk","title":"Кабінет Міністрів України - Уряд переорієнтовує програму «Доступні кредити 5-7-9%» на інвестиційні цілі, - Надія Бігун","URL":"https://www.kmu.gov.ua/news/uriad-pereoriientovuie-prohramu-dostupni-kredyty-5-7-9-na-investytsiini-tsili-nadiia-bihun","author":[{"family":"Kitsoft","given":""}],"accessed":{"date-parts":[["2025",5,16]]}},"label":"page"}],"schema":"https://github.com/citation-style-language/schema/raw/master/csl-citation.json"} </w:instrText>
      </w:r>
      <w:r w:rsidRPr="00913129">
        <w:rPr>
          <w:rFonts w:ascii="Times New Roman" w:hAnsi="Times New Roman" w:cs="Times New Roman"/>
          <w:color w:val="000000" w:themeColor="text1"/>
          <w:sz w:val="28"/>
          <w:szCs w:val="28"/>
          <w:lang w:val="uk-UA"/>
        </w:rPr>
        <w:fldChar w:fldCharType="separate"/>
      </w:r>
      <w:r w:rsidRPr="00913129">
        <w:rPr>
          <w:rFonts w:ascii="Times New Roman" w:hAnsi="Times New Roman" w:cs="Times New Roman"/>
          <w:color w:val="000000" w:themeColor="text1"/>
          <w:kern w:val="0"/>
          <w:sz w:val="28"/>
          <w:szCs w:val="28"/>
          <w:lang w:val="uk-UA"/>
        </w:rPr>
        <w:t>[43,44]</w:t>
      </w:r>
      <w:r w:rsidRPr="00913129">
        <w:rPr>
          <w:rFonts w:ascii="Times New Roman" w:hAnsi="Times New Roman" w:cs="Times New Roman"/>
          <w:color w:val="000000" w:themeColor="text1"/>
          <w:sz w:val="28"/>
          <w:szCs w:val="28"/>
          <w:lang w:val="uk-UA"/>
        </w:rPr>
        <w:fldChar w:fldCharType="end"/>
      </w:r>
      <w:r w:rsidRPr="00913129">
        <w:rPr>
          <w:rFonts w:ascii="Times New Roman" w:hAnsi="Times New Roman" w:cs="Times New Roman"/>
          <w:color w:val="000000" w:themeColor="text1"/>
          <w:sz w:val="28"/>
          <w:szCs w:val="28"/>
          <w:lang w:val="uk-UA"/>
        </w:rPr>
        <w:t>.</w:t>
      </w:r>
    </w:p>
    <w:p w14:paraId="2E0CFA7E" w14:textId="0CD3A527"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Ринок сталого інвестування (ESG/</w:t>
      </w:r>
      <w:r w:rsidR="00DB4EA9" w:rsidRPr="00913129">
        <w:rPr>
          <w:color w:val="000000" w:themeColor="text1"/>
          <w:sz w:val="28"/>
          <w:szCs w:val="28"/>
          <w:lang w:val="uk-UA"/>
        </w:rPr>
        <w:t>СВІ</w:t>
      </w:r>
      <w:r w:rsidRPr="00913129">
        <w:rPr>
          <w:color w:val="000000" w:themeColor="text1"/>
          <w:sz w:val="28"/>
          <w:szCs w:val="28"/>
          <w:lang w:val="uk-UA"/>
        </w:rPr>
        <w:t>) в Україні перебуває на початковій стадії розвитку. Станом на 2024 рік у країні діяло 1</w:t>
      </w:r>
      <w:r w:rsidR="002B5914" w:rsidRPr="00913129">
        <w:rPr>
          <w:color w:val="000000" w:themeColor="text1"/>
          <w:sz w:val="28"/>
          <w:szCs w:val="28"/>
          <w:lang w:val="uk-UA"/>
        </w:rPr>
        <w:t xml:space="preserve"> </w:t>
      </w:r>
      <w:r w:rsidRPr="00913129">
        <w:rPr>
          <w:color w:val="000000" w:themeColor="text1"/>
          <w:sz w:val="28"/>
          <w:szCs w:val="28"/>
          <w:lang w:val="uk-UA"/>
        </w:rPr>
        <w:t xml:space="preserve">661 активний інститут спільного інвестування із сукупним обсягом активів понад 616 млрд </w:t>
      </w:r>
      <w:r w:rsidR="0016721D" w:rsidRPr="00913129">
        <w:rPr>
          <w:color w:val="000000" w:themeColor="text1"/>
          <w:sz w:val="28"/>
          <w:szCs w:val="28"/>
          <w:lang w:val="uk-UA"/>
        </w:rPr>
        <w:t>грн</w:t>
      </w:r>
      <w:r w:rsidRPr="00913129">
        <w:rPr>
          <w:color w:val="000000" w:themeColor="text1"/>
          <w:sz w:val="28"/>
          <w:szCs w:val="28"/>
          <w:lang w:val="uk-UA"/>
        </w:rPr>
        <w:t xml:space="preserve">. Водночас менш ніж 1% цього обсягу припадає на фонди, які офіційно декларують дотримання ESG-принципів. Це свідчить про те, що переважна більшість активів під управлінням українських компаній розміщується без </w:t>
      </w:r>
      <w:r w:rsidRPr="00913129">
        <w:rPr>
          <w:color w:val="000000" w:themeColor="text1"/>
          <w:sz w:val="28"/>
          <w:szCs w:val="28"/>
          <w:lang w:val="uk-UA"/>
        </w:rPr>
        <w:lastRenderedPageBreak/>
        <w:t xml:space="preserve">формального врахування екологічних, соціальних або управлінських критеріїв </w:t>
      </w:r>
      <w:r w:rsidRPr="00913129">
        <w:rPr>
          <w:rStyle w:val="ac"/>
          <w:color w:val="000000" w:themeColor="text1"/>
          <w:sz w:val="28"/>
          <w:szCs w:val="28"/>
          <w:lang w:val="uk-UA"/>
        </w:rPr>
        <w:fldChar w:fldCharType="begin"/>
      </w:r>
      <w:r w:rsidRPr="00913129">
        <w:rPr>
          <w:rStyle w:val="ac"/>
          <w:color w:val="000000" w:themeColor="text1"/>
          <w:sz w:val="28"/>
          <w:szCs w:val="28"/>
          <w:lang w:val="uk-UA"/>
        </w:rPr>
        <w:instrText xml:space="preserve"> ADDIN ZOTERO_ITEM CSL_CITATION {"citationID":"bGEl2fQE","properties":{"formattedCitation":"\\super [45]\\nosupersub{}","plainCitation":"[45]","noteIndex":0},"citationItems":[{"id":638,"uris":["http://zotero.org/users/10910668/items/2GCWHNR7"],"itemData":{"id":638,"type":"post-weblog","language":"uk","title":"Компанія з управління активами: професійний менеджмент у сфері спільного інвестування – НКЦПФР | НАЦІОНАЛЬНА КОМІСІЯ З ЦІННИХ ПАПЕРІВ ТА ФОНДОВОГО РИНКУ","title-short":"Компанія з управління активами","URL":"https://www.nssmc.gov.ua/kompaniia-z-upravlinnia-aktyvamy-profesiinyi-menedzhment-u-sferi-spilnoho-investuvannia/?v=2","accessed":{"date-parts":[["2025",5,16]]}}}],"schema":"https://github.com/citation-style-language/schema/raw/master/csl-citation.json"} </w:instrText>
      </w:r>
      <w:r w:rsidRPr="00913129">
        <w:rPr>
          <w:rStyle w:val="ac"/>
          <w:color w:val="000000" w:themeColor="text1"/>
          <w:sz w:val="28"/>
          <w:szCs w:val="28"/>
          <w:lang w:val="uk-UA"/>
        </w:rPr>
        <w:fldChar w:fldCharType="separate"/>
      </w:r>
      <w:r w:rsidRPr="00913129">
        <w:rPr>
          <w:color w:val="000000" w:themeColor="text1"/>
          <w:sz w:val="28"/>
          <w:szCs w:val="28"/>
          <w:lang w:val="uk-UA"/>
        </w:rPr>
        <w:t>[45]</w:t>
      </w:r>
      <w:r w:rsidRPr="00913129">
        <w:rPr>
          <w:rStyle w:val="ac"/>
          <w:color w:val="000000" w:themeColor="text1"/>
          <w:sz w:val="28"/>
          <w:szCs w:val="28"/>
          <w:lang w:val="uk-UA"/>
        </w:rPr>
        <w:fldChar w:fldCharType="end"/>
      </w:r>
      <w:r w:rsidRPr="00913129">
        <w:rPr>
          <w:rStyle w:val="ac"/>
          <w:color w:val="000000" w:themeColor="text1"/>
          <w:sz w:val="28"/>
          <w:szCs w:val="28"/>
          <w:lang w:val="uk-UA"/>
        </w:rPr>
        <w:t>.</w:t>
      </w:r>
    </w:p>
    <w:p w14:paraId="42F28E36" w14:textId="5DAB8CEA"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 xml:space="preserve">До 2020 року в Україні не було зареєстровано жодного «зеленого» чи соціально відповідального інвестиційного фонду. Лише наприкінці 2021 року було створено перший приватний Green Investment Fund, орієнтований на інвестування у відновлювану енергетику, «зелене» будівництво, транспорт та цифрову інфраструктуру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{"citationID":"2yB0bPPW","properties":{"formattedCitation":"\\super [46]\\nosupersub{}","plainCitation":"[46]","noteIndex":0},"citationItems":[{"id":642,"uris":["http://zotero.org/users/10910668/items/E27SJMGZ"],"itemData":{"id":642,"type":"webpage","abstract":"Bringing together capital and competencies. Five well-known Ukrainian entrepreneurs and investment bankers launch a large private equity fund targeting “green” projects.","language":"uk","title":"Investment Dream Team. Konstantin Magaletskiy and Andrey Stavnitser create a fund worth at least $100 million. What is the focus on? Where is the money from? Who are the clients?","title-short":"Investment Dream Team. Konstantin Magaletskiy and Andrey Stavnitser create a fund worth at least $100 million. What is the focus on?","URL":"https://sd.capital/eng/tpost/fyfbuxne01-investment-dream-team-konstantin-magalet","accessed":{"date-parts":[["2025",5,16]]}}}],"schema":"https://github.com/citation-style-language/schema/raw/master/csl-citation.json"}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szCs w:val="28"/>
          <w:lang w:val="uk-UA"/>
        </w:rPr>
        <w:t>[46]</w:t>
      </w:r>
      <w:r w:rsidRPr="00913129">
        <w:rPr>
          <w:color w:val="000000" w:themeColor="text1"/>
          <w:sz w:val="28"/>
          <w:szCs w:val="28"/>
          <w:lang w:val="uk-UA"/>
        </w:rPr>
        <w:fldChar w:fldCharType="end"/>
      </w:r>
      <w:r w:rsidRPr="00913129">
        <w:rPr>
          <w:color w:val="000000" w:themeColor="text1"/>
          <w:sz w:val="28"/>
          <w:szCs w:val="28"/>
          <w:lang w:val="uk-UA"/>
        </w:rPr>
        <w:t xml:space="preserve">. Водночас окремі великі інвестори, такі як група Dragon Capital, за підтримки IFC розпочали інтеграцію ESG-підходів у власні бізнес-стратегії </w:t>
      </w:r>
      <w:r w:rsidRPr="00913129">
        <w:rPr>
          <w:rStyle w:val="ms-1"/>
          <w:rFonts w:eastAsiaTheme="majorEastAsia"/>
          <w:color w:val="000000" w:themeColor="text1"/>
          <w:sz w:val="28"/>
          <w:szCs w:val="28"/>
          <w:lang w:val="uk-UA"/>
        </w:rPr>
        <w:fldChar w:fldCharType="begin"/>
      </w:r>
      <w:r w:rsidRPr="00913129">
        <w:rPr>
          <w:rStyle w:val="ms-1"/>
          <w:rFonts w:eastAsiaTheme="majorEastAsia"/>
          <w:color w:val="000000" w:themeColor="text1"/>
          <w:sz w:val="28"/>
          <w:szCs w:val="28"/>
          <w:lang w:val="uk-UA"/>
        </w:rPr>
        <w:instrText xml:space="preserve"> ADDIN ZOTERO_ITEM CSL_CITATION {"citationID":"nKLJkBZo","properties":{"formattedCitation":"\\super [47]\\nosupersub{}","plainCitation":"[47]","noteIndex":0},"citationItems":[{"id":644,"uris":["http://zotero.org/users/10910668/items/JL9IXGZL"],"itemData":{"id":644,"type":"post-weblog","abstract":"Read and download Dragon Capital's Environmental, Social and Governance (ESG) policy and Corporate Social Responsibility (CSR) Policy and more.","container-title":"Dragon Capital Group","language":"en-GB","title":"Responsible Investment","URL":"https://www.dragoncapital.com/about/responsible-investment/","accessed":{"date-parts":[["2025",5,16]]}}}],"schema":"https://github.com/citation-style-language/schema/raw/master/csl-citation.json"} </w:instrText>
      </w:r>
      <w:r w:rsidRPr="00913129">
        <w:rPr>
          <w:rStyle w:val="ms-1"/>
          <w:rFonts w:eastAsiaTheme="majorEastAsia"/>
          <w:color w:val="000000" w:themeColor="text1"/>
          <w:sz w:val="28"/>
          <w:szCs w:val="28"/>
          <w:lang w:val="uk-UA"/>
        </w:rPr>
        <w:fldChar w:fldCharType="separate"/>
      </w:r>
      <w:r w:rsidRPr="00913129">
        <w:rPr>
          <w:color w:val="000000" w:themeColor="text1"/>
          <w:sz w:val="28"/>
          <w:szCs w:val="28"/>
          <w:lang w:val="uk-UA"/>
        </w:rPr>
        <w:t>[47]</w:t>
      </w:r>
      <w:r w:rsidRPr="00913129">
        <w:rPr>
          <w:rStyle w:val="ms-1"/>
          <w:rFonts w:eastAsiaTheme="majorEastAsia"/>
          <w:color w:val="000000" w:themeColor="text1"/>
          <w:sz w:val="28"/>
          <w:szCs w:val="28"/>
          <w:lang w:val="uk-UA"/>
        </w:rPr>
        <w:fldChar w:fldCharType="end"/>
      </w:r>
      <w:r w:rsidRPr="00913129">
        <w:rPr>
          <w:rStyle w:val="ms-1"/>
          <w:rFonts w:eastAsiaTheme="majorEastAsia"/>
          <w:color w:val="000000" w:themeColor="text1"/>
          <w:sz w:val="28"/>
          <w:szCs w:val="28"/>
          <w:lang w:val="uk-UA"/>
        </w:rPr>
        <w:t>.</w:t>
      </w:r>
    </w:p>
    <w:p w14:paraId="690D2277" w14:textId="26219E74"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 xml:space="preserve">Значну роль у поступовому формуванні ринку ESG-інвестицій відіграють регуляторні ініціативи, що активізувалися з 2020 року. Національна комісія з цінних паперів та фондового ринку (НКЦПФР) і Національний банк України включили розвиток ESG-фінансування до стратегічних документів розвитку фінансового сектору. З 2023 року НКЦПФР впроваджує рекомендації щодо випуску «зелених» облігацій та розкриття інформації про вплив проєктів. Однак широке впровадження ESG-продуктів на публічному ринку поки що стримується воєнними діями та економічною невизначеністю. Станом на 2024 рік в Україні відсутні публічно торговані ESG-фонди, а діяльність приватних </w:t>
      </w:r>
      <w:r w:rsidR="00DB4EA9" w:rsidRPr="00913129">
        <w:rPr>
          <w:color w:val="000000" w:themeColor="text1"/>
          <w:sz w:val="28"/>
          <w:szCs w:val="28"/>
          <w:lang w:val="uk-UA"/>
        </w:rPr>
        <w:t>СВІ</w:t>
      </w:r>
      <w:r w:rsidRPr="00913129">
        <w:rPr>
          <w:color w:val="000000" w:themeColor="text1"/>
          <w:sz w:val="28"/>
          <w:szCs w:val="28"/>
          <w:lang w:val="uk-UA"/>
        </w:rPr>
        <w:t xml:space="preserve">-фондів має обмежений масштаб </w:t>
      </w:r>
      <w:r w:rsidRPr="00913129">
        <w:rPr>
          <w:rStyle w:val="ms-1"/>
          <w:rFonts w:eastAsiaTheme="majorEastAsia"/>
          <w:color w:val="000000" w:themeColor="text1"/>
          <w:sz w:val="28"/>
          <w:szCs w:val="28"/>
          <w:lang w:val="uk-UA"/>
        </w:rPr>
        <w:fldChar w:fldCharType="begin"/>
      </w:r>
      <w:r w:rsidRPr="00913129">
        <w:rPr>
          <w:rStyle w:val="ms-1"/>
          <w:rFonts w:eastAsiaTheme="majorEastAsia"/>
          <w:color w:val="000000" w:themeColor="text1"/>
          <w:sz w:val="28"/>
          <w:szCs w:val="28"/>
          <w:lang w:val="uk-UA"/>
        </w:rPr>
        <w:instrText xml:space="preserve"> ADDIN ZOTERO_ITEM CSL_CITATION {"citationID":"kZlb3ed2","properties":{"formattedCitation":"\\super [48]\\nosupersub{}","plainCitation":"[48]","noteIndex":0},"citationItems":[{"id":647,"uris":["http://zotero.org/users/10910668/items/26F4WCYX"],"itemData":{"id":647,"type":"book","ISBN":"978-92-64-55185-5","language":"en","note":"DOI: 10.1787/866c5c44-en","publisher":"OECD Publishing","source":"DOI.org (Crossref)","title":"Mapping Ukraine’s Financial Markets and Corporate Governance Framework for a Sustainable Recovery","URL":"https://www.oecd.org/en/publications/mapping-ukraine-s-financial-markets-and-corporate-governance-framework-for-a-sustainable-recovery_866c5c44-en.html","author":[{"literal":"OECD"}],"accessed":{"date-parts":[["2025",5,16]]},"issued":{"date-parts":[["2025",1,23]]}}}],"schema":"https://github.com/citation-style-language/schema/raw/master/csl-citation.json"} </w:instrText>
      </w:r>
      <w:r w:rsidRPr="00913129">
        <w:rPr>
          <w:rStyle w:val="ms-1"/>
          <w:rFonts w:eastAsiaTheme="majorEastAsia"/>
          <w:color w:val="000000" w:themeColor="text1"/>
          <w:sz w:val="28"/>
          <w:szCs w:val="28"/>
          <w:lang w:val="uk-UA"/>
        </w:rPr>
        <w:fldChar w:fldCharType="separate"/>
      </w:r>
      <w:r w:rsidRPr="00913129">
        <w:rPr>
          <w:color w:val="000000" w:themeColor="text1"/>
          <w:sz w:val="28"/>
          <w:szCs w:val="28"/>
          <w:lang w:val="uk-UA"/>
        </w:rPr>
        <w:t>[48]</w:t>
      </w:r>
      <w:r w:rsidRPr="00913129">
        <w:rPr>
          <w:rStyle w:val="ms-1"/>
          <w:rFonts w:eastAsiaTheme="majorEastAsia"/>
          <w:color w:val="000000" w:themeColor="text1"/>
          <w:sz w:val="28"/>
          <w:szCs w:val="28"/>
          <w:lang w:val="uk-UA"/>
        </w:rPr>
        <w:fldChar w:fldCharType="end"/>
      </w:r>
      <w:r w:rsidRPr="00913129">
        <w:rPr>
          <w:color w:val="000000" w:themeColor="text1"/>
          <w:sz w:val="28"/>
          <w:szCs w:val="28"/>
          <w:lang w:val="uk-UA"/>
        </w:rPr>
        <w:t>.</w:t>
      </w:r>
    </w:p>
    <w:p w14:paraId="0DCCC93B" w14:textId="3AB10C6B" w:rsidR="00B70060" w:rsidRPr="00913129" w:rsidRDefault="00B70060" w:rsidP="00B5458A">
      <w:pPr>
        <w:pStyle w:val="ae"/>
        <w:spacing w:before="0" w:beforeAutospacing="0" w:after="0" w:afterAutospacing="0" w:line="360" w:lineRule="auto"/>
        <w:ind w:firstLine="851"/>
        <w:jc w:val="both"/>
        <w:rPr>
          <w:color w:val="000000" w:themeColor="text1"/>
          <w:sz w:val="28"/>
          <w:szCs w:val="28"/>
          <w:lang w:val="uk-UA"/>
        </w:rPr>
      </w:pPr>
      <w:r w:rsidRPr="00913129">
        <w:rPr>
          <w:color w:val="000000" w:themeColor="text1"/>
          <w:sz w:val="28"/>
          <w:szCs w:val="28"/>
          <w:lang w:val="uk-UA"/>
        </w:rPr>
        <w:t>Участь українських фінансових установ у глобальній ініціативі Principles for Responsible Investment (PRI) залишається незначною. Упродовж 2014</w:t>
      </w:r>
      <w:r w:rsidR="002B5914" w:rsidRPr="00913129">
        <w:rPr>
          <w:color w:val="000000" w:themeColor="text1"/>
          <w:sz w:val="28"/>
          <w:szCs w:val="28"/>
          <w:lang w:val="uk-UA"/>
        </w:rPr>
        <w:t>-</w:t>
      </w:r>
      <w:r w:rsidRPr="00913129">
        <w:rPr>
          <w:color w:val="000000" w:themeColor="text1"/>
          <w:sz w:val="28"/>
          <w:szCs w:val="28"/>
          <w:lang w:val="uk-UA"/>
        </w:rPr>
        <w:t>2024 років лише одна українська компанія</w:t>
      </w:r>
      <w:r w:rsidR="002B5914" w:rsidRPr="00913129">
        <w:rPr>
          <w:color w:val="000000" w:themeColor="text1"/>
          <w:sz w:val="28"/>
          <w:szCs w:val="28"/>
          <w:lang w:val="uk-UA"/>
        </w:rPr>
        <w:t xml:space="preserve">, </w:t>
      </w:r>
      <w:r w:rsidRPr="00913129">
        <w:rPr>
          <w:color w:val="000000" w:themeColor="text1"/>
          <w:sz w:val="28"/>
          <w:szCs w:val="28"/>
          <w:lang w:val="uk-UA"/>
        </w:rPr>
        <w:t>київська інвестиційна компанія Horizon Capital</w:t>
      </w:r>
      <w:r w:rsidR="002B5914" w:rsidRPr="00913129">
        <w:rPr>
          <w:color w:val="000000" w:themeColor="text1"/>
          <w:sz w:val="28"/>
          <w:szCs w:val="28"/>
          <w:lang w:val="uk-UA"/>
        </w:rPr>
        <w:t xml:space="preserve">, </w:t>
      </w:r>
      <w:r w:rsidRPr="00913129">
        <w:rPr>
          <w:color w:val="000000" w:themeColor="text1"/>
          <w:sz w:val="28"/>
          <w:szCs w:val="28"/>
          <w:lang w:val="uk-UA"/>
        </w:rPr>
        <w:t xml:space="preserve">приєдналася до числа підписантів, офіційно долучившись до ініціативи у березні 2023 року </w:t>
      </w:r>
      <w:r w:rsidRPr="00913129">
        <w:rPr>
          <w:rStyle w:val="ms-1"/>
          <w:rFonts w:eastAsiaTheme="majorEastAsia"/>
          <w:color w:val="000000" w:themeColor="text1"/>
          <w:sz w:val="28"/>
          <w:szCs w:val="28"/>
          <w:lang w:val="uk-UA"/>
        </w:rPr>
        <w:fldChar w:fldCharType="begin"/>
      </w:r>
      <w:r w:rsidRPr="00913129">
        <w:rPr>
          <w:rStyle w:val="ms-1"/>
          <w:rFonts w:eastAsiaTheme="majorEastAsia"/>
          <w:color w:val="000000" w:themeColor="text1"/>
          <w:sz w:val="28"/>
          <w:szCs w:val="28"/>
          <w:lang w:val="uk-UA"/>
        </w:rPr>
        <w:instrText xml:space="preserve"> ADDIN ZOTERO_ITEM CSL_CITATION {"citationID":"49XBt74w","properties":{"formattedCitation":"\\super [49]\\nosupersub{}","plainCitation":"[49]","noteIndex":0},"citationItems":[{"id":648,"uris":["http://zotero.org/users/10910668/items/LQFYKJ25"],"itemData":{"id":648,"type":"webpage","abstract":"SIGNATORY PROFILE ' Investment Manager","container-title":"PRI","language":"en","title":"Horizon Capital","URL":"https://www.unpri.org/signatory-directory/horizon-capital/11224.article","accessed":{"date-parts":[["2025",5,16]]}}}],"schema":"https://github.com/citation-style-language/schema/raw/master/csl-citation.json"} </w:instrText>
      </w:r>
      <w:r w:rsidRPr="00913129">
        <w:rPr>
          <w:rStyle w:val="ms-1"/>
          <w:rFonts w:eastAsiaTheme="majorEastAsia"/>
          <w:color w:val="000000" w:themeColor="text1"/>
          <w:sz w:val="28"/>
          <w:szCs w:val="28"/>
          <w:lang w:val="uk-UA"/>
        </w:rPr>
        <w:fldChar w:fldCharType="separate"/>
      </w:r>
      <w:r w:rsidRPr="00913129">
        <w:rPr>
          <w:color w:val="000000" w:themeColor="text1"/>
          <w:sz w:val="28"/>
          <w:szCs w:val="28"/>
          <w:lang w:val="uk-UA"/>
        </w:rPr>
        <w:t>[49]</w:t>
      </w:r>
      <w:r w:rsidRPr="00913129">
        <w:rPr>
          <w:rStyle w:val="ms-1"/>
          <w:rFonts w:eastAsiaTheme="majorEastAsia"/>
          <w:color w:val="000000" w:themeColor="text1"/>
          <w:sz w:val="28"/>
          <w:szCs w:val="28"/>
          <w:lang w:val="uk-UA"/>
        </w:rPr>
        <w:fldChar w:fldCharType="end"/>
      </w:r>
      <w:r w:rsidRPr="00913129">
        <w:rPr>
          <w:rStyle w:val="ms-1"/>
          <w:rFonts w:eastAsiaTheme="majorEastAsia"/>
          <w:color w:val="000000" w:themeColor="text1"/>
          <w:sz w:val="28"/>
          <w:szCs w:val="28"/>
          <w:lang w:val="uk-UA"/>
        </w:rPr>
        <w:t>.</w:t>
      </w:r>
      <w:r w:rsidRPr="00913129">
        <w:rPr>
          <w:color w:val="000000" w:themeColor="text1"/>
          <w:sz w:val="28"/>
          <w:szCs w:val="28"/>
          <w:lang w:val="uk-UA"/>
        </w:rPr>
        <w:t xml:space="preserve"> Horizon Capital спеціалізується на підтримці українських підприємств та на момент приєднання управляла активами обсягом понад 1,2 млрд дол. США </w:t>
      </w:r>
      <w:r w:rsidRPr="00913129">
        <w:rPr>
          <w:rStyle w:val="ac"/>
          <w:rFonts w:eastAsiaTheme="majorEastAsia"/>
          <w:color w:val="000000" w:themeColor="text1"/>
          <w:sz w:val="28"/>
          <w:szCs w:val="28"/>
          <w:lang w:val="uk-UA"/>
        </w:rPr>
        <w:fldChar w:fldCharType="begin"/>
      </w:r>
      <w:r w:rsidRPr="00913129">
        <w:rPr>
          <w:rStyle w:val="ac"/>
          <w:rFonts w:eastAsiaTheme="majorEastAsia"/>
          <w:color w:val="000000" w:themeColor="text1"/>
          <w:sz w:val="28"/>
          <w:szCs w:val="28"/>
          <w:lang w:val="uk-UA"/>
        </w:rPr>
        <w:instrText xml:space="preserve"> ADDIN ZOTERO_ITEM CSL_CITATION {"citationID":"siuwXCDJ","properties":{"formattedCitation":"\\super [50]\\nosupersub{}","plainCitation":"[50]","noteIndex":0},"citationItems":[{"id":650,"uris":["http://zotero.org/users/10910668/items/VH78ZPY4"],"itemData":{"id":650,"type":"post-weblog","container-title":"Finnfund","language":"en-GB","title":"Horizon Capital Growth Fund IV","URL":"https://finnfund.fi/en/hankkeet/horizon-capital-growth-fund-iv/","accessed":{"date-parts":[["2025",5,16]]}}}],"schema":"https://github.com/citation-style-language/schema/raw/master/csl-citation.json"} </w:instrText>
      </w:r>
      <w:r w:rsidRPr="00913129">
        <w:rPr>
          <w:rStyle w:val="ac"/>
          <w:rFonts w:eastAsiaTheme="majorEastAsia"/>
          <w:color w:val="000000" w:themeColor="text1"/>
          <w:sz w:val="28"/>
          <w:szCs w:val="28"/>
          <w:lang w:val="uk-UA"/>
        </w:rPr>
        <w:fldChar w:fldCharType="separate"/>
      </w:r>
      <w:r w:rsidRPr="00913129">
        <w:rPr>
          <w:color w:val="000000" w:themeColor="text1"/>
          <w:sz w:val="28"/>
          <w:szCs w:val="28"/>
          <w:lang w:val="uk-UA"/>
        </w:rPr>
        <w:t>[50]</w:t>
      </w:r>
      <w:r w:rsidRPr="00913129">
        <w:rPr>
          <w:rStyle w:val="ac"/>
          <w:rFonts w:eastAsiaTheme="majorEastAsia"/>
          <w:color w:val="000000" w:themeColor="text1"/>
          <w:sz w:val="28"/>
          <w:szCs w:val="28"/>
          <w:lang w:val="uk-UA"/>
        </w:rPr>
        <w:fldChar w:fldCharType="end"/>
      </w:r>
      <w:r w:rsidRPr="00913129">
        <w:rPr>
          <w:rStyle w:val="ac"/>
          <w:rFonts w:eastAsiaTheme="majorEastAsia"/>
          <w:color w:val="000000" w:themeColor="text1"/>
          <w:sz w:val="28"/>
          <w:szCs w:val="28"/>
          <w:lang w:val="uk-UA"/>
        </w:rPr>
        <w:t xml:space="preserve">. </w:t>
      </w:r>
      <w:r w:rsidRPr="00913129">
        <w:rPr>
          <w:color w:val="000000" w:themeColor="text1"/>
          <w:sz w:val="28"/>
          <w:szCs w:val="28"/>
          <w:lang w:val="uk-UA"/>
        </w:rPr>
        <w:t xml:space="preserve">Відповідно до стандартів PRI, компанія інтегрує ESG-критерії у всі інвестиційні рішення, забезпечуючи повну відповідність свого портфеля принципам соціально відповідального інвестування. Частка активів під управлінням Horizon Capital становить близько 7% від загального обсягу </w:t>
      </w:r>
      <w:r w:rsidRPr="00913129">
        <w:rPr>
          <w:color w:val="000000" w:themeColor="text1"/>
          <w:sz w:val="28"/>
          <w:szCs w:val="28"/>
          <w:lang w:val="uk-UA"/>
        </w:rPr>
        <w:lastRenderedPageBreak/>
        <w:t xml:space="preserve">активів українських інвестиційних фондів, який у 2024 році перевищував 616 млрд грн </w:t>
      </w:r>
      <w:r w:rsidRPr="00913129">
        <w:rPr>
          <w:rStyle w:val="ms-1"/>
          <w:rFonts w:eastAsiaTheme="majorEastAsia"/>
          <w:color w:val="000000" w:themeColor="text1"/>
          <w:sz w:val="28"/>
          <w:szCs w:val="28"/>
          <w:lang w:val="uk-UA"/>
        </w:rPr>
        <w:fldChar w:fldCharType="begin"/>
      </w:r>
      <w:r w:rsidRPr="00913129">
        <w:rPr>
          <w:rStyle w:val="ms-1"/>
          <w:rFonts w:eastAsiaTheme="majorEastAsia"/>
          <w:color w:val="000000" w:themeColor="text1"/>
          <w:sz w:val="28"/>
          <w:szCs w:val="28"/>
          <w:lang w:val="uk-UA"/>
        </w:rPr>
        <w:instrText xml:space="preserve"> ADDIN ZOTERO_ITEM CSL_CITATION {"citationID":"8wP75Sbn","properties":{"formattedCitation":"\\super [45,47]\\nosupersub{}","plainCitation":"[45,47]","noteIndex":0},"citationItems":[{"id":638,"uris":["http://zotero.org/users/10910668/items/2GCWHNR7"],"itemData":{"id":638,"type":"post-weblog","language":"uk","title":"Компанія з управління активами: професійний менеджмент у сфері спільного інвестування – НКЦПФР | НАЦІОНАЛЬНА КОМІСІЯ З ЦІННИХ ПАПЕРІВ ТА ФОНДОВОГО РИНКУ","title-short":"Компанія з управління активами","URL":"https://www.nssmc.gov.ua/kompaniia-z-upravlinnia-aktyvamy-profesiinyi-menedzhment-u-sferi-spilnoho-investuvannia/?v=2","accessed":{"date-parts":[["2025",5,16]]}},"label":"page"},{"id":644,"uris":["http://zotero.org/users/10910668/items/JL9IXGZL"],"itemData":{"id":644,"type":"post-weblog","abstract":"Read and download Dragon Capital's Environmental, Social and Governance (ESG) policy and Corporate Social Responsibility (CSR) Policy and more.","container-title":"Dragon Capital Group","language":"en-GB","title":"Responsible Investment","URL":"https://www.dragoncapital.com/about/responsible-investment/","accessed":{"date-parts":[["2025",5,16]]}},"label":"page"}],"schema":"https://github.com/citation-style-language/schema/raw/master/csl-citation.json"} </w:instrText>
      </w:r>
      <w:r w:rsidRPr="00913129">
        <w:rPr>
          <w:rStyle w:val="ms-1"/>
          <w:rFonts w:eastAsiaTheme="majorEastAsia"/>
          <w:color w:val="000000" w:themeColor="text1"/>
          <w:sz w:val="28"/>
          <w:szCs w:val="28"/>
          <w:lang w:val="uk-UA"/>
        </w:rPr>
        <w:fldChar w:fldCharType="separate"/>
      </w:r>
      <w:r w:rsidRPr="00913129">
        <w:rPr>
          <w:color w:val="000000" w:themeColor="text1"/>
          <w:sz w:val="28"/>
          <w:szCs w:val="28"/>
          <w:lang w:val="uk-UA"/>
        </w:rPr>
        <w:t>[45,47]</w:t>
      </w:r>
      <w:r w:rsidRPr="00913129">
        <w:rPr>
          <w:rStyle w:val="ms-1"/>
          <w:rFonts w:eastAsiaTheme="majorEastAsia"/>
          <w:color w:val="000000" w:themeColor="text1"/>
          <w:sz w:val="28"/>
          <w:szCs w:val="28"/>
          <w:lang w:val="uk-UA"/>
        </w:rPr>
        <w:fldChar w:fldCharType="end"/>
      </w:r>
      <w:r w:rsidRPr="00913129">
        <w:rPr>
          <w:color w:val="000000" w:themeColor="text1"/>
          <w:sz w:val="28"/>
          <w:szCs w:val="28"/>
          <w:lang w:val="uk-UA"/>
        </w:rPr>
        <w:t>.</w:t>
      </w:r>
    </w:p>
    <w:p w14:paraId="045099CE" w14:textId="625EB553" w:rsidR="00B70060" w:rsidRPr="00913129" w:rsidRDefault="00B70060" w:rsidP="00B5458A">
      <w:pPr>
        <w:pStyle w:val="ae"/>
        <w:spacing w:before="0" w:beforeAutospacing="0" w:after="0" w:afterAutospacing="0" w:line="360" w:lineRule="auto"/>
        <w:ind w:firstLine="851"/>
        <w:jc w:val="both"/>
        <w:rPr>
          <w:rStyle w:val="ms-1"/>
          <w:rFonts w:eastAsiaTheme="majorEastAsia"/>
          <w:color w:val="000000" w:themeColor="text1"/>
          <w:sz w:val="28"/>
          <w:szCs w:val="28"/>
          <w:lang w:val="uk-UA"/>
        </w:rPr>
      </w:pPr>
      <w:r w:rsidRPr="00913129">
        <w:rPr>
          <w:color w:val="000000" w:themeColor="text1"/>
          <w:sz w:val="28"/>
          <w:szCs w:val="28"/>
          <w:lang w:val="uk-UA"/>
        </w:rPr>
        <w:t xml:space="preserve">Окремі компанії з українським походженням, такі як Dragon Capital Group (що здійснює свою діяльність переважно за межами України), також задекларували прихильність до принципів PRI, приєднавшись до ініціативи ще у 2013 році </w:t>
      </w:r>
      <w:r w:rsidRPr="00913129">
        <w:rPr>
          <w:rStyle w:val="ms-1"/>
          <w:rFonts w:eastAsiaTheme="majorEastAsia"/>
          <w:color w:val="000000" w:themeColor="text1"/>
          <w:sz w:val="28"/>
          <w:szCs w:val="28"/>
          <w:lang w:val="uk-UA"/>
        </w:rPr>
        <w:fldChar w:fldCharType="begin"/>
      </w:r>
      <w:r w:rsidRPr="00913129">
        <w:rPr>
          <w:rStyle w:val="ms-1"/>
          <w:rFonts w:eastAsiaTheme="majorEastAsia"/>
          <w:color w:val="000000" w:themeColor="text1"/>
          <w:sz w:val="28"/>
          <w:szCs w:val="28"/>
          <w:lang w:val="uk-UA"/>
        </w:rPr>
        <w:instrText xml:space="preserve"> ADDIN ZOTERO_ITEM CSL_CITATION {"citationID":"CcznSHxB","properties":{"formattedCitation":"\\super [51]\\nosupersub{}","plainCitation":"[51]","noteIndex":0},"citationItems":[{"id":652,"uris":["http://zotero.org/users/10910668/items/95ITCIIY"],"itemData":{"id":652,"type":"post-weblog","abstract":"Vietnam-based asset manager Dragon Capital Group is supporting the country’s transition to net zero and met COP26 President Alok Sharma this week, highlighting how the country is “punching above its weight” when it comes to decarbonization. At the meeting, Dragon Capital’s Chairman, Dominic Scriven OBE, raised the need for first-loss capital in the wealth transfer … Continue reading \"Dragon Capital Highlights The Need For First-Loss Capital To Support Vietnam’s Net Zero Transition\"","container-title":"Citiesabc the digital Magna Carta social impact platform for cities","language":"en-GB","title":"Dragon Capital Highlights The Need For First-Loss Capital To Support Vietnam’s Net Zero Transition","URL":"https://www.citiesabc.com/resources/dragon-capital-highlights-need-first-loss-capital-support-vietnams-net-zero-transition/","author":[{"family":"news","given":"citiesabc"}],"accessed":{"date-parts":[["2025",5,16]]},"issued":{"date-parts":[["2022",2,22]]}}}],"schema":"https://github.com/citation-style-language/schema/raw/master/csl-citation.json"} </w:instrText>
      </w:r>
      <w:r w:rsidRPr="00913129">
        <w:rPr>
          <w:rStyle w:val="ms-1"/>
          <w:rFonts w:eastAsiaTheme="majorEastAsia"/>
          <w:color w:val="000000" w:themeColor="text1"/>
          <w:sz w:val="28"/>
          <w:szCs w:val="28"/>
          <w:lang w:val="uk-UA"/>
        </w:rPr>
        <w:fldChar w:fldCharType="separate"/>
      </w:r>
      <w:r w:rsidRPr="00913129">
        <w:rPr>
          <w:color w:val="000000" w:themeColor="text1"/>
          <w:sz w:val="28"/>
          <w:szCs w:val="28"/>
          <w:lang w:val="uk-UA"/>
        </w:rPr>
        <w:t>[51]</w:t>
      </w:r>
      <w:r w:rsidRPr="00913129">
        <w:rPr>
          <w:rStyle w:val="ms-1"/>
          <w:rFonts w:eastAsiaTheme="majorEastAsia"/>
          <w:color w:val="000000" w:themeColor="text1"/>
          <w:sz w:val="28"/>
          <w:szCs w:val="28"/>
          <w:lang w:val="uk-UA"/>
        </w:rPr>
        <w:fldChar w:fldCharType="end"/>
      </w:r>
      <w:r w:rsidRPr="00913129">
        <w:rPr>
          <w:rStyle w:val="ms-1"/>
          <w:rFonts w:eastAsiaTheme="majorEastAsia"/>
          <w:color w:val="000000" w:themeColor="text1"/>
          <w:sz w:val="28"/>
          <w:szCs w:val="28"/>
          <w:lang w:val="uk-UA"/>
        </w:rPr>
        <w:t>.</w:t>
      </w:r>
    </w:p>
    <w:p w14:paraId="15ED3CCD" w14:textId="18591E6E" w:rsidR="00B70060" w:rsidRPr="00913129" w:rsidRDefault="002B5914" w:rsidP="00B5458A">
      <w:pPr>
        <w:pStyle w:val="ae"/>
        <w:spacing w:before="0" w:beforeAutospacing="0" w:after="0" w:afterAutospacing="0" w:line="360" w:lineRule="auto"/>
        <w:ind w:firstLine="851"/>
        <w:jc w:val="both"/>
        <w:rPr>
          <w:color w:val="000000" w:themeColor="text1"/>
          <w:sz w:val="28"/>
          <w:szCs w:val="28"/>
          <w:lang w:val="uk-UA"/>
        </w:rPr>
      </w:pPr>
      <w:r w:rsidRPr="00913129">
        <w:rPr>
          <w:sz w:val="28"/>
          <w:szCs w:val="28"/>
          <w:lang w:val="uk-UA"/>
        </w:rPr>
        <w:t xml:space="preserve">Отже, </w:t>
      </w:r>
      <w:r w:rsidRPr="00913129">
        <w:rPr>
          <w:color w:val="000000" w:themeColor="text1"/>
          <w:sz w:val="28"/>
          <w:szCs w:val="28"/>
          <w:lang w:val="uk-UA"/>
        </w:rPr>
        <w:t>ринок соціально відповідального інвестування в Україні перебуває на етапі формування, із домінуванням поодиноких проєктів та низькою часткою ESG-активів у структурі інвестицій. Інституціоналізація відповідальних фінансових інструментів і впровадження міжнародних стандартів лише починають розвиватись, що створює потенціал для подальшого розвитку СВІ в умовах економічної стабілізації та інтеграції у світову фінансову систему.</w:t>
      </w:r>
    </w:p>
    <w:p w14:paraId="4348953F" w14:textId="77777777" w:rsidR="00AA0E17" w:rsidRPr="00913129" w:rsidRDefault="00AA0E17" w:rsidP="00B5458A">
      <w:pPr>
        <w:spacing w:line="360" w:lineRule="auto"/>
        <w:ind w:firstLine="851"/>
        <w:rPr>
          <w:rStyle w:val="ms-1"/>
          <w:rFonts w:eastAsiaTheme="majorEastAsia"/>
          <w:color w:val="000000" w:themeColor="text1"/>
          <w:kern w:val="2"/>
          <w:sz w:val="28"/>
          <w:szCs w:val="28"/>
          <w:lang w:val="uk-UA" w:eastAsia="en-US"/>
          <w14:ligatures w14:val="standardContextual"/>
        </w:rPr>
      </w:pPr>
      <w:r w:rsidRPr="00913129">
        <w:rPr>
          <w:rStyle w:val="ms-1"/>
          <w:rFonts w:eastAsiaTheme="majorEastAsia"/>
          <w:color w:val="000000" w:themeColor="text1"/>
          <w:sz w:val="28"/>
          <w:szCs w:val="28"/>
          <w:lang w:val="uk-UA"/>
        </w:rPr>
        <w:br w:type="page"/>
      </w:r>
    </w:p>
    <w:p w14:paraId="383BF728" w14:textId="77777777" w:rsidR="005B37AA" w:rsidRPr="00913129" w:rsidRDefault="00AA0E17" w:rsidP="005B37AA">
      <w:pPr>
        <w:pStyle w:val="a7"/>
        <w:spacing w:after="0" w:line="360" w:lineRule="auto"/>
        <w:ind w:left="0" w:right="-2"/>
        <w:jc w:val="center"/>
        <w:rPr>
          <w:rStyle w:val="ms-1"/>
          <w:rFonts w:ascii="Times New Roman" w:eastAsiaTheme="majorEastAsia" w:hAnsi="Times New Roman" w:cs="Times New Roman"/>
          <w:b/>
          <w:bCs/>
          <w:color w:val="000000" w:themeColor="text1"/>
          <w:sz w:val="28"/>
          <w:szCs w:val="28"/>
          <w:lang w:val="uk-UA"/>
        </w:rPr>
      </w:pPr>
      <w:r w:rsidRPr="00913129">
        <w:rPr>
          <w:rStyle w:val="ms-1"/>
          <w:rFonts w:ascii="Times New Roman" w:eastAsiaTheme="majorEastAsia" w:hAnsi="Times New Roman" w:cs="Times New Roman"/>
          <w:b/>
          <w:bCs/>
          <w:color w:val="000000" w:themeColor="text1"/>
          <w:sz w:val="28"/>
          <w:szCs w:val="28"/>
          <w:lang w:val="uk-UA"/>
        </w:rPr>
        <w:lastRenderedPageBreak/>
        <w:t>РОЗДІЛ 3</w:t>
      </w:r>
    </w:p>
    <w:p w14:paraId="49B1C79C" w14:textId="270C2345" w:rsidR="005B37AA" w:rsidRPr="00913129" w:rsidRDefault="005B37AA" w:rsidP="005B37AA">
      <w:pPr>
        <w:pStyle w:val="a7"/>
        <w:spacing w:after="0" w:line="360" w:lineRule="auto"/>
        <w:ind w:left="0" w:right="-2"/>
        <w:jc w:val="center"/>
        <w:rPr>
          <w:rStyle w:val="ms-1"/>
          <w:rFonts w:ascii="Times New Roman" w:eastAsiaTheme="majorEastAsia" w:hAnsi="Times New Roman" w:cs="Times New Roman"/>
          <w:b/>
          <w:bCs/>
          <w:color w:val="000000" w:themeColor="text1"/>
          <w:sz w:val="28"/>
          <w:szCs w:val="28"/>
          <w:lang w:val="uk-UA"/>
        </w:rPr>
      </w:pPr>
      <w:r w:rsidRPr="00913129">
        <w:rPr>
          <w:rStyle w:val="ms-1"/>
          <w:rFonts w:ascii="Times New Roman" w:eastAsiaTheme="majorEastAsia" w:hAnsi="Times New Roman" w:cs="Times New Roman"/>
          <w:b/>
          <w:bCs/>
          <w:color w:val="000000" w:themeColor="text1"/>
          <w:sz w:val="28"/>
          <w:szCs w:val="28"/>
          <w:lang w:val="uk-UA"/>
        </w:rPr>
        <w:t>СОЦ</w:t>
      </w:r>
      <w:r w:rsidRPr="00913129">
        <w:rPr>
          <w:rFonts w:ascii="Times New Roman" w:hAnsi="Times New Roman" w:cs="Times New Roman"/>
          <w:b/>
          <w:bCs/>
          <w:color w:val="000000"/>
          <w:sz w:val="28"/>
          <w:szCs w:val="28"/>
          <w:lang w:val="uk-UA"/>
        </w:rPr>
        <w:t>ІАЛЬНО ВІДПОВІДАЛЬНЕ ІНВЕСТУВАННЯ МІЖНАРОДНИХ КОМПАНІЙ</w:t>
      </w:r>
    </w:p>
    <w:p w14:paraId="44439279" w14:textId="77777777" w:rsidR="005B37AA" w:rsidRPr="00913129" w:rsidRDefault="005B37AA" w:rsidP="005B37AA">
      <w:pPr>
        <w:pStyle w:val="a7"/>
        <w:spacing w:after="0" w:line="360" w:lineRule="auto"/>
        <w:ind w:left="0" w:right="-2" w:firstLine="851"/>
        <w:jc w:val="center"/>
        <w:rPr>
          <w:rStyle w:val="ms-1"/>
          <w:rFonts w:ascii="Times New Roman" w:eastAsiaTheme="majorEastAsia" w:hAnsi="Times New Roman" w:cs="Times New Roman"/>
          <w:b/>
          <w:bCs/>
          <w:color w:val="000000" w:themeColor="text1"/>
          <w:sz w:val="28"/>
          <w:szCs w:val="28"/>
          <w:lang w:val="uk-UA"/>
        </w:rPr>
      </w:pPr>
    </w:p>
    <w:p w14:paraId="40A1DCEA" w14:textId="77777777" w:rsidR="005D0A90" w:rsidRPr="00913129" w:rsidRDefault="005D0A90" w:rsidP="005B37AA">
      <w:pPr>
        <w:pStyle w:val="a7"/>
        <w:spacing w:after="0" w:line="360" w:lineRule="auto"/>
        <w:ind w:left="0" w:right="-2" w:firstLine="851"/>
        <w:jc w:val="center"/>
        <w:rPr>
          <w:rStyle w:val="ms-1"/>
          <w:rFonts w:ascii="Times New Roman" w:eastAsiaTheme="majorEastAsia" w:hAnsi="Times New Roman" w:cs="Times New Roman"/>
          <w:b/>
          <w:bCs/>
          <w:color w:val="000000" w:themeColor="text1"/>
          <w:sz w:val="28"/>
          <w:szCs w:val="28"/>
          <w:lang w:val="uk-UA"/>
        </w:rPr>
      </w:pPr>
    </w:p>
    <w:p w14:paraId="6F570DE3" w14:textId="77777777" w:rsidR="005B37AA" w:rsidRPr="00913129" w:rsidRDefault="005B37AA" w:rsidP="00AE7AE4">
      <w:pPr>
        <w:pStyle w:val="a7"/>
        <w:spacing w:after="0" w:line="360" w:lineRule="auto"/>
        <w:ind w:left="0" w:right="-2" w:firstLine="851"/>
        <w:jc w:val="both"/>
        <w:rPr>
          <w:rFonts w:ascii="Times New Roman" w:hAnsi="Times New Roman" w:cs="Times New Roman"/>
          <w:b/>
          <w:bCs/>
          <w:color w:val="000000"/>
          <w:sz w:val="28"/>
          <w:szCs w:val="28"/>
          <w:lang w:val="uk-UA"/>
        </w:rPr>
      </w:pPr>
      <w:r w:rsidRPr="00913129">
        <w:rPr>
          <w:rStyle w:val="ms-1"/>
          <w:rFonts w:ascii="Times New Roman" w:eastAsiaTheme="majorEastAsia" w:hAnsi="Times New Roman" w:cs="Times New Roman"/>
          <w:b/>
          <w:bCs/>
          <w:color w:val="000000" w:themeColor="text1"/>
          <w:sz w:val="28"/>
          <w:szCs w:val="28"/>
          <w:lang w:val="uk-UA"/>
        </w:rPr>
        <w:t xml:space="preserve">3.1. </w:t>
      </w:r>
      <w:r w:rsidRPr="00913129">
        <w:rPr>
          <w:rFonts w:ascii="Times New Roman" w:hAnsi="Times New Roman" w:cs="Times New Roman"/>
          <w:b/>
          <w:bCs/>
          <w:color w:val="000000"/>
          <w:sz w:val="28"/>
          <w:szCs w:val="28"/>
          <w:lang w:val="uk-UA"/>
        </w:rPr>
        <w:t>Компаративний аналіз впровадження СВІ-стратегій у провідних міжнародних компаніях</w:t>
      </w:r>
    </w:p>
    <w:p w14:paraId="7AC79505" w14:textId="77777777" w:rsidR="005D0A90" w:rsidRPr="00913129" w:rsidRDefault="005D0A90" w:rsidP="00AE7AE4">
      <w:pPr>
        <w:pStyle w:val="a7"/>
        <w:spacing w:after="0" w:line="360" w:lineRule="auto"/>
        <w:ind w:left="0" w:right="-2" w:firstLine="851"/>
        <w:jc w:val="both"/>
        <w:rPr>
          <w:rStyle w:val="ms-1"/>
          <w:rFonts w:ascii="Times New Roman" w:eastAsiaTheme="majorEastAsia" w:hAnsi="Times New Roman" w:cs="Times New Roman"/>
          <w:b/>
          <w:bCs/>
          <w:color w:val="000000" w:themeColor="text1"/>
          <w:sz w:val="28"/>
          <w:szCs w:val="28"/>
          <w:lang w:val="uk-UA"/>
        </w:rPr>
      </w:pPr>
    </w:p>
    <w:p w14:paraId="79BCA6D0"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Для аналізу соціально відповідального інвестування було відібрано п’ять міжнародних компаній, які репрезентують основні сектори економіки – технологічний (Microsoft), енергетичний (Sempra Energy), виробничий (Applied Materials), аналітичний (Verisk Analytics) і фінансовий (Moody’s Corporation). </w:t>
      </w:r>
    </w:p>
    <w:p w14:paraId="5558623D"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Microsoft вирізняється найсистемнішим підходом до інтеграції ESG –  поєднує масштабні екологічні проєкти з соціальними ініціативами, що прямо впливає на фінансові результати й репутацію компанії. Sempra Energy демонструє повільнішу, але сталу декарбонізацію, зосереджуючись на класичних інструментах енергетичного сектора – зелених облігаціях та модернізації інфраструктури. Verisk Analytics як сервісна компанія робить акцент на прозорості, управлінні ризиками й інклюзивності, але має обмежений матеріальний вплив на довкілля. Applied Materials – приклад виробничої корпорації, яка активно впроваджує еко-інновації та підвищує частку «зеленої» енергії у споживанні. Moody’s Corporation не лише інтегрує ESG-стандарти у власну діяльність, але й формує підходи до сталого фінансування на глобальному ринку через ESG-рейтингування й аналітику. Таким чином, аналіз обраної вибірки дозволяє оцінити як універсальні, так і галузеві особливості СВІ, а також порівняти ефективність і обмеження таких стратегій на практиці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{"citationID":"SXOT1zFT","properties":{"formattedCitation":"\\super [52\\uc0\\u8211{}57]\\nosupersub{}","plainCitation":"[52–57]","noteIndex":0},"citationItems":[{"id":812,"uris":["http://zotero.org/users/10910668/items/KLWTY9FR"],"itemData":{"id":812,"type":"webpage","title":"Moodys - Financials - Annual Reports &amp; Proxy Statements","URL":"https://ir.moodys.com/financials/annual-reports/default.aspx","accessed":{"date-parts":[["2025",6,3]]}}},{"id":811,"uris":["http://zotero.org/users/10910668/items/KC2KIU5M"],"itemData":{"id":811,"type":"webpage","title":"Applied Industrial Technologies, Inc. - Financials - Annual Reports","URL":"https://ir.applied.com/financials/annual-reports/default.aspx","accessed":{"date-parts":[["2025",6,3]]}}},{"id":810,"uris":["http://zotero.org/users/10910668/items/Y2PNIMY5"],"itemData":{"id":810,"type":"webpage","title":"Verisk Analytics, Inc. - Financials - Financial Summary","URL":"https://investor.verisk.com/financials/quarterly-results/default.aspx","accessed":{"date-parts":[["2025",6,3]]}}},{"id":808,"uris":["http://zotero.org/users/10910668/items/WBID2WY3"],"itemData":{"id":808,"type":"webpage","language":"en","title":"Annual Reports | Sempra","URL":"https://investor.sempra.com/annual-reports","accessed":{"date-parts":[["2025",6,3]]}}},{"id":807,"uris":["http://zotero.org/users/10910668/items/3HCIILU5"],"itemData":{"id":807,"type":"post-weblog","abstract":"Read the annual sustainability report from Microsoft. Explore our progress to become a carbon negative, water positive and zero waste company.","container-title":"Corporate Responsibility","language":"en","title":"2025 Environmental Sustainability Report | Microsoft","URL":"https://www.microsoft.com/en-us/corporate-responsibility/sustainability/report/","accessed":{"date-parts":[["2025",6,3]]}}},{"id":805,"uris":["http://zotero.org/users/10910668/items/TM48UMKP"],"itemData":{"id":805,"type":"webpage","language":"en-US","title":"Microsoft Investor Relations - Annual Reports","URL":"https://www.microsoft.com/en-us/investor/annual-reports","accessed":{"date-parts":[["2025",6,3]]}},"label":"page"}],"schema":"https://github.com/citation-style-language/schema/raw/master/csl-citation.json"} </w:instrText>
      </w:r>
      <w:r w:rsidRPr="00913129">
        <w:rPr>
          <w:color w:val="000000" w:themeColor="text1"/>
          <w:sz w:val="28"/>
          <w:szCs w:val="28"/>
          <w:lang w:val="uk-UA"/>
        </w:rPr>
        <w:fldChar w:fldCharType="separate"/>
      </w:r>
      <w:r w:rsidRPr="00913129">
        <w:rPr>
          <w:color w:val="000000"/>
          <w:sz w:val="28"/>
          <w:szCs w:val="28"/>
          <w:lang w:val="uk-UA"/>
        </w:rPr>
        <w:t>[52–57]</w:t>
      </w:r>
      <w:r w:rsidRPr="00913129">
        <w:rPr>
          <w:color w:val="000000" w:themeColor="text1"/>
          <w:sz w:val="28"/>
          <w:szCs w:val="28"/>
          <w:lang w:val="uk-UA"/>
        </w:rPr>
        <w:fldChar w:fldCharType="end"/>
      </w:r>
      <w:r w:rsidRPr="00913129">
        <w:rPr>
          <w:color w:val="000000" w:themeColor="text1"/>
          <w:sz w:val="28"/>
          <w:szCs w:val="28"/>
          <w:lang w:val="uk-UA"/>
        </w:rPr>
        <w:t>.</w:t>
      </w:r>
    </w:p>
    <w:p w14:paraId="3ABD8E8F"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Аналіз динаміки річних доходів п’яти міжнародних корпорацій у 2014-2024 рр. (див. Додаток А, Табл. А.1) засвідчив загальну тенденцію до </w:t>
      </w:r>
      <w:r w:rsidRPr="00913129">
        <w:rPr>
          <w:color w:val="000000" w:themeColor="text1"/>
          <w:sz w:val="28"/>
          <w:szCs w:val="28"/>
          <w:lang w:val="uk-UA"/>
        </w:rPr>
        <w:lastRenderedPageBreak/>
        <w:t xml:space="preserve">зростання показників доходу у всіх секторах, проте темпи зростання суттєво варіюють залежно від галузевої належності компаній. </w:t>
      </w:r>
    </w:p>
    <w:p w14:paraId="1512D9F8" w14:textId="0F8CEFA5"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У технологічному секторі спостерігалося найбільш інтенсивне зростання. Дохід Microsoft Corporation збільши</w:t>
      </w:r>
      <w:r w:rsidR="001531E7" w:rsidRPr="00913129">
        <w:rPr>
          <w:color w:val="000000" w:themeColor="text1"/>
          <w:sz w:val="28"/>
          <w:szCs w:val="28"/>
          <w:lang w:val="uk-UA"/>
        </w:rPr>
        <w:t>вся</w:t>
      </w:r>
      <w:r w:rsidRPr="00913129">
        <w:rPr>
          <w:color w:val="000000" w:themeColor="text1"/>
          <w:sz w:val="28"/>
          <w:szCs w:val="28"/>
          <w:lang w:val="uk-UA"/>
        </w:rPr>
        <w:t xml:space="preserve"> з 86,8 млрд дол. США у 2014 році до 245,1 млрд дол. США у 2024 році, що свідчить про зростання на 182%. Основними чинниками даної динаміки є розширення ринку цифрових технологій, зростання попиту на хмарні сервіси та активізація продуктового портфеля. Вплив впровадження ESG-принципів на динаміку доходів у цьому випадку є другорядним і проявляється переважно через підвищення інвестиційної привабливості для окремих категорій інвесторів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{"citationID":"jmmpwwmE","properties":{"formattedCitation":"\\super [57]\\nosupersub{}","plainCitation":"[57]","noteIndex":0},"citationItems":[{"id":805,"uris":["http://zotero.org/users/10910668/items/TM48UMKP"],"itemData":{"id":805,"type":"webpage","language":"en-US","title":"Microsoft Investor Relations - Annual Reports","URL":"https://www.microsoft.com/en-us/investor/annual-reports","accessed":{"date-parts":[["2025",6,3]]}}}],"schema":"https://github.com/citation-style-language/schema/raw/master/csl-citation.json"} </w:instrText>
      </w:r>
      <w:r w:rsidRPr="00913129">
        <w:rPr>
          <w:color w:val="000000" w:themeColor="text1"/>
          <w:sz w:val="28"/>
          <w:szCs w:val="28"/>
          <w:lang w:val="uk-UA"/>
        </w:rPr>
        <w:fldChar w:fldCharType="separate"/>
      </w:r>
      <w:r w:rsidRPr="00913129">
        <w:rPr>
          <w:color w:val="000000"/>
          <w:sz w:val="28"/>
          <w:szCs w:val="28"/>
          <w:lang w:val="uk-UA"/>
        </w:rPr>
        <w:t>[57]</w:t>
      </w:r>
      <w:r w:rsidRPr="00913129">
        <w:rPr>
          <w:color w:val="000000" w:themeColor="text1"/>
          <w:sz w:val="28"/>
          <w:szCs w:val="28"/>
          <w:lang w:val="uk-UA"/>
        </w:rPr>
        <w:fldChar w:fldCharType="end"/>
      </w:r>
      <w:r w:rsidRPr="00913129">
        <w:rPr>
          <w:color w:val="000000" w:themeColor="text1"/>
          <w:sz w:val="28"/>
          <w:szCs w:val="28"/>
          <w:lang w:val="uk-UA"/>
        </w:rPr>
        <w:t>.</w:t>
      </w:r>
    </w:p>
    <w:p w14:paraId="0F40C6A7"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У виробничому секторі аналогічні тенденції зафіксовано на прикладі Applied Materials, дохід якої зріс із 9,1 млрд дол. США до 27,2 млрд дол. США, це дозволяє зазначити про ріст на 199%. Основний приріст обумовлений зростанням глобального попиту на напівпровідникову продукцію та розвитком суміжних високотехнологічних ринків. Вплив ESG-стратегій на результати компанії має опосередкований характер та не є визначальним чинником зміни доходів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{"citationID":"WEx9ztnp","properties":{"formattedCitation":"\\super [53]\\nosupersub{}","plainCitation":"[53]","noteIndex":0},"citationItems":[{"id":811,"uris":["http://zotero.org/users/10910668/items/KC2KIU5M"],"itemData":{"id":811,"type":"webpage","title":"Applied Industrial Technologies, Inc. - Financials - Annual Reports","URL":"https://ir.applied.com/financials/annual-reports/default.aspx","accessed":{"date-parts":[["2025",6,3]]}}}],"schema":"https://github.com/citation-style-language/schema/raw/master/csl-citation.json"} </w:instrText>
      </w:r>
      <w:r w:rsidRPr="00913129">
        <w:rPr>
          <w:color w:val="000000" w:themeColor="text1"/>
          <w:sz w:val="28"/>
          <w:szCs w:val="28"/>
          <w:lang w:val="uk-UA"/>
        </w:rPr>
        <w:fldChar w:fldCharType="separate"/>
      </w:r>
      <w:r w:rsidRPr="00913129">
        <w:rPr>
          <w:color w:val="000000"/>
          <w:sz w:val="28"/>
          <w:szCs w:val="28"/>
          <w:lang w:val="uk-UA"/>
        </w:rPr>
        <w:t>[53]</w:t>
      </w:r>
      <w:r w:rsidRPr="00913129">
        <w:rPr>
          <w:color w:val="000000" w:themeColor="text1"/>
          <w:sz w:val="28"/>
          <w:szCs w:val="28"/>
          <w:lang w:val="uk-UA"/>
        </w:rPr>
        <w:fldChar w:fldCharType="end"/>
      </w:r>
      <w:r w:rsidRPr="00913129">
        <w:rPr>
          <w:color w:val="000000" w:themeColor="text1"/>
          <w:sz w:val="28"/>
          <w:szCs w:val="28"/>
          <w:lang w:val="uk-UA"/>
        </w:rPr>
        <w:t>.</w:t>
      </w:r>
    </w:p>
    <w:p w14:paraId="4311BA0D"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Фінансово-аналітичний сектор характеризується стабільним, але помірним зростанням. Доходи Verisk Analytics зросли з 1,75 млрд дол. США до 2,88 млрд дол. США, тобто на 64%. Moody’s Corporation відбило ріст із 3,33 млрд дол. США до 7,09 млрд дол. США, що відображає ріст на 113%. Підвищення доходу в даних компаніях корелює із зростанням попиту на аналітичні інструменти, розширенням ринку фінансових послуг, а також збільшенням уваги до нефінансової звітності. Упровадження ESG-компоненту у стратегії розвитку цих компаній відіграє переважно роль репутаційного та маркетингового інструмента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{"citationID":"UImxHySm","properties":{"formattedCitation":"\\super [52,54]\\nosupersub{}","plainCitation":"[52,54]","noteIndex":0},"citationItems":[{"id":812,"uris":["http://zotero.org/users/10910668/items/KLWTY9FR"],"itemData":{"id":812,"type":"webpage","title":"Moodys - Financials - Annual Reports &amp; Proxy Statements","URL":"https://ir.moodys.com/financials/annual-reports/default.aspx","accessed":{"date-parts":[["2025",6,3]]}},"label":"page"},{"id":810,"uris":["http://zotero.org/users/10910668/items/Y2PNIMY5"],"itemData":{"id":810,"type":"webpage","title":"Verisk Analytics, Inc. - Financials - Financial Summary","URL":"https://investor.verisk.com/financials/quarterly-results/default.aspx","accessed":{"date-parts":[["2025",6,3]]}}}],"schema":"https://github.com/citation-style-language/schema/raw/master/csl-citation.json"} </w:instrText>
      </w:r>
      <w:r w:rsidRPr="00913129">
        <w:rPr>
          <w:color w:val="000000" w:themeColor="text1"/>
          <w:sz w:val="28"/>
          <w:szCs w:val="28"/>
          <w:lang w:val="uk-UA"/>
        </w:rPr>
        <w:fldChar w:fldCharType="separate"/>
      </w:r>
      <w:r w:rsidRPr="00913129">
        <w:rPr>
          <w:color w:val="000000"/>
          <w:sz w:val="28"/>
          <w:szCs w:val="28"/>
          <w:lang w:val="uk-UA"/>
        </w:rPr>
        <w:t>[52,54]</w:t>
      </w:r>
      <w:r w:rsidRPr="00913129">
        <w:rPr>
          <w:color w:val="000000" w:themeColor="text1"/>
          <w:sz w:val="28"/>
          <w:szCs w:val="28"/>
          <w:lang w:val="uk-UA"/>
        </w:rPr>
        <w:fldChar w:fldCharType="end"/>
      </w:r>
      <w:r w:rsidRPr="00913129">
        <w:rPr>
          <w:color w:val="000000" w:themeColor="text1"/>
          <w:sz w:val="28"/>
          <w:szCs w:val="28"/>
          <w:lang w:val="uk-UA"/>
        </w:rPr>
        <w:t>.</w:t>
      </w:r>
    </w:p>
    <w:p w14:paraId="1A1B6635"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У секторі енергетики динаміка доходів Sempra Energy є найбільш стриманою, так зростання з 11,0 млрд дол. США у 2014 році до 13,2 млрд дол. США у 2024 році свідчить про ріст на 20%, з піком у 16,7 млрд дол. США у 2023 році. Така тенденція зумовлена особливостями макроекономічного </w:t>
      </w:r>
      <w:r w:rsidRPr="00913129">
        <w:rPr>
          <w:color w:val="000000" w:themeColor="text1"/>
          <w:sz w:val="28"/>
          <w:szCs w:val="28"/>
          <w:lang w:val="uk-UA"/>
        </w:rPr>
        <w:lastRenderedPageBreak/>
        <w:t xml:space="preserve">середовища, волатильністю ринку енергоносіїв, високою капіталомісткістю та регуляторними обмеженнями. Реалізація СВІ-стратегій, зокрема інвестиції у відновлювану енергетику, не мала значного впливу на зміну динаміки доходів у середньостроковій перспективі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{"citationID":"XYntV17L","properties":{"formattedCitation":"\\super [55]\\nosupersub{}","plainCitation":"[55]","noteIndex":0},"citationItems":[{"id":808,"uris":["http://zotero.org/users/10910668/items/WBID2WY3"],"itemData":{"id":808,"type":"webpage","language":"en","title":"Annual Reports | Sempra","URL":"https://investor.sempra.com/annual-reports","accessed":{"date-parts":[["2025",6,3]]}}}],"schema":"https://github.com/citation-style-language/schema/raw/master/csl-citation.json"} </w:instrText>
      </w:r>
      <w:r w:rsidRPr="00913129">
        <w:rPr>
          <w:color w:val="000000" w:themeColor="text1"/>
          <w:sz w:val="28"/>
          <w:szCs w:val="28"/>
          <w:lang w:val="uk-UA"/>
        </w:rPr>
        <w:fldChar w:fldCharType="separate"/>
      </w:r>
      <w:r w:rsidRPr="00913129">
        <w:rPr>
          <w:color w:val="000000"/>
          <w:sz w:val="28"/>
          <w:szCs w:val="28"/>
          <w:lang w:val="uk-UA"/>
        </w:rPr>
        <w:t>[55]</w:t>
      </w:r>
      <w:r w:rsidRPr="00913129">
        <w:rPr>
          <w:color w:val="000000" w:themeColor="text1"/>
          <w:sz w:val="28"/>
          <w:szCs w:val="28"/>
          <w:lang w:val="uk-UA"/>
        </w:rPr>
        <w:fldChar w:fldCharType="end"/>
      </w:r>
      <w:r w:rsidRPr="00913129">
        <w:rPr>
          <w:color w:val="000000" w:themeColor="text1"/>
          <w:sz w:val="28"/>
          <w:szCs w:val="28"/>
          <w:lang w:val="uk-UA"/>
        </w:rPr>
        <w:t>.</w:t>
      </w:r>
    </w:p>
    <w:p w14:paraId="282CBECB"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Загалом, у розглянутих секторах основними детермінантами фінансової динаміки були галузеві тренди, попит на технологічні рішення чи аналітичні послуги, а також кон’юнктура ринку капіталу. Вплив СВІ-стратегій та інтеграції ESG-принципів на фінансові результати компаній у переважній більшості випадків носить непрямий або ж додатковий характер.</w:t>
      </w:r>
    </w:p>
    <w:p w14:paraId="57A04CC8"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Далі представлео зведену таблицю ключових офіційно звітованих показників (табл. 3.1). Вибір метрик визначався галузевою специфікою та їхньою економічною релевантністю для оцінки впливу СВІ-стратегій.</w:t>
      </w:r>
    </w:p>
    <w:p w14:paraId="3BAE8918" w14:textId="77777777" w:rsidR="005B37AA" w:rsidRPr="00913129" w:rsidRDefault="005B37AA" w:rsidP="005B37AA">
      <w:pPr>
        <w:pStyle w:val="ae"/>
        <w:spacing w:before="0" w:beforeAutospacing="0" w:after="0" w:afterAutospacing="0" w:line="360" w:lineRule="auto"/>
        <w:ind w:right="-2" w:firstLine="851"/>
        <w:jc w:val="right"/>
        <w:rPr>
          <w:color w:val="000000" w:themeColor="text1"/>
          <w:sz w:val="28"/>
          <w:szCs w:val="28"/>
          <w:lang w:val="uk-UA"/>
        </w:rPr>
      </w:pPr>
      <w:r w:rsidRPr="00913129">
        <w:rPr>
          <w:color w:val="000000" w:themeColor="text1"/>
          <w:sz w:val="28"/>
          <w:szCs w:val="28"/>
          <w:lang w:val="uk-UA"/>
        </w:rPr>
        <w:t>Таблиця 3.1</w:t>
      </w:r>
    </w:p>
    <w:p w14:paraId="31CE41E6" w14:textId="77777777" w:rsidR="005B37AA" w:rsidRPr="00913129" w:rsidRDefault="005B37AA" w:rsidP="00AE7AE4">
      <w:pPr>
        <w:pStyle w:val="ae"/>
        <w:spacing w:before="0" w:beforeAutospacing="0" w:after="0" w:afterAutospacing="0" w:line="360" w:lineRule="auto"/>
        <w:ind w:right="-2"/>
        <w:jc w:val="center"/>
        <w:rPr>
          <w:color w:val="000000" w:themeColor="text1"/>
          <w:sz w:val="28"/>
          <w:szCs w:val="28"/>
          <w:lang w:val="uk-UA"/>
        </w:rPr>
      </w:pPr>
      <w:r w:rsidRPr="00913129">
        <w:rPr>
          <w:color w:val="000000" w:themeColor="text1"/>
          <w:sz w:val="28"/>
          <w:szCs w:val="28"/>
          <w:lang w:val="uk-UA"/>
        </w:rPr>
        <w:t>Динаміка ключових показників сталого розвитку міжнародних компаній у 2020–2024 рр.</w:t>
      </w:r>
    </w:p>
    <w:tbl>
      <w:tblPr>
        <w:tblStyle w:val="af"/>
        <w:tblW w:w="9386" w:type="dxa"/>
        <w:tblLayout w:type="fixed"/>
        <w:tblLook w:val="04A0" w:firstRow="1" w:lastRow="0" w:firstColumn="1" w:lastColumn="0" w:noHBand="0" w:noVBand="1"/>
      </w:tblPr>
      <w:tblGrid>
        <w:gridCol w:w="4673"/>
        <w:gridCol w:w="942"/>
        <w:gridCol w:w="943"/>
        <w:gridCol w:w="942"/>
        <w:gridCol w:w="943"/>
        <w:gridCol w:w="943"/>
      </w:tblGrid>
      <w:tr w:rsidR="005B37AA" w:rsidRPr="00913129" w14:paraId="37F31486" w14:textId="77777777" w:rsidTr="00AE7AE4">
        <w:trPr>
          <w:trHeight w:val="397"/>
        </w:trPr>
        <w:tc>
          <w:tcPr>
            <w:tcW w:w="4673" w:type="dxa"/>
            <w:vAlign w:val="center"/>
            <w:hideMark/>
          </w:tcPr>
          <w:p w14:paraId="50C2E8C6" w14:textId="77777777" w:rsidR="005B37AA" w:rsidRPr="00913129" w:rsidRDefault="005B37AA" w:rsidP="00AE7AE4">
            <w:pPr>
              <w:spacing w:before="60" w:after="60"/>
              <w:ind w:right="-2"/>
              <w:jc w:val="center"/>
              <w:rPr>
                <w:color w:val="000000"/>
                <w:lang w:val="uk-UA"/>
              </w:rPr>
            </w:pPr>
            <w:r w:rsidRPr="00913129">
              <w:rPr>
                <w:color w:val="000000"/>
                <w:lang w:val="uk-UA"/>
              </w:rPr>
              <w:t>Показник/Рік</w:t>
            </w:r>
          </w:p>
        </w:tc>
        <w:tc>
          <w:tcPr>
            <w:tcW w:w="942" w:type="dxa"/>
            <w:vAlign w:val="center"/>
            <w:hideMark/>
          </w:tcPr>
          <w:p w14:paraId="6068D410" w14:textId="77777777" w:rsidR="005B37AA" w:rsidRPr="00913129" w:rsidRDefault="005B37AA" w:rsidP="00AE7AE4">
            <w:pPr>
              <w:spacing w:before="60" w:after="60"/>
              <w:ind w:right="-2"/>
              <w:jc w:val="center"/>
              <w:rPr>
                <w:color w:val="000000"/>
                <w:lang w:val="uk-UA"/>
              </w:rPr>
            </w:pPr>
            <w:r w:rsidRPr="00913129">
              <w:rPr>
                <w:color w:val="000000"/>
                <w:lang w:val="uk-UA"/>
              </w:rPr>
              <w:t>2020</w:t>
            </w:r>
          </w:p>
        </w:tc>
        <w:tc>
          <w:tcPr>
            <w:tcW w:w="943" w:type="dxa"/>
            <w:vAlign w:val="center"/>
            <w:hideMark/>
          </w:tcPr>
          <w:p w14:paraId="309C4560" w14:textId="77777777" w:rsidR="005B37AA" w:rsidRPr="00913129" w:rsidRDefault="005B37AA" w:rsidP="00AE7AE4">
            <w:pPr>
              <w:spacing w:before="60" w:after="60"/>
              <w:ind w:right="-2"/>
              <w:jc w:val="center"/>
              <w:rPr>
                <w:color w:val="000000"/>
                <w:lang w:val="uk-UA"/>
              </w:rPr>
            </w:pPr>
            <w:r w:rsidRPr="00913129">
              <w:rPr>
                <w:color w:val="000000"/>
                <w:lang w:val="uk-UA"/>
              </w:rPr>
              <w:t>2021</w:t>
            </w:r>
          </w:p>
        </w:tc>
        <w:tc>
          <w:tcPr>
            <w:tcW w:w="942" w:type="dxa"/>
            <w:vAlign w:val="center"/>
            <w:hideMark/>
          </w:tcPr>
          <w:p w14:paraId="761E4C5D" w14:textId="77777777" w:rsidR="005B37AA" w:rsidRPr="00913129" w:rsidRDefault="005B37AA" w:rsidP="00AE7AE4">
            <w:pPr>
              <w:spacing w:before="60" w:after="60"/>
              <w:ind w:right="-2"/>
              <w:jc w:val="center"/>
              <w:rPr>
                <w:color w:val="000000"/>
                <w:lang w:val="uk-UA"/>
              </w:rPr>
            </w:pPr>
            <w:r w:rsidRPr="00913129">
              <w:rPr>
                <w:color w:val="000000"/>
                <w:lang w:val="uk-UA"/>
              </w:rPr>
              <w:t>2022</w:t>
            </w:r>
          </w:p>
        </w:tc>
        <w:tc>
          <w:tcPr>
            <w:tcW w:w="943" w:type="dxa"/>
            <w:vAlign w:val="center"/>
            <w:hideMark/>
          </w:tcPr>
          <w:p w14:paraId="0364797C" w14:textId="77777777" w:rsidR="005B37AA" w:rsidRPr="00913129" w:rsidRDefault="005B37AA" w:rsidP="00AE7AE4">
            <w:pPr>
              <w:spacing w:before="60" w:after="60"/>
              <w:ind w:right="-2"/>
              <w:jc w:val="center"/>
              <w:rPr>
                <w:color w:val="000000"/>
                <w:lang w:val="uk-UA"/>
              </w:rPr>
            </w:pPr>
            <w:r w:rsidRPr="00913129">
              <w:rPr>
                <w:color w:val="000000"/>
                <w:lang w:val="uk-UA"/>
              </w:rPr>
              <w:t>2023</w:t>
            </w:r>
          </w:p>
        </w:tc>
        <w:tc>
          <w:tcPr>
            <w:tcW w:w="943" w:type="dxa"/>
            <w:vAlign w:val="center"/>
            <w:hideMark/>
          </w:tcPr>
          <w:p w14:paraId="40953A87" w14:textId="77777777" w:rsidR="005B37AA" w:rsidRPr="00913129" w:rsidRDefault="005B37AA" w:rsidP="00AE7AE4">
            <w:pPr>
              <w:spacing w:before="60" w:after="60"/>
              <w:ind w:right="-2"/>
              <w:jc w:val="center"/>
              <w:rPr>
                <w:color w:val="000000"/>
                <w:lang w:val="uk-UA"/>
              </w:rPr>
            </w:pPr>
            <w:r w:rsidRPr="00913129">
              <w:rPr>
                <w:color w:val="000000"/>
                <w:lang w:val="uk-UA"/>
              </w:rPr>
              <w:t>2024</w:t>
            </w:r>
          </w:p>
        </w:tc>
      </w:tr>
      <w:tr w:rsidR="005B37AA" w:rsidRPr="00913129" w14:paraId="46E19DC9" w14:textId="77777777" w:rsidTr="00AE7AE4">
        <w:trPr>
          <w:trHeight w:val="397"/>
        </w:trPr>
        <w:tc>
          <w:tcPr>
            <w:tcW w:w="4673" w:type="dxa"/>
            <w:vAlign w:val="center"/>
            <w:hideMark/>
          </w:tcPr>
          <w:p w14:paraId="03673D76" w14:textId="77777777" w:rsidR="005B37AA" w:rsidRPr="00913129" w:rsidRDefault="005B37AA" w:rsidP="00AE7AE4">
            <w:pPr>
              <w:spacing w:before="60" w:after="60"/>
              <w:ind w:right="-2"/>
              <w:rPr>
                <w:color w:val="000000"/>
                <w:lang w:val="uk-UA"/>
              </w:rPr>
            </w:pPr>
            <w:r w:rsidRPr="00913129">
              <w:rPr>
                <w:color w:val="000000"/>
                <w:lang w:val="uk-UA"/>
              </w:rPr>
              <w:t>MSFT: Відновлення води, млн м³</w:t>
            </w:r>
          </w:p>
        </w:tc>
        <w:tc>
          <w:tcPr>
            <w:tcW w:w="942" w:type="dxa"/>
            <w:vAlign w:val="center"/>
            <w:hideMark/>
          </w:tcPr>
          <w:p w14:paraId="2AAD971C" w14:textId="77777777" w:rsidR="005B37AA" w:rsidRPr="00913129" w:rsidRDefault="005B37AA" w:rsidP="00AE7AE4">
            <w:pPr>
              <w:spacing w:before="60" w:after="60"/>
              <w:ind w:right="-2"/>
              <w:jc w:val="center"/>
              <w:rPr>
                <w:color w:val="000000"/>
                <w:lang w:val="uk-UA"/>
              </w:rPr>
            </w:pPr>
            <w:r w:rsidRPr="00913129">
              <w:rPr>
                <w:color w:val="000000"/>
                <w:lang w:val="uk-UA"/>
              </w:rPr>
              <w:t>2,84</w:t>
            </w:r>
          </w:p>
        </w:tc>
        <w:tc>
          <w:tcPr>
            <w:tcW w:w="943" w:type="dxa"/>
            <w:vAlign w:val="center"/>
            <w:hideMark/>
          </w:tcPr>
          <w:p w14:paraId="608ACC56" w14:textId="77777777" w:rsidR="005B37AA" w:rsidRPr="00913129" w:rsidRDefault="005B37AA" w:rsidP="00AE7AE4">
            <w:pPr>
              <w:spacing w:before="60" w:after="60"/>
              <w:ind w:right="-2"/>
              <w:jc w:val="center"/>
              <w:rPr>
                <w:color w:val="000000"/>
                <w:lang w:val="uk-UA"/>
              </w:rPr>
            </w:pPr>
            <w:r w:rsidRPr="00913129">
              <w:rPr>
                <w:color w:val="000000"/>
                <w:lang w:val="uk-UA"/>
              </w:rPr>
              <w:t>12,94</w:t>
            </w:r>
          </w:p>
        </w:tc>
        <w:tc>
          <w:tcPr>
            <w:tcW w:w="942" w:type="dxa"/>
            <w:vAlign w:val="center"/>
            <w:hideMark/>
          </w:tcPr>
          <w:p w14:paraId="47CDDDCD" w14:textId="77777777" w:rsidR="005B37AA" w:rsidRPr="00913129" w:rsidRDefault="005B37AA" w:rsidP="00AE7AE4">
            <w:pPr>
              <w:spacing w:before="60" w:after="60"/>
              <w:ind w:right="-2"/>
              <w:jc w:val="center"/>
              <w:rPr>
                <w:color w:val="000000"/>
                <w:lang w:val="uk-UA"/>
              </w:rPr>
            </w:pPr>
            <w:r w:rsidRPr="00913129">
              <w:rPr>
                <w:color w:val="000000"/>
                <w:lang w:val="uk-UA"/>
              </w:rPr>
              <w:t>13,23</w:t>
            </w:r>
          </w:p>
        </w:tc>
        <w:tc>
          <w:tcPr>
            <w:tcW w:w="943" w:type="dxa"/>
            <w:vAlign w:val="center"/>
            <w:hideMark/>
          </w:tcPr>
          <w:p w14:paraId="3FC2E427" w14:textId="77777777" w:rsidR="005B37AA" w:rsidRPr="00913129" w:rsidRDefault="005B37AA" w:rsidP="00AE7AE4">
            <w:pPr>
              <w:spacing w:before="60" w:after="60"/>
              <w:ind w:right="-2"/>
              <w:jc w:val="center"/>
              <w:rPr>
                <w:color w:val="000000"/>
                <w:lang w:val="uk-UA"/>
              </w:rPr>
            </w:pPr>
            <w:r w:rsidRPr="00913129">
              <w:rPr>
                <w:color w:val="000000"/>
                <w:lang w:val="uk-UA"/>
              </w:rPr>
              <w:t>25,53</w:t>
            </w:r>
          </w:p>
        </w:tc>
        <w:tc>
          <w:tcPr>
            <w:tcW w:w="943" w:type="dxa"/>
            <w:vAlign w:val="center"/>
            <w:hideMark/>
          </w:tcPr>
          <w:p w14:paraId="32B78E7A" w14:textId="77777777" w:rsidR="005B37AA" w:rsidRPr="00913129" w:rsidRDefault="005B37AA" w:rsidP="00AE7AE4">
            <w:pPr>
              <w:spacing w:before="60" w:after="60"/>
              <w:ind w:right="-2"/>
              <w:jc w:val="center"/>
              <w:rPr>
                <w:color w:val="000000"/>
                <w:lang w:val="uk-UA"/>
              </w:rPr>
            </w:pPr>
            <w:r w:rsidRPr="00913129">
              <w:rPr>
                <w:color w:val="000000"/>
                <w:lang w:val="uk-UA"/>
              </w:rPr>
              <w:t>50,03</w:t>
            </w:r>
          </w:p>
        </w:tc>
      </w:tr>
      <w:tr w:rsidR="005B37AA" w:rsidRPr="00913129" w14:paraId="423B2AD6" w14:textId="77777777" w:rsidTr="00AE7AE4">
        <w:trPr>
          <w:trHeight w:val="397"/>
        </w:trPr>
        <w:tc>
          <w:tcPr>
            <w:tcW w:w="4673" w:type="dxa"/>
            <w:vAlign w:val="center"/>
            <w:hideMark/>
          </w:tcPr>
          <w:p w14:paraId="586EFC17" w14:textId="77777777" w:rsidR="005B37AA" w:rsidRPr="00913129" w:rsidRDefault="005B37AA" w:rsidP="00AE7AE4">
            <w:pPr>
              <w:spacing w:before="60" w:after="60"/>
              <w:ind w:right="-2"/>
              <w:rPr>
                <w:color w:val="000000"/>
                <w:lang w:val="uk-UA"/>
              </w:rPr>
            </w:pPr>
            <w:r w:rsidRPr="00913129">
              <w:rPr>
                <w:color w:val="000000"/>
                <w:lang w:val="uk-UA"/>
              </w:rPr>
              <w:t>MSFT: Утилізація відходів, %</w:t>
            </w:r>
          </w:p>
        </w:tc>
        <w:tc>
          <w:tcPr>
            <w:tcW w:w="942" w:type="dxa"/>
            <w:vAlign w:val="center"/>
            <w:hideMark/>
          </w:tcPr>
          <w:p w14:paraId="34C9D08E" w14:textId="77777777" w:rsidR="005B37AA" w:rsidRPr="00913129" w:rsidRDefault="005B37AA" w:rsidP="00AE7AE4">
            <w:pPr>
              <w:spacing w:before="60" w:after="60"/>
              <w:ind w:right="-2"/>
              <w:jc w:val="center"/>
              <w:rPr>
                <w:color w:val="000000"/>
                <w:lang w:val="uk-UA"/>
              </w:rPr>
            </w:pPr>
            <w:r w:rsidRPr="00913129">
              <w:rPr>
                <w:color w:val="000000"/>
                <w:lang w:val="uk-UA"/>
              </w:rPr>
              <w:t>82,2</w:t>
            </w:r>
          </w:p>
        </w:tc>
        <w:tc>
          <w:tcPr>
            <w:tcW w:w="943" w:type="dxa"/>
            <w:vAlign w:val="center"/>
            <w:hideMark/>
          </w:tcPr>
          <w:p w14:paraId="3D529507" w14:textId="77777777" w:rsidR="005B37AA" w:rsidRPr="00913129" w:rsidRDefault="005B37AA" w:rsidP="00AE7AE4">
            <w:pPr>
              <w:spacing w:before="60" w:after="60"/>
              <w:ind w:right="-2"/>
              <w:jc w:val="center"/>
              <w:rPr>
                <w:color w:val="000000"/>
                <w:lang w:val="uk-UA"/>
              </w:rPr>
            </w:pPr>
            <w:r w:rsidRPr="00913129">
              <w:rPr>
                <w:color w:val="000000"/>
                <w:lang w:val="uk-UA"/>
              </w:rPr>
              <w:t>80,7</w:t>
            </w:r>
          </w:p>
        </w:tc>
        <w:tc>
          <w:tcPr>
            <w:tcW w:w="942" w:type="dxa"/>
            <w:vAlign w:val="center"/>
            <w:hideMark/>
          </w:tcPr>
          <w:p w14:paraId="242C0549" w14:textId="77777777" w:rsidR="005B37AA" w:rsidRPr="00913129" w:rsidRDefault="005B37AA" w:rsidP="00AE7AE4">
            <w:pPr>
              <w:spacing w:before="60" w:after="60"/>
              <w:ind w:right="-2"/>
              <w:jc w:val="center"/>
              <w:rPr>
                <w:color w:val="000000"/>
                <w:lang w:val="uk-UA"/>
              </w:rPr>
            </w:pPr>
            <w:r w:rsidRPr="00913129">
              <w:rPr>
                <w:color w:val="000000"/>
                <w:lang w:val="uk-UA"/>
              </w:rPr>
              <w:t>84,9</w:t>
            </w:r>
          </w:p>
        </w:tc>
        <w:tc>
          <w:tcPr>
            <w:tcW w:w="943" w:type="dxa"/>
            <w:vAlign w:val="center"/>
            <w:hideMark/>
          </w:tcPr>
          <w:p w14:paraId="47D38FE5" w14:textId="77777777" w:rsidR="005B37AA" w:rsidRPr="00913129" w:rsidRDefault="005B37AA" w:rsidP="00AE7AE4">
            <w:pPr>
              <w:spacing w:before="60" w:after="60"/>
              <w:ind w:right="-2"/>
              <w:jc w:val="center"/>
              <w:rPr>
                <w:color w:val="000000"/>
                <w:lang w:val="uk-UA"/>
              </w:rPr>
            </w:pPr>
            <w:r w:rsidRPr="00913129">
              <w:rPr>
                <w:color w:val="000000"/>
                <w:lang w:val="uk-UA"/>
              </w:rPr>
              <w:t>82</w:t>
            </w:r>
          </w:p>
        </w:tc>
        <w:tc>
          <w:tcPr>
            <w:tcW w:w="943" w:type="dxa"/>
            <w:vAlign w:val="center"/>
            <w:hideMark/>
          </w:tcPr>
          <w:p w14:paraId="1A441DE2" w14:textId="77777777" w:rsidR="005B37AA" w:rsidRPr="00913129" w:rsidRDefault="005B37AA" w:rsidP="00AE7AE4">
            <w:pPr>
              <w:spacing w:before="60" w:after="60"/>
              <w:ind w:right="-2"/>
              <w:jc w:val="center"/>
              <w:rPr>
                <w:color w:val="000000"/>
                <w:lang w:val="uk-UA"/>
              </w:rPr>
            </w:pPr>
            <w:r w:rsidRPr="00913129">
              <w:rPr>
                <w:color w:val="000000"/>
                <w:lang w:val="uk-UA"/>
              </w:rPr>
              <w:t>88,1</w:t>
            </w:r>
          </w:p>
        </w:tc>
      </w:tr>
      <w:tr w:rsidR="005B37AA" w:rsidRPr="00913129" w14:paraId="24469BDD" w14:textId="77777777" w:rsidTr="00AE7AE4">
        <w:trPr>
          <w:trHeight w:val="397"/>
        </w:trPr>
        <w:tc>
          <w:tcPr>
            <w:tcW w:w="4673" w:type="dxa"/>
            <w:vAlign w:val="center"/>
            <w:hideMark/>
          </w:tcPr>
          <w:p w14:paraId="72E7355F" w14:textId="77777777" w:rsidR="005B37AA" w:rsidRPr="00913129" w:rsidRDefault="005B37AA" w:rsidP="00AE7AE4">
            <w:pPr>
              <w:spacing w:before="60" w:after="60"/>
              <w:ind w:right="-2"/>
              <w:rPr>
                <w:color w:val="000000"/>
                <w:lang w:val="uk-UA"/>
              </w:rPr>
            </w:pPr>
            <w:r w:rsidRPr="00913129">
              <w:rPr>
                <w:color w:val="000000"/>
                <w:lang w:val="uk-UA"/>
              </w:rPr>
              <w:t>SRE: Scope 1, MMT CO₂e</w:t>
            </w:r>
          </w:p>
        </w:tc>
        <w:tc>
          <w:tcPr>
            <w:tcW w:w="942" w:type="dxa"/>
            <w:vAlign w:val="center"/>
            <w:hideMark/>
          </w:tcPr>
          <w:p w14:paraId="2AF7715A" w14:textId="77777777" w:rsidR="005B37AA" w:rsidRPr="00913129" w:rsidRDefault="005B37AA" w:rsidP="00AE7AE4">
            <w:pPr>
              <w:spacing w:before="60" w:after="60"/>
              <w:ind w:right="-2"/>
              <w:jc w:val="center"/>
              <w:rPr>
                <w:color w:val="000000"/>
                <w:lang w:val="uk-UA"/>
              </w:rPr>
            </w:pPr>
            <w:r w:rsidRPr="00913129">
              <w:rPr>
                <w:color w:val="000000"/>
                <w:lang w:val="uk-UA"/>
              </w:rPr>
              <w:t>6,74</w:t>
            </w:r>
          </w:p>
        </w:tc>
        <w:tc>
          <w:tcPr>
            <w:tcW w:w="943" w:type="dxa"/>
            <w:vAlign w:val="center"/>
            <w:hideMark/>
          </w:tcPr>
          <w:p w14:paraId="71C45C7D" w14:textId="77777777" w:rsidR="005B37AA" w:rsidRPr="00913129" w:rsidRDefault="005B37AA" w:rsidP="00AE7AE4">
            <w:pPr>
              <w:spacing w:before="60" w:after="60"/>
              <w:ind w:right="-2"/>
              <w:jc w:val="center"/>
              <w:rPr>
                <w:color w:val="000000"/>
                <w:lang w:val="uk-UA"/>
              </w:rPr>
            </w:pPr>
            <w:r w:rsidRPr="00913129">
              <w:rPr>
                <w:color w:val="000000"/>
                <w:lang w:val="uk-UA"/>
              </w:rPr>
              <w:t>6,85</w:t>
            </w:r>
          </w:p>
        </w:tc>
        <w:tc>
          <w:tcPr>
            <w:tcW w:w="942" w:type="dxa"/>
            <w:vAlign w:val="center"/>
            <w:hideMark/>
          </w:tcPr>
          <w:p w14:paraId="151D1C9A" w14:textId="77777777" w:rsidR="005B37AA" w:rsidRPr="00913129" w:rsidRDefault="005B37AA" w:rsidP="00AE7AE4">
            <w:pPr>
              <w:spacing w:before="60" w:after="60"/>
              <w:ind w:right="-2"/>
              <w:jc w:val="center"/>
              <w:rPr>
                <w:color w:val="000000"/>
                <w:lang w:val="uk-UA"/>
              </w:rPr>
            </w:pPr>
            <w:r w:rsidRPr="00913129">
              <w:rPr>
                <w:color w:val="000000"/>
                <w:lang w:val="uk-UA"/>
              </w:rPr>
              <w:t>-</w:t>
            </w:r>
          </w:p>
        </w:tc>
        <w:tc>
          <w:tcPr>
            <w:tcW w:w="943" w:type="dxa"/>
            <w:vAlign w:val="center"/>
            <w:hideMark/>
          </w:tcPr>
          <w:p w14:paraId="18DEF6B8" w14:textId="77777777" w:rsidR="005B37AA" w:rsidRPr="00913129" w:rsidRDefault="005B37AA" w:rsidP="00AE7AE4">
            <w:pPr>
              <w:spacing w:before="60" w:after="60"/>
              <w:ind w:right="-2"/>
              <w:jc w:val="center"/>
              <w:rPr>
                <w:color w:val="000000"/>
                <w:lang w:val="uk-UA"/>
              </w:rPr>
            </w:pPr>
            <w:r w:rsidRPr="00913129">
              <w:rPr>
                <w:color w:val="000000"/>
                <w:lang w:val="uk-UA"/>
              </w:rPr>
              <w:t>-</w:t>
            </w:r>
          </w:p>
        </w:tc>
        <w:tc>
          <w:tcPr>
            <w:tcW w:w="943" w:type="dxa"/>
            <w:vAlign w:val="center"/>
            <w:hideMark/>
          </w:tcPr>
          <w:p w14:paraId="3CABC237" w14:textId="77777777" w:rsidR="005B37AA" w:rsidRPr="00913129" w:rsidRDefault="005B37AA" w:rsidP="00AE7AE4">
            <w:pPr>
              <w:spacing w:before="60" w:after="60"/>
              <w:ind w:right="-2"/>
              <w:jc w:val="center"/>
              <w:rPr>
                <w:color w:val="000000"/>
                <w:lang w:val="uk-UA"/>
              </w:rPr>
            </w:pPr>
            <w:r w:rsidRPr="00913129">
              <w:rPr>
                <w:color w:val="000000"/>
                <w:lang w:val="uk-UA"/>
              </w:rPr>
              <w:t>-</w:t>
            </w:r>
          </w:p>
        </w:tc>
      </w:tr>
      <w:tr w:rsidR="005B37AA" w:rsidRPr="00913129" w14:paraId="5E37BF17" w14:textId="77777777" w:rsidTr="00AE7AE4">
        <w:trPr>
          <w:trHeight w:val="397"/>
        </w:trPr>
        <w:tc>
          <w:tcPr>
            <w:tcW w:w="4673" w:type="dxa"/>
            <w:vAlign w:val="center"/>
            <w:hideMark/>
          </w:tcPr>
          <w:p w14:paraId="43D625A2" w14:textId="77777777" w:rsidR="005B37AA" w:rsidRPr="00913129" w:rsidRDefault="005B37AA" w:rsidP="00AE7AE4">
            <w:pPr>
              <w:spacing w:before="60" w:after="60"/>
              <w:ind w:right="-2"/>
              <w:rPr>
                <w:color w:val="000000"/>
                <w:lang w:val="uk-UA"/>
              </w:rPr>
            </w:pPr>
            <w:r w:rsidRPr="00913129">
              <w:rPr>
                <w:color w:val="000000"/>
                <w:lang w:val="uk-UA"/>
              </w:rPr>
              <w:t>SRE: Scope 2, MMT CO₂e</w:t>
            </w:r>
          </w:p>
        </w:tc>
        <w:tc>
          <w:tcPr>
            <w:tcW w:w="942" w:type="dxa"/>
            <w:vAlign w:val="center"/>
            <w:hideMark/>
          </w:tcPr>
          <w:p w14:paraId="096E821C" w14:textId="77777777" w:rsidR="005B37AA" w:rsidRPr="00913129" w:rsidRDefault="005B37AA" w:rsidP="00AE7AE4">
            <w:pPr>
              <w:spacing w:before="60" w:after="60"/>
              <w:ind w:right="-2"/>
              <w:jc w:val="center"/>
              <w:rPr>
                <w:color w:val="000000"/>
                <w:lang w:val="uk-UA"/>
              </w:rPr>
            </w:pPr>
            <w:r w:rsidRPr="00913129">
              <w:rPr>
                <w:color w:val="000000"/>
                <w:lang w:val="uk-UA"/>
              </w:rPr>
              <w:t>0,15</w:t>
            </w:r>
          </w:p>
        </w:tc>
        <w:tc>
          <w:tcPr>
            <w:tcW w:w="943" w:type="dxa"/>
            <w:vAlign w:val="center"/>
            <w:hideMark/>
          </w:tcPr>
          <w:p w14:paraId="6F821FDF" w14:textId="77777777" w:rsidR="005B37AA" w:rsidRPr="00913129" w:rsidRDefault="005B37AA" w:rsidP="00AE7AE4">
            <w:pPr>
              <w:spacing w:before="60" w:after="60"/>
              <w:ind w:right="-2"/>
              <w:jc w:val="center"/>
              <w:rPr>
                <w:color w:val="000000"/>
                <w:lang w:val="uk-UA"/>
              </w:rPr>
            </w:pPr>
            <w:r w:rsidRPr="00913129">
              <w:rPr>
                <w:color w:val="000000"/>
                <w:lang w:val="uk-UA"/>
              </w:rPr>
              <w:t>0,38</w:t>
            </w:r>
          </w:p>
        </w:tc>
        <w:tc>
          <w:tcPr>
            <w:tcW w:w="942" w:type="dxa"/>
            <w:vAlign w:val="center"/>
            <w:hideMark/>
          </w:tcPr>
          <w:p w14:paraId="6E0D9496" w14:textId="77777777" w:rsidR="005B37AA" w:rsidRPr="00913129" w:rsidRDefault="005B37AA" w:rsidP="00AE7AE4">
            <w:pPr>
              <w:spacing w:before="60" w:after="60"/>
              <w:ind w:right="-2"/>
              <w:jc w:val="center"/>
              <w:rPr>
                <w:color w:val="000000"/>
                <w:lang w:val="uk-UA"/>
              </w:rPr>
            </w:pPr>
            <w:r w:rsidRPr="00913129">
              <w:rPr>
                <w:color w:val="000000"/>
                <w:lang w:val="uk-UA"/>
              </w:rPr>
              <w:t>-</w:t>
            </w:r>
          </w:p>
        </w:tc>
        <w:tc>
          <w:tcPr>
            <w:tcW w:w="943" w:type="dxa"/>
            <w:vAlign w:val="center"/>
            <w:hideMark/>
          </w:tcPr>
          <w:p w14:paraId="1A0A31F6" w14:textId="77777777" w:rsidR="005B37AA" w:rsidRPr="00913129" w:rsidRDefault="005B37AA" w:rsidP="00AE7AE4">
            <w:pPr>
              <w:spacing w:before="60" w:after="60"/>
              <w:ind w:right="-2"/>
              <w:jc w:val="center"/>
              <w:rPr>
                <w:color w:val="000000"/>
                <w:lang w:val="uk-UA"/>
              </w:rPr>
            </w:pPr>
            <w:r w:rsidRPr="00913129">
              <w:rPr>
                <w:color w:val="000000"/>
                <w:lang w:val="uk-UA"/>
              </w:rPr>
              <w:t>-</w:t>
            </w:r>
          </w:p>
        </w:tc>
        <w:tc>
          <w:tcPr>
            <w:tcW w:w="943" w:type="dxa"/>
            <w:vAlign w:val="center"/>
            <w:hideMark/>
          </w:tcPr>
          <w:p w14:paraId="142B5A66" w14:textId="77777777" w:rsidR="005B37AA" w:rsidRPr="00913129" w:rsidRDefault="005B37AA" w:rsidP="00AE7AE4">
            <w:pPr>
              <w:spacing w:before="60" w:after="60"/>
              <w:ind w:right="-2"/>
              <w:jc w:val="center"/>
              <w:rPr>
                <w:color w:val="000000"/>
                <w:lang w:val="uk-UA"/>
              </w:rPr>
            </w:pPr>
            <w:r w:rsidRPr="00913129">
              <w:rPr>
                <w:color w:val="000000"/>
                <w:lang w:val="uk-UA"/>
              </w:rPr>
              <w:t>-</w:t>
            </w:r>
          </w:p>
        </w:tc>
      </w:tr>
      <w:tr w:rsidR="005B37AA" w:rsidRPr="00913129" w14:paraId="1F321A46" w14:textId="77777777" w:rsidTr="00AE7AE4">
        <w:trPr>
          <w:trHeight w:val="397"/>
        </w:trPr>
        <w:tc>
          <w:tcPr>
            <w:tcW w:w="4673" w:type="dxa"/>
            <w:vAlign w:val="center"/>
            <w:hideMark/>
          </w:tcPr>
          <w:p w14:paraId="1BAAAC80" w14:textId="77777777" w:rsidR="005B37AA" w:rsidRPr="00913129" w:rsidRDefault="005B37AA" w:rsidP="00AE7AE4">
            <w:pPr>
              <w:spacing w:before="60" w:after="60"/>
              <w:ind w:right="-2"/>
              <w:rPr>
                <w:color w:val="000000"/>
                <w:lang w:val="uk-UA"/>
              </w:rPr>
            </w:pPr>
            <w:r w:rsidRPr="00913129">
              <w:rPr>
                <w:color w:val="000000"/>
                <w:lang w:val="uk-UA"/>
              </w:rPr>
              <w:t>VRSK: Скорочення Scope 1+2 до 2019, %</w:t>
            </w:r>
          </w:p>
        </w:tc>
        <w:tc>
          <w:tcPr>
            <w:tcW w:w="942" w:type="dxa"/>
            <w:vAlign w:val="center"/>
            <w:hideMark/>
          </w:tcPr>
          <w:p w14:paraId="7DA8677D" w14:textId="77777777" w:rsidR="005B37AA" w:rsidRPr="00913129" w:rsidRDefault="005B37AA" w:rsidP="00AE7AE4">
            <w:pPr>
              <w:spacing w:before="60" w:after="60"/>
              <w:ind w:right="-2"/>
              <w:jc w:val="center"/>
              <w:rPr>
                <w:color w:val="000000"/>
                <w:lang w:val="uk-UA"/>
              </w:rPr>
            </w:pPr>
            <w:r w:rsidRPr="00913129">
              <w:rPr>
                <w:color w:val="000000"/>
                <w:lang w:val="uk-UA"/>
              </w:rPr>
              <w:t>-</w:t>
            </w:r>
          </w:p>
        </w:tc>
        <w:tc>
          <w:tcPr>
            <w:tcW w:w="943" w:type="dxa"/>
            <w:vAlign w:val="center"/>
            <w:hideMark/>
          </w:tcPr>
          <w:p w14:paraId="40972111" w14:textId="77777777" w:rsidR="005B37AA" w:rsidRPr="00913129" w:rsidRDefault="005B37AA" w:rsidP="00AE7AE4">
            <w:pPr>
              <w:spacing w:before="60" w:after="60"/>
              <w:ind w:right="-2"/>
              <w:jc w:val="center"/>
              <w:rPr>
                <w:color w:val="000000"/>
                <w:lang w:val="uk-UA"/>
              </w:rPr>
            </w:pPr>
            <w:r w:rsidRPr="00913129">
              <w:rPr>
                <w:color w:val="000000"/>
                <w:lang w:val="uk-UA"/>
              </w:rPr>
              <w:t>-15</w:t>
            </w:r>
          </w:p>
        </w:tc>
        <w:tc>
          <w:tcPr>
            <w:tcW w:w="942" w:type="dxa"/>
            <w:vAlign w:val="center"/>
            <w:hideMark/>
          </w:tcPr>
          <w:p w14:paraId="00DC705B" w14:textId="77777777" w:rsidR="005B37AA" w:rsidRPr="00913129" w:rsidRDefault="005B37AA" w:rsidP="00AE7AE4">
            <w:pPr>
              <w:spacing w:before="60" w:after="60"/>
              <w:ind w:right="-2"/>
              <w:jc w:val="center"/>
              <w:rPr>
                <w:color w:val="000000"/>
                <w:lang w:val="uk-UA"/>
              </w:rPr>
            </w:pPr>
            <w:r w:rsidRPr="00913129">
              <w:rPr>
                <w:color w:val="000000"/>
                <w:lang w:val="uk-UA"/>
              </w:rPr>
              <w:t>-23</w:t>
            </w:r>
          </w:p>
        </w:tc>
        <w:tc>
          <w:tcPr>
            <w:tcW w:w="943" w:type="dxa"/>
            <w:vAlign w:val="center"/>
            <w:hideMark/>
          </w:tcPr>
          <w:p w14:paraId="23CF0B1B" w14:textId="77777777" w:rsidR="005B37AA" w:rsidRPr="00913129" w:rsidRDefault="005B37AA" w:rsidP="00AE7AE4">
            <w:pPr>
              <w:spacing w:before="60" w:after="60"/>
              <w:ind w:right="-2"/>
              <w:jc w:val="center"/>
              <w:rPr>
                <w:color w:val="000000"/>
                <w:lang w:val="uk-UA"/>
              </w:rPr>
            </w:pPr>
            <w:r w:rsidRPr="00913129">
              <w:rPr>
                <w:color w:val="000000"/>
                <w:lang w:val="uk-UA"/>
              </w:rPr>
              <w:t>-30,5</w:t>
            </w:r>
          </w:p>
        </w:tc>
        <w:tc>
          <w:tcPr>
            <w:tcW w:w="943" w:type="dxa"/>
            <w:vAlign w:val="center"/>
            <w:hideMark/>
          </w:tcPr>
          <w:p w14:paraId="58E9DF8D" w14:textId="77777777" w:rsidR="005B37AA" w:rsidRPr="00913129" w:rsidRDefault="005B37AA" w:rsidP="00AE7AE4">
            <w:pPr>
              <w:spacing w:before="60" w:after="60"/>
              <w:ind w:right="-2"/>
              <w:jc w:val="center"/>
              <w:rPr>
                <w:color w:val="000000"/>
                <w:lang w:val="uk-UA"/>
              </w:rPr>
            </w:pPr>
            <w:r w:rsidRPr="00913129">
              <w:rPr>
                <w:color w:val="000000"/>
                <w:lang w:val="uk-UA"/>
              </w:rPr>
              <w:t>-</w:t>
            </w:r>
          </w:p>
        </w:tc>
      </w:tr>
      <w:tr w:rsidR="005B37AA" w:rsidRPr="00913129" w14:paraId="508931D8" w14:textId="77777777" w:rsidTr="00AE7AE4">
        <w:trPr>
          <w:trHeight w:val="397"/>
        </w:trPr>
        <w:tc>
          <w:tcPr>
            <w:tcW w:w="4673" w:type="dxa"/>
            <w:vAlign w:val="center"/>
            <w:hideMark/>
          </w:tcPr>
          <w:p w14:paraId="6026BCD4" w14:textId="77777777" w:rsidR="005B37AA" w:rsidRPr="00913129" w:rsidRDefault="005B37AA" w:rsidP="00AE7AE4">
            <w:pPr>
              <w:spacing w:before="60" w:after="60"/>
              <w:ind w:right="-2"/>
              <w:rPr>
                <w:color w:val="000000"/>
                <w:lang w:val="uk-UA"/>
              </w:rPr>
            </w:pPr>
            <w:r w:rsidRPr="00913129">
              <w:rPr>
                <w:color w:val="000000"/>
                <w:lang w:val="uk-UA"/>
              </w:rPr>
              <w:t>AMAT: Відновлювана електроенергія, %</w:t>
            </w:r>
          </w:p>
        </w:tc>
        <w:tc>
          <w:tcPr>
            <w:tcW w:w="942" w:type="dxa"/>
            <w:vAlign w:val="center"/>
            <w:hideMark/>
          </w:tcPr>
          <w:p w14:paraId="49270335" w14:textId="77777777" w:rsidR="005B37AA" w:rsidRPr="00913129" w:rsidRDefault="005B37AA" w:rsidP="00AE7AE4">
            <w:pPr>
              <w:spacing w:before="60" w:after="60"/>
              <w:ind w:right="-2"/>
              <w:jc w:val="center"/>
              <w:rPr>
                <w:color w:val="000000"/>
                <w:lang w:val="uk-UA"/>
              </w:rPr>
            </w:pPr>
            <w:r w:rsidRPr="00913129">
              <w:rPr>
                <w:color w:val="000000"/>
                <w:lang w:val="uk-UA"/>
              </w:rPr>
              <w:t>75</w:t>
            </w:r>
          </w:p>
        </w:tc>
        <w:tc>
          <w:tcPr>
            <w:tcW w:w="943" w:type="dxa"/>
            <w:vAlign w:val="center"/>
            <w:hideMark/>
          </w:tcPr>
          <w:p w14:paraId="78B2DB32" w14:textId="77777777" w:rsidR="005B37AA" w:rsidRPr="00913129" w:rsidRDefault="005B37AA" w:rsidP="00AE7AE4">
            <w:pPr>
              <w:spacing w:before="60" w:after="60"/>
              <w:ind w:right="-2"/>
              <w:jc w:val="center"/>
              <w:rPr>
                <w:color w:val="000000"/>
                <w:lang w:val="uk-UA"/>
              </w:rPr>
            </w:pPr>
            <w:r w:rsidRPr="00913129">
              <w:rPr>
                <w:color w:val="000000"/>
                <w:lang w:val="uk-UA"/>
              </w:rPr>
              <w:t>80</w:t>
            </w:r>
          </w:p>
        </w:tc>
        <w:tc>
          <w:tcPr>
            <w:tcW w:w="942" w:type="dxa"/>
            <w:vAlign w:val="center"/>
            <w:hideMark/>
          </w:tcPr>
          <w:p w14:paraId="0090104B" w14:textId="77777777" w:rsidR="005B37AA" w:rsidRPr="00913129" w:rsidRDefault="005B37AA" w:rsidP="00AE7AE4">
            <w:pPr>
              <w:spacing w:before="60" w:after="60"/>
              <w:ind w:right="-2"/>
              <w:jc w:val="center"/>
              <w:rPr>
                <w:color w:val="000000"/>
                <w:lang w:val="uk-UA"/>
              </w:rPr>
            </w:pPr>
            <w:r w:rsidRPr="00913129">
              <w:rPr>
                <w:color w:val="000000"/>
                <w:lang w:val="uk-UA"/>
              </w:rPr>
              <w:t>85</w:t>
            </w:r>
          </w:p>
        </w:tc>
        <w:tc>
          <w:tcPr>
            <w:tcW w:w="943" w:type="dxa"/>
            <w:vAlign w:val="center"/>
            <w:hideMark/>
          </w:tcPr>
          <w:p w14:paraId="31CDBBC7" w14:textId="77777777" w:rsidR="005B37AA" w:rsidRPr="00913129" w:rsidRDefault="005B37AA" w:rsidP="00AE7AE4">
            <w:pPr>
              <w:spacing w:before="60" w:after="60"/>
              <w:ind w:right="-2"/>
              <w:jc w:val="center"/>
              <w:rPr>
                <w:color w:val="000000"/>
                <w:lang w:val="uk-UA"/>
              </w:rPr>
            </w:pPr>
            <w:r w:rsidRPr="00913129">
              <w:rPr>
                <w:color w:val="000000"/>
                <w:lang w:val="uk-UA"/>
              </w:rPr>
              <w:t>92</w:t>
            </w:r>
          </w:p>
        </w:tc>
        <w:tc>
          <w:tcPr>
            <w:tcW w:w="943" w:type="dxa"/>
            <w:vAlign w:val="center"/>
            <w:hideMark/>
          </w:tcPr>
          <w:p w14:paraId="3CA9936B" w14:textId="77777777" w:rsidR="005B37AA" w:rsidRPr="00913129" w:rsidRDefault="005B37AA" w:rsidP="00AE7AE4">
            <w:pPr>
              <w:spacing w:before="60" w:after="60"/>
              <w:ind w:right="-2"/>
              <w:jc w:val="center"/>
              <w:rPr>
                <w:color w:val="000000"/>
                <w:lang w:val="uk-UA"/>
              </w:rPr>
            </w:pPr>
            <w:r w:rsidRPr="00913129">
              <w:rPr>
                <w:color w:val="000000"/>
                <w:lang w:val="uk-UA"/>
              </w:rPr>
              <w:t>~100</w:t>
            </w:r>
          </w:p>
        </w:tc>
      </w:tr>
      <w:tr w:rsidR="005B37AA" w:rsidRPr="00913129" w14:paraId="6E7C1F7A" w14:textId="77777777" w:rsidTr="00AE7AE4">
        <w:trPr>
          <w:trHeight w:val="397"/>
        </w:trPr>
        <w:tc>
          <w:tcPr>
            <w:tcW w:w="4673" w:type="dxa"/>
            <w:vAlign w:val="center"/>
            <w:hideMark/>
          </w:tcPr>
          <w:p w14:paraId="3A4A1604" w14:textId="77777777" w:rsidR="005B37AA" w:rsidRPr="00913129" w:rsidRDefault="005B37AA" w:rsidP="00AE7AE4">
            <w:pPr>
              <w:spacing w:before="60" w:after="60"/>
              <w:ind w:right="-2"/>
              <w:rPr>
                <w:color w:val="000000"/>
                <w:lang w:val="uk-UA"/>
              </w:rPr>
            </w:pPr>
            <w:r w:rsidRPr="00913129">
              <w:rPr>
                <w:color w:val="000000"/>
                <w:lang w:val="uk-UA"/>
              </w:rPr>
              <w:t>MCO: ESG-рейтинг (MSCI)</w:t>
            </w:r>
          </w:p>
        </w:tc>
        <w:tc>
          <w:tcPr>
            <w:tcW w:w="942" w:type="dxa"/>
            <w:vAlign w:val="center"/>
            <w:hideMark/>
          </w:tcPr>
          <w:p w14:paraId="473B7C88" w14:textId="77777777" w:rsidR="005B37AA" w:rsidRPr="00913129" w:rsidRDefault="005B37AA" w:rsidP="00AE7AE4">
            <w:pPr>
              <w:spacing w:before="60" w:after="60"/>
              <w:ind w:right="-2"/>
              <w:jc w:val="center"/>
              <w:rPr>
                <w:color w:val="000000"/>
                <w:lang w:val="uk-UA"/>
              </w:rPr>
            </w:pPr>
            <w:r w:rsidRPr="00913129">
              <w:rPr>
                <w:color w:val="000000"/>
                <w:lang w:val="uk-UA"/>
              </w:rPr>
              <w:t>A</w:t>
            </w:r>
          </w:p>
        </w:tc>
        <w:tc>
          <w:tcPr>
            <w:tcW w:w="943" w:type="dxa"/>
            <w:vAlign w:val="center"/>
            <w:hideMark/>
          </w:tcPr>
          <w:p w14:paraId="50254885" w14:textId="77777777" w:rsidR="005B37AA" w:rsidRPr="00913129" w:rsidRDefault="005B37AA" w:rsidP="00AE7AE4">
            <w:pPr>
              <w:spacing w:before="60" w:after="60"/>
              <w:ind w:right="-2"/>
              <w:jc w:val="center"/>
              <w:rPr>
                <w:color w:val="000000"/>
                <w:lang w:val="uk-UA"/>
              </w:rPr>
            </w:pPr>
            <w:r w:rsidRPr="00913129">
              <w:rPr>
                <w:color w:val="000000"/>
                <w:lang w:val="uk-UA"/>
              </w:rPr>
              <w:t>A</w:t>
            </w:r>
          </w:p>
        </w:tc>
        <w:tc>
          <w:tcPr>
            <w:tcW w:w="942" w:type="dxa"/>
            <w:vAlign w:val="center"/>
            <w:hideMark/>
          </w:tcPr>
          <w:p w14:paraId="415BEB5C" w14:textId="77777777" w:rsidR="005B37AA" w:rsidRPr="00913129" w:rsidRDefault="005B37AA" w:rsidP="00AE7AE4">
            <w:pPr>
              <w:spacing w:before="60" w:after="60"/>
              <w:ind w:right="-2"/>
              <w:jc w:val="center"/>
              <w:rPr>
                <w:color w:val="000000"/>
                <w:lang w:val="uk-UA"/>
              </w:rPr>
            </w:pPr>
            <w:r w:rsidRPr="00913129">
              <w:rPr>
                <w:color w:val="000000"/>
                <w:lang w:val="uk-UA"/>
              </w:rPr>
              <w:t>A</w:t>
            </w:r>
          </w:p>
        </w:tc>
        <w:tc>
          <w:tcPr>
            <w:tcW w:w="943" w:type="dxa"/>
            <w:vAlign w:val="center"/>
            <w:hideMark/>
          </w:tcPr>
          <w:p w14:paraId="7E61087A" w14:textId="77777777" w:rsidR="005B37AA" w:rsidRPr="00913129" w:rsidRDefault="005B37AA" w:rsidP="00AE7AE4">
            <w:pPr>
              <w:spacing w:before="60" w:after="60"/>
              <w:ind w:right="-2"/>
              <w:jc w:val="center"/>
              <w:rPr>
                <w:color w:val="000000"/>
                <w:lang w:val="uk-UA"/>
              </w:rPr>
            </w:pPr>
            <w:r w:rsidRPr="00913129">
              <w:rPr>
                <w:color w:val="000000"/>
                <w:lang w:val="uk-UA"/>
              </w:rPr>
              <w:t>A</w:t>
            </w:r>
          </w:p>
        </w:tc>
        <w:tc>
          <w:tcPr>
            <w:tcW w:w="943" w:type="dxa"/>
            <w:vAlign w:val="center"/>
            <w:hideMark/>
          </w:tcPr>
          <w:p w14:paraId="6B8F2B46" w14:textId="77777777" w:rsidR="005B37AA" w:rsidRPr="00913129" w:rsidRDefault="005B37AA" w:rsidP="00AE7AE4">
            <w:pPr>
              <w:spacing w:before="60" w:after="60"/>
              <w:ind w:right="-2"/>
              <w:jc w:val="center"/>
              <w:rPr>
                <w:color w:val="000000"/>
                <w:lang w:val="uk-UA"/>
              </w:rPr>
            </w:pPr>
            <w:r w:rsidRPr="00913129">
              <w:rPr>
                <w:color w:val="000000"/>
                <w:lang w:val="uk-UA"/>
              </w:rPr>
              <w:t>A</w:t>
            </w:r>
          </w:p>
        </w:tc>
      </w:tr>
    </w:tbl>
    <w:p w14:paraId="2AD07FB0" w14:textId="77777777" w:rsidR="005B37AA" w:rsidRPr="00913129" w:rsidRDefault="005B37AA" w:rsidP="00AE7AE4">
      <w:pPr>
        <w:pStyle w:val="ae"/>
        <w:spacing w:before="120" w:beforeAutospacing="0" w:after="0" w:afterAutospacing="0" w:line="360" w:lineRule="auto"/>
        <w:ind w:right="-2" w:firstLine="851"/>
        <w:rPr>
          <w:color w:val="000000"/>
          <w:sz w:val="28"/>
          <w:szCs w:val="28"/>
          <w:lang w:val="uk-UA"/>
        </w:rPr>
      </w:pPr>
      <w:r w:rsidRPr="00913129">
        <w:rPr>
          <w:color w:val="000000"/>
          <w:sz w:val="28"/>
          <w:szCs w:val="28"/>
          <w:lang w:val="uk-UA"/>
        </w:rPr>
        <w:t xml:space="preserve">Джерело: складено на основі даних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{"citationID":"a1sg7gjn0d8","properties":{"formattedCitation":"\\super [52\\uc0\\u8211{}57]\\nosupersub{}","plainCitation":"[52–57]","noteIndex":0},"citationItems":[{"id":812,"uris":["http://zotero.org/users/10910668/items/KLWTY9FR"],"itemData":{"id":812,"type":"webpage","title":"Moodys - Financials - Annual Reports &amp; Proxy Statements","URL":"https://ir.moodys.com/financials/annual-reports/default.aspx","accessed":{"date-parts":[["2025",6,3]]}}},{"id":811,"uris":["http://zotero.org/users/10910668/items/KC2KIU5M"],"itemData":{"id":811,"type":"webpage","title":"Applied Industrial Technologies, Inc. - Financials - Annual Reports","URL":"https://ir.applied.com/financials/annual-reports/default.aspx","accessed":{"date-parts":[["2025",6,3]]}}},{"id":810,"uris":["http://zotero.org/users/10910668/items/Y2PNIMY5"],"itemData":{"id":810,"type":"webpage","title":"Verisk Analytics, Inc. - Financials - Financial Summary","URL":"https://investor.verisk.com/financials/quarterly-results/default.aspx","accessed":{"date-parts":[["2025",6,3]]}}},{"id":808,"uris":["http://zotero.org/users/10910668/items/WBID2WY3"],"itemData":{"id":808,"type":"webpage","language":"en","title":"Annual Reports | Sempra","URL":"https://investor.sempra.com/annual-reports","accessed":{"date-parts":[["2025",6,3]]}}},{"id":807,"uris":["http://zotero.org/users/10910668/items/3HCIILU5"],"itemData":{"id":807,"type":"post-weblog","abstract":"Read the annual sustainability report from Microsoft. Explore our progress to become a carbon negative, water positive and zero waste company.","container-title":"Corporate Responsibility","language":"en","title":"2025 Environmental Sustainability Report | Microsoft","URL":"https://www.microsoft.com/en-us/corporate-responsibility/sustainability/report/","accessed":{"date-parts":[["2025",6,3]]}}},{"id":805,"uris":["http://zotero.org/users/10910668/items/TM48UMKP"],"itemData":{"id":805,"type":"webpage","language":"en-US","title":"Microsoft Investor Relations - Annual Reports","URL":"https://www.microsoft.com/en-us/investor/annual-reports","accessed":{"date-parts":[["2025",6,3]]}},"label":"page"}],"schema":"https://github.com/citation-style-language/schema/raw/master/csl-citation.json"}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[52–57]</w:t>
      </w:r>
      <w:r w:rsidRPr="00913129">
        <w:rPr>
          <w:color w:val="000000"/>
          <w:sz w:val="28"/>
          <w:szCs w:val="28"/>
          <w:lang w:val="uk-UA"/>
        </w:rPr>
        <w:fldChar w:fldCharType="end"/>
      </w:r>
    </w:p>
    <w:p w14:paraId="121B8C3C"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Для Microsoft аналізу підлягали обсяги відновленої води й частка утилізації відходів, як найбільш капіталомісткі напрями екологічної трансформації. У Sempra Energy акцент зроблено на скороченні викидів Scope 1 і 2. Для Verisk Analytics релевантним індикатором є відносне скорочення викидів Scope 1+2. Applied Materials характеризується зростанням частки відновлюваної електроенергії у структурі енергоспоживання, для Moody’s </w:t>
      </w:r>
      <w:r w:rsidRPr="00913129">
        <w:rPr>
          <w:color w:val="000000"/>
          <w:sz w:val="28"/>
          <w:szCs w:val="28"/>
          <w:lang w:val="uk-UA"/>
        </w:rPr>
        <w:lastRenderedPageBreak/>
        <w:t>Corporation ключовим показником виступає стабільно високий ESG-рейтинг (MSCI).</w:t>
      </w:r>
    </w:p>
    <w:p w14:paraId="45DF8F12"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Аналіз динаміки ключових ESG-показників засвідчує, що інтеграція СВІ-пріоритетів чинить істотний вплив на бізнес-моделі, структуру витрат і фінансові результати провідних міжнародних компаній. </w:t>
      </w:r>
    </w:p>
    <w:p w14:paraId="2C808500"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Насамперед у технологічному та виробничому секторах, Microsoft та Applied Materials, основними стратегічними напрямами стали підвищення ресурсоефективності та декарбонізація. </w:t>
      </w:r>
      <w:r w:rsidRPr="00913129">
        <w:rPr>
          <w:rStyle w:val="ac"/>
          <w:rFonts w:eastAsiaTheme="majorEastAsia"/>
          <w:b w:val="0"/>
          <w:bCs w:val="0"/>
          <w:color w:val="000000"/>
          <w:sz w:val="28"/>
          <w:szCs w:val="28"/>
          <w:lang w:val="uk-UA"/>
        </w:rPr>
        <w:t>Microsoft Corporation</w:t>
      </w:r>
      <w:r w:rsidRPr="00913129">
        <w:rPr>
          <w:rStyle w:val="apple-converted-space"/>
          <w:rFonts w:eastAsiaTheme="majorEastAsia"/>
          <w:color w:val="000000"/>
          <w:sz w:val="28"/>
          <w:szCs w:val="28"/>
          <w:lang w:val="uk-UA"/>
        </w:rPr>
        <w:t> </w:t>
      </w:r>
      <w:r w:rsidRPr="00913129">
        <w:rPr>
          <w:color w:val="000000"/>
          <w:sz w:val="28"/>
          <w:szCs w:val="28"/>
          <w:lang w:val="uk-UA"/>
        </w:rPr>
        <w:t xml:space="preserve">демонструє системний і комплексний підхід до реалізації СВІ-стратегій, поєднуючи масштабні інвестиції в екологічні ініціативи, соціальні програми та корпоративне волонтерство. У 2020-2024 рр. компанія спрямувала понад 760 млн дол. США на проєкти декарбонізації через «Climate Innovation Fund», а також понад 500 млн дол. США на глобальні програми освіти, цифрової інклюзії та водної трансформації. Внаслідок цього, обсяги відновленої води збільшилися з 2,84 млн м³ до 50,03 млн м³, а рівень утилізації відходів зріс з 82,2% до 88,1%. Крім того, компанія щороку реалізує понад 1,2 млн годин волонтерських програм. Сукупний ефект від упровадження ESG-ініціатив відображається у зниженні поточних операційних витрат, оптимізації витрат на сировину та утилізацію, а також у підвищенні інвестиційної привабливості для СВІ-орієнтованих фондів, що підтверджується зростанням фінансових показників Microsoft упродовж досліджуваного періоду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{"citationID":"XaFvwkrx","properties":{"formattedCitation":"\\super [57]\\nosupersub{}","plainCitation":"[57]","noteIndex":0},"citationItems":[{"id":805,"uris":["http://zotero.org/users/10910668/items/TM48UMKP"],"itemData":{"id":805,"type":"webpage","language":"en-US","title":"Microsoft Investor Relations - Annual Reports","URL":"https://www.microsoft.com/en-us/investor/annual-reports","accessed":{"date-parts":[["2025",6,3]]}}}],"schema":"https://github.com/citation-style-language/schema/raw/master/csl-citation.json"}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[57]</w:t>
      </w:r>
      <w:r w:rsidRPr="00913129">
        <w:rPr>
          <w:color w:val="000000"/>
          <w:sz w:val="28"/>
          <w:szCs w:val="28"/>
          <w:lang w:val="uk-UA"/>
        </w:rPr>
        <w:fldChar w:fldCharType="end"/>
      </w:r>
      <w:r w:rsidRPr="00913129">
        <w:rPr>
          <w:color w:val="000000"/>
          <w:sz w:val="28"/>
          <w:szCs w:val="28"/>
          <w:lang w:val="uk-UA"/>
        </w:rPr>
        <w:t xml:space="preserve">. </w:t>
      </w:r>
    </w:p>
    <w:p w14:paraId="597B1436" w14:textId="5418A56E"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Водночас </w:t>
      </w:r>
      <w:r w:rsidRPr="00913129">
        <w:rPr>
          <w:rStyle w:val="ac"/>
          <w:rFonts w:eastAsiaTheme="majorEastAsia"/>
          <w:b w:val="0"/>
          <w:bCs w:val="0"/>
          <w:color w:val="000000"/>
          <w:sz w:val="28"/>
          <w:szCs w:val="28"/>
          <w:lang w:val="uk-UA"/>
        </w:rPr>
        <w:t>Applied Materials</w:t>
      </w:r>
      <w:r w:rsidRPr="00913129">
        <w:rPr>
          <w:rStyle w:val="apple-converted-space"/>
          <w:rFonts w:eastAsiaTheme="majorEastAsia"/>
          <w:color w:val="000000"/>
          <w:sz w:val="28"/>
          <w:szCs w:val="28"/>
          <w:lang w:val="uk-UA"/>
        </w:rPr>
        <w:t> </w:t>
      </w:r>
      <w:r w:rsidRPr="00913129">
        <w:rPr>
          <w:color w:val="000000"/>
          <w:sz w:val="28"/>
          <w:szCs w:val="28"/>
          <w:lang w:val="uk-UA"/>
        </w:rPr>
        <w:t>у 2020-2024 рр. збільшила частку відновлюваної електроенергії у структурі енергоспоживання з 75% до майже 100%, що стало можливим завдяки довгостроковій інвестиційній політиці у сфері енергоефективності та співпраці з провідними постачальниками чистої енергії. Одночасно компанія інвестує у інженерні навчальні програми та масштабні волонтерські про</w:t>
      </w:r>
      <w:r w:rsidR="005827A0" w:rsidRPr="00913129">
        <w:rPr>
          <w:color w:val="000000"/>
          <w:sz w:val="28"/>
          <w:szCs w:val="28"/>
          <w:lang w:val="uk-UA"/>
        </w:rPr>
        <w:t>є</w:t>
      </w:r>
      <w:r w:rsidRPr="00913129">
        <w:rPr>
          <w:color w:val="000000"/>
          <w:sz w:val="28"/>
          <w:szCs w:val="28"/>
          <w:lang w:val="uk-UA"/>
        </w:rPr>
        <w:t xml:space="preserve">кти, що дозволяє знижувати операційні витрати, забезпечувати енергетичну незалежність та відповідати очікуванням міжнародних партнерів щодо екологічності виробничого ланцюга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{"citationID":"vwqSJam3","properties":{"formattedCitation":"\\super [53]\\nosupersub{}","plainCitation":"[53]","noteIndex":0},"citationItems":[{"id":811,"uris":["http://zotero.org/users/10910668/items/KC2KIU5M"],"itemData":{"id":811,"type":"webpage","title":"Applied Industrial Technologies, Inc. - Financials - Annual Reports","URL":"https://ir.applied.com/financials/annual-reports/default.aspx","accessed":{"date-parts":[["2025",6,3]]}}}],"schema":"https://github.com/citation-style-language/schema/raw/master/csl-citation.json"}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[53]</w:t>
      </w:r>
      <w:r w:rsidRPr="00913129">
        <w:rPr>
          <w:color w:val="000000"/>
          <w:sz w:val="28"/>
          <w:szCs w:val="28"/>
          <w:lang w:val="uk-UA"/>
        </w:rPr>
        <w:fldChar w:fldCharType="end"/>
      </w:r>
      <w:r w:rsidRPr="00913129">
        <w:rPr>
          <w:color w:val="000000"/>
          <w:sz w:val="28"/>
          <w:szCs w:val="28"/>
          <w:lang w:val="uk-UA"/>
        </w:rPr>
        <w:t>.</w:t>
      </w:r>
    </w:p>
    <w:p w14:paraId="61C332D5"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lastRenderedPageBreak/>
        <w:t>У</w:t>
      </w:r>
      <w:r w:rsidRPr="00913129">
        <w:rPr>
          <w:rStyle w:val="apple-converted-space"/>
          <w:rFonts w:eastAsiaTheme="majorEastAsia"/>
          <w:color w:val="000000"/>
          <w:sz w:val="28"/>
          <w:szCs w:val="28"/>
          <w:lang w:val="uk-UA"/>
        </w:rPr>
        <w:t> </w:t>
      </w:r>
      <w:r w:rsidRPr="00913129">
        <w:rPr>
          <w:rStyle w:val="ac"/>
          <w:rFonts w:eastAsiaTheme="majorEastAsia"/>
          <w:b w:val="0"/>
          <w:bCs w:val="0"/>
          <w:color w:val="000000"/>
          <w:sz w:val="28"/>
          <w:szCs w:val="28"/>
          <w:lang w:val="uk-UA"/>
        </w:rPr>
        <w:t>енергетичному секторі</w:t>
      </w:r>
      <w:r w:rsidRPr="00913129">
        <w:rPr>
          <w:rStyle w:val="apple-converted-space"/>
          <w:rFonts w:eastAsiaTheme="majorEastAsia"/>
          <w:color w:val="000000"/>
          <w:sz w:val="28"/>
          <w:szCs w:val="28"/>
          <w:lang w:val="uk-UA"/>
        </w:rPr>
        <w:t xml:space="preserve">, </w:t>
      </w:r>
      <w:r w:rsidRPr="00913129">
        <w:rPr>
          <w:color w:val="000000"/>
          <w:sz w:val="28"/>
          <w:szCs w:val="28"/>
          <w:lang w:val="uk-UA"/>
        </w:rPr>
        <w:t xml:space="preserve">Sempra Energy, основним пріоритетом є поступове скорочення викидів парникових газів, що відповідає як посиленню галузевих стандартів, так і вимогам інвесторів щодо екологічної відповідальності. Компанія активно використовує класичні СВІ-інструменти, зокрема випуск «зелених» облігацій, так у 2023 році відбувся випуск на суму 600 млн дол. США. У 2021-2022 рр. залучено 1,75 млрд дол. США для фінансування модернізації інфраструктури та розвитку відновлюваної енергетики. За цей період понад 5 млрд дол. США було спрямовано на розвиток відновлюваних потужностей, енергозберігаючих технологій та водневих проєктів. Прямі викиди (Scope 1) у 2020-2021 рр. стабілізувалися на рівні 6,74-6,85 млн т CO₂-еквівалента, а непрямі викиди (Scope 2) зросли з 0,15 до 0,38 млн т, що свідчить про поступову, але стійку динаміку декарбонізації. З економічної точки зору, це забезпечує здешевлення капіталу, полегшує залучення зовнішніх інвестицій та підвищує конкурентоспроможність Sempra Energy на міжнародних ринках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{"citationID":"lEqt5Zxn","properties":{"formattedCitation":"\\super [55]\\nosupersub{}","plainCitation":"[55]","noteIndex":0},"citationItems":[{"id":808,"uris":["http://zotero.org/users/10910668/items/WBID2WY3"],"itemData":{"id":808,"type":"webpage","language":"en","title":"Annual Reports | Sempra","URL":"https://investor.sempra.com/annual-reports","accessed":{"date-parts":[["2025",6,3]]}}}],"schema":"https://github.com/citation-style-language/schema/raw/master/csl-citation.json"}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[55]</w:t>
      </w:r>
      <w:r w:rsidRPr="00913129">
        <w:rPr>
          <w:color w:val="000000"/>
          <w:sz w:val="28"/>
          <w:szCs w:val="28"/>
          <w:lang w:val="uk-UA"/>
        </w:rPr>
        <w:fldChar w:fldCharType="end"/>
      </w:r>
      <w:r w:rsidRPr="00913129">
        <w:rPr>
          <w:color w:val="000000"/>
          <w:sz w:val="28"/>
          <w:szCs w:val="28"/>
          <w:lang w:val="uk-UA"/>
        </w:rPr>
        <w:t>.</w:t>
      </w:r>
    </w:p>
    <w:p w14:paraId="1881FFB4"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Для</w:t>
      </w:r>
      <w:r w:rsidRPr="00913129">
        <w:rPr>
          <w:rStyle w:val="apple-converted-space"/>
          <w:rFonts w:eastAsiaTheme="majorEastAsia"/>
          <w:color w:val="000000"/>
          <w:sz w:val="28"/>
          <w:szCs w:val="28"/>
          <w:lang w:val="uk-UA"/>
        </w:rPr>
        <w:t> </w:t>
      </w:r>
      <w:r w:rsidRPr="00913129">
        <w:rPr>
          <w:rStyle w:val="ac"/>
          <w:rFonts w:eastAsiaTheme="majorEastAsia"/>
          <w:b w:val="0"/>
          <w:bCs w:val="0"/>
          <w:color w:val="000000"/>
          <w:sz w:val="28"/>
          <w:szCs w:val="28"/>
          <w:lang w:val="uk-UA"/>
        </w:rPr>
        <w:t xml:space="preserve">компаній сфери аналітики та фінансових послуг, </w:t>
      </w:r>
      <w:r w:rsidRPr="00913129">
        <w:rPr>
          <w:color w:val="000000"/>
          <w:sz w:val="28"/>
          <w:szCs w:val="28"/>
          <w:lang w:val="uk-UA"/>
        </w:rPr>
        <w:t xml:space="preserve">Verisk Analytics, Moody’s Corporation, ключове значення мають нарощування нематеріальних активів, підвищення прозорості, якості корпоративного управління та довіри інвесторів. Verisk Analytics у 2020-2024 рр. скоротила викиди на понад 30% від рівня 2019 року. У 2024 році компанія запровадила нову платформу оцінки ризиків для більш ніж 50 000 клієнтів, а також продовжує інвестувати у STEM-освіту, благодійність і корпоративне волонтерство, що комплексно підвищує її репутаційний капітал і доступ до СВІ-фінансування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{"citationID":"jmne83Ms","properties":{"formattedCitation":"\\super [54]\\nosupersub{}","plainCitation":"[54]","noteIndex":0},"citationItems":[{"id":810,"uris":["http://zotero.org/users/10910668/items/Y2PNIMY5"],"itemData":{"id":810,"type":"webpage","title":"Verisk Analytics, Inc. - Financials - Financial Summary","URL":"https://investor.verisk.com/financials/quarterly-results/default.aspx","accessed":{"date-parts":[["2025",6,3]]}}}],"schema":"https://github.com/citation-style-language/schema/raw/master/csl-citation.json"}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[54]</w:t>
      </w:r>
      <w:r w:rsidRPr="00913129">
        <w:rPr>
          <w:color w:val="000000"/>
          <w:sz w:val="28"/>
          <w:szCs w:val="28"/>
          <w:lang w:val="uk-UA"/>
        </w:rPr>
        <w:fldChar w:fldCharType="end"/>
      </w:r>
      <w:r w:rsidRPr="00913129">
        <w:rPr>
          <w:color w:val="000000"/>
          <w:sz w:val="28"/>
          <w:szCs w:val="28"/>
          <w:lang w:val="uk-UA"/>
        </w:rPr>
        <w:t xml:space="preserve">. </w:t>
      </w:r>
      <w:r w:rsidRPr="00913129">
        <w:rPr>
          <w:rStyle w:val="ac"/>
          <w:rFonts w:eastAsiaTheme="majorEastAsia"/>
          <w:b w:val="0"/>
          <w:bCs w:val="0"/>
          <w:color w:val="000000"/>
          <w:sz w:val="28"/>
          <w:szCs w:val="28"/>
          <w:lang w:val="uk-UA"/>
        </w:rPr>
        <w:t>Moody’s Corporation</w:t>
      </w:r>
      <w:r w:rsidRPr="00913129">
        <w:rPr>
          <w:rStyle w:val="apple-converted-space"/>
          <w:rFonts w:eastAsiaTheme="majorEastAsia"/>
          <w:color w:val="000000"/>
          <w:sz w:val="28"/>
          <w:szCs w:val="28"/>
          <w:lang w:val="uk-UA"/>
        </w:rPr>
        <w:t> </w:t>
      </w:r>
      <w:r w:rsidRPr="00913129">
        <w:rPr>
          <w:color w:val="000000"/>
          <w:sz w:val="28"/>
          <w:szCs w:val="28"/>
          <w:lang w:val="uk-UA"/>
        </w:rPr>
        <w:t xml:space="preserve">зберігає стабільно високий ESG-рейтинг. У 2024 році компанія уклала стратегічне партнерство з MSCI щодо розвитку ESG-аналітики, активно підтримує програми DEI, освітні стипендії та волонтерство, що сприяє зниженню нефінансових ризиків і підвищує довіру з боку інвесторів і клієнтів, а також забезпечує стабільний доступ до глобальних ринків капіталу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{"citationID":"CUK8jctv","properties":{"formattedCitation":"\\super [52]\\nosupersub{}","plainCitation":"[52]","noteIndex":0},"citationItems":[{"id":812,"uris":["http://zotero.org/users/10910668/items/KLWTY9FR"],"itemData":{"id":812,"type":"webpage","title":"Moodys - Financials - Annual Reports &amp; Proxy Statements","URL":"https://ir.moodys.com/financials/annual-reports/default.aspx","accessed":{"date-parts":[["2025",6,3]]}}}],"schema":"https://github.com/citation-style-language/schema/raw/master/csl-citation.json"}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[52]</w:t>
      </w:r>
      <w:r w:rsidRPr="00913129">
        <w:rPr>
          <w:color w:val="000000"/>
          <w:sz w:val="28"/>
          <w:szCs w:val="28"/>
          <w:lang w:val="uk-UA"/>
        </w:rPr>
        <w:fldChar w:fldCharType="end"/>
      </w:r>
      <w:r w:rsidRPr="00913129">
        <w:rPr>
          <w:color w:val="000000"/>
          <w:sz w:val="28"/>
          <w:szCs w:val="28"/>
          <w:lang w:val="uk-UA"/>
        </w:rPr>
        <w:t>.</w:t>
      </w:r>
    </w:p>
    <w:p w14:paraId="4E3B6C90"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rStyle w:val="ac"/>
          <w:rFonts w:eastAsiaTheme="majorEastAsia"/>
          <w:b w:val="0"/>
          <w:bCs w:val="0"/>
          <w:color w:val="000000"/>
          <w:sz w:val="28"/>
          <w:szCs w:val="28"/>
          <w:lang w:val="uk-UA"/>
        </w:rPr>
        <w:t xml:space="preserve">Для більш наочного аналізу впливу СВІ-складової на фінансові показники компаній на прикладі </w:t>
      </w:r>
      <w:r w:rsidRPr="00913129">
        <w:rPr>
          <w:color w:val="000000"/>
          <w:sz w:val="28"/>
          <w:szCs w:val="28"/>
          <w:lang w:val="uk-UA"/>
        </w:rPr>
        <w:t xml:space="preserve">Microsoft та Sempra Energy проводиться </w:t>
      </w:r>
      <w:r w:rsidRPr="00913129">
        <w:rPr>
          <w:color w:val="000000"/>
          <w:sz w:val="28"/>
          <w:szCs w:val="28"/>
          <w:lang w:val="uk-UA"/>
        </w:rPr>
        <w:lastRenderedPageBreak/>
        <w:t>додатковий аналіз динаміки загального обсягу СВІ компаній протягом 2014-2024 рр. (див. рис. 3.1).</w:t>
      </w:r>
    </w:p>
    <w:p w14:paraId="58C0B7CA" w14:textId="77777777" w:rsidR="005B37AA" w:rsidRPr="00913129" w:rsidRDefault="005B37AA" w:rsidP="005B37AA">
      <w:pPr>
        <w:pStyle w:val="ae"/>
        <w:spacing w:before="0" w:beforeAutospacing="0" w:after="0" w:afterAutospacing="0" w:line="360" w:lineRule="auto"/>
        <w:ind w:right="-2"/>
        <w:jc w:val="both"/>
        <w:rPr>
          <w:color w:val="000000"/>
          <w:lang w:val="uk-UA"/>
        </w:rPr>
      </w:pPr>
      <w:r w:rsidRPr="00913129">
        <w:rPr>
          <w:noProof/>
          <w:color w:val="000000"/>
          <w:lang w:val="ru-RU" w:eastAsia="ru-RU"/>
          <w14:ligatures w14:val="standardContextual"/>
        </w:rPr>
        <w:drawing>
          <wp:inline distT="0" distB="0" distL="0" distR="0" wp14:anchorId="13C1B2C2" wp14:editId="4083F867">
            <wp:extent cx="5840627" cy="3200400"/>
            <wp:effectExtent l="0" t="0" r="14605" b="12700"/>
            <wp:docPr id="49101925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457944D"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Рис. 3.1. Динаміка соціально відповідальних інвестицій компаній Microsoft (MSFT) та Sempra Energy (SRE) у 2014-2024 роках, млн дол. США</w:t>
      </w:r>
    </w:p>
    <w:p w14:paraId="5EE13898"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Джерело: складено на основі даних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{"citationID":"UVkh35Q5","properties":{"formattedCitation":"\\super [55,57]\\nosupersub{}","plainCitation":"[55,57]","noteIndex":0},"citationItems":[{"id":808,"uris":["http://zotero.org/users/10910668/items/WBID2WY3"],"itemData":{"id":808,"type":"webpage","language":"en","title":"Annual Reports | Sempra","URL":"https://investor.sempra.com/annual-reports","accessed":{"date-parts":[["2025",6,3]]}},"label":"page"},{"id":805,"uris":["http://zotero.org/users/10910668/items/TM48UMKP"],"itemData":{"id":805,"type":"webpage","language":"en-US","title":"Microsoft Investor Relations - Annual Reports","URL":"https://www.microsoft.com/en-us/investor/annual-reports","accessed":{"date-parts":[["2025",6,3]]}}}],"schema":"https://github.com/citation-style-language/schema/raw/master/csl-citation.json"}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lang w:val="uk-UA"/>
        </w:rPr>
        <w:t>[55,57]</w:t>
      </w:r>
      <w:r w:rsidRPr="00913129">
        <w:rPr>
          <w:color w:val="000000" w:themeColor="text1"/>
          <w:sz w:val="28"/>
          <w:szCs w:val="28"/>
          <w:lang w:val="uk-UA"/>
        </w:rPr>
        <w:fldChar w:fldCharType="end"/>
      </w:r>
    </w:p>
    <w:p w14:paraId="50D0E691"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У Microsoft спостерігається чітка тенденція до зростання соціально відповідальних інвестицій протягом усього досліджуваного періоду. У 2014 році обсяг СВІ становив 122 млн дол. США, а вже у 2024 році досягнув 285 млн дол. США. Сукупне зростання за десятиріччя склало 163 млн дол. США, що еквівалентно приросту на 133,6%. Особливо динамічним було зростання після 2017 року, коли інвестиції збільшилися з 130 млн дол. США до 205 млн дол. США у 2021 році, тобто на 57,7% за чотири роки. Далі цей тренд лише посилився, так з 2021 по 2024 роки обсяги інвестицій зросли ще на 39%, досягнувши свого пікового значення у 285 млн дол. США. В окремі роки зростання було хвилеподібним, наприклад, у 2020 році через COVID-19, інвестиції Microsoft підскочили з 163 млн дол. США у 2020 році до 205 млн дол. США у 2021 році, що становить приріст у 25,8%. Це пояснюється посиленням стратегії сталого розвитку, яку компанія цілеспрямовано реалізує з 2017-2018 років, розширенням програм підтримки громад, акцентом на </w:t>
      </w:r>
      <w:r w:rsidRPr="00913129">
        <w:rPr>
          <w:color w:val="000000" w:themeColor="text1"/>
          <w:sz w:val="28"/>
          <w:szCs w:val="28"/>
          <w:lang w:val="uk-UA"/>
        </w:rPr>
        <w:lastRenderedPageBreak/>
        <w:t xml:space="preserve">цифрову освіту, екологічні проєкти та посиленням корпоративного волонтерства. З 2022 року компанія більше уваги приділяє екологічним ініціативам, цифровій інклюзивності та підтримці маргіналізованих груп населення, що щорічно додає понад 20 млн дол. США до загального обсягу соціально відповідальних інвестицій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{"citationID":"BGT8R355","properties":{"formattedCitation":"\\super [57]\\nosupersub{}","plainCitation":"[57]","noteIndex":0},"citationItems":[{"id":805,"uris":["http://zotero.org/users/10910668/items/TM48UMKP"],"itemData":{"id":805,"type":"webpage","language":"en-US","title":"Microsoft Investor Relations - Annual Reports","URL":"https://www.microsoft.com/en-us/investor/annual-reports","accessed":{"date-parts":[["2025",6,3]]}}}],"schema":"https://github.com/citation-style-language/schema/raw/master/csl-citation.json"}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lang w:val="uk-UA"/>
        </w:rPr>
        <w:t>[57]</w:t>
      </w:r>
      <w:r w:rsidRPr="00913129">
        <w:rPr>
          <w:color w:val="000000" w:themeColor="text1"/>
          <w:sz w:val="28"/>
          <w:szCs w:val="28"/>
          <w:lang w:val="uk-UA"/>
        </w:rPr>
        <w:fldChar w:fldCharType="end"/>
      </w:r>
      <w:r w:rsidRPr="00913129">
        <w:rPr>
          <w:color w:val="000000" w:themeColor="text1"/>
          <w:sz w:val="28"/>
          <w:szCs w:val="28"/>
          <w:lang w:val="uk-UA"/>
        </w:rPr>
        <w:t>.</w:t>
      </w:r>
    </w:p>
    <w:p w14:paraId="792A19F9"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Інша тенденція спостерігається у Sempra Energy, де динаміка інвестицій у соціальну відповідальність має менш однозначний характер. У 2014 році компанія інвестувала 44,5 млн дол. США у соціальні та екологічні програми. У 2024 році цей показник склав 61,2 млн дол. США, що означає приріст у 16,7 млн дол. США, або 37,5% за десятиріччя. У перші роки періоду відзначалося помітне зростання, що становило ріст з 44,5 млн дол. США у 2014 до 55,3 млн дол. США у 2015 році та склало 24,3%. Однак далі динаміка показника інвестицій була коливальною, у 2018 році обсяг зменшився до 45,9 млн дол. США, що на 18,2% менше порівняно з 2017 роком та пояснюється корекцією корпоративної стратегії, завершенням низки великих соціальних проєктів і загальними економічними чинниками. Проте вже з 2019 року Sempra Energy повернулася до поступового нарощування обсягів, і у 2022 році інвестиції досягли 62 млн дол. США, що на 34,8% більше, ніж у 2018 році. Останні роки характеризувалися відносною стабільністю, хоча у 2024 році спостерігалося незначне зниження до 61,2 млн дол. США у порівнянні з 67,5 млн дол. США у 2023 році. Причинами таких коливань стали галузеві фактори, чутливість до ринкових змін у енергетичному секторі, та зміни пріоритетів компанії на користь екологічної сталості, підтримки постраждалих регіонів та реагування на глобальні виклики, такі як пандемія та інфляційні процеси </w:t>
      </w:r>
      <w:r w:rsidRPr="00913129">
        <w:rPr>
          <w:color w:val="000000" w:themeColor="text1"/>
          <w:sz w:val="28"/>
          <w:szCs w:val="28"/>
          <w:lang w:val="uk-UA"/>
        </w:rPr>
        <w:fldChar w:fldCharType="begin"/>
      </w:r>
      <w:r w:rsidRPr="00913129">
        <w:rPr>
          <w:color w:val="000000" w:themeColor="text1"/>
          <w:sz w:val="28"/>
          <w:szCs w:val="28"/>
          <w:lang w:val="uk-UA"/>
        </w:rPr>
        <w:instrText xml:space="preserve"> ADDIN ZOTERO_ITEM CSL_CITATION {"citationID":"2VJ4KufB","properties":{"formattedCitation":"\\super [55]\\nosupersub{}","plainCitation":"[55]","noteIndex":0},"citationItems":[{"id":808,"uris":["http://zotero.org/users/10910668/items/WBID2WY3"],"itemData":{"id":808,"type":"webpage","language":"en","title":"Annual Reports | Sempra","URL":"https://investor.sempra.com/annual-reports","accessed":{"date-parts":[["2025",6,3]]}}}],"schema":"https://github.com/citation-style-language/schema/raw/master/csl-citation.json"} </w:instrText>
      </w:r>
      <w:r w:rsidRPr="00913129">
        <w:rPr>
          <w:color w:val="000000" w:themeColor="text1"/>
          <w:sz w:val="28"/>
          <w:szCs w:val="28"/>
          <w:lang w:val="uk-UA"/>
        </w:rPr>
        <w:fldChar w:fldCharType="separate"/>
      </w:r>
      <w:r w:rsidRPr="00913129">
        <w:rPr>
          <w:color w:val="000000" w:themeColor="text1"/>
          <w:sz w:val="28"/>
          <w:lang w:val="uk-UA"/>
        </w:rPr>
        <w:t>[55]</w:t>
      </w:r>
      <w:r w:rsidRPr="00913129">
        <w:rPr>
          <w:color w:val="000000" w:themeColor="text1"/>
          <w:sz w:val="28"/>
          <w:szCs w:val="28"/>
          <w:lang w:val="uk-UA"/>
        </w:rPr>
        <w:fldChar w:fldCharType="end"/>
      </w:r>
      <w:r w:rsidRPr="00913129">
        <w:rPr>
          <w:color w:val="000000" w:themeColor="text1"/>
          <w:sz w:val="28"/>
          <w:szCs w:val="28"/>
          <w:lang w:val="uk-UA"/>
        </w:rPr>
        <w:t>.</w:t>
      </w:r>
    </w:p>
    <w:p w14:paraId="5F334DD5" w14:textId="77777777" w:rsidR="005B37AA" w:rsidRPr="00913129" w:rsidRDefault="005B37AA" w:rsidP="00AE7AE4">
      <w:pPr>
        <w:pStyle w:val="ae"/>
        <w:spacing w:before="0" w:beforeAutospacing="0" w:after="0" w:afterAutospacing="0" w:line="360" w:lineRule="auto"/>
        <w:ind w:right="-2" w:firstLine="851"/>
        <w:jc w:val="both"/>
        <w:rPr>
          <w:color w:val="000000" w:themeColor="text1"/>
          <w:sz w:val="28"/>
          <w:szCs w:val="28"/>
          <w:lang w:val="uk-UA"/>
        </w:rPr>
      </w:pPr>
      <w:r w:rsidRPr="00913129">
        <w:rPr>
          <w:color w:val="000000" w:themeColor="text1"/>
          <w:sz w:val="28"/>
          <w:szCs w:val="28"/>
          <w:lang w:val="uk-UA"/>
        </w:rPr>
        <w:t xml:space="preserve">Отже, аналіз динаміки показника СВІ даних компаній свідчить про загальну тенденцію до посилення ролі корпоративної соціальної відповідальності в стратегіях. Для Microsoft характерне інтенсивне та стійке зростання СВІ-інвестицій, що зумовлене масштабуванням соціальних, екологічних та цифрових ініціатив у відповідь на виклики сучасності. Натомість Sempra Energy демонструє помірний, але позитивний тренд із </w:t>
      </w:r>
      <w:r w:rsidRPr="00913129">
        <w:rPr>
          <w:color w:val="000000" w:themeColor="text1"/>
          <w:sz w:val="28"/>
          <w:szCs w:val="28"/>
          <w:lang w:val="uk-UA"/>
        </w:rPr>
        <w:lastRenderedPageBreak/>
        <w:t>періодичними коливаннями, що віддзеркалюють особливості галузі та чутливість до зовнішніх економічних умов. Обидві компанії залишаються активними гравцями у сфері корпоративної соціальної відповідальності, поступово збільшуючи внесок у сталий розвиток і підтримку громад, що є яскравим свідченням зростаючого значення соціальних та екологічних факторів у стратегіях сучасного міжнародного бізнесу.</w:t>
      </w:r>
    </w:p>
    <w:p w14:paraId="2D94616F" w14:textId="77777777" w:rsidR="005B37AA" w:rsidRPr="00913129" w:rsidRDefault="005B37AA" w:rsidP="00AE7AE4">
      <w:pPr>
        <w:pStyle w:val="ae"/>
        <w:spacing w:before="0" w:beforeAutospacing="0" w:after="0" w:afterAutospacing="0" w:line="360" w:lineRule="auto"/>
        <w:ind w:right="-2" w:firstLine="851"/>
        <w:rPr>
          <w:color w:val="000000"/>
          <w:sz w:val="28"/>
          <w:szCs w:val="28"/>
          <w:lang w:val="uk-UA"/>
        </w:rPr>
      </w:pPr>
    </w:p>
    <w:p w14:paraId="17BC250A" w14:textId="77777777" w:rsidR="00DD4301" w:rsidRPr="00913129" w:rsidRDefault="00DD4301" w:rsidP="00AE7AE4">
      <w:pPr>
        <w:pStyle w:val="ae"/>
        <w:spacing w:before="0" w:beforeAutospacing="0" w:after="0" w:afterAutospacing="0" w:line="360" w:lineRule="auto"/>
        <w:ind w:right="-2" w:firstLine="851"/>
        <w:rPr>
          <w:color w:val="000000"/>
          <w:sz w:val="28"/>
          <w:szCs w:val="28"/>
          <w:lang w:val="uk-UA"/>
        </w:rPr>
      </w:pPr>
    </w:p>
    <w:p w14:paraId="306A97F9" w14:textId="77777777" w:rsidR="005B37AA" w:rsidRPr="00913129" w:rsidRDefault="005B37AA" w:rsidP="00AE7AE4">
      <w:pPr>
        <w:pStyle w:val="ae"/>
        <w:spacing w:before="0" w:beforeAutospacing="0" w:after="0" w:afterAutospacing="0" w:line="360" w:lineRule="auto"/>
        <w:ind w:right="-2" w:firstLine="851"/>
        <w:jc w:val="both"/>
        <w:rPr>
          <w:b/>
          <w:bCs/>
          <w:color w:val="000000"/>
          <w:sz w:val="28"/>
          <w:szCs w:val="28"/>
          <w:lang w:val="uk-UA"/>
        </w:rPr>
      </w:pPr>
      <w:r w:rsidRPr="00913129">
        <w:rPr>
          <w:b/>
          <w:bCs/>
          <w:color w:val="000000"/>
          <w:sz w:val="28"/>
          <w:szCs w:val="28"/>
          <w:lang w:val="uk-UA"/>
        </w:rPr>
        <w:t>3.2. Системні ризики, антикризові практики та перспективи впровадження СВІ у міжнародному бізнесі</w:t>
      </w:r>
    </w:p>
    <w:p w14:paraId="33B26B5B" w14:textId="77777777" w:rsidR="00DD4301" w:rsidRPr="00913129" w:rsidRDefault="00DD4301" w:rsidP="00AE7AE4">
      <w:pPr>
        <w:pStyle w:val="ae"/>
        <w:spacing w:before="0" w:beforeAutospacing="0" w:after="0" w:afterAutospacing="0" w:line="360" w:lineRule="auto"/>
        <w:ind w:right="-2" w:firstLine="851"/>
        <w:jc w:val="both"/>
        <w:rPr>
          <w:b/>
          <w:bCs/>
          <w:color w:val="000000"/>
          <w:sz w:val="28"/>
          <w:szCs w:val="28"/>
          <w:lang w:val="uk-UA"/>
        </w:rPr>
      </w:pPr>
    </w:p>
    <w:p w14:paraId="0454EB3A"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На підставі отриманих результатів доцільним є окремий розгляд типових викликів, що супроводжували впровадження СВІ у міжнародних компаніях, а також способів їх подолання, що представлено в таблиці 3.2.</w:t>
      </w:r>
    </w:p>
    <w:p w14:paraId="48D0B349" w14:textId="77777777" w:rsidR="005B37AA" w:rsidRPr="00913129" w:rsidRDefault="005B37AA" w:rsidP="00AE7AE4">
      <w:pPr>
        <w:pStyle w:val="ae"/>
        <w:spacing w:before="0" w:beforeAutospacing="0" w:after="0" w:afterAutospacing="0" w:line="360" w:lineRule="auto"/>
        <w:ind w:right="-2" w:firstLine="851"/>
        <w:jc w:val="right"/>
        <w:rPr>
          <w:color w:val="000000"/>
          <w:sz w:val="28"/>
          <w:szCs w:val="28"/>
          <w:lang w:val="uk-UA"/>
        </w:rPr>
      </w:pPr>
      <w:r w:rsidRPr="00913129">
        <w:rPr>
          <w:color w:val="000000"/>
          <w:sz w:val="28"/>
          <w:szCs w:val="28"/>
          <w:lang w:val="uk-UA"/>
        </w:rPr>
        <w:t>Таблиця 3.2</w:t>
      </w:r>
    </w:p>
    <w:p w14:paraId="6296D8D8" w14:textId="77777777" w:rsidR="00AE7AE4" w:rsidRPr="00913129" w:rsidRDefault="005B37AA" w:rsidP="00AE7AE4">
      <w:pPr>
        <w:pStyle w:val="ae"/>
        <w:spacing w:before="0" w:beforeAutospacing="0" w:after="0" w:afterAutospacing="0" w:line="360" w:lineRule="auto"/>
        <w:ind w:right="-2"/>
        <w:jc w:val="center"/>
        <w:rPr>
          <w:color w:val="000000"/>
          <w:sz w:val="28"/>
          <w:szCs w:val="28"/>
          <w:lang w:val="uk-UA"/>
        </w:rPr>
      </w:pPr>
      <w:r w:rsidRPr="00913129">
        <w:rPr>
          <w:color w:val="000000"/>
          <w:sz w:val="28"/>
          <w:szCs w:val="28"/>
          <w:lang w:val="uk-UA"/>
        </w:rPr>
        <w:t xml:space="preserve">Практики реагування на виклики та забезпечення прозорості </w:t>
      </w:r>
    </w:p>
    <w:p w14:paraId="097ADF99" w14:textId="095D7D26" w:rsidR="005B37AA" w:rsidRPr="00913129" w:rsidRDefault="005B37AA" w:rsidP="00AE7AE4">
      <w:pPr>
        <w:pStyle w:val="ae"/>
        <w:spacing w:before="0" w:beforeAutospacing="0" w:after="0" w:afterAutospacing="0" w:line="360" w:lineRule="auto"/>
        <w:ind w:right="-2"/>
        <w:jc w:val="center"/>
        <w:rPr>
          <w:color w:val="000000"/>
          <w:sz w:val="28"/>
          <w:szCs w:val="28"/>
          <w:lang w:val="uk-UA"/>
        </w:rPr>
      </w:pPr>
      <w:r w:rsidRPr="00913129">
        <w:rPr>
          <w:color w:val="000000"/>
          <w:sz w:val="28"/>
          <w:szCs w:val="28"/>
          <w:lang w:val="uk-UA"/>
        </w:rPr>
        <w:t>у впровадженні СВІ</w:t>
      </w:r>
    </w:p>
    <w:tbl>
      <w:tblPr>
        <w:tblStyle w:val="af"/>
        <w:tblW w:w="0" w:type="auto"/>
        <w:tblLook w:val="04A0" w:firstRow="1" w:lastRow="0" w:firstColumn="1" w:lastColumn="0" w:noHBand="0" w:noVBand="1"/>
      </w:tblPr>
      <w:tblGrid>
        <w:gridCol w:w="1189"/>
        <w:gridCol w:w="2208"/>
        <w:gridCol w:w="3544"/>
        <w:gridCol w:w="2403"/>
      </w:tblGrid>
      <w:tr w:rsidR="005B37AA" w:rsidRPr="00913129" w14:paraId="3A3CFF67" w14:textId="77777777" w:rsidTr="0036779F">
        <w:tc>
          <w:tcPr>
            <w:tcW w:w="1189" w:type="dxa"/>
            <w:vAlign w:val="center"/>
            <w:hideMark/>
          </w:tcPr>
          <w:p w14:paraId="49E0AF86" w14:textId="77777777" w:rsidR="005B37AA" w:rsidRPr="00913129" w:rsidRDefault="005B37AA" w:rsidP="0036779F">
            <w:pPr>
              <w:spacing w:before="60" w:after="60"/>
              <w:ind w:right="-2"/>
              <w:jc w:val="center"/>
              <w:rPr>
                <w:color w:val="000000"/>
                <w:lang w:val="uk-UA"/>
              </w:rPr>
            </w:pPr>
            <w:r w:rsidRPr="00913129">
              <w:rPr>
                <w:color w:val="000000"/>
                <w:lang w:val="uk-UA"/>
              </w:rPr>
              <w:t>Компанія</w:t>
            </w:r>
          </w:p>
        </w:tc>
        <w:tc>
          <w:tcPr>
            <w:tcW w:w="2208" w:type="dxa"/>
            <w:vAlign w:val="center"/>
            <w:hideMark/>
          </w:tcPr>
          <w:p w14:paraId="4BBA7155" w14:textId="77777777" w:rsidR="005B37AA" w:rsidRPr="00913129" w:rsidRDefault="005B37AA" w:rsidP="0036779F">
            <w:pPr>
              <w:spacing w:before="60" w:after="60"/>
              <w:ind w:right="-2"/>
              <w:jc w:val="center"/>
              <w:rPr>
                <w:color w:val="000000"/>
                <w:lang w:val="uk-UA"/>
              </w:rPr>
            </w:pPr>
            <w:r w:rsidRPr="00913129">
              <w:rPr>
                <w:color w:val="000000"/>
                <w:lang w:val="uk-UA"/>
              </w:rPr>
              <w:t>Тип виклику/кризи</w:t>
            </w:r>
          </w:p>
        </w:tc>
        <w:tc>
          <w:tcPr>
            <w:tcW w:w="3544" w:type="dxa"/>
            <w:vAlign w:val="center"/>
            <w:hideMark/>
          </w:tcPr>
          <w:p w14:paraId="4A9AB8EC" w14:textId="77777777" w:rsidR="005B37AA" w:rsidRPr="00913129" w:rsidRDefault="005B37AA" w:rsidP="0036779F">
            <w:pPr>
              <w:spacing w:before="60" w:after="60"/>
              <w:ind w:right="-2"/>
              <w:jc w:val="center"/>
              <w:rPr>
                <w:color w:val="000000"/>
                <w:lang w:val="uk-UA"/>
              </w:rPr>
            </w:pPr>
            <w:r w:rsidRPr="00913129">
              <w:rPr>
                <w:color w:val="000000"/>
                <w:lang w:val="uk-UA"/>
              </w:rPr>
              <w:t>Приклад адаптації/реакції</w:t>
            </w:r>
          </w:p>
        </w:tc>
        <w:tc>
          <w:tcPr>
            <w:tcW w:w="2403" w:type="dxa"/>
            <w:vAlign w:val="center"/>
            <w:hideMark/>
          </w:tcPr>
          <w:p w14:paraId="2CB516EB" w14:textId="77777777" w:rsidR="005B37AA" w:rsidRPr="00913129" w:rsidRDefault="005B37AA" w:rsidP="0036779F">
            <w:pPr>
              <w:spacing w:before="60" w:after="60"/>
              <w:ind w:right="-2"/>
              <w:jc w:val="center"/>
              <w:rPr>
                <w:color w:val="000000"/>
                <w:lang w:val="uk-UA"/>
              </w:rPr>
            </w:pPr>
            <w:r w:rsidRPr="00913129">
              <w:rPr>
                <w:color w:val="000000"/>
                <w:lang w:val="uk-UA"/>
              </w:rPr>
              <w:t>Покращення прозорості/звітності</w:t>
            </w:r>
          </w:p>
        </w:tc>
      </w:tr>
      <w:tr w:rsidR="005B37AA" w:rsidRPr="00913129" w14:paraId="7F798CBC" w14:textId="77777777" w:rsidTr="0036779F">
        <w:tc>
          <w:tcPr>
            <w:tcW w:w="1189" w:type="dxa"/>
            <w:vAlign w:val="center"/>
            <w:hideMark/>
          </w:tcPr>
          <w:p w14:paraId="511ED793" w14:textId="77777777" w:rsidR="005B37AA" w:rsidRPr="00913129" w:rsidRDefault="005B37AA" w:rsidP="0036779F">
            <w:pPr>
              <w:spacing w:before="60" w:after="60"/>
              <w:ind w:right="-2"/>
              <w:jc w:val="center"/>
              <w:rPr>
                <w:color w:val="000000"/>
                <w:lang w:val="uk-UA"/>
              </w:rPr>
            </w:pPr>
            <w:r w:rsidRPr="00913129">
              <w:rPr>
                <w:rStyle w:val="ac"/>
                <w:rFonts w:eastAsiaTheme="majorEastAsia"/>
                <w:b w:val="0"/>
                <w:bCs w:val="0"/>
                <w:color w:val="000000"/>
                <w:lang w:val="uk-UA"/>
              </w:rPr>
              <w:t>Microsoft</w:t>
            </w:r>
          </w:p>
        </w:tc>
        <w:tc>
          <w:tcPr>
            <w:tcW w:w="2208" w:type="dxa"/>
            <w:vAlign w:val="center"/>
            <w:hideMark/>
          </w:tcPr>
          <w:p w14:paraId="27411558" w14:textId="77777777" w:rsidR="005B37AA" w:rsidRPr="00913129" w:rsidRDefault="005B37AA" w:rsidP="0036779F">
            <w:pPr>
              <w:spacing w:before="60" w:after="60"/>
              <w:ind w:right="-2"/>
              <w:jc w:val="both"/>
              <w:rPr>
                <w:color w:val="000000"/>
                <w:lang w:val="uk-UA"/>
              </w:rPr>
            </w:pPr>
            <w:r w:rsidRPr="00913129">
              <w:rPr>
                <w:color w:val="000000"/>
                <w:lang w:val="uk-UA"/>
              </w:rPr>
              <w:t>Критика «greenwashing», COVID-19</w:t>
            </w:r>
          </w:p>
        </w:tc>
        <w:tc>
          <w:tcPr>
            <w:tcW w:w="3544" w:type="dxa"/>
            <w:vAlign w:val="center"/>
            <w:hideMark/>
          </w:tcPr>
          <w:p w14:paraId="06DC9CE0" w14:textId="77777777" w:rsidR="005B37AA" w:rsidRPr="00913129" w:rsidRDefault="005B37AA" w:rsidP="0036779F">
            <w:pPr>
              <w:spacing w:before="60" w:after="60"/>
              <w:ind w:right="-2"/>
              <w:jc w:val="both"/>
              <w:rPr>
                <w:color w:val="000000"/>
                <w:lang w:val="uk-UA"/>
              </w:rPr>
            </w:pPr>
            <w:r w:rsidRPr="00913129">
              <w:rPr>
                <w:color w:val="000000"/>
                <w:lang w:val="uk-UA"/>
              </w:rPr>
              <w:t>Верифіковані ESG-дані, незалежний аудит, масштабні соціальні програми</w:t>
            </w:r>
          </w:p>
        </w:tc>
        <w:tc>
          <w:tcPr>
            <w:tcW w:w="2403" w:type="dxa"/>
            <w:vAlign w:val="center"/>
            <w:hideMark/>
          </w:tcPr>
          <w:p w14:paraId="587AF0ED" w14:textId="77777777" w:rsidR="005B37AA" w:rsidRPr="00913129" w:rsidRDefault="005B37AA" w:rsidP="0036779F">
            <w:pPr>
              <w:spacing w:before="60" w:after="60"/>
              <w:ind w:right="-2"/>
              <w:jc w:val="both"/>
              <w:rPr>
                <w:color w:val="000000"/>
                <w:lang w:val="uk-UA"/>
              </w:rPr>
            </w:pPr>
            <w:r w:rsidRPr="00913129">
              <w:rPr>
                <w:color w:val="000000"/>
                <w:lang w:val="uk-UA"/>
              </w:rPr>
              <w:t>Звітність за GRI, TCFD, розширення даних</w:t>
            </w:r>
          </w:p>
        </w:tc>
      </w:tr>
      <w:tr w:rsidR="005B37AA" w:rsidRPr="00913129" w14:paraId="7622D794" w14:textId="77777777" w:rsidTr="0036779F">
        <w:tc>
          <w:tcPr>
            <w:tcW w:w="1189" w:type="dxa"/>
            <w:vAlign w:val="center"/>
            <w:hideMark/>
          </w:tcPr>
          <w:p w14:paraId="751903ED" w14:textId="77777777" w:rsidR="005B37AA" w:rsidRPr="00913129" w:rsidRDefault="005B37AA" w:rsidP="0036779F">
            <w:pPr>
              <w:spacing w:before="60" w:after="60"/>
              <w:ind w:right="-2"/>
              <w:jc w:val="center"/>
              <w:rPr>
                <w:color w:val="000000"/>
                <w:lang w:val="uk-UA"/>
              </w:rPr>
            </w:pPr>
            <w:r w:rsidRPr="00913129">
              <w:rPr>
                <w:rStyle w:val="ac"/>
                <w:rFonts w:eastAsiaTheme="majorEastAsia"/>
                <w:b w:val="0"/>
                <w:bCs w:val="0"/>
                <w:color w:val="000000"/>
                <w:lang w:val="uk-UA"/>
              </w:rPr>
              <w:t>Sempra Energy</w:t>
            </w:r>
          </w:p>
        </w:tc>
        <w:tc>
          <w:tcPr>
            <w:tcW w:w="2208" w:type="dxa"/>
            <w:vAlign w:val="center"/>
            <w:hideMark/>
          </w:tcPr>
          <w:p w14:paraId="5BB8900F" w14:textId="77777777" w:rsidR="005B37AA" w:rsidRPr="00913129" w:rsidRDefault="005B37AA" w:rsidP="0036779F">
            <w:pPr>
              <w:spacing w:before="60" w:after="60"/>
              <w:ind w:right="-2"/>
              <w:jc w:val="both"/>
              <w:rPr>
                <w:color w:val="000000"/>
                <w:lang w:val="uk-UA"/>
              </w:rPr>
            </w:pPr>
            <w:r w:rsidRPr="00913129">
              <w:rPr>
                <w:color w:val="000000"/>
                <w:lang w:val="uk-UA"/>
              </w:rPr>
              <w:t>Волатильність ринків, регуляторний тиск</w:t>
            </w:r>
          </w:p>
        </w:tc>
        <w:tc>
          <w:tcPr>
            <w:tcW w:w="3544" w:type="dxa"/>
            <w:vAlign w:val="center"/>
            <w:hideMark/>
          </w:tcPr>
          <w:p w14:paraId="527B7E1E" w14:textId="77777777" w:rsidR="005B37AA" w:rsidRPr="00913129" w:rsidRDefault="005B37AA" w:rsidP="0036779F">
            <w:pPr>
              <w:spacing w:before="60" w:after="60"/>
              <w:ind w:right="-2"/>
              <w:jc w:val="both"/>
              <w:rPr>
                <w:color w:val="000000"/>
                <w:lang w:val="uk-UA"/>
              </w:rPr>
            </w:pPr>
            <w:r w:rsidRPr="00913129">
              <w:rPr>
                <w:color w:val="000000"/>
                <w:lang w:val="uk-UA"/>
              </w:rPr>
              <w:t>Карта кліматичних ризиків, декарбонізація, посилення критеріїв для постачальників</w:t>
            </w:r>
          </w:p>
        </w:tc>
        <w:tc>
          <w:tcPr>
            <w:tcW w:w="2403" w:type="dxa"/>
            <w:vAlign w:val="center"/>
            <w:hideMark/>
          </w:tcPr>
          <w:p w14:paraId="66A2299A" w14:textId="77777777" w:rsidR="005B37AA" w:rsidRPr="00913129" w:rsidRDefault="005B37AA" w:rsidP="0036779F">
            <w:pPr>
              <w:spacing w:before="60" w:after="60"/>
              <w:ind w:right="-2"/>
              <w:jc w:val="both"/>
              <w:rPr>
                <w:color w:val="000000"/>
                <w:lang w:val="uk-UA"/>
              </w:rPr>
            </w:pPr>
            <w:r w:rsidRPr="00913129">
              <w:rPr>
                <w:color w:val="000000"/>
                <w:lang w:val="uk-UA"/>
              </w:rPr>
              <w:t>Публікація за CDP; кліматичний сценарний аналіз</w:t>
            </w:r>
          </w:p>
        </w:tc>
      </w:tr>
      <w:tr w:rsidR="005B37AA" w:rsidRPr="00913129" w14:paraId="35936F1A" w14:textId="77777777" w:rsidTr="0036779F">
        <w:tc>
          <w:tcPr>
            <w:tcW w:w="1189" w:type="dxa"/>
            <w:vAlign w:val="center"/>
            <w:hideMark/>
          </w:tcPr>
          <w:p w14:paraId="31B5326A" w14:textId="77777777" w:rsidR="005B37AA" w:rsidRPr="00913129" w:rsidRDefault="005B37AA" w:rsidP="0036779F">
            <w:pPr>
              <w:spacing w:before="60" w:after="60"/>
              <w:ind w:right="-2"/>
              <w:jc w:val="center"/>
              <w:rPr>
                <w:color w:val="000000"/>
                <w:lang w:val="uk-UA"/>
              </w:rPr>
            </w:pPr>
            <w:r w:rsidRPr="00913129">
              <w:rPr>
                <w:rStyle w:val="ac"/>
                <w:rFonts w:eastAsiaTheme="majorEastAsia"/>
                <w:b w:val="0"/>
                <w:bCs w:val="0"/>
                <w:color w:val="000000"/>
                <w:lang w:val="uk-UA"/>
              </w:rPr>
              <w:t>Verisk Analytics</w:t>
            </w:r>
          </w:p>
        </w:tc>
        <w:tc>
          <w:tcPr>
            <w:tcW w:w="2208" w:type="dxa"/>
            <w:vAlign w:val="center"/>
            <w:hideMark/>
          </w:tcPr>
          <w:p w14:paraId="0F5BEAB2" w14:textId="77777777" w:rsidR="005B37AA" w:rsidRPr="00913129" w:rsidRDefault="005B37AA" w:rsidP="0036779F">
            <w:pPr>
              <w:spacing w:before="60" w:after="60"/>
              <w:ind w:right="-2"/>
              <w:jc w:val="both"/>
              <w:rPr>
                <w:color w:val="000000"/>
                <w:lang w:val="uk-UA"/>
              </w:rPr>
            </w:pPr>
            <w:r w:rsidRPr="00913129">
              <w:rPr>
                <w:color w:val="000000"/>
                <w:lang w:val="uk-UA"/>
              </w:rPr>
              <w:t>Data ethics, інклюзія</w:t>
            </w:r>
          </w:p>
        </w:tc>
        <w:tc>
          <w:tcPr>
            <w:tcW w:w="3544" w:type="dxa"/>
            <w:vAlign w:val="center"/>
            <w:hideMark/>
          </w:tcPr>
          <w:p w14:paraId="54476E81" w14:textId="77777777" w:rsidR="005B37AA" w:rsidRPr="00913129" w:rsidRDefault="005B37AA" w:rsidP="0036779F">
            <w:pPr>
              <w:spacing w:before="60" w:after="60"/>
              <w:ind w:right="-2"/>
              <w:jc w:val="both"/>
              <w:rPr>
                <w:color w:val="000000"/>
                <w:lang w:val="uk-UA"/>
              </w:rPr>
            </w:pPr>
            <w:r w:rsidRPr="00913129">
              <w:rPr>
                <w:color w:val="000000"/>
                <w:lang w:val="uk-UA"/>
              </w:rPr>
              <w:t>Перегляд політик даних, фокус на рівних можливостях, ESG-аудит для клієнтів</w:t>
            </w:r>
          </w:p>
        </w:tc>
        <w:tc>
          <w:tcPr>
            <w:tcW w:w="2403" w:type="dxa"/>
            <w:vAlign w:val="center"/>
            <w:hideMark/>
          </w:tcPr>
          <w:p w14:paraId="53671B69" w14:textId="77777777" w:rsidR="005B37AA" w:rsidRPr="00913129" w:rsidRDefault="005B37AA" w:rsidP="0036779F">
            <w:pPr>
              <w:spacing w:before="60" w:after="60"/>
              <w:ind w:right="-2"/>
              <w:jc w:val="both"/>
              <w:rPr>
                <w:color w:val="000000"/>
                <w:lang w:val="uk-UA"/>
              </w:rPr>
            </w:pPr>
            <w:r w:rsidRPr="00913129">
              <w:rPr>
                <w:color w:val="000000"/>
                <w:lang w:val="uk-UA"/>
              </w:rPr>
              <w:t>Нова нефінансова звітність, прозорість щодо D&amp;I</w:t>
            </w:r>
          </w:p>
        </w:tc>
      </w:tr>
      <w:tr w:rsidR="005B37AA" w:rsidRPr="00913129" w14:paraId="022ECAAD" w14:textId="77777777" w:rsidTr="0036779F">
        <w:tc>
          <w:tcPr>
            <w:tcW w:w="1189" w:type="dxa"/>
            <w:vAlign w:val="center"/>
            <w:hideMark/>
          </w:tcPr>
          <w:p w14:paraId="7419F7C2" w14:textId="77777777" w:rsidR="005B37AA" w:rsidRPr="00913129" w:rsidRDefault="005B37AA" w:rsidP="0036779F">
            <w:pPr>
              <w:spacing w:before="60" w:after="60"/>
              <w:ind w:right="-2"/>
              <w:jc w:val="center"/>
              <w:rPr>
                <w:color w:val="000000"/>
                <w:lang w:val="uk-UA"/>
              </w:rPr>
            </w:pPr>
            <w:r w:rsidRPr="00913129">
              <w:rPr>
                <w:rStyle w:val="ac"/>
                <w:rFonts w:eastAsiaTheme="majorEastAsia"/>
                <w:b w:val="0"/>
                <w:bCs w:val="0"/>
                <w:color w:val="000000"/>
                <w:lang w:val="uk-UA"/>
              </w:rPr>
              <w:t>Applied Materials</w:t>
            </w:r>
          </w:p>
        </w:tc>
        <w:tc>
          <w:tcPr>
            <w:tcW w:w="2208" w:type="dxa"/>
            <w:vAlign w:val="center"/>
            <w:hideMark/>
          </w:tcPr>
          <w:p w14:paraId="2342B9FA" w14:textId="77777777" w:rsidR="005B37AA" w:rsidRPr="00913129" w:rsidRDefault="005B37AA" w:rsidP="0036779F">
            <w:pPr>
              <w:spacing w:before="60" w:after="60"/>
              <w:ind w:right="-2"/>
              <w:jc w:val="both"/>
              <w:rPr>
                <w:color w:val="000000"/>
                <w:lang w:val="uk-UA"/>
              </w:rPr>
            </w:pPr>
            <w:r w:rsidRPr="00913129">
              <w:rPr>
                <w:color w:val="000000"/>
                <w:lang w:val="uk-UA"/>
              </w:rPr>
              <w:t>Збій ланцюгів, енергетичні ризики</w:t>
            </w:r>
          </w:p>
        </w:tc>
        <w:tc>
          <w:tcPr>
            <w:tcW w:w="3544" w:type="dxa"/>
            <w:vAlign w:val="center"/>
            <w:hideMark/>
          </w:tcPr>
          <w:p w14:paraId="51E55FE5" w14:textId="77777777" w:rsidR="005B37AA" w:rsidRPr="00913129" w:rsidRDefault="005B37AA" w:rsidP="0036779F">
            <w:pPr>
              <w:spacing w:before="60" w:after="60"/>
              <w:ind w:right="-2"/>
              <w:jc w:val="both"/>
              <w:rPr>
                <w:color w:val="000000"/>
                <w:lang w:val="uk-UA"/>
              </w:rPr>
            </w:pPr>
            <w:r w:rsidRPr="00913129">
              <w:rPr>
                <w:color w:val="000000"/>
                <w:lang w:val="uk-UA"/>
              </w:rPr>
              <w:t>Прискорений перехід на «зелену» енергію, волонтерство під час COVID-19</w:t>
            </w:r>
          </w:p>
        </w:tc>
        <w:tc>
          <w:tcPr>
            <w:tcW w:w="2403" w:type="dxa"/>
            <w:vAlign w:val="center"/>
            <w:hideMark/>
          </w:tcPr>
          <w:p w14:paraId="679CB73F" w14:textId="77777777" w:rsidR="005B37AA" w:rsidRPr="00913129" w:rsidRDefault="005B37AA" w:rsidP="0036779F">
            <w:pPr>
              <w:spacing w:before="60" w:after="60"/>
              <w:ind w:right="-2"/>
              <w:jc w:val="both"/>
              <w:rPr>
                <w:color w:val="000000"/>
                <w:lang w:val="uk-UA"/>
              </w:rPr>
            </w:pPr>
            <w:r w:rsidRPr="00913129">
              <w:rPr>
                <w:color w:val="000000"/>
                <w:lang w:val="uk-UA"/>
              </w:rPr>
              <w:t>Подвійний аудит ESG-звітів, деталізація екоданих</w:t>
            </w:r>
          </w:p>
        </w:tc>
      </w:tr>
      <w:tr w:rsidR="005B37AA" w:rsidRPr="00913129" w14:paraId="4317D675" w14:textId="77777777" w:rsidTr="0036779F">
        <w:tc>
          <w:tcPr>
            <w:tcW w:w="1189" w:type="dxa"/>
            <w:vAlign w:val="center"/>
            <w:hideMark/>
          </w:tcPr>
          <w:p w14:paraId="5821F9B5" w14:textId="77777777" w:rsidR="005B37AA" w:rsidRPr="00913129" w:rsidRDefault="005B37AA" w:rsidP="0036779F">
            <w:pPr>
              <w:spacing w:before="60" w:after="60"/>
              <w:ind w:right="-2"/>
              <w:jc w:val="center"/>
              <w:rPr>
                <w:color w:val="000000"/>
                <w:lang w:val="uk-UA"/>
              </w:rPr>
            </w:pPr>
            <w:r w:rsidRPr="00913129">
              <w:rPr>
                <w:rStyle w:val="ac"/>
                <w:rFonts w:eastAsiaTheme="majorEastAsia"/>
                <w:b w:val="0"/>
                <w:bCs w:val="0"/>
                <w:color w:val="000000"/>
                <w:lang w:val="uk-UA"/>
              </w:rPr>
              <w:t>Moody’s Corp.</w:t>
            </w:r>
          </w:p>
        </w:tc>
        <w:tc>
          <w:tcPr>
            <w:tcW w:w="2208" w:type="dxa"/>
            <w:vAlign w:val="center"/>
            <w:hideMark/>
          </w:tcPr>
          <w:p w14:paraId="2A756AB3" w14:textId="77777777" w:rsidR="005B37AA" w:rsidRPr="00913129" w:rsidRDefault="005B37AA" w:rsidP="0036779F">
            <w:pPr>
              <w:spacing w:before="60" w:after="60"/>
              <w:ind w:right="-2"/>
              <w:jc w:val="both"/>
              <w:rPr>
                <w:color w:val="000000"/>
                <w:lang w:val="uk-UA"/>
              </w:rPr>
            </w:pPr>
            <w:r w:rsidRPr="00913129">
              <w:rPr>
                <w:color w:val="000000"/>
                <w:lang w:val="uk-UA"/>
              </w:rPr>
              <w:t>Регуляторні вимоги, ринкова турбулентність</w:t>
            </w:r>
          </w:p>
        </w:tc>
        <w:tc>
          <w:tcPr>
            <w:tcW w:w="3544" w:type="dxa"/>
            <w:vAlign w:val="center"/>
            <w:hideMark/>
          </w:tcPr>
          <w:p w14:paraId="758B2C9E" w14:textId="77777777" w:rsidR="005B37AA" w:rsidRPr="00913129" w:rsidRDefault="005B37AA" w:rsidP="0036779F">
            <w:pPr>
              <w:spacing w:before="60" w:after="60"/>
              <w:ind w:right="-2"/>
              <w:jc w:val="both"/>
              <w:rPr>
                <w:color w:val="000000"/>
                <w:lang w:val="uk-UA"/>
              </w:rPr>
            </w:pPr>
            <w:r w:rsidRPr="00913129">
              <w:rPr>
                <w:color w:val="000000"/>
                <w:lang w:val="uk-UA"/>
              </w:rPr>
              <w:t>Інтегровані звіти за TCFD, нові ESG-продукти, відкриті сесії зі стейкхолдерами</w:t>
            </w:r>
          </w:p>
        </w:tc>
        <w:tc>
          <w:tcPr>
            <w:tcW w:w="2403" w:type="dxa"/>
            <w:vAlign w:val="center"/>
            <w:hideMark/>
          </w:tcPr>
          <w:p w14:paraId="773B9032" w14:textId="77777777" w:rsidR="005B37AA" w:rsidRPr="00913129" w:rsidRDefault="005B37AA" w:rsidP="0036779F">
            <w:pPr>
              <w:spacing w:before="60" w:after="60"/>
              <w:ind w:right="-2"/>
              <w:jc w:val="both"/>
              <w:rPr>
                <w:color w:val="000000"/>
                <w:lang w:val="uk-UA"/>
              </w:rPr>
            </w:pPr>
            <w:r w:rsidRPr="00913129">
              <w:rPr>
                <w:color w:val="000000"/>
                <w:lang w:val="uk-UA"/>
              </w:rPr>
              <w:t>Розширення нефінансової звітності, TCFD</w:t>
            </w:r>
          </w:p>
        </w:tc>
      </w:tr>
    </w:tbl>
    <w:p w14:paraId="048B2FEF" w14:textId="77777777" w:rsidR="005B37AA" w:rsidRPr="00913129" w:rsidRDefault="005B37AA" w:rsidP="00AE7AE4">
      <w:pPr>
        <w:pStyle w:val="ae"/>
        <w:spacing w:before="12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Джерело: складено автором на основі даних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{"citationID":"k7VP0yfd","properties":{"formattedCitation":"\\super [52\\uc0\\u8211{}57]\\nosupersub{}","plainCitation":"[52–57]","noteIndex":0},"citationItems":[{"id":812,"uris":["http://zotero.org/users/10910668/items/KLWTY9FR"],"itemData":{"id":812,"type":"webpage","title":"Moodys - Financials - Annual Reports &amp; Proxy Statements","URL":"https://ir.moodys.com/financials/annual-reports/default.aspx","accessed":{"date-parts":[["2025",6,3]]}}},{"id":811,"uris":["http://zotero.org/users/10910668/items/KC2KIU5M"],"itemData":{"id":811,"type":"webpage","title":"Applied Industrial Technologies, Inc. - Financials - Annual Reports","URL":"https://ir.applied.com/financials/annual-reports/default.aspx","accessed":{"date-parts":[["2025",6,3]]}}},{"id":810,"uris":["http://zotero.org/users/10910668/items/Y2PNIMY5"],"itemData":{"id":810,"type":"webpage","title":"Verisk Analytics, Inc. - Financials - Financial Summary","URL":"https://investor.verisk.com/financials/quarterly-results/default.aspx","accessed":{"date-parts":[["2025",6,3]]}}},{"id":808,"uris":["http://zotero.org/users/10910668/items/WBID2WY3"],"itemData":{"id":808,"type":"webpage","language":"en","title":"Annual Reports | Sempra","URL":"https://investor.sempra.com/annual-reports","accessed":{"date-parts":[["2025",6,3]]}}},{"id":807,"uris":["http://zotero.org/users/10910668/items/3HCIILU5"],"itemData":{"id":807,"type":"post-weblog","abstract":"Read the annual sustainability report from Microsoft. Explore our progress to become a carbon negative, water positive and zero waste company.","container-title":"Corporate Responsibility","language":"en","title":"2025 Environmental Sustainability Report | Microsoft","URL":"https://www.microsoft.com/en-us/corporate-responsibility/sustainability/report/","accessed":{"date-parts":[["2025",6,3]]}}},{"id":805,"uris":["http://zotero.org/users/10910668/items/TM48UMKP"],"itemData":{"id":805,"type":"webpage","language":"en-US","title":"Microsoft Investor Relations - Annual Reports","URL":"https://www.microsoft.com/en-us/investor/annual-reports","accessed":{"date-parts":[["2025",6,3]]}},"label":"page"}],"schema":"https://github.com/citation-style-language/schema/raw/master/csl-citation.json"}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[52–57]</w:t>
      </w:r>
      <w:r w:rsidRPr="00913129">
        <w:rPr>
          <w:color w:val="000000"/>
          <w:sz w:val="28"/>
          <w:szCs w:val="28"/>
          <w:lang w:val="uk-UA"/>
        </w:rPr>
        <w:fldChar w:fldCharType="end"/>
      </w:r>
    </w:p>
    <w:p w14:paraId="6ABA86BD"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lastRenderedPageBreak/>
        <w:t>На основі проведеного аналізу зазначено про різні варіанти адаптації стратегій соціально відповідального інвестування та підвищення прозорості корпоративної звітності у 2020-2024 роках для обраних компаній.</w:t>
      </w:r>
    </w:p>
    <w:p w14:paraId="10CFF33B"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Зокрема,</w:t>
      </w:r>
      <w:r w:rsidRPr="00913129">
        <w:rPr>
          <w:rStyle w:val="apple-converted-space"/>
          <w:rFonts w:eastAsiaTheme="majorEastAsia"/>
          <w:color w:val="000000"/>
          <w:sz w:val="28"/>
          <w:szCs w:val="28"/>
          <w:lang w:val="uk-UA"/>
        </w:rPr>
        <w:t> </w:t>
      </w:r>
      <w:r w:rsidRPr="00913129">
        <w:rPr>
          <w:rStyle w:val="ac"/>
          <w:rFonts w:eastAsiaTheme="majorEastAsia"/>
          <w:b w:val="0"/>
          <w:bCs w:val="0"/>
          <w:color w:val="000000"/>
          <w:sz w:val="28"/>
          <w:szCs w:val="28"/>
          <w:lang w:val="uk-UA"/>
        </w:rPr>
        <w:t>Microsoft</w:t>
      </w:r>
      <w:r w:rsidRPr="00913129">
        <w:rPr>
          <w:rStyle w:val="apple-converted-space"/>
          <w:rFonts w:eastAsiaTheme="majorEastAsia"/>
          <w:color w:val="000000"/>
          <w:sz w:val="28"/>
          <w:szCs w:val="28"/>
          <w:lang w:val="uk-UA"/>
        </w:rPr>
        <w:t> </w:t>
      </w:r>
      <w:r w:rsidRPr="00913129">
        <w:rPr>
          <w:color w:val="000000"/>
          <w:sz w:val="28"/>
          <w:szCs w:val="28"/>
          <w:lang w:val="uk-UA"/>
        </w:rPr>
        <w:t xml:space="preserve">у відповідь на виклики, пов’язані із зростанням скептицизму щодо «зелених» ініціатив і впливом пандемії COVID-19, посилила якість і верифікацію нефінансової звітності, запровадила незалежний аудит ESG-даних та істотно розширила соціальні програми. Прозорість забезпечується деталізованими звітами відповідно до стандартів GRI (міжнародний стандарт нефінансової звітності) і TCFD (розкриття інформації про кліматичні ризики)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{"citationID":"a2nfkpv6c5g","properties":{"formattedCitation":"\\super [56]\\nosupersub{}","plainCitation":"[56]","noteIndex":0},"citationItems":[{"id":807,"uris":["http://zotero.org/users/10910668/items/3HCIILU5"],"itemData":{"id":807,"type":"post-weblog","abstract":"Read the annual sustainability report from Microsoft. Explore our progress to become a carbon negative, water positive and zero waste company.","container-title":"Corporate Responsibility","language":"en","title":"2025 Environmental Sustainability Report | Microsoft","URL":"https://www.microsoft.com/en-us/corporate-responsibility/sustainability/report/","accessed":{"date-parts":[["2025",6,3]]}}}],"schema":"https://github.com/citation-style-language/schema/raw/master/csl-citation.json"}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[56]</w:t>
      </w:r>
      <w:r w:rsidRPr="00913129">
        <w:rPr>
          <w:color w:val="000000"/>
          <w:sz w:val="28"/>
          <w:szCs w:val="28"/>
          <w:lang w:val="uk-UA"/>
        </w:rPr>
        <w:fldChar w:fldCharType="end"/>
      </w:r>
      <w:r w:rsidRPr="00913129">
        <w:rPr>
          <w:color w:val="000000"/>
          <w:sz w:val="28"/>
          <w:szCs w:val="28"/>
          <w:lang w:val="uk-UA"/>
        </w:rPr>
        <w:t>.</w:t>
      </w:r>
    </w:p>
    <w:p w14:paraId="14B2C77F"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rStyle w:val="ac"/>
          <w:rFonts w:eastAsiaTheme="majorEastAsia"/>
          <w:b w:val="0"/>
          <w:bCs w:val="0"/>
          <w:color w:val="000000"/>
          <w:sz w:val="28"/>
          <w:szCs w:val="28"/>
          <w:lang w:val="uk-UA"/>
        </w:rPr>
        <w:t>У свою чергу, Sempra Energy</w:t>
      </w:r>
      <w:r w:rsidRPr="00913129">
        <w:rPr>
          <w:rStyle w:val="apple-converted-space"/>
          <w:rFonts w:eastAsiaTheme="majorEastAsia"/>
          <w:color w:val="000000"/>
          <w:sz w:val="28"/>
          <w:szCs w:val="28"/>
          <w:lang w:val="uk-UA"/>
        </w:rPr>
        <w:t> </w:t>
      </w:r>
      <w:r w:rsidRPr="00913129">
        <w:rPr>
          <w:color w:val="000000"/>
          <w:sz w:val="28"/>
          <w:szCs w:val="28"/>
          <w:lang w:val="uk-UA"/>
        </w:rPr>
        <w:t xml:space="preserve">адаптувала свою діяльність до умов волатильності енергетичних ринків і підвищеного екологічного тиску, впровадивши карти кліматичних ризиків, стратегії декарбонізації та підвищені екологічні вимоги до партнерів у ланцюгу постачання. Для підвищення прозорості компанія приєдналася до ініціативи CDP і започаткувала публікацію кліматичних сценаріїв впливу на бізнес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{"citationID":"ah4qju56r7","properties":{"formattedCitation":"\\super [55]\\nosupersub{}","plainCitation":"[55]","noteIndex":0},"citationItems":[{"id":808,"uris":["http://zotero.org/users/10910668/items/WBID2WY3"],"itemData":{"id":808,"type":"webpage","language":"en","title":"Annual Reports | Sempra","URL":"https://investor.sempra.com/annual-reports","accessed":{"date-parts":[["2025",6,3]]}}}],"schema":"https://github.com/citation-style-language/schema/raw/master/csl-citation.json"}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[55]</w:t>
      </w:r>
      <w:r w:rsidRPr="00913129">
        <w:rPr>
          <w:color w:val="000000"/>
          <w:sz w:val="28"/>
          <w:szCs w:val="28"/>
          <w:lang w:val="uk-UA"/>
        </w:rPr>
        <w:fldChar w:fldCharType="end"/>
      </w:r>
      <w:r w:rsidRPr="00913129">
        <w:rPr>
          <w:color w:val="000000"/>
          <w:sz w:val="28"/>
          <w:szCs w:val="28"/>
          <w:lang w:val="uk-UA"/>
        </w:rPr>
        <w:t>.</w:t>
      </w:r>
    </w:p>
    <w:p w14:paraId="299C1B4B"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rStyle w:val="ac"/>
          <w:rFonts w:eastAsiaTheme="majorEastAsia"/>
          <w:b w:val="0"/>
          <w:bCs w:val="0"/>
          <w:color w:val="000000"/>
          <w:sz w:val="28"/>
          <w:szCs w:val="28"/>
          <w:lang w:val="uk-UA"/>
        </w:rPr>
        <w:t xml:space="preserve">У відповідь на зростання </w:t>
      </w:r>
      <w:r w:rsidRPr="00913129">
        <w:rPr>
          <w:color w:val="000000"/>
          <w:sz w:val="28"/>
          <w:szCs w:val="28"/>
          <w:lang w:val="uk-UA"/>
        </w:rPr>
        <w:t xml:space="preserve">ролі «data ethics» і потребу в інклюзії компанія </w:t>
      </w:r>
      <w:r w:rsidRPr="00913129">
        <w:rPr>
          <w:rStyle w:val="ac"/>
          <w:rFonts w:eastAsiaTheme="majorEastAsia"/>
          <w:b w:val="0"/>
          <w:bCs w:val="0"/>
          <w:color w:val="000000"/>
          <w:sz w:val="28"/>
          <w:szCs w:val="28"/>
          <w:lang w:val="uk-UA"/>
        </w:rPr>
        <w:t>Verisk Analytics</w:t>
      </w:r>
      <w:r w:rsidRPr="00913129">
        <w:rPr>
          <w:rStyle w:val="apple-converted-space"/>
          <w:rFonts w:eastAsiaTheme="majorEastAsia"/>
          <w:color w:val="000000"/>
          <w:sz w:val="28"/>
          <w:szCs w:val="28"/>
          <w:lang w:val="uk-UA"/>
        </w:rPr>
        <w:t> </w:t>
      </w:r>
      <w:r w:rsidRPr="00913129">
        <w:rPr>
          <w:color w:val="000000"/>
          <w:sz w:val="28"/>
          <w:szCs w:val="28"/>
          <w:lang w:val="uk-UA"/>
        </w:rPr>
        <w:t xml:space="preserve">переглянула корпоративні політики захисту даних та розширила нефінансову звітність, акцентуючи на прозорості у сфері рівних можливостей і гендерної різноманітності. Окрім того, компанія впровадила ESG-аудит для клієнтів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{"citationID":"a2o92hfejj0","properties":{"formattedCitation":"\\super [54]\\nosupersub{}","plainCitation":"[54]","noteIndex":0},"citationItems":[{"id":810,"uris":["http://zotero.org/users/10910668/items/Y2PNIMY5"],"itemData":{"id":810,"type":"webpage","title":"Verisk Analytics, Inc. - Financials - Financial Summary","URL":"https://investor.verisk.com/financials/quarterly-results/default.aspx","accessed":{"date-parts":[["2025",6,3]]}}}],"schema":"https://github.com/citation-style-language/schema/raw/master/csl-citation.json"}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[54]</w:t>
      </w:r>
      <w:r w:rsidRPr="00913129">
        <w:rPr>
          <w:color w:val="000000"/>
          <w:sz w:val="28"/>
          <w:szCs w:val="28"/>
          <w:lang w:val="uk-UA"/>
        </w:rPr>
        <w:fldChar w:fldCharType="end"/>
      </w:r>
      <w:r w:rsidRPr="00913129">
        <w:rPr>
          <w:color w:val="000000"/>
          <w:sz w:val="28"/>
          <w:szCs w:val="28"/>
          <w:lang w:val="uk-UA"/>
        </w:rPr>
        <w:t>.</w:t>
      </w:r>
    </w:p>
    <w:p w14:paraId="64CFE303"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В умовах перебоїв у глобальних ланцюгах постачання та зростання енергетичних ризиків </w:t>
      </w:r>
      <w:r w:rsidRPr="00913129">
        <w:rPr>
          <w:rStyle w:val="ac"/>
          <w:rFonts w:eastAsiaTheme="majorEastAsia"/>
          <w:b w:val="0"/>
          <w:bCs w:val="0"/>
          <w:color w:val="000000"/>
          <w:sz w:val="28"/>
          <w:szCs w:val="28"/>
          <w:lang w:val="uk-UA"/>
        </w:rPr>
        <w:t>Applied Materials</w:t>
      </w:r>
      <w:r w:rsidRPr="00913129">
        <w:rPr>
          <w:rStyle w:val="apple-converted-space"/>
          <w:rFonts w:eastAsiaTheme="majorEastAsia"/>
          <w:color w:val="000000"/>
          <w:sz w:val="28"/>
          <w:szCs w:val="28"/>
          <w:lang w:val="uk-UA"/>
        </w:rPr>
        <w:t> </w:t>
      </w:r>
      <w:r w:rsidRPr="00913129">
        <w:rPr>
          <w:color w:val="000000"/>
          <w:sz w:val="28"/>
          <w:szCs w:val="28"/>
          <w:lang w:val="uk-UA"/>
        </w:rPr>
        <w:t xml:space="preserve"> прискорила перехід на «зелену» електроенергію, активізувала волонтерські програми й запровадила подвійний незалежний аудит ESG-звітності, що підвищило довіру з боку інвесторів і стейкхолдерів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{"citationID":"a2mjmjqlhf","properties":{"formattedCitation":"\\super [53]\\nosupersub{}","plainCitation":"[53]","noteIndex":0},"citationItems":[{"id":811,"uris":["http://zotero.org/users/10910668/items/KC2KIU5M"],"itemData":{"id":811,"type":"webpage","title":"Applied Industrial Technologies, Inc. - Financials - Annual Reports","URL":"https://ir.applied.com/financials/annual-reports/default.aspx","accessed":{"date-parts":[["2025",6,3]]}}}],"schema":"https://github.com/citation-style-language/schema/raw/master/csl-citation.json"}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[53]</w:t>
      </w:r>
      <w:r w:rsidRPr="00913129">
        <w:rPr>
          <w:color w:val="000000"/>
          <w:sz w:val="28"/>
          <w:szCs w:val="28"/>
          <w:lang w:val="uk-UA"/>
        </w:rPr>
        <w:fldChar w:fldCharType="end"/>
      </w:r>
      <w:r w:rsidRPr="00913129">
        <w:rPr>
          <w:color w:val="000000"/>
          <w:sz w:val="28"/>
          <w:szCs w:val="28"/>
          <w:lang w:val="uk-UA"/>
        </w:rPr>
        <w:t>.</w:t>
      </w:r>
    </w:p>
    <w:p w14:paraId="1644D0F8"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rStyle w:val="ac"/>
          <w:rFonts w:eastAsiaTheme="majorEastAsia"/>
          <w:b w:val="0"/>
          <w:bCs w:val="0"/>
          <w:color w:val="000000"/>
          <w:sz w:val="28"/>
          <w:szCs w:val="28"/>
          <w:lang w:val="uk-UA"/>
        </w:rPr>
        <w:t>Moody’s Corporation</w:t>
      </w:r>
      <w:r w:rsidRPr="00913129">
        <w:rPr>
          <w:rStyle w:val="apple-converted-space"/>
          <w:rFonts w:eastAsiaTheme="majorEastAsia"/>
          <w:color w:val="000000"/>
          <w:sz w:val="28"/>
          <w:szCs w:val="28"/>
          <w:lang w:val="uk-UA"/>
        </w:rPr>
        <w:t> </w:t>
      </w:r>
      <w:r w:rsidRPr="00913129">
        <w:rPr>
          <w:color w:val="000000"/>
          <w:sz w:val="28"/>
          <w:szCs w:val="28"/>
          <w:lang w:val="uk-UA"/>
        </w:rPr>
        <w:t xml:space="preserve">у відповідь на нові регуляторні вимоги та ринкову турбулентність інтегрувала нефінансову звітність зі стандартами TCFD, розширила спектр ESG-продуктів і впровадила відкриті сесії для стейкхолдерів, що сприяло підвищенню прозорості й підзвітності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{"citationID":"a12ro82bfi2","properties":{"formattedCitation":"\\super [52]\\nosupersub{}","plainCitation":"[52]","noteIndex":0},"citationItems":[{"id":812,"uris":["http://zotero.org/users/10910668/items/KLWTY9FR"],"itemData":{"id":812,"type":"webpage","title":"Moodys - Financials - Annual Reports &amp; Proxy Statements","URL":"https://ir.moodys.com/financials/annual-reports/default.aspx","accessed":{"date-parts":[["2025",6,3]]}}}],"schema":"https://github.com/citation-style-language/schema/raw/master/csl-citation.json"} </w:instrText>
      </w:r>
      <w:r w:rsidRPr="00913129">
        <w:rPr>
          <w:color w:val="000000"/>
          <w:sz w:val="28"/>
          <w:szCs w:val="28"/>
          <w:lang w:val="uk-UA"/>
        </w:rPr>
        <w:fldChar w:fldCharType="separate"/>
      </w:r>
      <w:r w:rsidRPr="00913129">
        <w:rPr>
          <w:color w:val="000000"/>
          <w:sz w:val="28"/>
          <w:lang w:val="uk-UA"/>
        </w:rPr>
        <w:t>[52]</w:t>
      </w:r>
      <w:r w:rsidRPr="00913129">
        <w:rPr>
          <w:color w:val="000000"/>
          <w:sz w:val="28"/>
          <w:szCs w:val="28"/>
          <w:lang w:val="uk-UA"/>
        </w:rPr>
        <w:fldChar w:fldCharType="end"/>
      </w:r>
      <w:r w:rsidRPr="00913129">
        <w:rPr>
          <w:color w:val="000000"/>
          <w:sz w:val="28"/>
          <w:szCs w:val="28"/>
          <w:lang w:val="uk-UA"/>
        </w:rPr>
        <w:t>.</w:t>
      </w:r>
    </w:p>
    <w:p w14:paraId="69117CA1"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lastRenderedPageBreak/>
        <w:t>Загалом, досліджені міжнародні компанії продемонстрували гнучкість у впровадженні СВІ-підходів, послідовно вдосконалюючи прозорість звітності та підсилюючи комунікацію із стейкхолдерами. Це не лише знизило ризики репутаційних і фінансових втрат, а й дозволило підвищити довіру та інвестиційну привабливість, й створити стійку бізнес-модель.</w:t>
      </w:r>
    </w:p>
    <w:p w14:paraId="5EE711B7" w14:textId="77777777" w:rsidR="005B37AA" w:rsidRPr="00913129" w:rsidRDefault="005B37AA" w:rsidP="00AE7AE4">
      <w:pPr>
        <w:pStyle w:val="ae"/>
        <w:spacing w:before="0" w:beforeAutospacing="0" w:after="0" w:afterAutospacing="0" w:line="360" w:lineRule="auto"/>
        <w:ind w:right="-2" w:firstLine="851"/>
        <w:jc w:val="both"/>
        <w:rPr>
          <w:sz w:val="28"/>
          <w:szCs w:val="28"/>
          <w:lang w:val="uk-UA"/>
        </w:rPr>
      </w:pPr>
      <w:r w:rsidRPr="00913129">
        <w:rPr>
          <w:color w:val="000000"/>
          <w:sz w:val="28"/>
          <w:szCs w:val="28"/>
          <w:lang w:val="uk-UA"/>
        </w:rPr>
        <w:t xml:space="preserve">Крім того, проведений аналіз дозволяє зазначити про </w:t>
      </w:r>
      <w:r w:rsidRPr="00913129">
        <w:rPr>
          <w:sz w:val="28"/>
          <w:szCs w:val="28"/>
          <w:lang w:val="uk-UA"/>
        </w:rPr>
        <w:t xml:space="preserve">системні ризики, які є актуальними як на макрорівні, так і на мікрорівні: </w:t>
      </w:r>
    </w:p>
    <w:p w14:paraId="619F8287" w14:textId="77777777" w:rsidR="005B37AA" w:rsidRPr="00913129" w:rsidRDefault="005B37AA" w:rsidP="00AE7AE4">
      <w:pPr>
        <w:pStyle w:val="ae"/>
        <w:spacing w:before="0" w:beforeAutospacing="0" w:after="0" w:afterAutospacing="0" w:line="360" w:lineRule="auto"/>
        <w:ind w:right="-2" w:firstLine="851"/>
        <w:jc w:val="both"/>
        <w:rPr>
          <w:sz w:val="28"/>
          <w:szCs w:val="28"/>
          <w:lang w:val="uk-UA"/>
        </w:rPr>
      </w:pPr>
      <w:r w:rsidRPr="00913129">
        <w:rPr>
          <w:rStyle w:val="ac"/>
          <w:rFonts w:eastAsiaTheme="majorEastAsia"/>
          <w:b w:val="0"/>
          <w:bCs w:val="0"/>
          <w:sz w:val="28"/>
          <w:szCs w:val="28"/>
          <w:lang w:val="uk-UA"/>
        </w:rPr>
        <w:t>1. Ризик «greenwashing»</w:t>
      </w:r>
      <w:r w:rsidRPr="00913129">
        <w:rPr>
          <w:rStyle w:val="ac"/>
          <w:rFonts w:eastAsiaTheme="majorEastAsia"/>
          <w:sz w:val="28"/>
          <w:szCs w:val="28"/>
          <w:lang w:val="uk-UA"/>
        </w:rPr>
        <w:t xml:space="preserve"> – </w:t>
      </w:r>
      <w:r w:rsidRPr="00913129">
        <w:rPr>
          <w:sz w:val="28"/>
          <w:szCs w:val="28"/>
          <w:lang w:val="uk-UA"/>
        </w:rPr>
        <w:t>це ризик формального, а не змістовного дотримання ESG-принципів. Декларування екологічних або соціальних досягнень без реального підтвердження результатів створює загрозу втрати довіри з боку інвесторів, регуляторів та громадськості. Досвід Microsoft і Sempra Energy ілюструє, що лише верифікація даних незалежними аудиторами та публікація звітності відповідно до міжнародних стандартів дозволяють знижувати цей ризик і запобігати репутаційним втратам;</w:t>
      </w:r>
    </w:p>
    <w:p w14:paraId="3F5F6835" w14:textId="77777777" w:rsidR="005B37AA" w:rsidRPr="00913129" w:rsidRDefault="005B37AA" w:rsidP="00AE7AE4">
      <w:pPr>
        <w:pStyle w:val="ae"/>
        <w:spacing w:before="0" w:beforeAutospacing="0" w:after="0" w:afterAutospacing="0" w:line="360" w:lineRule="auto"/>
        <w:ind w:right="-2" w:firstLine="851"/>
        <w:jc w:val="both"/>
        <w:rPr>
          <w:sz w:val="28"/>
          <w:szCs w:val="28"/>
          <w:lang w:val="uk-UA"/>
        </w:rPr>
      </w:pPr>
      <w:r w:rsidRPr="00913129">
        <w:rPr>
          <w:rStyle w:val="ac"/>
          <w:rFonts w:eastAsiaTheme="majorEastAsia"/>
          <w:b w:val="0"/>
          <w:bCs w:val="0"/>
          <w:sz w:val="28"/>
          <w:szCs w:val="28"/>
          <w:lang w:val="uk-UA"/>
        </w:rPr>
        <w:t>2. Регуляторний тиск та динамічність нормативного середовища – це ризик, при якому</w:t>
      </w:r>
      <w:r w:rsidRPr="00913129">
        <w:rPr>
          <w:rStyle w:val="ac"/>
          <w:rFonts w:eastAsiaTheme="majorEastAsia"/>
          <w:sz w:val="28"/>
          <w:szCs w:val="28"/>
          <w:lang w:val="uk-UA"/>
        </w:rPr>
        <w:t xml:space="preserve"> </w:t>
      </w:r>
      <w:r w:rsidRPr="00913129">
        <w:rPr>
          <w:sz w:val="28"/>
          <w:szCs w:val="28"/>
          <w:lang w:val="uk-UA"/>
        </w:rPr>
        <w:t>посилення вимог з боку державних і наднаціональних органів створює ризик невідповідності новим стандартам звітності, що може призводити до штрафів, обмежень доступу до ринків або зниження вартості капіталу. Для енергетичних і фінансових компаній (як Sempra Energy чи Moody’s) актуальним є ризик надмірної зарегульованості та необхідність постійного оновлення внутрішніх політик згідно з актуальними вимогами. Крім того, різна швидкість гармонізації стандартів у різних юрисдикціях ускладнює управління глобальними ESG-стратегіями;</w:t>
      </w:r>
    </w:p>
    <w:p w14:paraId="4A2D9A10" w14:textId="77777777" w:rsidR="005B37AA" w:rsidRPr="00913129" w:rsidRDefault="005B37AA" w:rsidP="00AE7AE4">
      <w:pPr>
        <w:pStyle w:val="ae"/>
        <w:spacing w:before="0" w:beforeAutospacing="0" w:after="0" w:afterAutospacing="0" w:line="360" w:lineRule="auto"/>
        <w:ind w:right="-2" w:firstLine="851"/>
        <w:jc w:val="both"/>
        <w:rPr>
          <w:sz w:val="28"/>
          <w:szCs w:val="28"/>
          <w:lang w:val="uk-UA"/>
        </w:rPr>
      </w:pPr>
      <w:r w:rsidRPr="00913129">
        <w:rPr>
          <w:rStyle w:val="ac"/>
          <w:rFonts w:eastAsiaTheme="majorEastAsia"/>
          <w:b w:val="0"/>
          <w:bCs w:val="0"/>
          <w:sz w:val="28"/>
          <w:szCs w:val="28"/>
          <w:lang w:val="uk-UA"/>
        </w:rPr>
        <w:t>3. Ризик вимірюваності та верифікації ESG-результатів, при якому</w:t>
      </w:r>
      <w:r w:rsidRPr="00913129">
        <w:rPr>
          <w:sz w:val="28"/>
          <w:szCs w:val="28"/>
          <w:lang w:val="uk-UA"/>
        </w:rPr>
        <w:br/>
        <w:t xml:space="preserve">суттєвим бар’єром для СВІ залишається питання достовірності, порівнюваності та кількісного вимірювання впливу ESG-ініціатив. Для галузей з низьким екологічним слідом (наприклад Verisk Analytics) складно знайти релевантні метрики, які б адекватно відображали реальний внесок у сталий розвиток. У виробничому секторі, навпаки, існує ризик маніпуляцій агрегованими показниками, коли великі досягнення в окремих сферах </w:t>
      </w:r>
      <w:r w:rsidRPr="00913129">
        <w:rPr>
          <w:sz w:val="28"/>
          <w:szCs w:val="28"/>
          <w:lang w:val="uk-UA"/>
        </w:rPr>
        <w:lastRenderedPageBreak/>
        <w:t>маскують недостатній прогрес в інших. Саме тому незалежний аудит і розкриття деталізованих даних стають обов’язковими для забезпечення прозорості та довіри інвесторів;</w:t>
      </w:r>
    </w:p>
    <w:p w14:paraId="527C255D" w14:textId="77777777" w:rsidR="005B37AA" w:rsidRPr="00913129" w:rsidRDefault="005B37AA" w:rsidP="00AE7AE4">
      <w:pPr>
        <w:pStyle w:val="ae"/>
        <w:spacing w:before="0" w:beforeAutospacing="0" w:after="0" w:afterAutospacing="0" w:line="360" w:lineRule="auto"/>
        <w:ind w:right="-2" w:firstLine="851"/>
        <w:jc w:val="both"/>
        <w:rPr>
          <w:sz w:val="28"/>
          <w:szCs w:val="28"/>
          <w:lang w:val="uk-UA"/>
        </w:rPr>
      </w:pPr>
      <w:r w:rsidRPr="00913129">
        <w:rPr>
          <w:rStyle w:val="ac"/>
          <w:rFonts w:eastAsiaTheme="majorEastAsia"/>
          <w:b w:val="0"/>
          <w:bCs w:val="0"/>
          <w:sz w:val="28"/>
          <w:szCs w:val="28"/>
          <w:lang w:val="uk-UA"/>
        </w:rPr>
        <w:t>4. Галузева специфіка та асиметрія впливу – це ризик, при якому</w:t>
      </w:r>
      <w:r w:rsidRPr="00913129">
        <w:rPr>
          <w:rStyle w:val="ac"/>
          <w:rFonts w:eastAsiaTheme="majorEastAsia"/>
          <w:sz w:val="28"/>
          <w:szCs w:val="28"/>
          <w:lang w:val="uk-UA"/>
        </w:rPr>
        <w:t xml:space="preserve"> </w:t>
      </w:r>
      <w:r w:rsidRPr="00913129">
        <w:rPr>
          <w:sz w:val="28"/>
          <w:szCs w:val="28"/>
          <w:lang w:val="uk-UA"/>
        </w:rPr>
        <w:t>одна і та сама СВІ-стратегія може мати різний економічний ефект і стикатися з різними викликами для різних секторів економіки. У традиційній енергетиці чи промисловості (Sempra Energy, Applied Materials) СВІ-інвестиції мають прямий вплив на операційні витрати, а також на доступ до фінансування. Водночас для інших типів компаній (Verisk Analytics, Moody’s) найбільший ризик пов’язаний з якістю корпоративного управління, прозорістю даних та відповідністю рейтингам. Відтак, універсальні підходи до управління ESG-ринками не є ефективними, і кожна компанія потребує власної системи ідентифікації та управління ризиками у сфері СВІ.</w:t>
      </w:r>
    </w:p>
    <w:p w14:paraId="737CFDEC" w14:textId="23E2CCCB" w:rsidR="005B37AA" w:rsidRPr="00913129" w:rsidRDefault="005B37AA" w:rsidP="00404165">
      <w:pPr>
        <w:pStyle w:val="ae"/>
        <w:spacing w:before="0" w:beforeAutospacing="0" w:after="0" w:afterAutospacing="0" w:line="360" w:lineRule="auto"/>
        <w:ind w:right="-2" w:firstLine="851"/>
        <w:jc w:val="both"/>
        <w:rPr>
          <w:rStyle w:val="ac"/>
          <w:b w:val="0"/>
          <w:bCs w:val="0"/>
          <w:color w:val="000000"/>
          <w:sz w:val="28"/>
          <w:szCs w:val="28"/>
          <w:lang w:val="uk-UA"/>
        </w:rPr>
      </w:pPr>
      <w:r w:rsidRPr="00913129">
        <w:rPr>
          <w:color w:val="000000"/>
          <w:sz w:val="28"/>
          <w:szCs w:val="28"/>
          <w:lang w:val="uk-UA"/>
        </w:rPr>
        <w:t>Було систематизовано для міжнародних компаній сильні і слабкі сторони впровадження СВІ-стратегій, ризики і можливості, що відображено в результатах SWOT-аналізу (рис. 3.2).</w:t>
      </w:r>
    </w:p>
    <w:p w14:paraId="1D264AB0" w14:textId="77777777" w:rsidR="005B37AA" w:rsidRPr="00913129" w:rsidRDefault="005B37AA" w:rsidP="005B37AA">
      <w:pPr>
        <w:pStyle w:val="ae"/>
        <w:spacing w:before="0" w:beforeAutospacing="0" w:after="0" w:afterAutospacing="0" w:line="360" w:lineRule="auto"/>
        <w:ind w:right="-2"/>
        <w:jc w:val="both"/>
        <w:rPr>
          <w:rStyle w:val="ac"/>
          <w:rFonts w:eastAsiaTheme="majorEastAsia"/>
          <w:color w:val="000000"/>
          <w:lang w:val="uk-UA"/>
        </w:rPr>
      </w:pPr>
      <w:r w:rsidRPr="00913129">
        <w:rPr>
          <w:rFonts w:eastAsiaTheme="majorEastAsia"/>
          <w:b/>
          <w:bCs/>
          <w:noProof/>
          <w:color w:val="000000"/>
          <w:lang w:val="ru-RU" w:eastAsia="ru-RU"/>
          <w14:ligatures w14:val="standardContextual"/>
        </w:rPr>
        <w:drawing>
          <wp:inline distT="0" distB="0" distL="0" distR="0" wp14:anchorId="01C98AE6" wp14:editId="1F196858">
            <wp:extent cx="6002020" cy="3682365"/>
            <wp:effectExtent l="57150" t="0" r="55880" b="13335"/>
            <wp:docPr id="216538357"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610BF077" w14:textId="77777777" w:rsidR="005B37AA" w:rsidRPr="00913129" w:rsidRDefault="005B37AA" w:rsidP="005B37AA">
      <w:pPr>
        <w:pStyle w:val="ae"/>
        <w:spacing w:before="0" w:beforeAutospacing="0" w:after="0" w:afterAutospacing="0" w:line="360" w:lineRule="auto"/>
        <w:ind w:right="-2" w:firstLine="851"/>
        <w:jc w:val="both"/>
        <w:rPr>
          <w:rFonts w:eastAsiaTheme="majorEastAsia"/>
          <w:color w:val="000000"/>
          <w:sz w:val="28"/>
          <w:szCs w:val="28"/>
          <w:lang w:val="uk-UA"/>
        </w:rPr>
      </w:pPr>
      <w:r w:rsidRPr="00913129">
        <w:rPr>
          <w:sz w:val="28"/>
          <w:szCs w:val="28"/>
          <w:lang w:val="uk-UA"/>
        </w:rPr>
        <w:t xml:space="preserve">Рис. 3.2. </w:t>
      </w:r>
      <w:r w:rsidRPr="00913129">
        <w:rPr>
          <w:rStyle w:val="ac"/>
          <w:rFonts w:eastAsiaTheme="majorEastAsia"/>
          <w:b w:val="0"/>
          <w:bCs w:val="0"/>
          <w:color w:val="000000"/>
          <w:sz w:val="28"/>
          <w:szCs w:val="28"/>
          <w:lang w:val="uk-UA"/>
        </w:rPr>
        <w:t>SWOT-аналіз впровадження СВІ-стратегій у МК</w:t>
      </w:r>
    </w:p>
    <w:p w14:paraId="2214FDB8" w14:textId="77777777" w:rsidR="005B37AA" w:rsidRPr="00913129" w:rsidRDefault="005B37AA" w:rsidP="005B37AA">
      <w:pPr>
        <w:pStyle w:val="ae"/>
        <w:spacing w:before="0" w:beforeAutospacing="0" w:after="0" w:afterAutospacing="0" w:line="360" w:lineRule="auto"/>
        <w:ind w:right="-2" w:firstLine="851"/>
        <w:rPr>
          <w:color w:val="000000"/>
          <w:sz w:val="28"/>
          <w:szCs w:val="28"/>
          <w:lang w:val="uk-UA"/>
        </w:rPr>
      </w:pPr>
      <w:r w:rsidRPr="00913129">
        <w:rPr>
          <w:color w:val="000000"/>
          <w:sz w:val="28"/>
          <w:szCs w:val="28"/>
          <w:lang w:val="uk-UA"/>
        </w:rPr>
        <w:t>Джерело: складено автором</w:t>
      </w:r>
    </w:p>
    <w:p w14:paraId="1A563252"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lastRenderedPageBreak/>
        <w:t>Проведений SWOT-аналіз свідчить, що подальший розвиток СВІ залежить від здатності компаній ефективно використовувати власні сильні сторони та можливості ринку, водночас мінімізуючи вплив зовнішніх загроз і внутрішніх обмежень.</w:t>
      </w:r>
    </w:p>
    <w:p w14:paraId="77D52949" w14:textId="77777777" w:rsidR="005B37AA" w:rsidRPr="00913129" w:rsidRDefault="005B37AA" w:rsidP="00AE7AE4">
      <w:pPr>
        <w:pStyle w:val="ae"/>
        <w:spacing w:before="0" w:beforeAutospacing="0" w:after="0" w:afterAutospacing="0" w:line="360" w:lineRule="auto"/>
        <w:ind w:right="-2" w:firstLine="851"/>
        <w:jc w:val="both"/>
        <w:rPr>
          <w:sz w:val="28"/>
          <w:szCs w:val="28"/>
          <w:lang w:val="uk-UA"/>
        </w:rPr>
      </w:pPr>
      <w:r w:rsidRPr="00913129">
        <w:rPr>
          <w:color w:val="000000"/>
          <w:sz w:val="28"/>
          <w:szCs w:val="28"/>
          <w:lang w:val="uk-UA"/>
        </w:rPr>
        <w:t>Варто зазначити, що отримані результати та визначені ризики є релевантними також для українських компаній, оскільки глобальні тенденції у сфері СВІ та вимоги до прозорості дедалі більше впливають і на національний бізнес-сектор. Водночас національний контекст характеризується низкою специфічних факторів, зокрема особливостями регуляторного середовища, доступом до міжнародного фінансування, рівнем корпоративної культури та структурою економіки. Додатковими чинниками виступають нестабільність макроекономічної ситуації, обмежена інтеграція у світові ринки капіталу, а також специфічні соціальні й екологічні виклики, зумовлені воєнними діями та процесами відновлення. Ці особливості потребують окремого розгляду, що й буде здійснено у наступному підпункті.</w:t>
      </w:r>
    </w:p>
    <w:p w14:paraId="479DC9E2"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Крім того, аналіз динаміки ESG-показників, фінансових результатів і корпоративних стратегій провідних компаній дає підстави для формування низки економічно обґрунтованих прогнозів щодо подальшого розвитку соціально відповідального інвестування у глобальному масштабі.</w:t>
      </w:r>
    </w:p>
    <w:p w14:paraId="0B56C064"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По-перше, спостерігається поступове перетворення СВІ з нішевого напрямку інвестування на обов’язковий елемент системи корпоративного управління, що відображає фундаментальний перехід до нової парадигми формування вартості бізнесу. Прогнозується, що до 2030 року буде близько 25% глобального обсягу активів з урахуванням ESG-критеріїв, а фінансові мультиплікатори для «зелених» компаній залишатимуться вищими, ніж у класичних галузевих аналогів, через премію за стійкість і зниження ризиків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{"citationID":"dFEZRwUN","properties":{"formattedCitation":"\\super [58,59]\\nosupersub{}","plainCitation":"[58,59]","noteIndex":0},"citationItems":[{"id":818,"uris":["http://zotero.org/users/10910668/items/3JCF2TS3"],"itemData":{"id":818,"type":"webpage","language":"en","title":"ESG Ratings and Financial Performance | MSCI","URL":"https://www.msci.com/data-and-analytics/sustainability-solutions/esg-ratings/esg-ratings-and-financial-performance","accessed":{"date-parts":[["2025",6,4]]}},"label":"page"},{"id":816,"uris":["http://zotero.org/users/10910668/items/B4KRUVPQ"],"itemData":{"id":816,"type":"article-newspaper","container-title":"Bloomberg L.P.","language":"en-US","section":"Announcements","source":"www.bloomberg.com","title":"Global ESG assets predicted to hit $40 trillion by 2030, despite challenging environment, forecasts Bloomberg Intelligence | Press | Bloomberg LP","URL":"https://www.bloomberg.com/company/press/global-esg-assets-predicted-to-hit-40-trillion-by-2030-despite-challenging-environment-forecasts-bloomberg-intelligence/","accessed":{"date-parts":[["2025",6,4]]}},"label":"page"}],"schema":"https://github.com/citation-style-language/schema/raw/master/csl-citation.json"} </w:instrText>
      </w:r>
      <w:r w:rsidRPr="00913129">
        <w:rPr>
          <w:color w:val="000000"/>
          <w:sz w:val="28"/>
          <w:szCs w:val="28"/>
          <w:lang w:val="uk-UA"/>
        </w:rPr>
        <w:fldChar w:fldCharType="separate"/>
      </w:r>
      <w:r w:rsidRPr="00913129">
        <w:rPr>
          <w:color w:val="000000"/>
          <w:sz w:val="28"/>
          <w:szCs w:val="28"/>
          <w:lang w:val="uk-UA"/>
        </w:rPr>
        <w:t>[58,59]</w:t>
      </w:r>
      <w:r w:rsidRPr="00913129">
        <w:rPr>
          <w:color w:val="000000"/>
          <w:sz w:val="28"/>
          <w:szCs w:val="28"/>
          <w:lang w:val="uk-UA"/>
        </w:rPr>
        <w:fldChar w:fldCharType="end"/>
      </w:r>
      <w:r w:rsidRPr="00913129">
        <w:rPr>
          <w:color w:val="000000"/>
          <w:sz w:val="28"/>
          <w:szCs w:val="28"/>
          <w:lang w:val="uk-UA"/>
        </w:rPr>
        <w:t>.</w:t>
      </w:r>
    </w:p>
    <w:p w14:paraId="1A1F7547"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По-друге, СВІ-інтеграція сприятиме зменшенню вартості капіталу для компаній, що забезпечують високі стандарти прозорості та незалежної верифікації ESG-даних. За підрахунками S&amp;P Global, диференціал за вартістю </w:t>
      </w:r>
      <w:r w:rsidRPr="00913129">
        <w:rPr>
          <w:color w:val="000000"/>
          <w:sz w:val="28"/>
          <w:szCs w:val="28"/>
          <w:lang w:val="uk-UA"/>
        </w:rPr>
        <w:lastRenderedPageBreak/>
        <w:t xml:space="preserve">позикового капіталу для компаній з вищим ESG-рейтингом може сягати вищого значення, а надлишкова ліквідність на ринку «зелених» облігацій стимулюватиме подальший приріст обсягів цього сегмента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{"citationID":"bDmNc4si","properties":{"formattedCitation":"\\super [59,60]\\nosupersub{}","plainCitation":"[59,60]","noteIndex":0},"citationItems":[{"id":816,"uris":["http://zotero.org/users/10910668/items/B4KRUVPQ"],"itemData":{"id":816,"type":"article-newspaper","container-title":"Bloomberg L.P.","language":"en-US","section":"Announcements","source":"www.bloomberg.com","title":"Global ESG assets predicted to hit $40 trillion by 2030, despite challenging environment, forecasts Bloomberg Intelligence | Press | Bloomberg LP","URL":"https://www.bloomberg.com/company/press/global-esg-assets-predicted-to-hit-40-trillion-by-2030-despite-challenging-environment-forecasts-bloomberg-intelligence/","accessed":{"date-parts":[["2025",6,4]]}},"label":"page"},{"id":820,"uris":["http://zotero.org/users/10910668/items/RIQNL9EY"],"itemData":{"id":820,"type":"webpage","title":"ESG Scores: rating company ESG performance | S&amp;P Global","URL":"https://www.spglobal.com/esg/solutions/esg-scores-data","accessed":{"date-parts":[["2025",6,4]]}}}],"schema":"https://github.com/citation-style-language/schema/raw/master/csl-citation.json"} </w:instrText>
      </w:r>
      <w:r w:rsidRPr="00913129">
        <w:rPr>
          <w:color w:val="000000"/>
          <w:sz w:val="28"/>
          <w:szCs w:val="28"/>
          <w:lang w:val="uk-UA"/>
        </w:rPr>
        <w:fldChar w:fldCharType="separate"/>
      </w:r>
      <w:r w:rsidRPr="00913129">
        <w:rPr>
          <w:color w:val="000000"/>
          <w:sz w:val="28"/>
          <w:szCs w:val="28"/>
          <w:lang w:val="uk-UA"/>
        </w:rPr>
        <w:t>[59,60]</w:t>
      </w:r>
      <w:r w:rsidRPr="00913129">
        <w:rPr>
          <w:color w:val="000000"/>
          <w:sz w:val="28"/>
          <w:szCs w:val="28"/>
          <w:lang w:val="uk-UA"/>
        </w:rPr>
        <w:fldChar w:fldCharType="end"/>
      </w:r>
      <w:r w:rsidRPr="00913129">
        <w:rPr>
          <w:color w:val="000000"/>
          <w:sz w:val="28"/>
          <w:szCs w:val="28"/>
          <w:lang w:val="uk-UA"/>
        </w:rPr>
        <w:t>.</w:t>
      </w:r>
    </w:p>
    <w:p w14:paraId="43E2DA11" w14:textId="02499FAD"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По-третє, впровадження СВІ-стратегій призводитиме до перерозподілу інвестиційних потоків на користь галузей із максимальним потенціалом сталого розвитку, як високотехнологічних виробництв, відновлюваної енергетики, ІТ і фінансових послуг. Це, у свою чергу, стимулюватиме мультиплікативний ефект</w:t>
      </w:r>
      <w:r w:rsidR="005210B7" w:rsidRPr="00913129">
        <w:rPr>
          <w:color w:val="000000"/>
          <w:sz w:val="28"/>
          <w:szCs w:val="28"/>
          <w:lang w:val="uk-UA"/>
        </w:rPr>
        <w:t xml:space="preserve">, тобто </w:t>
      </w:r>
      <w:r w:rsidRPr="00913129">
        <w:rPr>
          <w:color w:val="000000"/>
          <w:sz w:val="28"/>
          <w:szCs w:val="28"/>
          <w:lang w:val="uk-UA"/>
        </w:rPr>
        <w:t xml:space="preserve">зростання зайнятості у «зелених» секторах, підвищення інноваційної активності, формування додаткової доданої вартості у національних економіках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{"citationID":"rCRRIeZ0","properties":{"formattedCitation":"\\super [61]\\nosupersub{}","plainCitation":"[61]","noteIndex":0},"citationItems":[{"id":822,"uris":["http://zotero.org/users/10910668/items/UKY58DQE"],"itemData":{"id":822,"type":"article-journal","abstract":"Sustainability taxonomies are comprehensive classification systems that define what constitutes a sustainable economic activity. They aim to increase transparency in financial markets and redirect capital flows to sustainable investments. Such sustainable finance policies can be important levers for the transformation of the economy towards climate neutrality, as today’s investments will shape economic production processes for decades to come. While sustainability taxonomies have been developed in recent years in many countries, existing research on taxonomies has so far often focused on the European Union and has hardly addressed questions of policy implementation. This case study focuses on South Africa’s Green Finance Taxonomy (GFT) and addresses the question of what factors influence the adoption of sustainability taxonomies by potential users. Based on 44 semi-structured expert interviews with taxonomy stakeholders from the private sector, government, civil society and academia, it finds that one year after its publication, the GFT has hardly been used in practice. Important factors hindering an effective implementation are a lack of regulatory embedding, the absence of a legal recognition of the GFT by the European Union (EU), hesitance among financial market participants to build capacity to collect the necessary data, and fossil-fuel path dependencies in South Africa’s economy. Given the difficulties many jurisdictions currently face in implementing their newly developed sustainability taxonomies, these findings have important policy implications not only for South Africa but also for other countries. Sustainability taxonomies that are established without adequate regulatory embedding and accompanying policy measures run the risk of not being used.Policy-makers and regulators need to clarify the purpose and use cases of a sustainability taxonomy and send a credible signal to the market that the taxonomy will indeed become the common standard, for example by issuing mandatory disclosure requirements.Designing sustainability taxonomies of different jurisdictions in an interoperable way and achieving a mutual recognition of taxonomies of a similar level of ambition is key.Training and exchange formats can be important to reduce capacity constraints on the part of taxonomy users. Sustainability taxonomies that are established without adequate regulatory embedding and accompanying policy measures run the risk of not being used. Policy-makers and regulators need to clarify the purpose and use cases of a sustainability taxonomy and send a credible signal to the market that the taxonomy will indeed become the common standard, for example by issuing mandatory disclosure requirements. Designing sustainability taxonomies of different jurisdictions in an interoperable way and achieving a mutual recognition of taxonomies of a similar level of ambition is key. Training and exchange formats can be important to reduce capacity constraints on the part of taxonomy users.","container-title":"Climate Policy","DOI":"10.1080/14693062.2024.2415382","ISSN":"1469-3062","issue":"5","note":"publisher: Taylor &amp; Francis\n_eprint: https://doi.org/10.1080/14693062.2024.2415382","page":"741-755","source":"Taylor and Francis+NEJM","title":"Implementing sustainability taxonomies to redirect capital flows: the case of South Africa","title-short":"Implementing sustainability taxonomies to redirect capital flows","volume":"25","author":[{"family":"Hilbrich","given":"Sören"},{"family":"","given":"Berensmann ,Kathrin"},{"family":"","given":"Artmann ,Giovanna"},{"family":"","given":"Ashman ,Sam"},{"family":"","given":"Herbold ,Theresa"},{"family":"","given":"Lötters-Viehof ,Steffen"},{"family":"","given":"Monti ,Agnese"},{"family":"","given":"Paffhausen ,Felix"},{"family":"","given":"Roigk ,Stephanie"},{"family":"Steenkamp","given":"Lee-Ann","non-dropping-particle":"and"}],"issued":{"date-parts":[["2025",5,28]]}}}],"schema":"https://github.com/citation-style-language/schema/raw/master/csl-citation.json"} </w:instrText>
      </w:r>
      <w:r w:rsidRPr="00913129">
        <w:rPr>
          <w:color w:val="000000"/>
          <w:sz w:val="28"/>
          <w:szCs w:val="28"/>
          <w:lang w:val="uk-UA"/>
        </w:rPr>
        <w:fldChar w:fldCharType="separate"/>
      </w:r>
      <w:r w:rsidRPr="00913129">
        <w:rPr>
          <w:color w:val="000000"/>
          <w:sz w:val="28"/>
          <w:szCs w:val="28"/>
          <w:lang w:val="uk-UA"/>
        </w:rPr>
        <w:t>[61]</w:t>
      </w:r>
      <w:r w:rsidRPr="00913129">
        <w:rPr>
          <w:color w:val="000000"/>
          <w:sz w:val="28"/>
          <w:szCs w:val="28"/>
          <w:lang w:val="uk-UA"/>
        </w:rPr>
        <w:fldChar w:fldCharType="end"/>
      </w:r>
      <w:r w:rsidRPr="00913129">
        <w:rPr>
          <w:color w:val="000000"/>
          <w:sz w:val="28"/>
          <w:szCs w:val="28"/>
          <w:lang w:val="uk-UA"/>
        </w:rPr>
        <w:t>.</w:t>
      </w:r>
    </w:p>
    <w:p w14:paraId="70D49DA2" w14:textId="77777777" w:rsidR="005B37AA"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Водночас очікується подальше посилення ролі регуляторних стандартів, зокрема гармонізації вимог щодо ESG-звітності, посилення контролю за «greenwashing», впровадження обов’язкових кліматичних та соціальних сценаріїв у процесі стратегічного планування. Це підвищить порівнюваність нефінансової інформації та дозволить інвесторам більш об’єктивно оцінювати як ризики, так і економічні переваги СВІ-орієнтованих компаній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{"citationID":"mCZF16lx","properties":{"formattedCitation":"\\super [62,63]\\nosupersub{}","plainCitation":"[62,63]","noteIndex":0},"citationItems":[{"id":825,"uris":["http://zotero.org/users/10910668/items/LSEJCIYT"],"itemData":{"id":825,"type":"webpage","title":"IFRS - General Sustainability-related Disclosures","URL":"https://www.ifrs.org/projects/completed-projects/2023/general-sustainability-related-disclosures/","accessed":{"date-parts":[["2025",6,4]]}}},{"id":824,"uris":["http://zotero.org/users/10910668/items/TARR3Z4F"],"itemData":{"id":824,"type":"webpage","title":"GRI - EFRAG and GRI enhance collaboration with deeper ties","URL":"https://www.globalreporting.org/news/news-center/efrag-and-gri-enhance-collaboration-with-deeper-ties/","accessed":{"date-parts":[["2025",6,4]]}},"label":"page"}],"schema":"https://github.com/citation-style-language/schema/raw/master/csl-citation.json"} </w:instrText>
      </w:r>
      <w:r w:rsidRPr="00913129">
        <w:rPr>
          <w:color w:val="000000"/>
          <w:sz w:val="28"/>
          <w:szCs w:val="28"/>
          <w:lang w:val="uk-UA"/>
        </w:rPr>
        <w:fldChar w:fldCharType="separate"/>
      </w:r>
      <w:r w:rsidRPr="00913129">
        <w:rPr>
          <w:color w:val="000000"/>
          <w:sz w:val="28"/>
          <w:szCs w:val="28"/>
          <w:lang w:val="uk-UA"/>
        </w:rPr>
        <w:t>[62,63]</w:t>
      </w:r>
      <w:r w:rsidRPr="00913129">
        <w:rPr>
          <w:color w:val="000000"/>
          <w:sz w:val="28"/>
          <w:szCs w:val="28"/>
          <w:lang w:val="uk-UA"/>
        </w:rPr>
        <w:fldChar w:fldCharType="end"/>
      </w:r>
      <w:r w:rsidRPr="00913129">
        <w:rPr>
          <w:color w:val="000000"/>
          <w:sz w:val="28"/>
          <w:szCs w:val="28"/>
          <w:lang w:val="uk-UA"/>
        </w:rPr>
        <w:t>.</w:t>
      </w:r>
    </w:p>
    <w:p w14:paraId="3FE692B8" w14:textId="77777777" w:rsidR="00BA086F" w:rsidRPr="00913129" w:rsidRDefault="005B37AA"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 xml:space="preserve">З економічної точки зору, системна інтеграція СВІ у корпоративні моделі сприятиме не лише зростанню ринкової капіталізації й диверсифікації джерел фінансування, а й зниженню волатильності акцій, підвищенню стійкості до екзогенних шоків і формуванню довгострокових конкурентних переваг </w:t>
      </w:r>
      <w:r w:rsidRPr="00913129">
        <w:rPr>
          <w:color w:val="000000"/>
          <w:sz w:val="28"/>
          <w:szCs w:val="28"/>
          <w:lang w:val="uk-UA"/>
        </w:rPr>
        <w:fldChar w:fldCharType="begin"/>
      </w:r>
      <w:r w:rsidRPr="00913129">
        <w:rPr>
          <w:color w:val="000000"/>
          <w:sz w:val="28"/>
          <w:szCs w:val="28"/>
          <w:lang w:val="uk-UA"/>
        </w:rPr>
        <w:instrText xml:space="preserve"> ADDIN ZOTERO_ITEM CSL_CITATION {"citationID":"glme0PE9","properties":{"formattedCitation":"\\super [64,65]\\nosupersub{}","plainCitation":"[64,65]","noteIndex":0},"citationItems":[{"id":829,"uris":["http://zotero.org/users/10910668/items/EIURCE9I"],"itemData":{"id":829,"type":"report","genre":"OECD Business and Finance Policy Papers","language":"en","note":"collection-title: OECD Business and Finance Policy Papers\nvolume: 06\nDOI: 10.1787/2fa21143-en","number":"06","source":"DOI.org (Crossref)","title":"ESG ratings and climate transition: An assessment of the alignment of E pillar scores and metrics","title-short":"ESG ratings and climate transition","URL":"https://www.oecd.org/en/publications/esg-ratings-and-climate-transition_2fa21143-en.html","accessed":{"date-parts":[["2025",6,4]]},"issued":{"date-parts":[["2022",6,8]]}},"label":"page"},{"id":827,"uris":["http://zotero.org/users/10910668/items/RCQJ8SW3"],"itemData":{"id":827,"type":"post-weblog","abstract":"We find that top MSCI ESG-rated companies have consistently outperformed their lower-rated peers due chiefly to better earnings fundamentals.","container-title":"MSCI Sustainability Institute","language":"en","title":"17 years of MSCI ESG Ratings and long-term corporate performance","URL":"https://www.msci-institute.com/themes/risk-return/long-term-corporate-performance/","author":[{"family":"Institute","given":"MSCI Sustainability"}],"accessed":{"date-parts":[["2025",6,4]]},"issued":{"date-parts":[["2024",3,4]]}},"label":"page"}],"schema":"https://github.com/citation-style-language/schema/raw/master/csl-citation.json"} </w:instrText>
      </w:r>
      <w:r w:rsidRPr="00913129">
        <w:rPr>
          <w:color w:val="000000"/>
          <w:sz w:val="28"/>
          <w:szCs w:val="28"/>
          <w:lang w:val="uk-UA"/>
        </w:rPr>
        <w:fldChar w:fldCharType="separate"/>
      </w:r>
      <w:r w:rsidRPr="00913129">
        <w:rPr>
          <w:color w:val="000000"/>
          <w:sz w:val="28"/>
          <w:szCs w:val="28"/>
          <w:lang w:val="uk-UA"/>
        </w:rPr>
        <w:t>[64,65]</w:t>
      </w:r>
      <w:r w:rsidRPr="00913129">
        <w:rPr>
          <w:color w:val="000000"/>
          <w:sz w:val="28"/>
          <w:szCs w:val="28"/>
          <w:lang w:val="uk-UA"/>
        </w:rPr>
        <w:fldChar w:fldCharType="end"/>
      </w:r>
      <w:r w:rsidRPr="00913129">
        <w:rPr>
          <w:color w:val="000000"/>
          <w:sz w:val="28"/>
          <w:szCs w:val="28"/>
          <w:lang w:val="uk-UA"/>
        </w:rPr>
        <w:t xml:space="preserve">. </w:t>
      </w:r>
    </w:p>
    <w:p w14:paraId="43391E54" w14:textId="7B88886C" w:rsidR="00126B45" w:rsidRPr="00913129" w:rsidRDefault="00BA086F" w:rsidP="00AE7AE4">
      <w:pPr>
        <w:pStyle w:val="ae"/>
        <w:spacing w:before="0" w:beforeAutospacing="0" w:after="0" w:afterAutospacing="0" w:line="360" w:lineRule="auto"/>
        <w:ind w:right="-2" w:firstLine="851"/>
        <w:jc w:val="both"/>
        <w:rPr>
          <w:color w:val="000000"/>
          <w:sz w:val="28"/>
          <w:szCs w:val="28"/>
          <w:lang w:val="uk-UA"/>
        </w:rPr>
      </w:pPr>
      <w:r w:rsidRPr="00913129">
        <w:rPr>
          <w:color w:val="000000"/>
          <w:sz w:val="28"/>
          <w:szCs w:val="28"/>
          <w:lang w:val="uk-UA"/>
        </w:rPr>
        <w:t>Отже, досвід міжнародних компаній свідчить, що ефективне впровадження соціально відповідального інвестування супроводжується системними викликами. Водночас компанії реагують на ці виклики шляхом підвищення прозорості, впровадження незалежного аудиту та вдосконалення корпоративної звітності. Очікується, що подальший розвиток СВІ буде ґрунтуватися на гармонізації стандартів, посиленні вимог до нефінансової звітності та зміцненні ролі ESG у системах корпоративного управління.</w:t>
      </w:r>
    </w:p>
    <w:p w14:paraId="2382FBC9" w14:textId="77777777" w:rsidR="001B37BE" w:rsidRPr="00913129" w:rsidRDefault="001B37BE" w:rsidP="00BA086F">
      <w:pPr>
        <w:pStyle w:val="ae"/>
        <w:spacing w:before="0" w:beforeAutospacing="0" w:after="0" w:afterAutospacing="0" w:line="360" w:lineRule="auto"/>
        <w:ind w:right="-2" w:firstLine="851"/>
        <w:jc w:val="both"/>
        <w:rPr>
          <w:color w:val="000000"/>
          <w:sz w:val="32"/>
          <w:szCs w:val="32"/>
          <w:lang w:val="uk-UA"/>
        </w:rPr>
      </w:pPr>
    </w:p>
    <w:p w14:paraId="549F9D1E" w14:textId="02F81AEA" w:rsidR="00AA0E17" w:rsidRPr="00913129" w:rsidRDefault="005B37AA" w:rsidP="00AE7AE4">
      <w:pPr>
        <w:spacing w:line="360" w:lineRule="auto"/>
        <w:jc w:val="center"/>
        <w:rPr>
          <w:rFonts w:eastAsiaTheme="majorEastAsia"/>
          <w:color w:val="000000" w:themeColor="text1"/>
          <w:sz w:val="28"/>
          <w:szCs w:val="28"/>
          <w:lang w:val="uk-UA"/>
        </w:rPr>
      </w:pPr>
      <w:r w:rsidRPr="00913129">
        <w:rPr>
          <w:rFonts w:eastAsiaTheme="majorEastAsia"/>
          <w:b/>
          <w:bCs/>
          <w:color w:val="000000" w:themeColor="text1"/>
          <w:sz w:val="28"/>
          <w:szCs w:val="28"/>
          <w:lang w:val="uk-UA"/>
        </w:rPr>
        <w:lastRenderedPageBreak/>
        <w:t>ВИСНОВКИ</w:t>
      </w:r>
    </w:p>
    <w:p w14:paraId="4C3C7A6F" w14:textId="77777777" w:rsidR="005B37AA" w:rsidRPr="00913129" w:rsidRDefault="005B37AA" w:rsidP="00AE7AE4">
      <w:pPr>
        <w:spacing w:line="360" w:lineRule="auto"/>
        <w:ind w:firstLine="851"/>
        <w:rPr>
          <w:rFonts w:eastAsiaTheme="majorEastAsia"/>
          <w:color w:val="000000" w:themeColor="text1"/>
          <w:sz w:val="28"/>
          <w:szCs w:val="28"/>
          <w:lang w:val="uk-UA"/>
        </w:rPr>
      </w:pPr>
    </w:p>
    <w:p w14:paraId="05818721" w14:textId="77777777" w:rsidR="00D4643D" w:rsidRPr="00913129" w:rsidRDefault="00D4643D" w:rsidP="00AE7AE4">
      <w:pPr>
        <w:pStyle w:val="ae"/>
        <w:spacing w:before="0" w:beforeAutospacing="0" w:after="0" w:afterAutospacing="0" w:line="360" w:lineRule="auto"/>
        <w:ind w:firstLine="851"/>
        <w:jc w:val="both"/>
        <w:rPr>
          <w:color w:val="000000"/>
          <w:sz w:val="28"/>
          <w:szCs w:val="28"/>
          <w:lang w:val="uk-UA"/>
        </w:rPr>
      </w:pPr>
      <w:r w:rsidRPr="00913129">
        <w:rPr>
          <w:color w:val="000000"/>
          <w:sz w:val="28"/>
          <w:szCs w:val="28"/>
          <w:lang w:val="uk-UA"/>
        </w:rPr>
        <w:t xml:space="preserve">У ході виконання дипломної роботи комплексно досліджено теоретичні та прикладні аспекти соціально відповідального інвестування міжнародних компаній, що дало змогу сформулювати низку важливих висновків і узагальнень. </w:t>
      </w:r>
    </w:p>
    <w:p w14:paraId="2DE9562C" w14:textId="4BA49F56" w:rsidR="00D4643D" w:rsidRPr="00913129" w:rsidRDefault="00D4643D" w:rsidP="00AE7AE4">
      <w:pPr>
        <w:pStyle w:val="ae"/>
        <w:spacing w:before="0" w:beforeAutospacing="0" w:after="0" w:afterAutospacing="0" w:line="360" w:lineRule="auto"/>
        <w:ind w:firstLine="851"/>
        <w:jc w:val="both"/>
        <w:rPr>
          <w:color w:val="000000"/>
          <w:sz w:val="28"/>
          <w:szCs w:val="28"/>
          <w:lang w:val="uk-UA"/>
        </w:rPr>
      </w:pPr>
      <w:r w:rsidRPr="00913129">
        <w:rPr>
          <w:color w:val="000000"/>
          <w:sz w:val="28"/>
          <w:szCs w:val="28"/>
          <w:lang w:val="uk-UA"/>
        </w:rPr>
        <w:t>Розкрито, що соціально відповідальне інвестування на сучасному етапі розглядається як багатоаспектне явище, котре поєднує досягнення фінансової віддачі із забезпеченням екологічної, соціальної та управлінської відповідальності бізнесу. Його еволюція від етичного інвестування до глибокої інтеграції ESG-факторів у діяльність компаній засвідчує зміну підходів до інвестування в контексті глобальних викликів сталого розвитку, зростання соціальних очікувань і підвищення стандартів прозорості.</w:t>
      </w:r>
    </w:p>
    <w:p w14:paraId="6B9BB12B" w14:textId="4AF81DE6" w:rsidR="00D4643D" w:rsidRPr="00913129" w:rsidRDefault="00D4643D" w:rsidP="00AE7AE4">
      <w:pPr>
        <w:pStyle w:val="ae"/>
        <w:spacing w:before="0" w:beforeAutospacing="0" w:after="0" w:afterAutospacing="0" w:line="360" w:lineRule="auto"/>
        <w:ind w:firstLine="851"/>
        <w:jc w:val="both"/>
        <w:rPr>
          <w:color w:val="000000"/>
          <w:sz w:val="28"/>
          <w:szCs w:val="28"/>
          <w:lang w:val="uk-UA"/>
        </w:rPr>
      </w:pPr>
      <w:r w:rsidRPr="00913129">
        <w:rPr>
          <w:color w:val="000000"/>
          <w:sz w:val="28"/>
          <w:szCs w:val="28"/>
          <w:lang w:val="uk-UA"/>
        </w:rPr>
        <w:t>Здійснений теоретичний аналіз дозволив систематизувати основні підходи та типології соціально відповідального інвестування. Було доведено, що сучасні моделі СВІ ґрунтуються як на класичних фінансових теоріях, так і на новітніх концепціях корпоративної відповідальності, зокрема теорії зацікавлених сторін, агентській теорії, теорії легітимності та інших. Типологія СВІ охоплює широкий спектр стратегій, від пасивних, заснованих на принципі негативного виключення, до активних.</w:t>
      </w:r>
    </w:p>
    <w:p w14:paraId="4EE8C0FF" w14:textId="0ABA76A3" w:rsidR="00D4643D" w:rsidRPr="00913129" w:rsidRDefault="00D4643D" w:rsidP="00AE7AE4">
      <w:pPr>
        <w:pStyle w:val="ae"/>
        <w:spacing w:before="0" w:beforeAutospacing="0" w:after="0" w:afterAutospacing="0" w:line="360" w:lineRule="auto"/>
        <w:ind w:firstLine="851"/>
        <w:jc w:val="both"/>
        <w:rPr>
          <w:color w:val="000000"/>
          <w:sz w:val="28"/>
          <w:szCs w:val="28"/>
          <w:lang w:val="uk-UA"/>
        </w:rPr>
      </w:pPr>
      <w:r w:rsidRPr="00913129">
        <w:rPr>
          <w:color w:val="000000"/>
          <w:sz w:val="28"/>
          <w:szCs w:val="28"/>
          <w:lang w:val="uk-UA"/>
        </w:rPr>
        <w:t>У процесі вивчення сучасних наукових досліджень соціально відповідального інвестування в міжнародних компаніях встановлено, що більшість дослідників схиляється до висновку про позитивний або нейтральний вплив інтеграції ESG-стратегій на фінансові результати компаній, їхню стійкість, здатність до інновацій та зміцнення репутації. Разом із тим, виявлено низку проблемних аспектів, зокрема ризики «greenwashing» та складність кількісної оцінки реального впливу відповідальних інвестицій на корпоративну поведінку.</w:t>
      </w:r>
    </w:p>
    <w:p w14:paraId="5240D293" w14:textId="4E30CBAB" w:rsidR="00D4643D" w:rsidRPr="00913129" w:rsidRDefault="00D4643D" w:rsidP="00AE7AE4">
      <w:pPr>
        <w:pStyle w:val="ae"/>
        <w:spacing w:before="0" w:beforeAutospacing="0" w:after="0" w:afterAutospacing="0" w:line="360" w:lineRule="auto"/>
        <w:ind w:firstLine="851"/>
        <w:jc w:val="both"/>
        <w:rPr>
          <w:color w:val="000000"/>
          <w:sz w:val="28"/>
          <w:szCs w:val="28"/>
          <w:lang w:val="uk-UA"/>
        </w:rPr>
      </w:pPr>
      <w:r w:rsidRPr="00913129">
        <w:rPr>
          <w:color w:val="000000"/>
          <w:sz w:val="28"/>
          <w:szCs w:val="28"/>
          <w:lang w:val="uk-UA"/>
        </w:rPr>
        <w:t xml:space="preserve">Аналіз динаміки та структурних трансформацій світового ринку СВІ засвідчив глибокі якісні зміни в цій сфері. Соціально відповідальне </w:t>
      </w:r>
      <w:r w:rsidRPr="00913129">
        <w:rPr>
          <w:color w:val="000000"/>
          <w:sz w:val="28"/>
          <w:szCs w:val="28"/>
          <w:lang w:val="uk-UA"/>
        </w:rPr>
        <w:lastRenderedPageBreak/>
        <w:t>інвестування поступово переходить із нішового напрямку у ключовий сегмент глобальної фінансової системи, що виявляється у зростанні частки відповідальних інвестицій у загальному обсязі активів, розширенні географії, появі нових регіональних лідерів та інтеграції ESG-факторів у стратегії широкого кола інституційних інвесторів. Паралельно відбувається трансформація інструментів СВІ, так сучасний ринок характеризується появою та розвитком таких фінансових продуктів, як «зелені» та соціальні облігації, облігації сталого розвитку, імпакт-інвестування, а також уніфікацією стандартів нефінансової звітності.</w:t>
      </w:r>
    </w:p>
    <w:p w14:paraId="1BDB2660" w14:textId="06E521C3" w:rsidR="00D4643D" w:rsidRPr="00913129" w:rsidRDefault="00D4643D" w:rsidP="00AE7AE4">
      <w:pPr>
        <w:pStyle w:val="ae"/>
        <w:spacing w:before="0" w:beforeAutospacing="0" w:after="0" w:afterAutospacing="0" w:line="360" w:lineRule="auto"/>
        <w:ind w:firstLine="851"/>
        <w:jc w:val="both"/>
        <w:rPr>
          <w:color w:val="000000"/>
          <w:sz w:val="28"/>
          <w:szCs w:val="28"/>
          <w:lang w:val="uk-UA"/>
        </w:rPr>
      </w:pPr>
      <w:r w:rsidRPr="00913129">
        <w:rPr>
          <w:color w:val="000000"/>
          <w:sz w:val="28"/>
          <w:szCs w:val="28"/>
          <w:lang w:val="uk-UA"/>
        </w:rPr>
        <w:t>Дослідження особливостей розвитку соціально відповідального інвестування в Україні показало, що національний ринок поступово інтегрується у глобальні тенденції, хоча й стикається з низкою інституційних, нормативних та організаційних бар’єрів. Проте вже спостерігаються позитивні зрушення, зокрема поява перших кейсів випуску «зелених» облігацій, запуск механізмів ESG-кредитування та реалізація донорських програм підтримки соціального підприємництва. Подальший розвиток цієї сфери вимагає удосконалення нормативної бази, розширення інструментарію та посилення інституційної підтримки.</w:t>
      </w:r>
    </w:p>
    <w:p w14:paraId="415BE39A" w14:textId="512B0A5A" w:rsidR="00D4643D" w:rsidRPr="00913129" w:rsidRDefault="00D4643D" w:rsidP="00AE7AE4">
      <w:pPr>
        <w:pStyle w:val="ae"/>
        <w:spacing w:before="0" w:beforeAutospacing="0" w:after="0" w:afterAutospacing="0" w:line="360" w:lineRule="auto"/>
        <w:ind w:firstLine="851"/>
        <w:jc w:val="both"/>
        <w:rPr>
          <w:color w:val="000000"/>
          <w:sz w:val="28"/>
          <w:szCs w:val="28"/>
          <w:lang w:val="uk-UA"/>
        </w:rPr>
      </w:pPr>
      <w:r w:rsidRPr="00913129">
        <w:rPr>
          <w:color w:val="000000"/>
          <w:sz w:val="28"/>
          <w:szCs w:val="28"/>
          <w:lang w:val="uk-UA"/>
        </w:rPr>
        <w:t>Компаративний аналіз впровадження СВІ-стратегій у провідних міжнародних компаніях продемонстрував, що саме транснаціональні корпорації є лідерами у системній інтеграції ESG-принципів у свою діяльність, прозорості звітності та взаємодії із зацікавленими сторонами. Водночас рівень та ефективність реалізації СВІ-стратегій суттєво варіюється залежно від галузі, регіональної специфіки та зрілості корпоративної культури, що потребує подальших досліджень та адаптації під локальні умови. Зокрема, результати регресійного аналізу засвідчили наявність позитивного взаємозв’язку між рівнем обсягів СВІ та фінансовою результативністю компаній.</w:t>
      </w:r>
    </w:p>
    <w:p w14:paraId="2F26B90C" w14:textId="327F1B0D" w:rsidR="00AD7FC3" w:rsidRPr="00913129" w:rsidRDefault="00AD7FC3" w:rsidP="00AE7AE4">
      <w:pPr>
        <w:pStyle w:val="ae"/>
        <w:spacing w:before="0" w:beforeAutospacing="0" w:after="0" w:afterAutospacing="0" w:line="360" w:lineRule="auto"/>
        <w:ind w:firstLine="851"/>
        <w:jc w:val="both"/>
        <w:rPr>
          <w:color w:val="000000"/>
          <w:sz w:val="28"/>
          <w:szCs w:val="28"/>
          <w:lang w:val="uk-UA"/>
        </w:rPr>
      </w:pPr>
      <w:r w:rsidRPr="00913129">
        <w:rPr>
          <w:color w:val="000000"/>
          <w:sz w:val="28"/>
          <w:szCs w:val="28"/>
          <w:lang w:val="uk-UA"/>
        </w:rPr>
        <w:t xml:space="preserve">У роботі виявлено, що серед основних системних ризиків, які супроводжують впровадження соціально відповідального інвестування, </w:t>
      </w:r>
      <w:r w:rsidRPr="00913129">
        <w:rPr>
          <w:color w:val="000000"/>
          <w:sz w:val="28"/>
          <w:szCs w:val="28"/>
          <w:lang w:val="uk-UA"/>
        </w:rPr>
        <w:lastRenderedPageBreak/>
        <w:t xml:space="preserve">домінують ризики </w:t>
      </w:r>
      <w:r w:rsidR="00942C1D" w:rsidRPr="00913129">
        <w:rPr>
          <w:color w:val="000000"/>
          <w:sz w:val="28"/>
          <w:szCs w:val="28"/>
          <w:lang w:val="uk-UA"/>
        </w:rPr>
        <w:t>«</w:t>
      </w:r>
      <w:r w:rsidRPr="00913129">
        <w:rPr>
          <w:color w:val="000000"/>
          <w:sz w:val="28"/>
          <w:szCs w:val="28"/>
          <w:lang w:val="uk-UA"/>
        </w:rPr>
        <w:t>greenwashing</w:t>
      </w:r>
      <w:r w:rsidR="00942C1D" w:rsidRPr="00913129">
        <w:rPr>
          <w:color w:val="000000"/>
          <w:sz w:val="28"/>
          <w:szCs w:val="28"/>
          <w:lang w:val="uk-UA"/>
        </w:rPr>
        <w:t>»</w:t>
      </w:r>
      <w:r w:rsidRPr="00913129">
        <w:rPr>
          <w:color w:val="000000"/>
          <w:sz w:val="28"/>
          <w:szCs w:val="28"/>
          <w:lang w:val="uk-UA"/>
        </w:rPr>
        <w:t>, недостатньої прозорості, а також відсутності єдиних міжнародних стандартів. У відповідь на ці виклики провідні компанії активно впроваджують антикризові стратегії, такі як посилення нефінансової звітності, адаптацію політик до глобальних стандартів ESG, використання незалежних аудитів та сертифікацій, що підвищує рівень довіри інвесторів. Перспективним напрямом є розширення застосування цифрових рішень для моніторингу ефективності ESG-стратегій, а також інтеграція СВІ у стратегічне планування ризик-менеджменту.</w:t>
      </w:r>
    </w:p>
    <w:p w14:paraId="71A62FCF" w14:textId="3FE24816" w:rsidR="00AD7FC3" w:rsidRPr="00913129" w:rsidRDefault="00AD7FC3" w:rsidP="00AE7AE4">
      <w:pPr>
        <w:pStyle w:val="ae"/>
        <w:spacing w:before="0" w:beforeAutospacing="0" w:after="0" w:afterAutospacing="0" w:line="360" w:lineRule="auto"/>
        <w:ind w:firstLine="851"/>
        <w:jc w:val="both"/>
        <w:rPr>
          <w:color w:val="000000"/>
          <w:sz w:val="28"/>
          <w:szCs w:val="28"/>
          <w:lang w:val="uk-UA"/>
        </w:rPr>
      </w:pPr>
      <w:r w:rsidRPr="00913129">
        <w:rPr>
          <w:color w:val="000000"/>
          <w:sz w:val="28"/>
          <w:szCs w:val="28"/>
          <w:lang w:val="uk-UA"/>
        </w:rPr>
        <w:t>Узагальнюючи, соціально відповідальне інвестування стає стратегічним пріоритетом для компаній, інвесторів та держави, визначаючи нові орієнтири сталого розвитку та трансформації фінансового ринку.</w:t>
      </w:r>
    </w:p>
    <w:p w14:paraId="67F5FC62" w14:textId="72F2F154" w:rsidR="001B5C9C" w:rsidRPr="00913129" w:rsidRDefault="00344ACC" w:rsidP="00AE7AE4">
      <w:pPr>
        <w:pStyle w:val="ae"/>
        <w:spacing w:before="0" w:beforeAutospacing="0" w:after="0" w:afterAutospacing="0" w:line="360" w:lineRule="auto"/>
        <w:jc w:val="center"/>
        <w:rPr>
          <w:b/>
          <w:bCs/>
          <w:color w:val="000000"/>
          <w:sz w:val="28"/>
          <w:szCs w:val="28"/>
          <w:lang w:val="uk-UA"/>
        </w:rPr>
      </w:pPr>
      <w:r w:rsidRPr="00913129">
        <w:rPr>
          <w:color w:val="000000"/>
          <w:sz w:val="28"/>
          <w:szCs w:val="28"/>
          <w:lang w:val="uk-UA"/>
        </w:rPr>
        <w:br w:type="page"/>
      </w:r>
      <w:r w:rsidR="001B5C9C" w:rsidRPr="00913129">
        <w:rPr>
          <w:b/>
          <w:bCs/>
          <w:color w:val="000000"/>
          <w:sz w:val="28"/>
          <w:szCs w:val="28"/>
          <w:lang w:val="uk-UA"/>
        </w:rPr>
        <w:lastRenderedPageBreak/>
        <w:t>СПИСОК ВИКОРИСТАНИХ ДЖЕРЕЛ</w:t>
      </w:r>
    </w:p>
    <w:p w14:paraId="4B9D4AF6" w14:textId="77777777" w:rsidR="001B5C9C" w:rsidRPr="00913129" w:rsidRDefault="001B5C9C" w:rsidP="00AE7AE4">
      <w:pPr>
        <w:pStyle w:val="ae"/>
        <w:spacing w:before="0" w:beforeAutospacing="0" w:after="0" w:afterAutospacing="0" w:line="360" w:lineRule="auto"/>
        <w:jc w:val="both"/>
        <w:rPr>
          <w:color w:val="000000"/>
          <w:sz w:val="28"/>
          <w:szCs w:val="28"/>
          <w:lang w:val="uk-UA"/>
        </w:rPr>
      </w:pPr>
    </w:p>
    <w:p w14:paraId="3392D722" w14:textId="77777777" w:rsidR="00A73EA4" w:rsidRPr="00913129" w:rsidRDefault="001B5C9C" w:rsidP="007A09DC">
      <w:pPr>
        <w:pStyle w:val="ae"/>
        <w:numPr>
          <w:ilvl w:val="0"/>
          <w:numId w:val="21"/>
        </w:numPr>
        <w:tabs>
          <w:tab w:val="clear" w:pos="72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 xml:space="preserve">Martini, A. Socially responsible investing: From the ethical origins to the sustainable development framework of the European Union // Environment, Development and Sustainability. 2021. Vol. 23, № 11. P. 16874–16890. </w:t>
      </w:r>
    </w:p>
    <w:p w14:paraId="7654F44F" w14:textId="58C5B3E2" w:rsidR="001B5C9C" w:rsidRPr="00913129" w:rsidRDefault="001B5C9C" w:rsidP="007A09DC">
      <w:pPr>
        <w:pStyle w:val="ae"/>
        <w:numPr>
          <w:ilvl w:val="0"/>
          <w:numId w:val="21"/>
        </w:numPr>
        <w:tabs>
          <w:tab w:val="clear" w:pos="72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Шевердін О.О. Теоретичні концепції та моделі соціально відповідального інвестування // Економіка і організація управління. 2024. С. 182–190. DOI:</w:t>
      </w:r>
      <w:r w:rsidRPr="00913129">
        <w:rPr>
          <w:rStyle w:val="apple-converted-space"/>
          <w:rFonts w:eastAsiaTheme="majorEastAsia"/>
          <w:color w:val="000000" w:themeColor="text1"/>
          <w:sz w:val="28"/>
          <w:szCs w:val="28"/>
          <w:lang w:val="uk-UA"/>
        </w:rPr>
        <w:t> </w:t>
      </w:r>
      <w:hyperlink r:id="rId20" w:tgtFrame="_new" w:history="1">
        <w:r w:rsidRPr="00913129">
          <w:rPr>
            <w:rStyle w:val="af1"/>
            <w:rFonts w:eastAsiaTheme="majorEastAsia"/>
            <w:color w:val="000000" w:themeColor="text1"/>
            <w:sz w:val="28"/>
            <w:szCs w:val="28"/>
            <w:u w:val="none"/>
            <w:lang w:val="uk-UA"/>
          </w:rPr>
          <w:t>https://doi.org/10.31558/2307-2318.2024.2.17</w:t>
        </w:r>
      </w:hyperlink>
      <w:r w:rsidRPr="00913129">
        <w:rPr>
          <w:color w:val="000000" w:themeColor="text1"/>
          <w:sz w:val="28"/>
          <w:szCs w:val="28"/>
          <w:lang w:val="uk-UA"/>
        </w:rPr>
        <w:t>.</w:t>
      </w:r>
    </w:p>
    <w:p w14:paraId="664FA121" w14:textId="77777777" w:rsidR="00A73EA4" w:rsidRPr="00913129" w:rsidRDefault="001B5C9C" w:rsidP="00BD1E6C">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 xml:space="preserve">Zehir E., Aybars A. Is there any effect of ESG scores on portfolio performance? Evidence from Europe and Turkey // Journal of Capital Markets Studies. 2020. Vol. 4, № 2. P. 129–143. </w:t>
      </w:r>
    </w:p>
    <w:p w14:paraId="54A4DE9D" w14:textId="77777777" w:rsidR="00A73EA4" w:rsidRPr="00913129" w:rsidRDefault="001B5C9C" w:rsidP="00007EB8">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 xml:space="preserve">Dyck A., Lins K. V., Roth L., Wagner H. F. Do institutional investors drive corporate social responsibility? International evidence // Journal of Financial Economics. 2019. Vol. 131, № 3. P. 693–714. </w:t>
      </w:r>
    </w:p>
    <w:p w14:paraId="06CCE534" w14:textId="5EE6BB1B" w:rsidR="001B5C9C" w:rsidRPr="00913129" w:rsidRDefault="001B5C9C" w:rsidP="00007EB8">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Abdelzaher D. M., Martynov A., Abdel Zaher A. M. Vulnerability to climate change: Are innovative countries in a better position? // Research in International Business and Finance. 2020. Vol. 51. Art. 101098. DOI:</w:t>
      </w:r>
      <w:r w:rsidRPr="00913129">
        <w:rPr>
          <w:rStyle w:val="apple-converted-space"/>
          <w:rFonts w:eastAsiaTheme="majorEastAsia"/>
          <w:color w:val="000000" w:themeColor="text1"/>
          <w:sz w:val="28"/>
          <w:szCs w:val="28"/>
          <w:lang w:val="uk-UA"/>
        </w:rPr>
        <w:t> </w:t>
      </w:r>
      <w:hyperlink r:id="rId21" w:tgtFrame="_new" w:history="1">
        <w:r w:rsidRPr="00913129">
          <w:rPr>
            <w:rStyle w:val="af1"/>
            <w:rFonts w:eastAsiaTheme="majorEastAsia"/>
            <w:color w:val="000000" w:themeColor="text1"/>
            <w:sz w:val="28"/>
            <w:szCs w:val="28"/>
            <w:u w:val="none"/>
            <w:lang w:val="uk-UA"/>
          </w:rPr>
          <w:t>https://doi.org/10.1016/j.ribaf.2019.101098</w:t>
        </w:r>
      </w:hyperlink>
      <w:r w:rsidRPr="00913129">
        <w:rPr>
          <w:color w:val="000000" w:themeColor="text1"/>
          <w:sz w:val="28"/>
          <w:szCs w:val="28"/>
          <w:lang w:val="uk-UA"/>
        </w:rPr>
        <w:t>.</w:t>
      </w:r>
    </w:p>
    <w:p w14:paraId="7D81B19C" w14:textId="52E96103"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Liang H., Renneboog L. Corporate Social Responsibility and Sustainable Finance: A Review of the Literature (SSRN Scholarly Paper 3698631). 2020. DOI:</w:t>
      </w:r>
      <w:r w:rsidRPr="00913129">
        <w:rPr>
          <w:rStyle w:val="apple-converted-space"/>
          <w:rFonts w:eastAsiaTheme="majorEastAsia"/>
          <w:color w:val="000000" w:themeColor="text1"/>
          <w:sz w:val="28"/>
          <w:szCs w:val="28"/>
          <w:lang w:val="uk-UA"/>
        </w:rPr>
        <w:t> </w:t>
      </w:r>
      <w:hyperlink r:id="rId22" w:tgtFrame="_new" w:history="1">
        <w:r w:rsidRPr="00913129">
          <w:rPr>
            <w:rStyle w:val="af1"/>
            <w:rFonts w:eastAsiaTheme="majorEastAsia"/>
            <w:color w:val="000000" w:themeColor="text1"/>
            <w:sz w:val="28"/>
            <w:szCs w:val="28"/>
            <w:u w:val="none"/>
            <w:lang w:val="uk-UA"/>
          </w:rPr>
          <w:t>https://doi.org/10.2139/ssrn.3698631</w:t>
        </w:r>
      </w:hyperlink>
      <w:r w:rsidRPr="00913129">
        <w:rPr>
          <w:color w:val="000000" w:themeColor="text1"/>
          <w:sz w:val="28"/>
          <w:szCs w:val="28"/>
          <w:lang w:val="uk-UA"/>
        </w:rPr>
        <w:t>.</w:t>
      </w:r>
    </w:p>
    <w:p w14:paraId="7387B6F0" w14:textId="2E8E90F8"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Latapí Agudelo M. A., Jóhannsdóttir L., Davídsdóttir B. A literature review of the history and evolution of corporate social responsibility // International Journal of Corporate Social Responsibility. 2019. Vol. 4, № 1. Art. 1. DOI:</w:t>
      </w:r>
      <w:r w:rsidRPr="00913129">
        <w:rPr>
          <w:rStyle w:val="apple-converted-space"/>
          <w:rFonts w:eastAsiaTheme="majorEastAsia"/>
          <w:color w:val="000000" w:themeColor="text1"/>
          <w:sz w:val="28"/>
          <w:szCs w:val="28"/>
          <w:lang w:val="uk-UA"/>
        </w:rPr>
        <w:t> </w:t>
      </w:r>
      <w:hyperlink r:id="rId23" w:tgtFrame="_new" w:history="1">
        <w:r w:rsidRPr="00913129">
          <w:rPr>
            <w:rStyle w:val="af1"/>
            <w:rFonts w:eastAsiaTheme="majorEastAsia"/>
            <w:color w:val="000000" w:themeColor="text1"/>
            <w:sz w:val="28"/>
            <w:szCs w:val="28"/>
            <w:u w:val="none"/>
            <w:lang w:val="uk-UA"/>
          </w:rPr>
          <w:t>https://doi.org/10.1186/s40991-018-0039-y</w:t>
        </w:r>
      </w:hyperlink>
      <w:r w:rsidRPr="00913129">
        <w:rPr>
          <w:color w:val="000000" w:themeColor="text1"/>
          <w:sz w:val="28"/>
          <w:szCs w:val="28"/>
          <w:lang w:val="uk-UA"/>
        </w:rPr>
        <w:t>.</w:t>
      </w:r>
    </w:p>
    <w:p w14:paraId="673246FE" w14:textId="2C259D64" w:rsidR="0076415F" w:rsidRPr="00913129" w:rsidRDefault="006B36A6" w:rsidP="0076415F">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Соціально відповідальне інвестування для досягнення цілей сталого розвитку : монографія / за заг. ред. О. Л. Пластуна. Суми : ВВП «Мрія», 2023. 160 с. ISBN 978-966-473-342-4. URL:</w:t>
      </w:r>
      <w:r w:rsidRPr="00913129">
        <w:rPr>
          <w:rStyle w:val="apple-converted-space"/>
          <w:rFonts w:eastAsiaTheme="majorEastAsia"/>
          <w:color w:val="000000" w:themeColor="text1"/>
          <w:sz w:val="28"/>
          <w:szCs w:val="28"/>
          <w:lang w:val="uk-UA"/>
        </w:rPr>
        <w:t> </w:t>
      </w:r>
      <w:hyperlink r:id="rId24" w:tgtFrame="_new" w:history="1">
        <w:r w:rsidRPr="00913129">
          <w:rPr>
            <w:rStyle w:val="af1"/>
            <w:rFonts w:eastAsiaTheme="majorEastAsia"/>
            <w:color w:val="000000" w:themeColor="text1"/>
            <w:sz w:val="28"/>
            <w:szCs w:val="28"/>
            <w:u w:val="none"/>
            <w:lang w:val="uk-UA"/>
          </w:rPr>
          <w:t>https://essuir.sumdu.edu.ua/bitstream-</w:t>
        </w:r>
        <w:r w:rsidRPr="00913129">
          <w:rPr>
            <w:rStyle w:val="af1"/>
            <w:rFonts w:eastAsiaTheme="majorEastAsia"/>
            <w:color w:val="000000" w:themeColor="text1"/>
            <w:sz w:val="28"/>
            <w:szCs w:val="28"/>
            <w:u w:val="none"/>
            <w:lang w:val="uk-UA"/>
          </w:rPr>
          <w:lastRenderedPageBreak/>
          <w:t>download/123456789/94199/1/Plastun_responsible_investment.pdf</w:t>
        </w:r>
      </w:hyperlink>
      <w:r w:rsidRPr="00913129">
        <w:rPr>
          <w:rStyle w:val="apple-converted-space"/>
          <w:rFonts w:eastAsiaTheme="majorEastAsia"/>
          <w:color w:val="000000" w:themeColor="text1"/>
          <w:sz w:val="28"/>
          <w:szCs w:val="28"/>
          <w:lang w:val="uk-UA"/>
        </w:rPr>
        <w:t>.</w:t>
      </w:r>
      <w:r w:rsidR="0076415F" w:rsidRPr="00913129">
        <w:rPr>
          <w:rStyle w:val="apple-converted-space"/>
          <w:rFonts w:eastAsiaTheme="majorEastAsia"/>
          <w:color w:val="000000" w:themeColor="text1"/>
          <w:sz w:val="28"/>
          <w:szCs w:val="28"/>
          <w:lang w:val="uk-UA"/>
        </w:rPr>
        <w:t xml:space="preserve"> </w:t>
      </w:r>
      <w:r w:rsidR="0076415F" w:rsidRPr="00913129">
        <w:rPr>
          <w:color w:val="000000" w:themeColor="text1"/>
          <w:sz w:val="28"/>
          <w:szCs w:val="28"/>
          <w:lang w:val="uk-UA"/>
        </w:rPr>
        <w:t>(дата звернення: 24.02. 2025)</w:t>
      </w:r>
    </w:p>
    <w:p w14:paraId="70227E97" w14:textId="5C9B3BEC"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Townsend B. From SRI to ESG: The Origins of Socially Responsible and Sustainable Investing // The Journal of Impact and ESG Investing. 2020. Vol. 1. P. 10–25. DOI:</w:t>
      </w:r>
      <w:r w:rsidRPr="00913129">
        <w:rPr>
          <w:rStyle w:val="apple-converted-space"/>
          <w:rFonts w:eastAsiaTheme="majorEastAsia"/>
          <w:color w:val="000000" w:themeColor="text1"/>
          <w:sz w:val="28"/>
          <w:szCs w:val="28"/>
          <w:lang w:val="uk-UA"/>
        </w:rPr>
        <w:t> </w:t>
      </w:r>
      <w:hyperlink r:id="rId25" w:tgtFrame="_new" w:history="1">
        <w:r w:rsidRPr="00913129">
          <w:rPr>
            <w:rStyle w:val="af1"/>
            <w:rFonts w:eastAsiaTheme="majorEastAsia"/>
            <w:color w:val="000000" w:themeColor="text1"/>
            <w:sz w:val="28"/>
            <w:szCs w:val="28"/>
            <w:u w:val="none"/>
            <w:lang w:val="uk-UA"/>
          </w:rPr>
          <w:t>https://doi.org/10.3905/jesg.2020.1.1.010</w:t>
        </w:r>
      </w:hyperlink>
      <w:r w:rsidRPr="00913129">
        <w:rPr>
          <w:color w:val="000000" w:themeColor="text1"/>
          <w:sz w:val="28"/>
          <w:szCs w:val="28"/>
          <w:lang w:val="uk-UA"/>
        </w:rPr>
        <w:t>.</w:t>
      </w:r>
    </w:p>
    <w:p w14:paraId="765F6961" w14:textId="77777777"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ESG Investing: Practices, Progress and Challenges. OECD, 24.09.2020. URL:</w:t>
      </w:r>
      <w:r w:rsidRPr="00913129">
        <w:rPr>
          <w:rStyle w:val="apple-converted-space"/>
          <w:rFonts w:eastAsiaTheme="majorEastAsia"/>
          <w:color w:val="000000" w:themeColor="text1"/>
          <w:sz w:val="28"/>
          <w:szCs w:val="28"/>
          <w:lang w:val="uk-UA"/>
        </w:rPr>
        <w:t> </w:t>
      </w:r>
      <w:hyperlink r:id="rId26" w:tgtFrame="_new" w:history="1">
        <w:r w:rsidRPr="00913129">
          <w:rPr>
            <w:rStyle w:val="af1"/>
            <w:rFonts w:eastAsiaTheme="majorEastAsia"/>
            <w:color w:val="000000" w:themeColor="text1"/>
            <w:sz w:val="28"/>
            <w:szCs w:val="28"/>
            <w:u w:val="none"/>
            <w:lang w:val="uk-UA"/>
          </w:rPr>
          <w:t>https://www.oecd.org/en/publications/esg-investing-practices-progress-and-challenges_b4f71091-en.html</w:t>
        </w:r>
      </w:hyperlink>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(дата звернення: 10 березня 2025).</w:t>
      </w:r>
    </w:p>
    <w:p w14:paraId="455A981D" w14:textId="5B7819A5"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Talan G., Sharma G. D., Pereira V., Muschert G. W. From ESG to holistic value addition: Rethinking sustainable investment from the lens of stakeholder theory // International Review of Economics &amp; Finance. 2024. Vol. 96. Art. 103530. DOI:</w:t>
      </w:r>
      <w:r w:rsidRPr="00913129">
        <w:rPr>
          <w:rStyle w:val="apple-converted-space"/>
          <w:rFonts w:eastAsiaTheme="majorEastAsia"/>
          <w:color w:val="000000" w:themeColor="text1"/>
          <w:sz w:val="28"/>
          <w:szCs w:val="28"/>
          <w:lang w:val="uk-UA"/>
        </w:rPr>
        <w:t> </w:t>
      </w:r>
      <w:hyperlink r:id="rId27" w:tgtFrame="_new" w:history="1">
        <w:r w:rsidRPr="00913129">
          <w:rPr>
            <w:rStyle w:val="af1"/>
            <w:rFonts w:eastAsiaTheme="majorEastAsia"/>
            <w:color w:val="000000" w:themeColor="text1"/>
            <w:sz w:val="28"/>
            <w:szCs w:val="28"/>
            <w:u w:val="none"/>
            <w:lang w:val="uk-UA"/>
          </w:rPr>
          <w:t>https://doi.org/10.1016/j.iref.2024.103530</w:t>
        </w:r>
      </w:hyperlink>
      <w:r w:rsidRPr="00913129">
        <w:rPr>
          <w:color w:val="000000" w:themeColor="text1"/>
          <w:sz w:val="28"/>
          <w:szCs w:val="28"/>
          <w:lang w:val="uk-UA"/>
        </w:rPr>
        <w:t>.</w:t>
      </w:r>
    </w:p>
    <w:p w14:paraId="3F8A5D56" w14:textId="300A5F52"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Stefanelli K., Storani S. Socially responsible investing: A fair-weather commitment // Annals of Operations Research. 2025. DOI:</w:t>
      </w:r>
      <w:r w:rsidRPr="00913129">
        <w:rPr>
          <w:rStyle w:val="apple-converted-space"/>
          <w:rFonts w:eastAsiaTheme="majorEastAsia"/>
          <w:color w:val="000000" w:themeColor="text1"/>
          <w:sz w:val="28"/>
          <w:szCs w:val="28"/>
          <w:lang w:val="uk-UA"/>
        </w:rPr>
        <w:t> </w:t>
      </w:r>
      <w:hyperlink r:id="rId28" w:tgtFrame="_new" w:history="1">
        <w:r w:rsidRPr="00913129">
          <w:rPr>
            <w:rStyle w:val="af1"/>
            <w:rFonts w:eastAsiaTheme="majorEastAsia"/>
            <w:color w:val="000000" w:themeColor="text1"/>
            <w:sz w:val="28"/>
            <w:szCs w:val="28"/>
            <w:u w:val="none"/>
            <w:lang w:val="uk-UA"/>
          </w:rPr>
          <w:t>https://doi.org/10.1007/s10479-025-06613-9</w:t>
        </w:r>
      </w:hyperlink>
      <w:r w:rsidRPr="00913129">
        <w:rPr>
          <w:color w:val="000000" w:themeColor="text1"/>
          <w:sz w:val="28"/>
          <w:szCs w:val="28"/>
          <w:lang w:val="uk-UA"/>
        </w:rPr>
        <w:t>.</w:t>
      </w:r>
    </w:p>
    <w:p w14:paraId="3A2B8D0D" w14:textId="325E3D39"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Narula R., Rao P., Kumar S., Paltrinieri A. ESG investing &amp; firm performance: Retrospections of past &amp; reflections of future // Corporate Social Responsibility and Environmental Management. 2025. Vol. 32, № 1. P. 1096–1121. DOI:</w:t>
      </w:r>
      <w:r w:rsidRPr="00913129">
        <w:rPr>
          <w:rStyle w:val="apple-converted-space"/>
          <w:rFonts w:eastAsiaTheme="majorEastAsia"/>
          <w:color w:val="000000" w:themeColor="text1"/>
          <w:sz w:val="28"/>
          <w:szCs w:val="28"/>
          <w:lang w:val="uk-UA"/>
        </w:rPr>
        <w:t> </w:t>
      </w:r>
      <w:hyperlink r:id="rId29" w:tgtFrame="_new" w:history="1">
        <w:r w:rsidRPr="00913129">
          <w:rPr>
            <w:rStyle w:val="af1"/>
            <w:rFonts w:eastAsiaTheme="majorEastAsia"/>
            <w:color w:val="000000" w:themeColor="text1"/>
            <w:sz w:val="28"/>
            <w:szCs w:val="28"/>
            <w:u w:val="none"/>
            <w:lang w:val="uk-UA"/>
          </w:rPr>
          <w:t>https://doi.org/10.1002/csr.2982</w:t>
        </w:r>
      </w:hyperlink>
      <w:r w:rsidR="001E22B5" w:rsidRPr="00913129">
        <w:rPr>
          <w:rStyle w:val="apple-converted-space"/>
          <w:rFonts w:eastAsiaTheme="majorEastAsia"/>
          <w:color w:val="000000" w:themeColor="text1"/>
          <w:sz w:val="28"/>
          <w:szCs w:val="28"/>
          <w:lang w:val="uk-UA"/>
        </w:rPr>
        <w:t>.</w:t>
      </w:r>
    </w:p>
    <w:p w14:paraId="33CEF946" w14:textId="6A01E837"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Marzuki A., Nor F. M., Ramli N. A., Basah M. Y. A., Aziz M. R. A. The Influence of ESG, SRI, Ethical, and Impact Investing Activities on Portfolio and Financial Performance—Bibliometric Analysis/Mapping and Clustering Analysis // Journal of Risk and Financial Management. 2023. Vol. 16, № 7. Art. 7. DOI:</w:t>
      </w:r>
      <w:r w:rsidRPr="00913129">
        <w:rPr>
          <w:rStyle w:val="apple-converted-space"/>
          <w:rFonts w:eastAsiaTheme="majorEastAsia"/>
          <w:color w:val="000000" w:themeColor="text1"/>
          <w:sz w:val="28"/>
          <w:szCs w:val="28"/>
          <w:lang w:val="uk-UA"/>
        </w:rPr>
        <w:t> </w:t>
      </w:r>
      <w:hyperlink r:id="rId30" w:tgtFrame="_new" w:history="1">
        <w:r w:rsidRPr="00913129">
          <w:rPr>
            <w:rStyle w:val="af1"/>
            <w:rFonts w:eastAsiaTheme="majorEastAsia"/>
            <w:color w:val="000000" w:themeColor="text1"/>
            <w:sz w:val="28"/>
            <w:szCs w:val="28"/>
            <w:u w:val="none"/>
            <w:lang w:val="uk-UA"/>
          </w:rPr>
          <w:t>https://doi.org/10.3390/jrfm16070321</w:t>
        </w:r>
      </w:hyperlink>
      <w:r w:rsidR="001E22B5" w:rsidRPr="00913129">
        <w:rPr>
          <w:rStyle w:val="apple-converted-space"/>
          <w:rFonts w:eastAsiaTheme="majorEastAsia"/>
          <w:color w:val="000000" w:themeColor="text1"/>
          <w:sz w:val="28"/>
          <w:szCs w:val="28"/>
          <w:lang w:val="uk-UA"/>
        </w:rPr>
        <w:t>.</w:t>
      </w:r>
    </w:p>
    <w:p w14:paraId="263DCC32" w14:textId="05EF222D"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Torri G., Giacometti R., Dentcheva D., Rachev S. T., Lindquist W. B. ESG-coherent risk measures for sustainable investing (arXiv:2309.05866) // arXiv. 2025. DOI:</w:t>
      </w:r>
      <w:r w:rsidRPr="00913129">
        <w:rPr>
          <w:rStyle w:val="apple-converted-space"/>
          <w:rFonts w:eastAsiaTheme="majorEastAsia"/>
          <w:color w:val="000000" w:themeColor="text1"/>
          <w:sz w:val="28"/>
          <w:szCs w:val="28"/>
          <w:lang w:val="uk-UA"/>
        </w:rPr>
        <w:t> </w:t>
      </w:r>
      <w:hyperlink r:id="rId31" w:tgtFrame="_new" w:history="1">
        <w:r w:rsidRPr="00913129">
          <w:rPr>
            <w:rStyle w:val="af1"/>
            <w:rFonts w:eastAsiaTheme="majorEastAsia"/>
            <w:color w:val="000000" w:themeColor="text1"/>
            <w:sz w:val="28"/>
            <w:szCs w:val="28"/>
            <w:u w:val="none"/>
            <w:lang w:val="uk-UA"/>
          </w:rPr>
          <w:t>https://doi.org/10.48550/arXiv.2309.05866</w:t>
        </w:r>
      </w:hyperlink>
      <w:r w:rsidR="001E22B5" w:rsidRPr="00913129">
        <w:rPr>
          <w:rStyle w:val="apple-converted-space"/>
          <w:rFonts w:eastAsiaTheme="majorEastAsia"/>
          <w:color w:val="000000" w:themeColor="text1"/>
          <w:sz w:val="28"/>
          <w:szCs w:val="28"/>
          <w:lang w:val="uk-UA"/>
        </w:rPr>
        <w:t>.</w:t>
      </w:r>
    </w:p>
    <w:p w14:paraId="2BCF64DE" w14:textId="2C7C6F88"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Alhamis I. Theoretical Frameworks for Integrating Sustainability Factors into Institutional Investment Decision-Making // J</w:t>
      </w:r>
      <w:r w:rsidR="001E22B5" w:rsidRPr="00913129">
        <w:rPr>
          <w:color w:val="000000" w:themeColor="text1"/>
          <w:sz w:val="28"/>
          <w:szCs w:val="28"/>
          <w:lang w:val="uk-UA"/>
        </w:rPr>
        <w:t>ouurnal</w:t>
      </w:r>
      <w:r w:rsidRPr="00913129">
        <w:rPr>
          <w:color w:val="000000" w:themeColor="text1"/>
          <w:sz w:val="28"/>
          <w:szCs w:val="28"/>
          <w:lang w:val="uk-UA"/>
        </w:rPr>
        <w:t xml:space="preserve"> </w:t>
      </w:r>
      <w:r w:rsidR="001E22B5" w:rsidRPr="00913129">
        <w:rPr>
          <w:color w:val="000000" w:themeColor="text1"/>
          <w:sz w:val="28"/>
          <w:szCs w:val="28"/>
          <w:lang w:val="uk-UA"/>
        </w:rPr>
        <w:t>of</w:t>
      </w:r>
      <w:r w:rsidRPr="00913129">
        <w:rPr>
          <w:color w:val="000000" w:themeColor="text1"/>
          <w:sz w:val="28"/>
          <w:szCs w:val="28"/>
          <w:lang w:val="uk-UA"/>
        </w:rPr>
        <w:t xml:space="preserve"> </w:t>
      </w:r>
      <w:r w:rsidR="001E22B5" w:rsidRPr="00913129">
        <w:rPr>
          <w:color w:val="000000" w:themeColor="text1"/>
          <w:sz w:val="28"/>
          <w:szCs w:val="28"/>
          <w:lang w:val="uk-UA"/>
        </w:rPr>
        <w:t>social</w:t>
      </w:r>
      <w:r w:rsidRPr="00913129">
        <w:rPr>
          <w:color w:val="000000" w:themeColor="text1"/>
          <w:sz w:val="28"/>
          <w:szCs w:val="28"/>
          <w:lang w:val="uk-UA"/>
        </w:rPr>
        <w:t xml:space="preserve"> </w:t>
      </w:r>
      <w:r w:rsidR="001E22B5" w:rsidRPr="00913129">
        <w:rPr>
          <w:color w:val="000000" w:themeColor="text1"/>
          <w:sz w:val="28"/>
          <w:szCs w:val="28"/>
          <w:lang w:val="uk-UA"/>
        </w:rPr>
        <w:t>science</w:t>
      </w:r>
      <w:r w:rsidRPr="00913129">
        <w:rPr>
          <w:color w:val="000000" w:themeColor="text1"/>
          <w:sz w:val="28"/>
          <w:szCs w:val="28"/>
          <w:lang w:val="uk-UA"/>
        </w:rPr>
        <w:t xml:space="preserve"> </w:t>
      </w:r>
      <w:r w:rsidR="001E22B5" w:rsidRPr="00913129">
        <w:rPr>
          <w:color w:val="000000" w:themeColor="text1"/>
          <w:sz w:val="28"/>
          <w:szCs w:val="28"/>
          <w:lang w:val="uk-UA"/>
        </w:rPr>
        <w:t>research</w:t>
      </w:r>
      <w:r w:rsidRPr="00913129">
        <w:rPr>
          <w:color w:val="000000" w:themeColor="text1"/>
          <w:sz w:val="28"/>
          <w:szCs w:val="28"/>
          <w:lang w:val="uk-UA"/>
        </w:rPr>
        <w:t>. 2024. Vol. 20. P. 51–63. DOI:</w:t>
      </w:r>
      <w:r w:rsidRPr="00913129">
        <w:rPr>
          <w:rStyle w:val="apple-converted-space"/>
          <w:rFonts w:eastAsiaTheme="majorEastAsia"/>
          <w:color w:val="000000" w:themeColor="text1"/>
          <w:sz w:val="28"/>
          <w:szCs w:val="28"/>
          <w:lang w:val="uk-UA"/>
        </w:rPr>
        <w:t> </w:t>
      </w:r>
      <w:hyperlink r:id="rId32" w:tgtFrame="_new" w:history="1">
        <w:r w:rsidRPr="00913129">
          <w:rPr>
            <w:rStyle w:val="af1"/>
            <w:rFonts w:eastAsiaTheme="majorEastAsia"/>
            <w:color w:val="000000" w:themeColor="text1"/>
            <w:sz w:val="28"/>
            <w:szCs w:val="28"/>
            <w:u w:val="none"/>
            <w:lang w:val="uk-UA"/>
          </w:rPr>
          <w:t>https://doi.org/10.24297/jssr.v20i.9687</w:t>
        </w:r>
      </w:hyperlink>
      <w:r w:rsidR="001E22B5" w:rsidRPr="00913129">
        <w:rPr>
          <w:rStyle w:val="apple-converted-space"/>
          <w:rFonts w:eastAsiaTheme="majorEastAsia"/>
          <w:color w:val="000000" w:themeColor="text1"/>
          <w:sz w:val="28"/>
          <w:szCs w:val="28"/>
          <w:lang w:val="uk-UA"/>
        </w:rPr>
        <w:t>.</w:t>
      </w:r>
    </w:p>
    <w:p w14:paraId="4E5D7629" w14:textId="7F3AF374"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lastRenderedPageBreak/>
        <w:t>Akala C. S., Neuhaus T., Leary-Govender I. O. A Systematic Review of Sustainable Investment Approaches // International Journal of Economics and Finance. 2022. Vol. 14, № 12. P. 1–72.</w:t>
      </w:r>
    </w:p>
    <w:p w14:paraId="76C920CB" w14:textId="76DBFA1D" w:rsidR="006B36A6" w:rsidRPr="00913129" w:rsidRDefault="006B36A6"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Lo A. W., Zhang R. Quantifying the Impact of Impact Investing. Manuscript. This Draft: 18 December 2022. 62 p. URL:</w:t>
      </w:r>
      <w:r w:rsidRPr="00913129">
        <w:rPr>
          <w:rStyle w:val="apple-converted-space"/>
          <w:rFonts w:eastAsiaTheme="majorEastAsia"/>
          <w:color w:val="000000" w:themeColor="text1"/>
          <w:sz w:val="28"/>
          <w:szCs w:val="28"/>
          <w:lang w:val="uk-UA"/>
        </w:rPr>
        <w:t> </w:t>
      </w:r>
      <w:r w:rsidR="00777C49" w:rsidRPr="00913129">
        <w:rPr>
          <w:color w:val="000000" w:themeColor="text1"/>
          <w:sz w:val="28"/>
          <w:szCs w:val="28"/>
          <w:lang w:val="uk-UA"/>
        </w:rPr>
        <w:t>https://www.icpmnetwork.com/wp-content/uploads/2023/07/Quantifying-the-Impact-of-Impact-Investing.pdf</w:t>
      </w:r>
    </w:p>
    <w:p w14:paraId="08AA72A9" w14:textId="0D404CA5" w:rsidR="006B36A6" w:rsidRPr="00913129" w:rsidRDefault="006B36A6"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Heath D., Macciocchi D., Michaely R., Ringgenberg M. C. Does Socially Responsible Investing Change Firm Behavior? ECGI Working Paper Series in Finance, № 762/2021. February 2023. URL:</w:t>
      </w:r>
      <w:r w:rsidRPr="00913129">
        <w:rPr>
          <w:rStyle w:val="apple-converted-space"/>
          <w:rFonts w:eastAsiaTheme="majorEastAsia"/>
          <w:color w:val="000000" w:themeColor="text1"/>
          <w:sz w:val="28"/>
          <w:szCs w:val="28"/>
          <w:lang w:val="uk-UA"/>
        </w:rPr>
        <w:t> </w:t>
      </w:r>
      <w:hyperlink r:id="rId33" w:tgtFrame="_new" w:history="1">
        <w:r w:rsidRPr="00913129">
          <w:rPr>
            <w:rStyle w:val="af1"/>
            <w:rFonts w:eastAsiaTheme="majorEastAsia"/>
            <w:color w:val="000000" w:themeColor="text1"/>
            <w:sz w:val="28"/>
            <w:szCs w:val="28"/>
            <w:u w:val="none"/>
            <w:lang w:val="uk-UA"/>
          </w:rPr>
          <w:t>https://ssrn.com/abstract=3837706</w:t>
        </w:r>
      </w:hyperlink>
      <w:r w:rsidRPr="00913129">
        <w:rPr>
          <w:color w:val="000000" w:themeColor="text1"/>
          <w:sz w:val="28"/>
          <w:szCs w:val="28"/>
          <w:lang w:val="uk-UA"/>
        </w:rPr>
        <w:t>.</w:t>
      </w:r>
    </w:p>
    <w:p w14:paraId="3A1479FA" w14:textId="4AC87E84"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Iannone B., Duttilo P., Gattone S. A. Evaluating the Resilience of ESG Investments in European Markets During Turmoil Periods // Corporate Social Responsibility and Environmental Management. n/a(n/a). DOI:</w:t>
      </w:r>
      <w:r w:rsidRPr="00913129">
        <w:rPr>
          <w:rStyle w:val="apple-converted-space"/>
          <w:rFonts w:eastAsiaTheme="majorEastAsia"/>
          <w:color w:val="000000" w:themeColor="text1"/>
          <w:sz w:val="28"/>
          <w:szCs w:val="28"/>
          <w:lang w:val="uk-UA"/>
        </w:rPr>
        <w:t> </w:t>
      </w:r>
      <w:hyperlink r:id="rId34" w:tgtFrame="_new" w:history="1">
        <w:r w:rsidRPr="00913129">
          <w:rPr>
            <w:rStyle w:val="af1"/>
            <w:rFonts w:eastAsiaTheme="majorEastAsia"/>
            <w:color w:val="000000" w:themeColor="text1"/>
            <w:sz w:val="28"/>
            <w:szCs w:val="28"/>
            <w:u w:val="none"/>
            <w:lang w:val="uk-UA"/>
          </w:rPr>
          <w:t>https://doi.org/10.1002/csr.3225</w:t>
        </w:r>
      </w:hyperlink>
      <w:r w:rsidR="001E22B5" w:rsidRPr="00913129">
        <w:rPr>
          <w:rStyle w:val="apple-converted-space"/>
          <w:rFonts w:eastAsiaTheme="majorEastAsia"/>
          <w:color w:val="000000" w:themeColor="text1"/>
          <w:sz w:val="28"/>
          <w:szCs w:val="28"/>
          <w:lang w:val="uk-UA"/>
        </w:rPr>
        <w:t>.</w:t>
      </w:r>
    </w:p>
    <w:p w14:paraId="315D29A4" w14:textId="76987A3F" w:rsidR="0076415F" w:rsidRPr="00913129" w:rsidRDefault="001B5C9C" w:rsidP="0076415F">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2012 Trends Report | GSIA. URL:</w:t>
      </w:r>
      <w:r w:rsidRPr="00913129">
        <w:rPr>
          <w:rStyle w:val="apple-converted-space"/>
          <w:rFonts w:eastAsiaTheme="majorEastAsia"/>
          <w:color w:val="000000" w:themeColor="text1"/>
          <w:sz w:val="28"/>
          <w:szCs w:val="28"/>
          <w:lang w:val="uk-UA"/>
        </w:rPr>
        <w:t> </w:t>
      </w:r>
      <w:hyperlink r:id="rId35" w:tgtFrame="_new" w:history="1">
        <w:r w:rsidRPr="00913129">
          <w:rPr>
            <w:rStyle w:val="af1"/>
            <w:rFonts w:eastAsiaTheme="majorEastAsia"/>
            <w:color w:val="000000" w:themeColor="text1"/>
            <w:sz w:val="28"/>
            <w:szCs w:val="28"/>
            <w:u w:val="none"/>
            <w:lang w:val="uk-UA"/>
          </w:rPr>
          <w:t>https://www.gsi-alliance.org/latest-trends-report/</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15.03. 2025)</w:t>
      </w:r>
    </w:p>
    <w:p w14:paraId="78FBCF65" w14:textId="5E133B30" w:rsidR="0076415F" w:rsidRPr="00913129" w:rsidRDefault="001B5C9C" w:rsidP="00CD5C0D">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Global Sustainable Investment Review 2014 | GSIA. URL:</w:t>
      </w:r>
      <w:r w:rsidRPr="00913129">
        <w:rPr>
          <w:rStyle w:val="apple-converted-space"/>
          <w:rFonts w:eastAsiaTheme="majorEastAsia"/>
          <w:color w:val="000000" w:themeColor="text1"/>
          <w:sz w:val="28"/>
          <w:szCs w:val="28"/>
          <w:lang w:val="uk-UA"/>
        </w:rPr>
        <w:t> </w:t>
      </w:r>
      <w:hyperlink r:id="rId36" w:tgtFrame="_new" w:history="1">
        <w:r w:rsidRPr="00913129">
          <w:rPr>
            <w:rStyle w:val="af1"/>
            <w:rFonts w:eastAsiaTheme="majorEastAsia"/>
            <w:color w:val="000000" w:themeColor="text1"/>
            <w:sz w:val="28"/>
            <w:szCs w:val="28"/>
            <w:u w:val="none"/>
            <w:lang w:val="uk-UA"/>
          </w:rPr>
          <w:t>https://www.gsi-alliance.org/members-resources/global-sustainable-investment-review-2014/</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15.03. 2025)</w:t>
      </w:r>
    </w:p>
    <w:p w14:paraId="097CD00A" w14:textId="6F504DB9" w:rsidR="0076415F" w:rsidRPr="00913129" w:rsidRDefault="001B5C9C" w:rsidP="00D14318">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Trends Report 2016 | GSIA. URL:</w:t>
      </w:r>
      <w:r w:rsidRPr="00913129">
        <w:rPr>
          <w:rStyle w:val="apple-converted-space"/>
          <w:rFonts w:eastAsiaTheme="majorEastAsia"/>
          <w:color w:val="000000" w:themeColor="text1"/>
          <w:sz w:val="28"/>
          <w:szCs w:val="28"/>
          <w:lang w:val="uk-UA"/>
        </w:rPr>
        <w:t> </w:t>
      </w:r>
      <w:hyperlink r:id="rId37" w:tgtFrame="_new" w:history="1">
        <w:r w:rsidRPr="00913129">
          <w:rPr>
            <w:rStyle w:val="af1"/>
            <w:rFonts w:eastAsiaTheme="majorEastAsia"/>
            <w:color w:val="000000" w:themeColor="text1"/>
            <w:sz w:val="28"/>
            <w:szCs w:val="28"/>
            <w:u w:val="none"/>
            <w:lang w:val="uk-UA"/>
          </w:rPr>
          <w:t>https://www.gsi-alliance.org/members-resources/trends-report-2016/</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15.03. 2025)</w:t>
      </w:r>
    </w:p>
    <w:p w14:paraId="5AFCB81E" w14:textId="1445CFD9" w:rsidR="0076415F" w:rsidRPr="00913129" w:rsidRDefault="001B5C9C" w:rsidP="00E93D01">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Trends Report 2018 | GSIA. URL:</w:t>
      </w:r>
      <w:r w:rsidRPr="00913129">
        <w:rPr>
          <w:rStyle w:val="apple-converted-space"/>
          <w:rFonts w:eastAsiaTheme="majorEastAsia"/>
          <w:color w:val="000000" w:themeColor="text1"/>
          <w:sz w:val="28"/>
          <w:szCs w:val="28"/>
          <w:lang w:val="uk-UA"/>
        </w:rPr>
        <w:t> </w:t>
      </w:r>
      <w:hyperlink r:id="rId38" w:tgtFrame="_new" w:history="1">
        <w:r w:rsidRPr="00913129">
          <w:rPr>
            <w:rStyle w:val="af1"/>
            <w:rFonts w:eastAsiaTheme="majorEastAsia"/>
            <w:color w:val="000000" w:themeColor="text1"/>
            <w:sz w:val="28"/>
            <w:szCs w:val="28"/>
            <w:u w:val="none"/>
            <w:lang w:val="uk-UA"/>
          </w:rPr>
          <w:t>https://www.gsi-alliance.org/trends-report-2018/</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15.03. 2025)</w:t>
      </w:r>
    </w:p>
    <w:p w14:paraId="31DD15F6" w14:textId="2C304E43" w:rsidR="0076415F" w:rsidRPr="00913129" w:rsidRDefault="001B5C9C" w:rsidP="0086625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Trends Report 2020 | GSIA. URL:</w:t>
      </w:r>
      <w:r w:rsidRPr="00913129">
        <w:rPr>
          <w:rStyle w:val="apple-converted-space"/>
          <w:rFonts w:eastAsiaTheme="majorEastAsia"/>
          <w:color w:val="000000" w:themeColor="text1"/>
          <w:sz w:val="28"/>
          <w:szCs w:val="28"/>
          <w:lang w:val="uk-UA"/>
        </w:rPr>
        <w:t> </w:t>
      </w:r>
      <w:hyperlink r:id="rId39" w:tgtFrame="_new" w:history="1">
        <w:r w:rsidRPr="00913129">
          <w:rPr>
            <w:rStyle w:val="af1"/>
            <w:rFonts w:eastAsiaTheme="majorEastAsia"/>
            <w:color w:val="000000" w:themeColor="text1"/>
            <w:sz w:val="28"/>
            <w:szCs w:val="28"/>
            <w:u w:val="none"/>
            <w:lang w:val="uk-UA"/>
          </w:rPr>
          <w:t>https://www.gsi-alliance.org/trends-report-2020/</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15.03. 2025)</w:t>
      </w:r>
    </w:p>
    <w:p w14:paraId="5C1D671C" w14:textId="09A05E6E" w:rsidR="0076415F" w:rsidRPr="00913129" w:rsidRDefault="001B5C9C" w:rsidP="005405C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Global Sustainable Investment Review 2022 | GSIA. URL:</w:t>
      </w:r>
      <w:r w:rsidRPr="00913129">
        <w:rPr>
          <w:rStyle w:val="apple-converted-space"/>
          <w:rFonts w:eastAsiaTheme="majorEastAsia"/>
          <w:color w:val="000000" w:themeColor="text1"/>
          <w:sz w:val="28"/>
          <w:szCs w:val="28"/>
          <w:lang w:val="uk-UA"/>
        </w:rPr>
        <w:t> </w:t>
      </w:r>
      <w:hyperlink r:id="rId40" w:tgtFrame="_new" w:history="1">
        <w:r w:rsidRPr="00913129">
          <w:rPr>
            <w:rStyle w:val="af1"/>
            <w:rFonts w:eastAsiaTheme="majorEastAsia"/>
            <w:color w:val="000000" w:themeColor="text1"/>
            <w:sz w:val="28"/>
            <w:szCs w:val="28"/>
            <w:u w:val="none"/>
            <w:lang w:val="uk-UA"/>
          </w:rPr>
          <w:t>https://www.gsi-alliance.org/members-resources/gsir2022/</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15.03. 2025)</w:t>
      </w:r>
    </w:p>
    <w:p w14:paraId="6B46E049" w14:textId="6F097CC7" w:rsidR="006B36A6" w:rsidRPr="00913129" w:rsidRDefault="006B36A6" w:rsidP="00E469FF">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 xml:space="preserve">Hand D., Sunderji S., Ulanow M., Remsberg R., Xiao K. State of the market 2024: Trends, performance and allocations. Global Impact Investing </w:t>
      </w:r>
      <w:r w:rsidRPr="00913129">
        <w:rPr>
          <w:color w:val="000000" w:themeColor="text1"/>
          <w:sz w:val="28"/>
          <w:szCs w:val="28"/>
          <w:lang w:val="uk-UA"/>
        </w:rPr>
        <w:lastRenderedPageBreak/>
        <w:t>Network (GIIN). New York, September 2024. URL:</w:t>
      </w:r>
      <w:r w:rsidRPr="00913129">
        <w:rPr>
          <w:rStyle w:val="apple-converted-space"/>
          <w:rFonts w:eastAsiaTheme="majorEastAsia"/>
          <w:color w:val="000000" w:themeColor="text1"/>
          <w:sz w:val="28"/>
          <w:szCs w:val="28"/>
          <w:lang w:val="uk-UA"/>
        </w:rPr>
        <w:t> </w:t>
      </w:r>
      <w:hyperlink r:id="rId41" w:tgtFrame="_new" w:history="1">
        <w:r w:rsidRPr="00913129">
          <w:rPr>
            <w:rStyle w:val="af1"/>
            <w:rFonts w:eastAsiaTheme="majorEastAsia"/>
            <w:color w:val="000000" w:themeColor="text1"/>
            <w:sz w:val="28"/>
            <w:szCs w:val="28"/>
            <w:u w:val="none"/>
            <w:lang w:val="uk-UA"/>
          </w:rPr>
          <w:t>https://s3.amazonaws.com/giin-web-assets/giin/assets/publication/giin-stateofthemarket2024-report-2024.pdf</w:t>
        </w:r>
      </w:hyperlink>
      <w:r w:rsidRPr="00913129">
        <w:rPr>
          <w:rStyle w:val="apple-converted-space"/>
          <w:rFonts w:eastAsiaTheme="majorEastAsia"/>
          <w:color w:val="000000" w:themeColor="text1"/>
          <w:sz w:val="28"/>
          <w:szCs w:val="28"/>
          <w:lang w:val="uk-UA"/>
        </w:rPr>
        <w:t>.</w:t>
      </w:r>
    </w:p>
    <w:p w14:paraId="17DD88A0" w14:textId="77777777" w:rsidR="0076415F" w:rsidRPr="00913129" w:rsidRDefault="001B5C9C" w:rsidP="0076415F">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Green bonds in Europe. 04.11.2024. URL:</w:t>
      </w:r>
      <w:r w:rsidRPr="00913129">
        <w:rPr>
          <w:rStyle w:val="apple-converted-space"/>
          <w:rFonts w:eastAsiaTheme="majorEastAsia"/>
          <w:color w:val="000000" w:themeColor="text1"/>
          <w:sz w:val="28"/>
          <w:szCs w:val="28"/>
          <w:lang w:val="uk-UA"/>
        </w:rPr>
        <w:t> </w:t>
      </w:r>
      <w:hyperlink r:id="rId42" w:tgtFrame="_new" w:history="1">
        <w:r w:rsidRPr="00913129">
          <w:rPr>
            <w:rStyle w:val="af1"/>
            <w:rFonts w:eastAsiaTheme="majorEastAsia"/>
            <w:color w:val="000000" w:themeColor="text1"/>
            <w:sz w:val="28"/>
            <w:szCs w:val="28"/>
            <w:u w:val="none"/>
            <w:lang w:val="uk-UA"/>
          </w:rPr>
          <w:t>https://www.eea.europa.eu/en/analysis/indicators/green-bonds-8th-eap</w:t>
        </w:r>
      </w:hyperlink>
      <w:r w:rsidR="006B36A6" w:rsidRPr="00913129">
        <w:rPr>
          <w:color w:val="000000" w:themeColor="text1"/>
          <w:sz w:val="28"/>
          <w:szCs w:val="28"/>
          <w:lang w:val="uk-UA"/>
        </w:rPr>
        <w:t xml:space="preserve"> </w:t>
      </w:r>
      <w:r w:rsidR="0076415F" w:rsidRPr="00913129">
        <w:rPr>
          <w:color w:val="000000" w:themeColor="text1"/>
          <w:sz w:val="28"/>
          <w:szCs w:val="28"/>
          <w:lang w:val="uk-UA"/>
        </w:rPr>
        <w:t>(дата звернення: 08.04. 2025)</w:t>
      </w:r>
    </w:p>
    <w:p w14:paraId="7E0BA5D0" w14:textId="28CF1800" w:rsidR="0076415F" w:rsidRPr="00913129" w:rsidRDefault="001B5C9C" w:rsidP="005608D3">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Green bonds issued worldwide 2014-2023. Statista. URL:</w:t>
      </w:r>
      <w:r w:rsidRPr="00913129">
        <w:rPr>
          <w:rStyle w:val="apple-converted-space"/>
          <w:rFonts w:eastAsiaTheme="majorEastAsia"/>
          <w:color w:val="000000" w:themeColor="text1"/>
          <w:sz w:val="28"/>
          <w:szCs w:val="28"/>
          <w:lang w:val="uk-UA"/>
        </w:rPr>
        <w:t> </w:t>
      </w:r>
      <w:hyperlink r:id="rId43" w:tgtFrame="_new" w:history="1">
        <w:r w:rsidRPr="00913129">
          <w:rPr>
            <w:rStyle w:val="af1"/>
            <w:rFonts w:eastAsiaTheme="majorEastAsia"/>
            <w:color w:val="000000" w:themeColor="text1"/>
            <w:sz w:val="28"/>
            <w:szCs w:val="28"/>
            <w:u w:val="none"/>
            <w:lang w:val="uk-UA"/>
          </w:rPr>
          <w:t>https://www-statista-com-icssr.glibrary.in/statistics/1289406/green-bonds-issued-worldwide/</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08.04. 2025)</w:t>
      </w:r>
    </w:p>
    <w:p w14:paraId="2C247997" w14:textId="1FE52097" w:rsidR="0076415F" w:rsidRPr="00913129" w:rsidRDefault="001B5C9C" w:rsidP="001B687F">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Latest edition of the Global Sustainable Investment Review confirms strong growth of ESG assets all over the world | Our Center of Expertise. URL:</w:t>
      </w:r>
      <w:r w:rsidRPr="00913129">
        <w:rPr>
          <w:rStyle w:val="apple-converted-space"/>
          <w:rFonts w:eastAsiaTheme="majorEastAsia"/>
          <w:color w:val="000000" w:themeColor="text1"/>
          <w:sz w:val="28"/>
          <w:szCs w:val="28"/>
          <w:lang w:val="uk-UA"/>
        </w:rPr>
        <w:t> </w:t>
      </w:r>
      <w:hyperlink r:id="rId44" w:tgtFrame="_new" w:history="1">
        <w:r w:rsidRPr="00913129">
          <w:rPr>
            <w:rStyle w:val="af1"/>
            <w:rFonts w:eastAsiaTheme="majorEastAsia"/>
            <w:color w:val="000000" w:themeColor="text1"/>
            <w:sz w:val="28"/>
            <w:szCs w:val="28"/>
            <w:u w:val="none"/>
            <w:lang w:val="uk-UA"/>
          </w:rPr>
          <w:t>https://gsh.cib.natixis.com/our-center-of-expertise/articles/latest-edition-of-the-global-sustainable-investment-review-confirms-strong-growth-of-esg-assets-all-over-the-world</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08.04. 2025)</w:t>
      </w:r>
    </w:p>
    <w:p w14:paraId="20358FDF" w14:textId="77777777" w:rsidR="0076415F" w:rsidRPr="00913129" w:rsidRDefault="001B5C9C" w:rsidP="0076415F">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School, L. B. Achieving Sustainability: Trends And Opportunities For Family Offices. Forbes. URL:</w:t>
      </w:r>
      <w:r w:rsidRPr="00913129">
        <w:rPr>
          <w:rStyle w:val="apple-converted-space"/>
          <w:rFonts w:eastAsiaTheme="majorEastAsia"/>
          <w:color w:val="000000" w:themeColor="text1"/>
          <w:sz w:val="28"/>
          <w:szCs w:val="28"/>
          <w:lang w:val="uk-UA"/>
        </w:rPr>
        <w:t> </w:t>
      </w:r>
      <w:hyperlink r:id="rId45" w:tgtFrame="_new" w:history="1">
        <w:r w:rsidRPr="00913129">
          <w:rPr>
            <w:rStyle w:val="af1"/>
            <w:rFonts w:eastAsiaTheme="majorEastAsia"/>
            <w:color w:val="000000" w:themeColor="text1"/>
            <w:sz w:val="28"/>
            <w:szCs w:val="28"/>
            <w:u w:val="none"/>
            <w:lang w:val="uk-UA"/>
          </w:rPr>
          <w:t>https://www.forbes.com/sites/lbsbusinessstrategyreview/2024/02/28/emerging-opportunities-for-family-offices-in-sustainable-enterprises/</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08.04. 2025)</w:t>
      </w:r>
    </w:p>
    <w:p w14:paraId="5948AAB6" w14:textId="77777777" w:rsidR="002D0B50" w:rsidRPr="00913129" w:rsidRDefault="001E22B5" w:rsidP="0021100B">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 xml:space="preserve">Bioy H., Jmili S., Petit A., Boyadzhiev D., Stankiewicz A., Tam I., Hall E., Sato H., Jung A. S., Chow W. Global Sustainable Fund Flows: Q4 2021 in Review. Morningstar Manager Research. 31 January 2022. 35 p. </w:t>
      </w:r>
    </w:p>
    <w:p w14:paraId="194FDB24" w14:textId="56B783D0" w:rsidR="0076415F" w:rsidRPr="00913129" w:rsidRDefault="001E22B5" w:rsidP="0021100B">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Cochelin P., Popoola B., Volland E. Sustainable Bond Issuance To Approach $1 Trillion In 2024. S&amp;P Global Ratings, 13 February 2024. 16 p. URL:</w:t>
      </w:r>
      <w:r w:rsidRPr="00913129">
        <w:rPr>
          <w:rStyle w:val="apple-converted-space"/>
          <w:rFonts w:eastAsiaTheme="majorEastAsia"/>
          <w:color w:val="000000" w:themeColor="text1"/>
          <w:sz w:val="28"/>
          <w:szCs w:val="28"/>
          <w:lang w:val="uk-UA"/>
        </w:rPr>
        <w:t> </w:t>
      </w:r>
      <w:hyperlink r:id="rId46" w:tgtFrame="_new" w:history="1">
        <w:r w:rsidRPr="00913129">
          <w:rPr>
            <w:rStyle w:val="af1"/>
            <w:rFonts w:eastAsiaTheme="majorEastAsia"/>
            <w:color w:val="000000" w:themeColor="text1"/>
            <w:sz w:val="28"/>
            <w:szCs w:val="28"/>
            <w:u w:val="none"/>
            <w:lang w:val="uk-UA"/>
          </w:rPr>
          <w:t>https://www.spglobal.com/ratings</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08.04. 2025)</w:t>
      </w:r>
    </w:p>
    <w:p w14:paraId="12EC8E9F" w14:textId="77777777" w:rsidR="0076415F" w:rsidRPr="00913129" w:rsidRDefault="001E22B5" w:rsidP="0076415F">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Green, Social, Sustainability, and Sustainability-Linked (GSSS) Bonds. Market Update – January 2024. World Bank Treasury, Sustainable Finance Advisory. 22 p. URL:</w:t>
      </w:r>
      <w:r w:rsidRPr="00913129">
        <w:rPr>
          <w:rStyle w:val="apple-converted-space"/>
          <w:rFonts w:eastAsiaTheme="majorEastAsia"/>
          <w:color w:val="000000" w:themeColor="text1"/>
          <w:sz w:val="28"/>
          <w:szCs w:val="28"/>
          <w:lang w:val="uk-UA"/>
        </w:rPr>
        <w:t> </w:t>
      </w:r>
      <w:hyperlink r:id="rId47" w:tgtFrame="_new" w:history="1">
        <w:r w:rsidRPr="00913129">
          <w:rPr>
            <w:rStyle w:val="af1"/>
            <w:rFonts w:eastAsiaTheme="majorEastAsia"/>
            <w:color w:val="000000" w:themeColor="text1"/>
            <w:sz w:val="28"/>
            <w:szCs w:val="28"/>
            <w:u w:val="none"/>
            <w:lang w:val="uk-UA"/>
          </w:rPr>
          <w:t>https://thedocs.worldbank.org/en/doc/dc1d70af2c45cb377ed3ee12b27399d4</w:t>
        </w:r>
        <w:r w:rsidRPr="00913129">
          <w:rPr>
            <w:rStyle w:val="af1"/>
            <w:rFonts w:eastAsiaTheme="majorEastAsia"/>
            <w:color w:val="000000" w:themeColor="text1"/>
            <w:sz w:val="28"/>
            <w:szCs w:val="28"/>
            <w:u w:val="none"/>
            <w:lang w:val="uk-UA"/>
          </w:rPr>
          <w:lastRenderedPageBreak/>
          <w:t>-0340012024/original/GSSS-Quarterly-Newsletter-Issue-No-6.pdf</w:t>
        </w:r>
      </w:hyperlink>
      <w:r w:rsidRPr="00913129">
        <w:rPr>
          <w:color w:val="000000" w:themeColor="text1"/>
          <w:sz w:val="28"/>
          <w:szCs w:val="28"/>
          <w:lang w:val="uk-UA"/>
        </w:rPr>
        <w:t>.</w:t>
      </w:r>
      <w:r w:rsidR="0076415F" w:rsidRPr="00913129">
        <w:rPr>
          <w:color w:val="000000" w:themeColor="text1"/>
          <w:sz w:val="28"/>
          <w:szCs w:val="28"/>
          <w:lang w:val="uk-UA"/>
        </w:rPr>
        <w:t xml:space="preserve"> (дата звернення: 08.04. 2025)</w:t>
      </w:r>
    </w:p>
    <w:p w14:paraId="25E2FD14" w14:textId="583A6E83" w:rsidR="006B36A6" w:rsidRPr="00913129" w:rsidRDefault="006B36A6"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Cuenllas P., Santé L. Green and Social Bond Bulletin. BBVA, 31 January 2025. 23 p. URL:</w:t>
      </w:r>
      <w:r w:rsidRPr="00913129">
        <w:rPr>
          <w:rStyle w:val="apple-converted-space"/>
          <w:rFonts w:eastAsiaTheme="majorEastAsia"/>
          <w:color w:val="000000" w:themeColor="text1"/>
          <w:sz w:val="28"/>
          <w:szCs w:val="28"/>
          <w:lang w:val="uk-UA"/>
        </w:rPr>
        <w:t> </w:t>
      </w:r>
      <w:hyperlink r:id="rId48" w:tgtFrame="_new" w:history="1">
        <w:r w:rsidRPr="00913129">
          <w:rPr>
            <w:rStyle w:val="af1"/>
            <w:rFonts w:eastAsiaTheme="majorEastAsia"/>
            <w:color w:val="000000" w:themeColor="text1"/>
            <w:sz w:val="28"/>
            <w:szCs w:val="28"/>
            <w:u w:val="none"/>
            <w:lang w:val="uk-UA"/>
          </w:rPr>
          <w:t>https://www.bbvacib.com/wp-content/uploads/2025/02/BBVA-Green-and-Social-Bond-Bulletin-January-2025.pdf</w:t>
        </w:r>
      </w:hyperlink>
      <w:r w:rsidR="0076415F" w:rsidRPr="00913129">
        <w:rPr>
          <w:lang w:val="uk-UA"/>
        </w:rPr>
        <w:t xml:space="preserve"> </w:t>
      </w:r>
    </w:p>
    <w:p w14:paraId="13C3325F" w14:textId="7C9B8465" w:rsidR="0076415F" w:rsidRPr="00913129" w:rsidRDefault="001B5C9C" w:rsidP="00A549F6">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Група ДТЕК вперше в історії українського бізнесу розмістила зелені єврооблігації. renewables.dtek.com. URL:</w:t>
      </w:r>
      <w:r w:rsidRPr="00913129">
        <w:rPr>
          <w:rStyle w:val="apple-converted-space"/>
          <w:rFonts w:eastAsiaTheme="majorEastAsia"/>
          <w:color w:val="000000" w:themeColor="text1"/>
          <w:sz w:val="28"/>
          <w:szCs w:val="28"/>
          <w:lang w:val="uk-UA"/>
        </w:rPr>
        <w:t> </w:t>
      </w:r>
      <w:hyperlink r:id="rId49" w:tgtFrame="_new" w:history="1">
        <w:r w:rsidRPr="00913129">
          <w:rPr>
            <w:rStyle w:val="af1"/>
            <w:rFonts w:eastAsiaTheme="majorEastAsia"/>
            <w:color w:val="000000" w:themeColor="text1"/>
            <w:sz w:val="28"/>
            <w:szCs w:val="28"/>
            <w:u w:val="none"/>
            <w:lang w:val="uk-UA"/>
          </w:rPr>
          <w:t>https://renewables.dtek.com/media-center/press/gruppa-dtek-vpervye-v-istorii-ukrainskogo-biznesa-razmestila-zelenye-evroobligatsii/</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08.04. 2025)</w:t>
      </w:r>
    </w:p>
    <w:p w14:paraId="42C05DCB" w14:textId="6F11AA67" w:rsidR="001B5C9C" w:rsidRPr="00913129" w:rsidRDefault="001B5C9C" w:rsidP="00A549F6">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Варченко О., Драган О., Ткаченко К., Рибак Н., Зубченко В. «</w:t>
      </w:r>
      <w:r w:rsidR="001E22B5" w:rsidRPr="00913129">
        <w:rPr>
          <w:color w:val="000000" w:themeColor="text1"/>
          <w:sz w:val="28"/>
          <w:szCs w:val="28"/>
          <w:lang w:val="uk-UA"/>
        </w:rPr>
        <w:t xml:space="preserve">Зелені фінанси» в повоєнному відновленні України: організаційно-фінансові аспекти </w:t>
      </w:r>
      <w:r w:rsidRPr="00913129">
        <w:rPr>
          <w:color w:val="000000" w:themeColor="text1"/>
          <w:sz w:val="28"/>
          <w:szCs w:val="28"/>
          <w:lang w:val="uk-UA"/>
        </w:rPr>
        <w:t>// Financial and credit activity problems of theory and practice. 2024. № 3(56). Art. 56. DOI:</w:t>
      </w:r>
      <w:r w:rsidRPr="00913129">
        <w:rPr>
          <w:rStyle w:val="apple-converted-space"/>
          <w:rFonts w:eastAsiaTheme="majorEastAsia"/>
          <w:color w:val="000000" w:themeColor="text1"/>
          <w:sz w:val="28"/>
          <w:szCs w:val="28"/>
          <w:lang w:val="uk-UA"/>
        </w:rPr>
        <w:t> </w:t>
      </w:r>
      <w:hyperlink r:id="rId50" w:tgtFrame="_new" w:history="1">
        <w:r w:rsidRPr="00913129">
          <w:rPr>
            <w:rStyle w:val="af1"/>
            <w:rFonts w:eastAsiaTheme="majorEastAsia"/>
            <w:color w:val="000000" w:themeColor="text1"/>
            <w:sz w:val="28"/>
            <w:szCs w:val="28"/>
            <w:u w:val="none"/>
            <w:lang w:val="uk-UA"/>
          </w:rPr>
          <w:t>https://doi.org/10.55643/fcaptp.3.56.2024.4403</w:t>
        </w:r>
      </w:hyperlink>
      <w:r w:rsidRPr="00913129">
        <w:rPr>
          <w:color w:val="000000" w:themeColor="text1"/>
          <w:sz w:val="28"/>
          <w:szCs w:val="28"/>
          <w:lang w:val="uk-UA"/>
        </w:rPr>
        <w:t>.</w:t>
      </w:r>
    </w:p>
    <w:p w14:paraId="395E72A2" w14:textId="77777777" w:rsidR="0076415F" w:rsidRPr="00913129" w:rsidRDefault="001B5C9C" w:rsidP="006824A6">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Ukrenergo Has Successfully Placed USD 825 mln Debut 5-year “Green” Eurobonds at 6.875%. Integrites. URL:</w:t>
      </w:r>
      <w:r w:rsidRPr="00913129">
        <w:rPr>
          <w:rStyle w:val="apple-converted-space"/>
          <w:rFonts w:eastAsiaTheme="majorEastAsia"/>
          <w:color w:val="000000" w:themeColor="text1"/>
          <w:sz w:val="28"/>
          <w:szCs w:val="28"/>
          <w:lang w:val="uk-UA"/>
        </w:rPr>
        <w:t> </w:t>
      </w:r>
      <w:hyperlink r:id="rId51" w:tgtFrame="_new" w:history="1">
        <w:r w:rsidRPr="00913129">
          <w:rPr>
            <w:rStyle w:val="af1"/>
            <w:rFonts w:eastAsiaTheme="majorEastAsia"/>
            <w:color w:val="000000" w:themeColor="text1"/>
            <w:sz w:val="28"/>
            <w:szCs w:val="28"/>
            <w:u w:val="none"/>
            <w:lang w:val="uk-UA"/>
          </w:rPr>
          <w:t>https://www.integrites.com/publications/ukrenergo-has-successfully-placed-usd-825-mln-debut-5-year-green-eurobonds-at-6-875/</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18.04. 2025)</w:t>
      </w:r>
    </w:p>
    <w:p w14:paraId="6A70B5AC" w14:textId="77777777" w:rsidR="002D0B50" w:rsidRPr="00913129" w:rsidRDefault="001E22B5" w:rsidP="006650B6">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 xml:space="preserve">National Social Entrepreneurship Ecosystem Research Ukraine. EU Erasmus+ Programme, "SE: Tools &amp; Trainers" project. 2021. 56 p. </w:t>
      </w:r>
      <w:r w:rsidRPr="00913129">
        <w:rPr>
          <w:color w:val="000000" w:themeColor="text1"/>
          <w:sz w:val="26"/>
          <w:szCs w:val="26"/>
          <w:lang w:val="uk-UA"/>
        </w:rPr>
        <w:t>URL:</w:t>
      </w:r>
      <w:r w:rsidRPr="00913129">
        <w:rPr>
          <w:rStyle w:val="apple-converted-space"/>
          <w:rFonts w:eastAsiaTheme="majorEastAsia"/>
          <w:color w:val="000000" w:themeColor="text1"/>
          <w:sz w:val="26"/>
          <w:szCs w:val="26"/>
          <w:lang w:val="uk-UA"/>
        </w:rPr>
        <w:t> </w:t>
      </w:r>
      <w:hyperlink r:id="rId52" w:tgtFrame="_new" w:history="1">
        <w:r w:rsidRPr="00913129">
          <w:rPr>
            <w:rStyle w:val="af1"/>
            <w:rFonts w:eastAsiaTheme="majorEastAsia"/>
            <w:color w:val="000000" w:themeColor="text1"/>
            <w:sz w:val="26"/>
            <w:szCs w:val="26"/>
            <w:u w:val="none"/>
            <w:lang w:val="uk-UA"/>
          </w:rPr>
          <w:t>https://ec.europa.eu/programmes/erasmus-plus/project-result-content/fcc22362-d0fc-4fae-b116-012581eb631d/National_SE_ecosystem_research_Ukraine_eng.pdf</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18.04. 2025)</w:t>
      </w:r>
    </w:p>
    <w:p w14:paraId="45ABCE72" w14:textId="15D012DF" w:rsidR="00777C49" w:rsidRPr="00913129" w:rsidRDefault="001E22B5" w:rsidP="006650B6">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Western NIS Enterprise Fund. Annual Report 2016. Kyiv, 2017. 84 p. URL:</w:t>
      </w:r>
      <w:r w:rsidRPr="00913129">
        <w:rPr>
          <w:rStyle w:val="apple-converted-space"/>
          <w:rFonts w:eastAsiaTheme="majorEastAsia"/>
          <w:color w:val="000000" w:themeColor="text1"/>
          <w:sz w:val="28"/>
          <w:szCs w:val="28"/>
          <w:lang w:val="uk-UA"/>
        </w:rPr>
        <w:t> </w:t>
      </w:r>
      <w:hyperlink r:id="rId53" w:tgtFrame="_new" w:history="1">
        <w:r w:rsidRPr="00913129">
          <w:rPr>
            <w:rStyle w:val="af1"/>
            <w:rFonts w:eastAsiaTheme="majorEastAsia"/>
            <w:color w:val="000000" w:themeColor="text1"/>
            <w:sz w:val="28"/>
            <w:szCs w:val="28"/>
            <w:u w:val="none"/>
            <w:lang w:val="uk-UA"/>
          </w:rPr>
          <w:t>https://wnisef.org/wp-content/uploads/2018/01/Western-NIS-Enterprise-Fund-Annual-Report-2016.pdf</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18.04. 2025)</w:t>
      </w:r>
    </w:p>
    <w:p w14:paraId="4FEA9CFC" w14:textId="3EA07333" w:rsidR="00777C49" w:rsidRPr="00913129" w:rsidRDefault="00777C49"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lastRenderedPageBreak/>
        <w:t>Sustainability-linked bonds and loans – Key Performance Indicators (KPIs). Environmental Finance Data, 2022. 18 p. URL:</w:t>
      </w:r>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https://www.efdata.org/research/sustainability-linked-bonds-and-loans-kpis.pdf</w:t>
      </w:r>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18.04. 2025)</w:t>
      </w:r>
    </w:p>
    <w:p w14:paraId="3130A49B" w14:textId="2BBE4691" w:rsidR="006B36A6" w:rsidRPr="00913129" w:rsidRDefault="006B36A6"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Sustainability-linked bonds and loans – Key Performance Indicators (KPIs). Environmental Finance Data, 2022. 18 p. URL:</w:t>
      </w:r>
      <w:r w:rsidRPr="00913129">
        <w:rPr>
          <w:rStyle w:val="apple-converted-space"/>
          <w:rFonts w:eastAsiaTheme="majorEastAsia"/>
          <w:color w:val="000000" w:themeColor="text1"/>
          <w:sz w:val="28"/>
          <w:szCs w:val="28"/>
          <w:lang w:val="uk-UA"/>
        </w:rPr>
        <w:t> </w:t>
      </w:r>
      <w:hyperlink r:id="rId54" w:tgtFrame="_new" w:history="1">
        <w:r w:rsidRPr="00913129">
          <w:rPr>
            <w:rStyle w:val="af1"/>
            <w:rFonts w:eastAsiaTheme="majorEastAsia"/>
            <w:color w:val="000000" w:themeColor="text1"/>
            <w:sz w:val="28"/>
            <w:szCs w:val="28"/>
            <w:u w:val="none"/>
            <w:lang w:val="uk-UA"/>
          </w:rPr>
          <w:t>https://www.environmental-finance.com/assets/files/research/sustainability-linked-bonds-and-loans-kpis.pdf</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18.04. 2025)</w:t>
      </w:r>
    </w:p>
    <w:p w14:paraId="29CCC21B" w14:textId="77777777" w:rsidR="0076415F" w:rsidRPr="00913129" w:rsidRDefault="001B5C9C" w:rsidP="005012F6">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Report. UBN. URL:</w:t>
      </w:r>
      <w:r w:rsidRPr="00913129">
        <w:rPr>
          <w:rStyle w:val="apple-converted-space"/>
          <w:rFonts w:eastAsiaTheme="majorEastAsia"/>
          <w:color w:val="000000" w:themeColor="text1"/>
          <w:sz w:val="28"/>
          <w:szCs w:val="28"/>
          <w:lang w:val="uk-UA"/>
        </w:rPr>
        <w:t> </w:t>
      </w:r>
      <w:hyperlink r:id="rId55" w:tgtFrame="_new" w:history="1">
        <w:r w:rsidRPr="00913129">
          <w:rPr>
            <w:rStyle w:val="af1"/>
            <w:rFonts w:eastAsiaTheme="majorEastAsia"/>
            <w:color w:val="000000" w:themeColor="text1"/>
            <w:sz w:val="28"/>
            <w:szCs w:val="28"/>
            <w:u w:val="none"/>
            <w:lang w:val="uk-UA"/>
          </w:rPr>
          <w:t>https://ubn.news/report/</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18.04. 2025)</w:t>
      </w:r>
    </w:p>
    <w:p w14:paraId="3021F904" w14:textId="65003CC4" w:rsidR="0076415F" w:rsidRPr="00913129" w:rsidRDefault="001B5C9C" w:rsidP="005012F6">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Кабінет Міністрів України</w:t>
      </w:r>
      <w:r w:rsidR="002D0B50" w:rsidRPr="00913129">
        <w:rPr>
          <w:color w:val="000000" w:themeColor="text1"/>
          <w:sz w:val="28"/>
          <w:szCs w:val="28"/>
          <w:lang w:val="uk-UA"/>
        </w:rPr>
        <w:t xml:space="preserve">. </w:t>
      </w:r>
      <w:r w:rsidRPr="00913129">
        <w:rPr>
          <w:color w:val="000000" w:themeColor="text1"/>
          <w:sz w:val="28"/>
          <w:szCs w:val="28"/>
          <w:lang w:val="uk-UA"/>
        </w:rPr>
        <w:t>Уряд переорієнтовує програму «Доступні кредити 5-7-9%». RL:</w:t>
      </w:r>
      <w:r w:rsidRPr="00913129">
        <w:rPr>
          <w:rStyle w:val="apple-converted-space"/>
          <w:rFonts w:eastAsiaTheme="majorEastAsia"/>
          <w:color w:val="000000" w:themeColor="text1"/>
          <w:sz w:val="28"/>
          <w:szCs w:val="28"/>
          <w:lang w:val="uk-UA"/>
        </w:rPr>
        <w:t> </w:t>
      </w:r>
      <w:hyperlink r:id="rId56" w:tgtFrame="_new" w:history="1">
        <w:r w:rsidRPr="00913129">
          <w:rPr>
            <w:rStyle w:val="af1"/>
            <w:rFonts w:eastAsiaTheme="majorEastAsia"/>
            <w:color w:val="000000" w:themeColor="text1"/>
            <w:sz w:val="28"/>
            <w:szCs w:val="28"/>
            <w:u w:val="none"/>
            <w:lang w:val="uk-UA"/>
          </w:rPr>
          <w:t>https://www.kmu.gov.ua/news/uriad-pereoriientovuie-prohramu-dostupni-kredyty-5-7-9-na-investytsiini-tsili-nadiia-bihun</w:t>
        </w:r>
      </w:hyperlink>
      <w:r w:rsidRPr="00913129">
        <w:rPr>
          <w:rStyle w:val="apple-converted-space"/>
          <w:rFonts w:eastAsiaTheme="majorEastAsia"/>
          <w:color w:val="000000" w:themeColor="text1"/>
          <w:sz w:val="28"/>
          <w:szCs w:val="28"/>
          <w:lang w:val="uk-UA"/>
        </w:rPr>
        <w:t> </w:t>
      </w:r>
      <w:r w:rsidR="0076415F" w:rsidRPr="00913129">
        <w:rPr>
          <w:color w:val="000000" w:themeColor="text1"/>
          <w:sz w:val="28"/>
          <w:szCs w:val="28"/>
          <w:lang w:val="uk-UA"/>
        </w:rPr>
        <w:t>(дата звернення: 18.04. 2025)</w:t>
      </w:r>
    </w:p>
    <w:p w14:paraId="79571204" w14:textId="3836FA02" w:rsidR="001D585F" w:rsidRPr="00913129" w:rsidRDefault="001B5C9C" w:rsidP="00BE14CA">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 xml:space="preserve">Компанія з управління активами: Професійний менеджмент у сфері спільного інвестування – </w:t>
      </w:r>
      <w:r w:rsidR="001D585F" w:rsidRPr="00913129">
        <w:rPr>
          <w:color w:val="000000" w:themeColor="text1"/>
          <w:sz w:val="28"/>
          <w:szCs w:val="28"/>
          <w:lang w:val="uk-UA"/>
        </w:rPr>
        <w:t>НКЦПФР | національна комісія з цінних паперів та фондового ринку</w:t>
      </w:r>
      <w:r w:rsidRPr="00913129">
        <w:rPr>
          <w:color w:val="000000" w:themeColor="text1"/>
          <w:sz w:val="28"/>
          <w:szCs w:val="28"/>
          <w:lang w:val="uk-UA"/>
        </w:rPr>
        <w:t>. URL:</w:t>
      </w:r>
      <w:r w:rsidRPr="00913129">
        <w:rPr>
          <w:rStyle w:val="apple-converted-space"/>
          <w:rFonts w:eastAsiaTheme="majorEastAsia"/>
          <w:color w:val="000000" w:themeColor="text1"/>
          <w:sz w:val="28"/>
          <w:szCs w:val="28"/>
          <w:lang w:val="uk-UA"/>
        </w:rPr>
        <w:t> </w:t>
      </w:r>
      <w:hyperlink r:id="rId57" w:tgtFrame="_new" w:history="1">
        <w:r w:rsidRPr="00913129">
          <w:rPr>
            <w:rStyle w:val="af1"/>
            <w:rFonts w:eastAsiaTheme="majorEastAsia"/>
            <w:color w:val="000000" w:themeColor="text1"/>
            <w:sz w:val="28"/>
            <w:szCs w:val="28"/>
            <w:u w:val="none"/>
            <w:lang w:val="uk-UA"/>
          </w:rPr>
          <w:t>https://www.nssmc.gov.ua/kompaniia-z-upravlinnia-aktyvamy-profesiinyi-menedzhment-u-sferi-spilnoho-investuvannia/?v=2</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23.04. 2025)</w:t>
      </w:r>
    </w:p>
    <w:p w14:paraId="5CF2AB3C" w14:textId="17BE4483" w:rsidR="001B5C9C" w:rsidRPr="00913129" w:rsidRDefault="001B5C9C" w:rsidP="00335653">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Investment Dream Team. Konstantin Magaletskiy and Andrey Stavnitser create a fund worth at least $100 million. What is the focus on? Where is the money from? Who are the clients? SD Capital. URL:</w:t>
      </w:r>
      <w:r w:rsidRPr="00913129">
        <w:rPr>
          <w:rStyle w:val="apple-converted-space"/>
          <w:rFonts w:eastAsiaTheme="majorEastAsia"/>
          <w:color w:val="000000" w:themeColor="text1"/>
          <w:sz w:val="28"/>
          <w:szCs w:val="28"/>
          <w:lang w:val="uk-UA"/>
        </w:rPr>
        <w:t> </w:t>
      </w:r>
      <w:hyperlink r:id="rId58" w:tgtFrame="_new" w:history="1">
        <w:r w:rsidRPr="00913129">
          <w:rPr>
            <w:rStyle w:val="af1"/>
            <w:rFonts w:eastAsiaTheme="majorEastAsia"/>
            <w:color w:val="000000" w:themeColor="text1"/>
            <w:sz w:val="28"/>
            <w:szCs w:val="28"/>
            <w:u w:val="none"/>
            <w:lang w:val="uk-UA"/>
          </w:rPr>
          <w:t>https://sd.capital/eng/tpost/fyfbuxne01-investment-dream-team-konstantin-magalet</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23.04. 2025)</w:t>
      </w:r>
    </w:p>
    <w:p w14:paraId="1F8269B7" w14:textId="77777777" w:rsidR="001D585F" w:rsidRPr="00913129" w:rsidRDefault="001B5C9C" w:rsidP="00FD4A3B">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Responsible Investment. Dragon Capital Group. URL:</w:t>
      </w:r>
      <w:r w:rsidRPr="00913129">
        <w:rPr>
          <w:rStyle w:val="apple-converted-space"/>
          <w:rFonts w:eastAsiaTheme="majorEastAsia"/>
          <w:color w:val="000000" w:themeColor="text1"/>
          <w:sz w:val="28"/>
          <w:szCs w:val="28"/>
          <w:lang w:val="uk-UA"/>
        </w:rPr>
        <w:t> </w:t>
      </w:r>
      <w:hyperlink r:id="rId59" w:tgtFrame="_new" w:history="1">
        <w:r w:rsidRPr="00913129">
          <w:rPr>
            <w:rStyle w:val="af1"/>
            <w:rFonts w:eastAsiaTheme="majorEastAsia"/>
            <w:color w:val="000000" w:themeColor="text1"/>
            <w:sz w:val="28"/>
            <w:szCs w:val="28"/>
            <w:u w:val="none"/>
            <w:lang w:val="uk-UA"/>
          </w:rPr>
          <w:t>https://www.dragoncapital.com/about/responsible-investment/</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23.04. 2025)</w:t>
      </w:r>
    </w:p>
    <w:p w14:paraId="6AD379B5" w14:textId="667E8A09" w:rsidR="001B5C9C" w:rsidRPr="00913129" w:rsidRDefault="001B5C9C" w:rsidP="00FD4A3B">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OECD. Mapping Ukraine’s Financial Markets and Corporate Governance Framework for a Sustainable Recovery. OECD Publishing, 2025. DOI:</w:t>
      </w:r>
      <w:r w:rsidRPr="00913129">
        <w:rPr>
          <w:rStyle w:val="apple-converted-space"/>
          <w:rFonts w:eastAsiaTheme="majorEastAsia"/>
          <w:color w:val="000000" w:themeColor="text1"/>
          <w:sz w:val="28"/>
          <w:szCs w:val="28"/>
          <w:lang w:val="uk-UA"/>
        </w:rPr>
        <w:t> </w:t>
      </w:r>
      <w:hyperlink r:id="rId60" w:tgtFrame="_new" w:history="1">
        <w:r w:rsidRPr="00913129">
          <w:rPr>
            <w:rStyle w:val="af1"/>
            <w:rFonts w:eastAsiaTheme="majorEastAsia"/>
            <w:color w:val="000000" w:themeColor="text1"/>
            <w:sz w:val="28"/>
            <w:szCs w:val="28"/>
            <w:u w:val="none"/>
            <w:lang w:val="uk-UA"/>
          </w:rPr>
          <w:t>https://doi.org/10.1787/866c5c44-en</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23.04. 2025)</w:t>
      </w:r>
    </w:p>
    <w:p w14:paraId="4DF10C1D" w14:textId="780857C8"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lastRenderedPageBreak/>
        <w:t>Horizon Capital. PRI. URL:</w:t>
      </w:r>
      <w:r w:rsidRPr="00913129">
        <w:rPr>
          <w:rStyle w:val="apple-converted-space"/>
          <w:rFonts w:eastAsiaTheme="majorEastAsia"/>
          <w:color w:val="000000" w:themeColor="text1"/>
          <w:sz w:val="28"/>
          <w:szCs w:val="28"/>
          <w:lang w:val="uk-UA"/>
        </w:rPr>
        <w:t> </w:t>
      </w:r>
      <w:hyperlink r:id="rId61" w:tgtFrame="_new" w:history="1">
        <w:r w:rsidRPr="00913129">
          <w:rPr>
            <w:rStyle w:val="af1"/>
            <w:rFonts w:eastAsiaTheme="majorEastAsia"/>
            <w:color w:val="000000" w:themeColor="text1"/>
            <w:sz w:val="28"/>
            <w:szCs w:val="28"/>
            <w:u w:val="none"/>
            <w:lang w:val="uk-UA"/>
          </w:rPr>
          <w:t>https://www.unpri.org/signatory-directory/horizon-capital/11224.article</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23.04. 2025)</w:t>
      </w:r>
    </w:p>
    <w:p w14:paraId="6216E8A0" w14:textId="77777777" w:rsidR="001D585F" w:rsidRPr="00913129" w:rsidRDefault="001B5C9C" w:rsidP="00836995">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Horizon Capital Growth Fund IV. Finnfund. URL:</w:t>
      </w:r>
      <w:r w:rsidRPr="00913129">
        <w:rPr>
          <w:rStyle w:val="apple-converted-space"/>
          <w:rFonts w:eastAsiaTheme="majorEastAsia"/>
          <w:color w:val="000000" w:themeColor="text1"/>
          <w:sz w:val="28"/>
          <w:szCs w:val="28"/>
          <w:lang w:val="uk-UA"/>
        </w:rPr>
        <w:t> </w:t>
      </w:r>
      <w:hyperlink r:id="rId62" w:tgtFrame="_new" w:history="1">
        <w:r w:rsidRPr="00913129">
          <w:rPr>
            <w:rStyle w:val="af1"/>
            <w:rFonts w:eastAsiaTheme="majorEastAsia"/>
            <w:color w:val="000000" w:themeColor="text1"/>
            <w:sz w:val="28"/>
            <w:szCs w:val="28"/>
            <w:u w:val="none"/>
            <w:lang w:val="uk-UA"/>
          </w:rPr>
          <w:t>https://finnfund.fi/en/hankkeet/horizon-capital-growth-fund-iv/</w:t>
        </w:r>
      </w:hyperlink>
      <w:r w:rsidR="001D585F" w:rsidRPr="00913129">
        <w:rPr>
          <w:lang w:val="uk-UA"/>
        </w:rPr>
        <w:t xml:space="preserve"> </w:t>
      </w:r>
      <w:r w:rsidR="001D585F" w:rsidRPr="00913129">
        <w:rPr>
          <w:color w:val="000000" w:themeColor="text1"/>
          <w:sz w:val="28"/>
          <w:szCs w:val="28"/>
          <w:lang w:val="uk-UA"/>
        </w:rPr>
        <w:t>(дата звернення: 23.04. 2025)</w:t>
      </w:r>
    </w:p>
    <w:p w14:paraId="7E2660A9" w14:textId="316DF32E" w:rsidR="001D585F" w:rsidRPr="00913129" w:rsidRDefault="001B5C9C" w:rsidP="00836995">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news, citiesabc. Dragon Capital Highlights The Need For First-Loss Capital To Support Vietnam’s Net Zero Transition. Citiesabc the Digital Magna Carta Social Impact Platform for Cities. 22.02.2022. URL:</w:t>
      </w:r>
      <w:r w:rsidRPr="00913129">
        <w:rPr>
          <w:rStyle w:val="apple-converted-space"/>
          <w:rFonts w:eastAsiaTheme="majorEastAsia"/>
          <w:color w:val="000000" w:themeColor="text1"/>
          <w:sz w:val="28"/>
          <w:szCs w:val="28"/>
          <w:lang w:val="uk-UA"/>
        </w:rPr>
        <w:t> </w:t>
      </w:r>
      <w:hyperlink r:id="rId63" w:tgtFrame="_new" w:history="1">
        <w:r w:rsidRPr="00913129">
          <w:rPr>
            <w:rStyle w:val="af1"/>
            <w:rFonts w:eastAsiaTheme="majorEastAsia"/>
            <w:color w:val="000000" w:themeColor="text1"/>
            <w:sz w:val="28"/>
            <w:szCs w:val="28"/>
            <w:u w:val="none"/>
            <w:lang w:val="uk-UA"/>
          </w:rPr>
          <w:t>https://www.citiesabc.com/resources/dragon-capital-highlights-need-first-loss-capital-support-vietnams-net-zero-transition/</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23.04. 2025)</w:t>
      </w:r>
    </w:p>
    <w:p w14:paraId="3AF7A728" w14:textId="3AFC5A70" w:rsidR="001D585F" w:rsidRPr="00913129" w:rsidRDefault="001B5C9C" w:rsidP="00D94063">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Moodys—Financials—Annual Reports &amp; Proxy Statements. URL:</w:t>
      </w:r>
      <w:r w:rsidRPr="00913129">
        <w:rPr>
          <w:rStyle w:val="apple-converted-space"/>
          <w:rFonts w:eastAsiaTheme="majorEastAsia"/>
          <w:color w:val="000000" w:themeColor="text1"/>
          <w:sz w:val="28"/>
          <w:szCs w:val="28"/>
          <w:lang w:val="uk-UA"/>
        </w:rPr>
        <w:t> </w:t>
      </w:r>
      <w:hyperlink r:id="rId64" w:tgtFrame="_new" w:history="1">
        <w:r w:rsidRPr="00913129">
          <w:rPr>
            <w:rStyle w:val="af1"/>
            <w:rFonts w:eastAsiaTheme="majorEastAsia"/>
            <w:color w:val="000000" w:themeColor="text1"/>
            <w:sz w:val="28"/>
            <w:szCs w:val="28"/>
            <w:u w:val="none"/>
            <w:lang w:val="uk-UA"/>
          </w:rPr>
          <w:t>https://ir.moodys.com/financials/annual-reports/default.aspx</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23.04. 2025)</w:t>
      </w:r>
    </w:p>
    <w:p w14:paraId="526A0F02" w14:textId="6288F3A3" w:rsidR="001D585F" w:rsidRPr="00913129" w:rsidRDefault="001B5C9C" w:rsidP="0083222C">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Applied Industrial Technologies, Inc. - Financials—Annual Reports. URL:</w:t>
      </w:r>
      <w:r w:rsidRPr="00913129">
        <w:rPr>
          <w:rStyle w:val="apple-converted-space"/>
          <w:rFonts w:eastAsiaTheme="majorEastAsia"/>
          <w:color w:val="000000" w:themeColor="text1"/>
          <w:sz w:val="28"/>
          <w:szCs w:val="28"/>
          <w:lang w:val="uk-UA"/>
        </w:rPr>
        <w:t> </w:t>
      </w:r>
      <w:hyperlink r:id="rId65" w:tgtFrame="_new" w:history="1">
        <w:r w:rsidRPr="00913129">
          <w:rPr>
            <w:rStyle w:val="af1"/>
            <w:rFonts w:eastAsiaTheme="majorEastAsia"/>
            <w:color w:val="000000" w:themeColor="text1"/>
            <w:sz w:val="28"/>
            <w:szCs w:val="28"/>
            <w:u w:val="none"/>
            <w:lang w:val="uk-UA"/>
          </w:rPr>
          <w:t>https://ir.applied.com/financials/annual-reports/default.aspx</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07.05 2025)</w:t>
      </w:r>
    </w:p>
    <w:p w14:paraId="0DFE37AB" w14:textId="3ECCD091" w:rsidR="001D585F" w:rsidRPr="00913129" w:rsidRDefault="001B5C9C" w:rsidP="00A62017">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Verisk Analytics, Inc. - Financials—Financial Summary. URL:</w:t>
      </w:r>
      <w:r w:rsidRPr="00913129">
        <w:rPr>
          <w:rStyle w:val="apple-converted-space"/>
          <w:rFonts w:eastAsiaTheme="majorEastAsia"/>
          <w:color w:val="000000" w:themeColor="text1"/>
          <w:sz w:val="28"/>
          <w:szCs w:val="28"/>
          <w:lang w:val="uk-UA"/>
        </w:rPr>
        <w:t> </w:t>
      </w:r>
      <w:hyperlink r:id="rId66" w:tgtFrame="_new" w:history="1">
        <w:r w:rsidRPr="00913129">
          <w:rPr>
            <w:rStyle w:val="af1"/>
            <w:rFonts w:eastAsiaTheme="majorEastAsia"/>
            <w:color w:val="000000" w:themeColor="text1"/>
            <w:sz w:val="28"/>
            <w:szCs w:val="28"/>
            <w:u w:val="none"/>
            <w:lang w:val="uk-UA"/>
          </w:rPr>
          <w:t>https://investor.verisk.com/financials/quarterly-results/default.aspx</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07.05 2025)</w:t>
      </w:r>
    </w:p>
    <w:p w14:paraId="5583D4DA" w14:textId="076377F9" w:rsidR="001B5C9C" w:rsidRPr="00913129" w:rsidRDefault="001B5C9C" w:rsidP="003022CC">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Annual Reports | Sempra. URL:</w:t>
      </w:r>
      <w:r w:rsidRPr="00913129">
        <w:rPr>
          <w:rStyle w:val="apple-converted-space"/>
          <w:rFonts w:eastAsiaTheme="majorEastAsia"/>
          <w:color w:val="000000" w:themeColor="text1"/>
          <w:sz w:val="28"/>
          <w:szCs w:val="28"/>
          <w:lang w:val="uk-UA"/>
        </w:rPr>
        <w:t> </w:t>
      </w:r>
      <w:hyperlink r:id="rId67" w:tgtFrame="_new" w:history="1">
        <w:r w:rsidRPr="00913129">
          <w:rPr>
            <w:rStyle w:val="af1"/>
            <w:rFonts w:eastAsiaTheme="majorEastAsia"/>
            <w:color w:val="000000" w:themeColor="text1"/>
            <w:sz w:val="28"/>
            <w:szCs w:val="28"/>
            <w:u w:val="none"/>
            <w:lang w:val="uk-UA"/>
          </w:rPr>
          <w:t>https://investor.sempra.com/annual-reports</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07.05 2025)</w:t>
      </w:r>
    </w:p>
    <w:p w14:paraId="3D898BBB" w14:textId="2077994B" w:rsidR="001B5C9C" w:rsidRPr="00913129" w:rsidRDefault="001B5C9C" w:rsidP="00777C4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2025 Environmental Sustainability Report | Microsoft. Corporate Responsibility. URL:</w:t>
      </w:r>
      <w:r w:rsidRPr="00913129">
        <w:rPr>
          <w:rStyle w:val="apple-converted-space"/>
          <w:rFonts w:eastAsiaTheme="majorEastAsia"/>
          <w:color w:val="000000" w:themeColor="text1"/>
          <w:sz w:val="28"/>
          <w:szCs w:val="28"/>
          <w:lang w:val="uk-UA"/>
        </w:rPr>
        <w:t> </w:t>
      </w:r>
      <w:hyperlink r:id="rId68" w:tgtFrame="_new" w:history="1">
        <w:r w:rsidRPr="00913129">
          <w:rPr>
            <w:rStyle w:val="af1"/>
            <w:rFonts w:eastAsiaTheme="majorEastAsia"/>
            <w:color w:val="000000" w:themeColor="text1"/>
            <w:sz w:val="28"/>
            <w:szCs w:val="28"/>
            <w:u w:val="none"/>
            <w:lang w:val="uk-UA"/>
          </w:rPr>
          <w:t>https://www.microsoft.com/en-us/corporate-responsibility/sustainability/report/</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07.05 2025)</w:t>
      </w:r>
    </w:p>
    <w:p w14:paraId="34A98D03" w14:textId="77777777" w:rsidR="001D585F" w:rsidRPr="00913129" w:rsidRDefault="001B5C9C" w:rsidP="005407C5">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Microsoft Investor Relations—Annual Reports. URL:</w:t>
      </w:r>
      <w:r w:rsidRPr="00913129">
        <w:rPr>
          <w:rStyle w:val="apple-converted-space"/>
          <w:rFonts w:eastAsiaTheme="majorEastAsia"/>
          <w:color w:val="000000" w:themeColor="text1"/>
          <w:sz w:val="28"/>
          <w:szCs w:val="28"/>
          <w:lang w:val="uk-UA"/>
        </w:rPr>
        <w:t> </w:t>
      </w:r>
      <w:hyperlink r:id="rId69" w:tgtFrame="_new" w:history="1">
        <w:r w:rsidRPr="00913129">
          <w:rPr>
            <w:rStyle w:val="af1"/>
            <w:rFonts w:eastAsiaTheme="majorEastAsia"/>
            <w:color w:val="000000" w:themeColor="text1"/>
            <w:sz w:val="28"/>
            <w:szCs w:val="28"/>
            <w:u w:val="none"/>
            <w:lang w:val="uk-UA"/>
          </w:rPr>
          <w:t>https://www.microsoft.com/en-us/investor/annual-reports</w:t>
        </w:r>
      </w:hyperlink>
      <w:r w:rsidR="00777C49" w:rsidRPr="00913129">
        <w:rPr>
          <w:color w:val="000000" w:themeColor="text1"/>
          <w:sz w:val="28"/>
          <w:szCs w:val="28"/>
          <w:lang w:val="uk-UA"/>
        </w:rPr>
        <w:t xml:space="preserve"> </w:t>
      </w:r>
      <w:r w:rsidR="001D585F" w:rsidRPr="00913129">
        <w:rPr>
          <w:color w:val="000000" w:themeColor="text1"/>
          <w:sz w:val="28"/>
          <w:szCs w:val="28"/>
          <w:lang w:val="uk-UA"/>
        </w:rPr>
        <w:t>(дата звернення: 07.05 2025)</w:t>
      </w:r>
    </w:p>
    <w:p w14:paraId="0BBDAF01" w14:textId="739BA22D" w:rsidR="001D585F" w:rsidRPr="00913129" w:rsidRDefault="001B5C9C" w:rsidP="005407C5">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ESG Ratings and Financial Performance | MSCI. URL:</w:t>
      </w:r>
      <w:r w:rsidRPr="00913129">
        <w:rPr>
          <w:rStyle w:val="apple-converted-space"/>
          <w:rFonts w:eastAsiaTheme="majorEastAsia"/>
          <w:color w:val="000000" w:themeColor="text1"/>
          <w:sz w:val="28"/>
          <w:szCs w:val="28"/>
          <w:lang w:val="uk-UA"/>
        </w:rPr>
        <w:t> </w:t>
      </w:r>
      <w:hyperlink r:id="rId70" w:tgtFrame="_new" w:history="1">
        <w:r w:rsidRPr="00913129">
          <w:rPr>
            <w:rStyle w:val="af1"/>
            <w:rFonts w:eastAsiaTheme="majorEastAsia"/>
            <w:color w:val="000000" w:themeColor="text1"/>
            <w:sz w:val="28"/>
            <w:szCs w:val="28"/>
            <w:u w:val="none"/>
            <w:lang w:val="uk-UA"/>
          </w:rPr>
          <w:t>https://www.msci.com/data-and-analytics/sustainability-solutions/esg-ratings/esg-ratings-and-financial-performance</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07.05 2025)</w:t>
      </w:r>
    </w:p>
    <w:p w14:paraId="52123813" w14:textId="1461EC94" w:rsidR="001B5C9C" w:rsidRPr="00913129" w:rsidRDefault="001B5C9C" w:rsidP="003219B7">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lastRenderedPageBreak/>
        <w:t>Global ESG assets predicted to hit $40 trillion by 2030, despite challenging environment, forecasts Bloomberg Intelligence | Press | Bloomberg LP. URL:</w:t>
      </w:r>
      <w:r w:rsidRPr="00913129">
        <w:rPr>
          <w:rStyle w:val="apple-converted-space"/>
          <w:rFonts w:eastAsiaTheme="majorEastAsia"/>
          <w:color w:val="000000" w:themeColor="text1"/>
          <w:sz w:val="28"/>
          <w:szCs w:val="28"/>
          <w:lang w:val="uk-UA"/>
        </w:rPr>
        <w:t> </w:t>
      </w:r>
      <w:hyperlink r:id="rId71" w:tgtFrame="_new" w:history="1">
        <w:r w:rsidRPr="00913129">
          <w:rPr>
            <w:rStyle w:val="af1"/>
            <w:rFonts w:eastAsiaTheme="majorEastAsia"/>
            <w:color w:val="000000" w:themeColor="text1"/>
            <w:sz w:val="28"/>
            <w:szCs w:val="28"/>
            <w:u w:val="none"/>
            <w:lang w:val="uk-UA"/>
          </w:rPr>
          <w:t>https://www.bloomberg.com/company/press/global-esg-assets-predicted-to-hit-40-trillion-by-2030-despite-challenging-environment-forecasts-bloomberg-intelligence/</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21.05 2025)</w:t>
      </w:r>
    </w:p>
    <w:p w14:paraId="363A26B1" w14:textId="77777777" w:rsidR="001D585F" w:rsidRPr="00913129" w:rsidRDefault="001B5C9C" w:rsidP="007A17F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ESG Scores: Rating company ESG performance | S&amp;P Global. URL:</w:t>
      </w:r>
      <w:r w:rsidRPr="00913129">
        <w:rPr>
          <w:rStyle w:val="apple-converted-space"/>
          <w:rFonts w:eastAsiaTheme="majorEastAsia"/>
          <w:color w:val="000000" w:themeColor="text1"/>
          <w:sz w:val="28"/>
          <w:szCs w:val="28"/>
          <w:lang w:val="uk-UA"/>
        </w:rPr>
        <w:t> </w:t>
      </w:r>
      <w:hyperlink r:id="rId72" w:tgtFrame="_new" w:history="1">
        <w:r w:rsidRPr="00913129">
          <w:rPr>
            <w:rStyle w:val="af1"/>
            <w:rFonts w:eastAsiaTheme="majorEastAsia"/>
            <w:color w:val="000000" w:themeColor="text1"/>
            <w:sz w:val="28"/>
            <w:szCs w:val="28"/>
            <w:u w:val="none"/>
            <w:lang w:val="uk-UA"/>
          </w:rPr>
          <w:t>https://www.spglobal.com/esg/solutions/esg-scores-data</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21.05 2025)</w:t>
      </w:r>
    </w:p>
    <w:p w14:paraId="6911D7F0" w14:textId="7ECDBF8B" w:rsidR="001D585F" w:rsidRPr="00913129" w:rsidRDefault="001B5C9C" w:rsidP="007A17F9">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Hilbrich S., Berensmann K., Artmann G., Ashman S., Herbold T., Lötters-Viehof S., Monti A., Paffhausen F., Roigk S., Steenkamp L.-A. Implementing sustainability taxonomies to redirect capital flows: The case of South Africa // Climate Policy. 2025. Vol. 25, № 5. P. 741–755. DOI:</w:t>
      </w:r>
      <w:r w:rsidRPr="00913129">
        <w:rPr>
          <w:rStyle w:val="apple-converted-space"/>
          <w:rFonts w:eastAsiaTheme="majorEastAsia"/>
          <w:color w:val="000000" w:themeColor="text1"/>
          <w:sz w:val="28"/>
          <w:szCs w:val="28"/>
          <w:lang w:val="uk-UA"/>
        </w:rPr>
        <w:t> </w:t>
      </w:r>
      <w:hyperlink r:id="rId73" w:tgtFrame="_new" w:history="1">
        <w:r w:rsidRPr="00913129">
          <w:rPr>
            <w:rStyle w:val="af1"/>
            <w:rFonts w:eastAsiaTheme="majorEastAsia"/>
            <w:color w:val="000000" w:themeColor="text1"/>
            <w:sz w:val="28"/>
            <w:szCs w:val="28"/>
            <w:u w:val="none"/>
            <w:lang w:val="uk-UA"/>
          </w:rPr>
          <w:t>https://doi.org/10.1080/14693062.2024.2415382</w:t>
        </w:r>
      </w:hyperlink>
      <w:r w:rsidR="001D585F" w:rsidRPr="00913129">
        <w:rPr>
          <w:lang w:val="uk-UA"/>
        </w:rPr>
        <w:t xml:space="preserve"> </w:t>
      </w:r>
      <w:r w:rsidR="001D585F" w:rsidRPr="00913129">
        <w:rPr>
          <w:color w:val="000000" w:themeColor="text1"/>
          <w:sz w:val="28"/>
          <w:szCs w:val="28"/>
          <w:lang w:val="uk-UA"/>
        </w:rPr>
        <w:t>(дата звернення: 21.05 2025)</w:t>
      </w:r>
    </w:p>
    <w:p w14:paraId="1A30BFB0" w14:textId="53972922" w:rsidR="001B5C9C" w:rsidRPr="00913129" w:rsidRDefault="001B5C9C" w:rsidP="00BB4CA3">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IFRS - General Sustainability-related Disclosures. URL:</w:t>
      </w:r>
      <w:r w:rsidRPr="00913129">
        <w:rPr>
          <w:rStyle w:val="apple-converted-space"/>
          <w:rFonts w:eastAsiaTheme="majorEastAsia"/>
          <w:color w:val="000000" w:themeColor="text1"/>
          <w:sz w:val="28"/>
          <w:szCs w:val="28"/>
          <w:lang w:val="uk-UA"/>
        </w:rPr>
        <w:t> </w:t>
      </w:r>
      <w:hyperlink r:id="rId74" w:tgtFrame="_new" w:history="1">
        <w:r w:rsidRPr="00913129">
          <w:rPr>
            <w:rStyle w:val="af1"/>
            <w:rFonts w:eastAsiaTheme="majorEastAsia"/>
            <w:color w:val="000000" w:themeColor="text1"/>
            <w:sz w:val="28"/>
            <w:szCs w:val="28"/>
            <w:u w:val="none"/>
            <w:lang w:val="uk-UA"/>
          </w:rPr>
          <w:t>https://www.ifrs.org/projects/completed-projects/2023/general-sustainability-related-disclosures/</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21.05 2025)</w:t>
      </w:r>
    </w:p>
    <w:p w14:paraId="4CB2E195" w14:textId="77777777" w:rsidR="001D585F" w:rsidRPr="00913129" w:rsidRDefault="001B5C9C" w:rsidP="00C700F1">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GRI - EFRAG and GRI enhance collaboration with deeper ties. URL:</w:t>
      </w:r>
      <w:r w:rsidRPr="00913129">
        <w:rPr>
          <w:rStyle w:val="apple-converted-space"/>
          <w:rFonts w:eastAsiaTheme="majorEastAsia"/>
          <w:color w:val="000000" w:themeColor="text1"/>
          <w:sz w:val="28"/>
          <w:szCs w:val="28"/>
          <w:lang w:val="uk-UA"/>
        </w:rPr>
        <w:t> </w:t>
      </w:r>
      <w:hyperlink r:id="rId75" w:tgtFrame="_new" w:history="1">
        <w:r w:rsidRPr="00913129">
          <w:rPr>
            <w:rStyle w:val="af1"/>
            <w:rFonts w:eastAsiaTheme="majorEastAsia"/>
            <w:color w:val="000000" w:themeColor="text1"/>
            <w:sz w:val="28"/>
            <w:szCs w:val="28"/>
            <w:u w:val="none"/>
            <w:lang w:val="uk-UA"/>
          </w:rPr>
          <w:t>https://www.globalreporting.org/news/news-center/efrag-and-gri-enhance-collaboration-with-deeper-ties/</w:t>
        </w:r>
      </w:hyperlink>
      <w:r w:rsidRPr="00913129">
        <w:rPr>
          <w:rStyle w:val="apple-converted-space"/>
          <w:rFonts w:eastAsiaTheme="majorEastAsia"/>
          <w:color w:val="000000" w:themeColor="text1"/>
          <w:sz w:val="28"/>
          <w:szCs w:val="28"/>
          <w:lang w:val="uk-UA"/>
        </w:rPr>
        <w:t> </w:t>
      </w:r>
      <w:r w:rsidR="001D585F" w:rsidRPr="00913129">
        <w:rPr>
          <w:color w:val="000000" w:themeColor="text1"/>
          <w:sz w:val="28"/>
          <w:szCs w:val="28"/>
          <w:lang w:val="uk-UA"/>
        </w:rPr>
        <w:t>(дата звернення: 21.05 2025)</w:t>
      </w:r>
    </w:p>
    <w:p w14:paraId="555DBBAD" w14:textId="15006F19" w:rsidR="001B5C9C" w:rsidRPr="00913129" w:rsidRDefault="001B5C9C" w:rsidP="00C700F1">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ESG ratings and climate transition: An assessment of the alignment of E pillar scores and metrics (OECD Business and Finance Policy Papers 06; OECD Business and Finance Policy Papers, Vol. 06). 2022. DOI:</w:t>
      </w:r>
      <w:r w:rsidRPr="00913129">
        <w:rPr>
          <w:rStyle w:val="apple-converted-space"/>
          <w:rFonts w:eastAsiaTheme="majorEastAsia"/>
          <w:color w:val="000000" w:themeColor="text1"/>
          <w:sz w:val="28"/>
          <w:szCs w:val="28"/>
          <w:lang w:val="uk-UA"/>
        </w:rPr>
        <w:t> </w:t>
      </w:r>
      <w:hyperlink r:id="rId76" w:tgtFrame="_new" w:history="1">
        <w:r w:rsidRPr="00913129">
          <w:rPr>
            <w:rStyle w:val="af1"/>
            <w:rFonts w:eastAsiaTheme="majorEastAsia"/>
            <w:color w:val="000000" w:themeColor="text1"/>
            <w:sz w:val="28"/>
            <w:szCs w:val="28"/>
            <w:u w:val="none"/>
            <w:lang w:val="uk-UA"/>
          </w:rPr>
          <w:t>https://doi.org/10.1787/2fa21143-en</w:t>
        </w:r>
      </w:hyperlink>
      <w:r w:rsidRPr="00913129">
        <w:rPr>
          <w:rStyle w:val="apple-converted-space"/>
          <w:rFonts w:eastAsiaTheme="majorEastAsia"/>
          <w:color w:val="000000" w:themeColor="text1"/>
          <w:sz w:val="28"/>
          <w:szCs w:val="28"/>
          <w:lang w:val="uk-UA"/>
        </w:rPr>
        <w:t> </w:t>
      </w:r>
      <w:r w:rsidRPr="00913129">
        <w:rPr>
          <w:color w:val="000000" w:themeColor="text1"/>
          <w:sz w:val="28"/>
          <w:szCs w:val="28"/>
          <w:lang w:val="uk-UA"/>
        </w:rPr>
        <w:t>(дата звернення:</w:t>
      </w:r>
      <w:r w:rsidR="00AE22A2" w:rsidRPr="00913129">
        <w:rPr>
          <w:color w:val="000000" w:themeColor="text1"/>
          <w:sz w:val="28"/>
          <w:szCs w:val="28"/>
          <w:lang w:val="uk-UA"/>
        </w:rPr>
        <w:t xml:space="preserve"> 21.05</w:t>
      </w:r>
      <w:r w:rsidRPr="00913129">
        <w:rPr>
          <w:color w:val="000000" w:themeColor="text1"/>
          <w:sz w:val="28"/>
          <w:szCs w:val="28"/>
          <w:lang w:val="uk-UA"/>
        </w:rPr>
        <w:t xml:space="preserve"> 2025)</w:t>
      </w:r>
    </w:p>
    <w:p w14:paraId="671A1F08" w14:textId="12F9E997" w:rsidR="00190444" w:rsidRPr="00913129" w:rsidRDefault="001B5C9C" w:rsidP="00262E17">
      <w:pPr>
        <w:pStyle w:val="ae"/>
        <w:numPr>
          <w:ilvl w:val="0"/>
          <w:numId w:val="21"/>
        </w:numPr>
        <w:tabs>
          <w:tab w:val="clear" w:pos="720"/>
          <w:tab w:val="num" w:pos="0"/>
        </w:tabs>
        <w:spacing w:before="0" w:beforeAutospacing="0" w:after="0" w:afterAutospacing="0" w:line="360" w:lineRule="auto"/>
        <w:ind w:left="0" w:firstLine="851"/>
        <w:jc w:val="both"/>
        <w:rPr>
          <w:color w:val="000000" w:themeColor="text1"/>
          <w:sz w:val="28"/>
          <w:szCs w:val="28"/>
          <w:lang w:val="uk-UA"/>
        </w:rPr>
      </w:pPr>
      <w:r w:rsidRPr="00913129">
        <w:rPr>
          <w:color w:val="000000" w:themeColor="text1"/>
          <w:sz w:val="28"/>
          <w:szCs w:val="28"/>
          <w:lang w:val="uk-UA"/>
        </w:rPr>
        <w:t>Institute, M. S. 17 years of MSCI ESG Ratings and long-term corporate performance. MSCI Sustainability Institute, 04.03.2024. URL:</w:t>
      </w:r>
      <w:r w:rsidRPr="00913129">
        <w:rPr>
          <w:rStyle w:val="apple-converted-space"/>
          <w:rFonts w:eastAsiaTheme="majorEastAsia"/>
          <w:color w:val="000000" w:themeColor="text1"/>
          <w:sz w:val="28"/>
          <w:szCs w:val="28"/>
          <w:lang w:val="uk-UA"/>
        </w:rPr>
        <w:t> </w:t>
      </w:r>
      <w:hyperlink r:id="rId77" w:tgtFrame="_new" w:history="1">
        <w:r w:rsidRPr="00913129">
          <w:rPr>
            <w:rStyle w:val="af1"/>
            <w:rFonts w:eastAsiaTheme="majorEastAsia"/>
            <w:color w:val="000000" w:themeColor="text1"/>
            <w:sz w:val="28"/>
            <w:szCs w:val="28"/>
            <w:u w:val="none"/>
            <w:lang w:val="uk-UA"/>
          </w:rPr>
          <w:t>https://www.msci-institute.com/themes/risk-return/long-term-corporate-performance/</w:t>
        </w:r>
      </w:hyperlink>
      <w:r w:rsidRPr="00913129">
        <w:rPr>
          <w:rStyle w:val="apple-converted-space"/>
          <w:rFonts w:eastAsiaTheme="majorEastAsia"/>
          <w:color w:val="000000" w:themeColor="text1"/>
          <w:sz w:val="28"/>
          <w:szCs w:val="28"/>
          <w:lang w:val="uk-UA"/>
        </w:rPr>
        <w:t> </w:t>
      </w:r>
      <w:r w:rsidR="00AE22A2" w:rsidRPr="00913129">
        <w:rPr>
          <w:color w:val="000000" w:themeColor="text1"/>
          <w:sz w:val="28"/>
          <w:szCs w:val="28"/>
          <w:lang w:val="uk-UA"/>
        </w:rPr>
        <w:t>(дата звернення: 21.05 2025)</w:t>
      </w:r>
    </w:p>
    <w:p w14:paraId="03E2C360" w14:textId="77777777" w:rsidR="00344ACC" w:rsidRPr="00913129" w:rsidRDefault="00344ACC" w:rsidP="00AE7AE4">
      <w:pPr>
        <w:spacing w:line="360" w:lineRule="auto"/>
        <w:rPr>
          <w:color w:val="000000"/>
          <w:sz w:val="28"/>
          <w:szCs w:val="28"/>
          <w:lang w:val="uk-UA"/>
        </w:rPr>
      </w:pPr>
    </w:p>
    <w:p w14:paraId="0BCE0BA6" w14:textId="77777777" w:rsidR="00AE7AE4" w:rsidRPr="00913129" w:rsidRDefault="00AE7AE4" w:rsidP="00F74138">
      <w:pPr>
        <w:spacing w:after="160" w:line="278" w:lineRule="auto"/>
        <w:jc w:val="center"/>
        <w:rPr>
          <w:rFonts w:eastAsiaTheme="majorEastAsia"/>
          <w:b/>
          <w:bCs/>
          <w:color w:val="000000" w:themeColor="text1"/>
          <w:sz w:val="28"/>
          <w:szCs w:val="28"/>
          <w:lang w:val="uk-UA"/>
        </w:rPr>
      </w:pPr>
    </w:p>
    <w:p w14:paraId="0A5B7423" w14:textId="0E8D62E7" w:rsidR="00AA0E17" w:rsidRPr="00913129" w:rsidRDefault="00AA0E17" w:rsidP="00D4643D">
      <w:pPr>
        <w:spacing w:line="360" w:lineRule="auto"/>
        <w:ind w:right="-2"/>
        <w:jc w:val="center"/>
        <w:rPr>
          <w:rFonts w:eastAsiaTheme="majorEastAsia"/>
          <w:b/>
          <w:bCs/>
          <w:color w:val="000000" w:themeColor="text1"/>
          <w:sz w:val="28"/>
          <w:szCs w:val="28"/>
          <w:lang w:val="uk-UA"/>
        </w:rPr>
      </w:pPr>
      <w:r w:rsidRPr="00913129">
        <w:rPr>
          <w:rFonts w:eastAsiaTheme="majorEastAsia"/>
          <w:b/>
          <w:bCs/>
          <w:color w:val="000000" w:themeColor="text1"/>
          <w:sz w:val="28"/>
          <w:szCs w:val="28"/>
          <w:lang w:val="uk-UA"/>
        </w:rPr>
        <w:lastRenderedPageBreak/>
        <w:t>ДОДАТОК А</w:t>
      </w:r>
    </w:p>
    <w:p w14:paraId="2E8B5D0D" w14:textId="1125B278" w:rsidR="005B37AA" w:rsidRPr="00913129" w:rsidRDefault="005B37AA" w:rsidP="005B37AA">
      <w:pPr>
        <w:spacing w:line="360" w:lineRule="auto"/>
        <w:ind w:right="-2"/>
        <w:jc w:val="right"/>
        <w:rPr>
          <w:rFonts w:eastAsiaTheme="majorEastAsia"/>
          <w:color w:val="000000" w:themeColor="text1"/>
          <w:sz w:val="28"/>
          <w:szCs w:val="28"/>
          <w:lang w:val="uk-UA"/>
        </w:rPr>
      </w:pPr>
      <w:r w:rsidRPr="00913129">
        <w:rPr>
          <w:rFonts w:eastAsiaTheme="majorEastAsia"/>
          <w:color w:val="000000" w:themeColor="text1"/>
          <w:sz w:val="28"/>
          <w:szCs w:val="28"/>
          <w:lang w:val="uk-UA"/>
        </w:rPr>
        <w:t>Таблиця А.1</w:t>
      </w:r>
    </w:p>
    <w:p w14:paraId="7183119E" w14:textId="77777777" w:rsidR="00AA0E17" w:rsidRPr="00913129" w:rsidRDefault="00AA0E17" w:rsidP="005B37AA">
      <w:pPr>
        <w:spacing w:line="360" w:lineRule="auto"/>
        <w:ind w:right="-2"/>
        <w:jc w:val="center"/>
        <w:rPr>
          <w:rFonts w:eastAsiaTheme="majorEastAsia"/>
          <w:color w:val="000000" w:themeColor="text1"/>
          <w:sz w:val="28"/>
          <w:szCs w:val="28"/>
          <w:lang w:val="uk-UA"/>
        </w:rPr>
      </w:pPr>
      <w:r w:rsidRPr="00913129">
        <w:rPr>
          <w:color w:val="000000"/>
          <w:sz w:val="28"/>
          <w:szCs w:val="28"/>
          <w:lang w:val="uk-UA"/>
        </w:rPr>
        <w:t>Динаміка річних доходів провідних міжнародних компаній за 2014–2024 роки, млн дол. США</w:t>
      </w:r>
    </w:p>
    <w:tbl>
      <w:tblPr>
        <w:tblStyle w:val="af"/>
        <w:tblW w:w="0" w:type="auto"/>
        <w:tblLook w:val="04A0" w:firstRow="1" w:lastRow="0" w:firstColumn="1" w:lastColumn="0" w:noHBand="0" w:noVBand="1"/>
      </w:tblPr>
      <w:tblGrid>
        <w:gridCol w:w="696"/>
        <w:gridCol w:w="1501"/>
        <w:gridCol w:w="1513"/>
        <w:gridCol w:w="1758"/>
        <w:gridCol w:w="1825"/>
        <w:gridCol w:w="2051"/>
      </w:tblGrid>
      <w:tr w:rsidR="005B37AA" w:rsidRPr="00913129" w14:paraId="4C768F56" w14:textId="77777777" w:rsidTr="005B37AA">
        <w:tc>
          <w:tcPr>
            <w:tcW w:w="0" w:type="auto"/>
            <w:vMerge w:val="restart"/>
            <w:vAlign w:val="center"/>
          </w:tcPr>
          <w:p w14:paraId="71F9C833" w14:textId="676CF26B" w:rsidR="005B37AA" w:rsidRPr="00913129" w:rsidRDefault="005B37AA" w:rsidP="005B37AA">
            <w:pPr>
              <w:ind w:right="-2"/>
              <w:jc w:val="center"/>
              <w:rPr>
                <w:color w:val="000000"/>
                <w:lang w:val="uk-UA"/>
              </w:rPr>
            </w:pPr>
            <w:r w:rsidRPr="00913129">
              <w:rPr>
                <w:color w:val="000000"/>
                <w:lang w:val="uk-UA"/>
              </w:rPr>
              <w:t>Рік</w:t>
            </w:r>
          </w:p>
        </w:tc>
        <w:tc>
          <w:tcPr>
            <w:tcW w:w="0" w:type="auto"/>
            <w:gridSpan w:val="5"/>
            <w:vAlign w:val="center"/>
          </w:tcPr>
          <w:p w14:paraId="402E54C3" w14:textId="464C0CD6" w:rsidR="005B37AA" w:rsidRPr="00913129" w:rsidRDefault="005B37AA" w:rsidP="005B37AA">
            <w:pPr>
              <w:ind w:right="-2"/>
              <w:jc w:val="center"/>
              <w:rPr>
                <w:color w:val="000000"/>
                <w:lang w:val="uk-UA"/>
              </w:rPr>
            </w:pPr>
            <w:r w:rsidRPr="00913129">
              <w:rPr>
                <w:color w:val="000000"/>
                <w:lang w:val="uk-UA"/>
              </w:rPr>
              <w:t>Компанія</w:t>
            </w:r>
          </w:p>
        </w:tc>
      </w:tr>
      <w:tr w:rsidR="005B37AA" w:rsidRPr="00913129" w14:paraId="74B42D05" w14:textId="77777777" w:rsidTr="005B37AA">
        <w:tc>
          <w:tcPr>
            <w:tcW w:w="0" w:type="auto"/>
            <w:vMerge/>
            <w:vAlign w:val="center"/>
            <w:hideMark/>
          </w:tcPr>
          <w:p w14:paraId="4C47CF5C" w14:textId="03E44663" w:rsidR="005B37AA" w:rsidRPr="00913129" w:rsidRDefault="005B37AA" w:rsidP="005B37AA">
            <w:pPr>
              <w:ind w:right="-2"/>
              <w:jc w:val="center"/>
              <w:rPr>
                <w:color w:val="000000"/>
                <w:lang w:val="uk-UA"/>
              </w:rPr>
            </w:pPr>
          </w:p>
        </w:tc>
        <w:tc>
          <w:tcPr>
            <w:tcW w:w="0" w:type="auto"/>
            <w:vAlign w:val="center"/>
            <w:hideMark/>
          </w:tcPr>
          <w:p w14:paraId="79EAEB16" w14:textId="77777777" w:rsidR="005B37AA" w:rsidRPr="00913129" w:rsidRDefault="005B37AA" w:rsidP="005B37AA">
            <w:pPr>
              <w:ind w:right="-2"/>
              <w:jc w:val="center"/>
              <w:rPr>
                <w:color w:val="000000"/>
                <w:lang w:val="uk-UA"/>
              </w:rPr>
            </w:pPr>
            <w:r w:rsidRPr="00913129">
              <w:rPr>
                <w:color w:val="000000"/>
                <w:lang w:val="uk-UA"/>
              </w:rPr>
              <w:t>Microsoft (MSFT)</w:t>
            </w:r>
          </w:p>
        </w:tc>
        <w:tc>
          <w:tcPr>
            <w:tcW w:w="0" w:type="auto"/>
            <w:vAlign w:val="center"/>
            <w:hideMark/>
          </w:tcPr>
          <w:p w14:paraId="4449B60F" w14:textId="77777777" w:rsidR="005B37AA" w:rsidRPr="00913129" w:rsidRDefault="005B37AA" w:rsidP="005B37AA">
            <w:pPr>
              <w:ind w:right="-2"/>
              <w:jc w:val="center"/>
              <w:rPr>
                <w:color w:val="000000"/>
                <w:lang w:val="uk-UA"/>
              </w:rPr>
            </w:pPr>
            <w:r w:rsidRPr="00913129">
              <w:rPr>
                <w:color w:val="000000"/>
                <w:lang w:val="uk-UA"/>
              </w:rPr>
              <w:t>Sempra Energy (SRE)</w:t>
            </w:r>
          </w:p>
        </w:tc>
        <w:tc>
          <w:tcPr>
            <w:tcW w:w="0" w:type="auto"/>
            <w:vAlign w:val="center"/>
            <w:hideMark/>
          </w:tcPr>
          <w:p w14:paraId="5ADA3C15" w14:textId="77777777" w:rsidR="005B37AA" w:rsidRPr="00913129" w:rsidRDefault="005B37AA" w:rsidP="005B37AA">
            <w:pPr>
              <w:ind w:right="-2"/>
              <w:jc w:val="center"/>
              <w:rPr>
                <w:color w:val="000000"/>
                <w:lang w:val="uk-UA"/>
              </w:rPr>
            </w:pPr>
            <w:r w:rsidRPr="00913129">
              <w:rPr>
                <w:color w:val="000000"/>
                <w:lang w:val="uk-UA"/>
              </w:rPr>
              <w:t>Verisk Analytics (VRSK)</w:t>
            </w:r>
          </w:p>
        </w:tc>
        <w:tc>
          <w:tcPr>
            <w:tcW w:w="0" w:type="auto"/>
            <w:vAlign w:val="center"/>
            <w:hideMark/>
          </w:tcPr>
          <w:p w14:paraId="013FDB48" w14:textId="77777777" w:rsidR="005B37AA" w:rsidRPr="00913129" w:rsidRDefault="005B37AA" w:rsidP="005B37AA">
            <w:pPr>
              <w:ind w:right="-2"/>
              <w:jc w:val="center"/>
              <w:rPr>
                <w:color w:val="000000"/>
                <w:lang w:val="uk-UA"/>
              </w:rPr>
            </w:pPr>
            <w:r w:rsidRPr="00913129">
              <w:rPr>
                <w:color w:val="000000"/>
                <w:lang w:val="uk-UA"/>
              </w:rPr>
              <w:t>Applied Materials (AMAT)</w:t>
            </w:r>
          </w:p>
        </w:tc>
        <w:tc>
          <w:tcPr>
            <w:tcW w:w="0" w:type="auto"/>
            <w:vAlign w:val="center"/>
            <w:hideMark/>
          </w:tcPr>
          <w:p w14:paraId="09CC10FB" w14:textId="6578CA71" w:rsidR="005B37AA" w:rsidRPr="00913129" w:rsidRDefault="005B37AA" w:rsidP="005B37AA">
            <w:pPr>
              <w:ind w:right="-2"/>
              <w:jc w:val="center"/>
              <w:rPr>
                <w:color w:val="000000"/>
                <w:lang w:val="uk-UA"/>
              </w:rPr>
            </w:pPr>
            <w:r w:rsidRPr="00913129">
              <w:rPr>
                <w:color w:val="000000"/>
                <w:lang w:val="uk-UA"/>
              </w:rPr>
              <w:t>Moody’s Corporation (MCO)</w:t>
            </w:r>
          </w:p>
        </w:tc>
      </w:tr>
      <w:tr w:rsidR="00AA0E17" w:rsidRPr="00913129" w14:paraId="606CD699" w14:textId="77777777" w:rsidTr="005B37AA">
        <w:tc>
          <w:tcPr>
            <w:tcW w:w="0" w:type="auto"/>
            <w:vAlign w:val="center"/>
            <w:hideMark/>
          </w:tcPr>
          <w:p w14:paraId="3F301B3B" w14:textId="77777777" w:rsidR="00AA0E17" w:rsidRPr="00913129" w:rsidRDefault="00AA0E17" w:rsidP="005B37AA">
            <w:pPr>
              <w:ind w:right="-2"/>
              <w:jc w:val="center"/>
              <w:rPr>
                <w:color w:val="000000"/>
                <w:lang w:val="uk-UA"/>
              </w:rPr>
            </w:pPr>
            <w:r w:rsidRPr="00913129">
              <w:rPr>
                <w:color w:val="000000"/>
                <w:lang w:val="uk-UA"/>
              </w:rPr>
              <w:t>2014</w:t>
            </w:r>
          </w:p>
        </w:tc>
        <w:tc>
          <w:tcPr>
            <w:tcW w:w="0" w:type="auto"/>
            <w:vAlign w:val="center"/>
            <w:hideMark/>
          </w:tcPr>
          <w:p w14:paraId="339172A3" w14:textId="77777777" w:rsidR="00AA0E17" w:rsidRPr="00913129" w:rsidRDefault="00AA0E17" w:rsidP="005B37AA">
            <w:pPr>
              <w:ind w:right="-2"/>
              <w:jc w:val="center"/>
              <w:rPr>
                <w:color w:val="000000"/>
                <w:lang w:val="uk-UA"/>
              </w:rPr>
            </w:pPr>
            <w:r w:rsidRPr="00913129">
              <w:rPr>
                <w:color w:val="000000"/>
                <w:lang w:val="uk-UA"/>
              </w:rPr>
              <w:t>86,83</w:t>
            </w:r>
          </w:p>
        </w:tc>
        <w:tc>
          <w:tcPr>
            <w:tcW w:w="0" w:type="auto"/>
            <w:vAlign w:val="center"/>
            <w:hideMark/>
          </w:tcPr>
          <w:p w14:paraId="6DE7A6A3" w14:textId="77777777" w:rsidR="00AA0E17" w:rsidRPr="00913129" w:rsidRDefault="00AA0E17" w:rsidP="005B37AA">
            <w:pPr>
              <w:ind w:right="-2"/>
              <w:jc w:val="center"/>
              <w:rPr>
                <w:color w:val="000000"/>
                <w:lang w:val="uk-UA"/>
              </w:rPr>
            </w:pPr>
            <w:r w:rsidRPr="00913129">
              <w:rPr>
                <w:color w:val="000000"/>
                <w:lang w:val="uk-UA"/>
              </w:rPr>
              <w:t>11,00</w:t>
            </w:r>
          </w:p>
        </w:tc>
        <w:tc>
          <w:tcPr>
            <w:tcW w:w="0" w:type="auto"/>
            <w:vAlign w:val="center"/>
            <w:hideMark/>
          </w:tcPr>
          <w:p w14:paraId="6AF0A9BB" w14:textId="77777777" w:rsidR="00AA0E17" w:rsidRPr="00913129" w:rsidRDefault="00AA0E17" w:rsidP="005B37AA">
            <w:pPr>
              <w:ind w:right="-2"/>
              <w:jc w:val="center"/>
              <w:rPr>
                <w:color w:val="000000"/>
                <w:lang w:val="uk-UA"/>
              </w:rPr>
            </w:pPr>
            <w:r w:rsidRPr="00913129">
              <w:rPr>
                <w:color w:val="000000"/>
                <w:lang w:val="uk-UA"/>
              </w:rPr>
              <w:t>1,75</w:t>
            </w:r>
          </w:p>
        </w:tc>
        <w:tc>
          <w:tcPr>
            <w:tcW w:w="0" w:type="auto"/>
            <w:vAlign w:val="center"/>
            <w:hideMark/>
          </w:tcPr>
          <w:p w14:paraId="2DAC6824" w14:textId="77777777" w:rsidR="00AA0E17" w:rsidRPr="00913129" w:rsidRDefault="00AA0E17" w:rsidP="005B37AA">
            <w:pPr>
              <w:ind w:right="-2"/>
              <w:jc w:val="center"/>
              <w:rPr>
                <w:color w:val="000000"/>
                <w:lang w:val="uk-UA"/>
              </w:rPr>
            </w:pPr>
            <w:r w:rsidRPr="00913129">
              <w:rPr>
                <w:color w:val="000000"/>
                <w:lang w:val="uk-UA"/>
              </w:rPr>
              <w:t>9,07</w:t>
            </w:r>
          </w:p>
        </w:tc>
        <w:tc>
          <w:tcPr>
            <w:tcW w:w="0" w:type="auto"/>
            <w:vAlign w:val="center"/>
            <w:hideMark/>
          </w:tcPr>
          <w:p w14:paraId="4A23F4A2" w14:textId="77777777" w:rsidR="00AA0E17" w:rsidRPr="00913129" w:rsidRDefault="00AA0E17" w:rsidP="005B37AA">
            <w:pPr>
              <w:ind w:right="-2"/>
              <w:jc w:val="center"/>
              <w:rPr>
                <w:color w:val="000000"/>
                <w:lang w:val="uk-UA"/>
              </w:rPr>
            </w:pPr>
            <w:r w:rsidRPr="00913129">
              <w:rPr>
                <w:color w:val="000000"/>
                <w:lang w:val="uk-UA"/>
              </w:rPr>
              <w:t>3,33</w:t>
            </w:r>
          </w:p>
        </w:tc>
      </w:tr>
      <w:tr w:rsidR="00AA0E17" w:rsidRPr="00913129" w14:paraId="37EB4DB3" w14:textId="77777777" w:rsidTr="005B37AA">
        <w:tc>
          <w:tcPr>
            <w:tcW w:w="0" w:type="auto"/>
            <w:vAlign w:val="center"/>
            <w:hideMark/>
          </w:tcPr>
          <w:p w14:paraId="4A718D10" w14:textId="77777777" w:rsidR="00AA0E17" w:rsidRPr="00913129" w:rsidRDefault="00AA0E17" w:rsidP="005B37AA">
            <w:pPr>
              <w:ind w:right="-2"/>
              <w:jc w:val="center"/>
              <w:rPr>
                <w:color w:val="000000"/>
                <w:lang w:val="uk-UA"/>
              </w:rPr>
            </w:pPr>
            <w:r w:rsidRPr="00913129">
              <w:rPr>
                <w:color w:val="000000"/>
                <w:lang w:val="uk-UA"/>
              </w:rPr>
              <w:t>2015</w:t>
            </w:r>
          </w:p>
        </w:tc>
        <w:tc>
          <w:tcPr>
            <w:tcW w:w="0" w:type="auto"/>
            <w:vAlign w:val="center"/>
            <w:hideMark/>
          </w:tcPr>
          <w:p w14:paraId="013D84B8" w14:textId="77777777" w:rsidR="00AA0E17" w:rsidRPr="00913129" w:rsidRDefault="00AA0E17" w:rsidP="005B37AA">
            <w:pPr>
              <w:ind w:right="-2"/>
              <w:jc w:val="center"/>
              <w:rPr>
                <w:color w:val="000000"/>
                <w:lang w:val="uk-UA"/>
              </w:rPr>
            </w:pPr>
            <w:r w:rsidRPr="00913129">
              <w:rPr>
                <w:color w:val="000000"/>
                <w:lang w:val="uk-UA"/>
              </w:rPr>
              <w:t>93,58</w:t>
            </w:r>
          </w:p>
        </w:tc>
        <w:tc>
          <w:tcPr>
            <w:tcW w:w="0" w:type="auto"/>
            <w:vAlign w:val="center"/>
            <w:hideMark/>
          </w:tcPr>
          <w:p w14:paraId="30193B85" w14:textId="77777777" w:rsidR="00AA0E17" w:rsidRPr="00913129" w:rsidRDefault="00AA0E17" w:rsidP="005B37AA">
            <w:pPr>
              <w:ind w:right="-2"/>
              <w:jc w:val="center"/>
              <w:rPr>
                <w:color w:val="000000"/>
                <w:lang w:val="uk-UA"/>
              </w:rPr>
            </w:pPr>
            <w:r w:rsidRPr="00913129">
              <w:rPr>
                <w:color w:val="000000"/>
                <w:lang w:val="uk-UA"/>
              </w:rPr>
              <w:t>10,20</w:t>
            </w:r>
          </w:p>
        </w:tc>
        <w:tc>
          <w:tcPr>
            <w:tcW w:w="0" w:type="auto"/>
            <w:vAlign w:val="center"/>
            <w:hideMark/>
          </w:tcPr>
          <w:p w14:paraId="530D2B64" w14:textId="77777777" w:rsidR="00AA0E17" w:rsidRPr="00913129" w:rsidRDefault="00AA0E17" w:rsidP="005B37AA">
            <w:pPr>
              <w:ind w:right="-2"/>
              <w:jc w:val="center"/>
              <w:rPr>
                <w:color w:val="000000"/>
                <w:lang w:val="uk-UA"/>
              </w:rPr>
            </w:pPr>
            <w:r w:rsidRPr="00913129">
              <w:rPr>
                <w:color w:val="000000"/>
                <w:lang w:val="uk-UA"/>
              </w:rPr>
              <w:t>1,90</w:t>
            </w:r>
          </w:p>
        </w:tc>
        <w:tc>
          <w:tcPr>
            <w:tcW w:w="0" w:type="auto"/>
            <w:vAlign w:val="center"/>
            <w:hideMark/>
          </w:tcPr>
          <w:p w14:paraId="3B468B02" w14:textId="77777777" w:rsidR="00AA0E17" w:rsidRPr="00913129" w:rsidRDefault="00AA0E17" w:rsidP="005B37AA">
            <w:pPr>
              <w:ind w:right="-2"/>
              <w:jc w:val="center"/>
              <w:rPr>
                <w:color w:val="000000"/>
                <w:lang w:val="uk-UA"/>
              </w:rPr>
            </w:pPr>
            <w:r w:rsidRPr="00913129">
              <w:rPr>
                <w:color w:val="000000"/>
                <w:lang w:val="uk-UA"/>
              </w:rPr>
              <w:t>9,66</w:t>
            </w:r>
          </w:p>
        </w:tc>
        <w:tc>
          <w:tcPr>
            <w:tcW w:w="0" w:type="auto"/>
            <w:vAlign w:val="center"/>
            <w:hideMark/>
          </w:tcPr>
          <w:p w14:paraId="1C4FAEA2" w14:textId="77777777" w:rsidR="00AA0E17" w:rsidRPr="00913129" w:rsidRDefault="00AA0E17" w:rsidP="005B37AA">
            <w:pPr>
              <w:ind w:right="-2"/>
              <w:jc w:val="center"/>
              <w:rPr>
                <w:color w:val="000000"/>
                <w:lang w:val="uk-UA"/>
              </w:rPr>
            </w:pPr>
            <w:r w:rsidRPr="00913129">
              <w:rPr>
                <w:color w:val="000000"/>
                <w:lang w:val="uk-UA"/>
              </w:rPr>
              <w:t>3,48</w:t>
            </w:r>
          </w:p>
        </w:tc>
      </w:tr>
      <w:tr w:rsidR="00AA0E17" w:rsidRPr="00913129" w14:paraId="006C440C" w14:textId="77777777" w:rsidTr="005B37AA">
        <w:tc>
          <w:tcPr>
            <w:tcW w:w="0" w:type="auto"/>
            <w:vAlign w:val="center"/>
            <w:hideMark/>
          </w:tcPr>
          <w:p w14:paraId="5910A57E" w14:textId="77777777" w:rsidR="00AA0E17" w:rsidRPr="00913129" w:rsidRDefault="00AA0E17" w:rsidP="005B37AA">
            <w:pPr>
              <w:ind w:right="-2"/>
              <w:jc w:val="center"/>
              <w:rPr>
                <w:color w:val="000000"/>
                <w:lang w:val="uk-UA"/>
              </w:rPr>
            </w:pPr>
            <w:r w:rsidRPr="00913129">
              <w:rPr>
                <w:color w:val="000000"/>
                <w:lang w:val="uk-UA"/>
              </w:rPr>
              <w:t>2016</w:t>
            </w:r>
          </w:p>
        </w:tc>
        <w:tc>
          <w:tcPr>
            <w:tcW w:w="0" w:type="auto"/>
            <w:vAlign w:val="center"/>
            <w:hideMark/>
          </w:tcPr>
          <w:p w14:paraId="6EA9A7F7" w14:textId="77777777" w:rsidR="00AA0E17" w:rsidRPr="00913129" w:rsidRDefault="00AA0E17" w:rsidP="005B37AA">
            <w:pPr>
              <w:ind w:right="-2"/>
              <w:jc w:val="center"/>
              <w:rPr>
                <w:color w:val="000000"/>
                <w:lang w:val="uk-UA"/>
              </w:rPr>
            </w:pPr>
            <w:r w:rsidRPr="00913129">
              <w:rPr>
                <w:color w:val="000000"/>
                <w:lang w:val="uk-UA"/>
              </w:rPr>
              <w:t>85,32</w:t>
            </w:r>
          </w:p>
        </w:tc>
        <w:tc>
          <w:tcPr>
            <w:tcW w:w="0" w:type="auto"/>
            <w:vAlign w:val="center"/>
            <w:hideMark/>
          </w:tcPr>
          <w:p w14:paraId="7D9D9CB9" w14:textId="77777777" w:rsidR="00AA0E17" w:rsidRPr="00913129" w:rsidRDefault="00AA0E17" w:rsidP="005B37AA">
            <w:pPr>
              <w:ind w:right="-2"/>
              <w:jc w:val="center"/>
              <w:rPr>
                <w:color w:val="000000"/>
                <w:lang w:val="uk-UA"/>
              </w:rPr>
            </w:pPr>
            <w:r w:rsidRPr="00913129">
              <w:rPr>
                <w:color w:val="000000"/>
                <w:lang w:val="uk-UA"/>
              </w:rPr>
              <w:t>10,20</w:t>
            </w:r>
          </w:p>
        </w:tc>
        <w:tc>
          <w:tcPr>
            <w:tcW w:w="0" w:type="auto"/>
            <w:vAlign w:val="center"/>
            <w:hideMark/>
          </w:tcPr>
          <w:p w14:paraId="229257ED" w14:textId="77777777" w:rsidR="00AA0E17" w:rsidRPr="00913129" w:rsidRDefault="00AA0E17" w:rsidP="005B37AA">
            <w:pPr>
              <w:ind w:right="-2"/>
              <w:jc w:val="center"/>
              <w:rPr>
                <w:color w:val="000000"/>
                <w:lang w:val="uk-UA"/>
              </w:rPr>
            </w:pPr>
            <w:r w:rsidRPr="00913129">
              <w:rPr>
                <w:color w:val="000000"/>
                <w:lang w:val="uk-UA"/>
              </w:rPr>
              <w:t>2,00</w:t>
            </w:r>
          </w:p>
        </w:tc>
        <w:tc>
          <w:tcPr>
            <w:tcW w:w="0" w:type="auto"/>
            <w:vAlign w:val="center"/>
            <w:hideMark/>
          </w:tcPr>
          <w:p w14:paraId="6343D62B" w14:textId="77777777" w:rsidR="00AA0E17" w:rsidRPr="00913129" w:rsidRDefault="00AA0E17" w:rsidP="005B37AA">
            <w:pPr>
              <w:ind w:right="-2"/>
              <w:jc w:val="center"/>
              <w:rPr>
                <w:color w:val="000000"/>
                <w:lang w:val="uk-UA"/>
              </w:rPr>
            </w:pPr>
            <w:r w:rsidRPr="00913129">
              <w:rPr>
                <w:color w:val="000000"/>
                <w:lang w:val="uk-UA"/>
              </w:rPr>
              <w:t>10,83</w:t>
            </w:r>
          </w:p>
        </w:tc>
        <w:tc>
          <w:tcPr>
            <w:tcW w:w="0" w:type="auto"/>
            <w:vAlign w:val="center"/>
            <w:hideMark/>
          </w:tcPr>
          <w:p w14:paraId="3C7C1CDE" w14:textId="77777777" w:rsidR="00AA0E17" w:rsidRPr="00913129" w:rsidRDefault="00AA0E17" w:rsidP="005B37AA">
            <w:pPr>
              <w:ind w:right="-2"/>
              <w:jc w:val="center"/>
              <w:rPr>
                <w:color w:val="000000"/>
                <w:lang w:val="uk-UA"/>
              </w:rPr>
            </w:pPr>
            <w:r w:rsidRPr="00913129">
              <w:rPr>
                <w:color w:val="000000"/>
                <w:lang w:val="uk-UA"/>
              </w:rPr>
              <w:t>3,60</w:t>
            </w:r>
          </w:p>
        </w:tc>
      </w:tr>
      <w:tr w:rsidR="00AA0E17" w:rsidRPr="00913129" w14:paraId="502B7CBB" w14:textId="77777777" w:rsidTr="005B37AA">
        <w:tc>
          <w:tcPr>
            <w:tcW w:w="0" w:type="auto"/>
            <w:vAlign w:val="center"/>
            <w:hideMark/>
          </w:tcPr>
          <w:p w14:paraId="547B3A34" w14:textId="77777777" w:rsidR="00AA0E17" w:rsidRPr="00913129" w:rsidRDefault="00AA0E17" w:rsidP="005B37AA">
            <w:pPr>
              <w:ind w:right="-2"/>
              <w:jc w:val="center"/>
              <w:rPr>
                <w:color w:val="000000"/>
                <w:lang w:val="uk-UA"/>
              </w:rPr>
            </w:pPr>
            <w:r w:rsidRPr="00913129">
              <w:rPr>
                <w:color w:val="000000"/>
                <w:lang w:val="uk-UA"/>
              </w:rPr>
              <w:t>2017</w:t>
            </w:r>
          </w:p>
        </w:tc>
        <w:tc>
          <w:tcPr>
            <w:tcW w:w="0" w:type="auto"/>
            <w:vAlign w:val="center"/>
            <w:hideMark/>
          </w:tcPr>
          <w:p w14:paraId="1674BF6D" w14:textId="77777777" w:rsidR="00AA0E17" w:rsidRPr="00913129" w:rsidRDefault="00AA0E17" w:rsidP="005B37AA">
            <w:pPr>
              <w:ind w:right="-2"/>
              <w:jc w:val="center"/>
              <w:rPr>
                <w:color w:val="000000"/>
                <w:lang w:val="uk-UA"/>
              </w:rPr>
            </w:pPr>
            <w:r w:rsidRPr="00913129">
              <w:rPr>
                <w:color w:val="000000"/>
                <w:lang w:val="uk-UA"/>
              </w:rPr>
              <w:t>89,95</w:t>
            </w:r>
          </w:p>
        </w:tc>
        <w:tc>
          <w:tcPr>
            <w:tcW w:w="0" w:type="auto"/>
            <w:vAlign w:val="center"/>
            <w:hideMark/>
          </w:tcPr>
          <w:p w14:paraId="17E07212" w14:textId="77777777" w:rsidR="00AA0E17" w:rsidRPr="00913129" w:rsidRDefault="00AA0E17" w:rsidP="005B37AA">
            <w:pPr>
              <w:ind w:right="-2"/>
              <w:jc w:val="center"/>
              <w:rPr>
                <w:color w:val="000000"/>
                <w:lang w:val="uk-UA"/>
              </w:rPr>
            </w:pPr>
            <w:r w:rsidRPr="00913129">
              <w:rPr>
                <w:color w:val="000000"/>
                <w:lang w:val="uk-UA"/>
              </w:rPr>
              <w:t>11,20</w:t>
            </w:r>
          </w:p>
        </w:tc>
        <w:tc>
          <w:tcPr>
            <w:tcW w:w="0" w:type="auto"/>
            <w:vAlign w:val="center"/>
            <w:hideMark/>
          </w:tcPr>
          <w:p w14:paraId="1884DC3B" w14:textId="77777777" w:rsidR="00AA0E17" w:rsidRPr="00913129" w:rsidRDefault="00AA0E17" w:rsidP="005B37AA">
            <w:pPr>
              <w:ind w:right="-2"/>
              <w:jc w:val="center"/>
              <w:rPr>
                <w:color w:val="000000"/>
                <w:lang w:val="uk-UA"/>
              </w:rPr>
            </w:pPr>
            <w:r w:rsidRPr="00913129">
              <w:rPr>
                <w:color w:val="000000"/>
                <w:lang w:val="uk-UA"/>
              </w:rPr>
              <w:t>2,15</w:t>
            </w:r>
          </w:p>
        </w:tc>
        <w:tc>
          <w:tcPr>
            <w:tcW w:w="0" w:type="auto"/>
            <w:vAlign w:val="center"/>
            <w:hideMark/>
          </w:tcPr>
          <w:p w14:paraId="3C01860C" w14:textId="77777777" w:rsidR="00AA0E17" w:rsidRPr="00913129" w:rsidRDefault="00AA0E17" w:rsidP="005B37AA">
            <w:pPr>
              <w:ind w:right="-2"/>
              <w:jc w:val="center"/>
              <w:rPr>
                <w:color w:val="000000"/>
                <w:lang w:val="uk-UA"/>
              </w:rPr>
            </w:pPr>
            <w:r w:rsidRPr="00913129">
              <w:rPr>
                <w:color w:val="000000"/>
                <w:lang w:val="uk-UA"/>
              </w:rPr>
              <w:t>14,54</w:t>
            </w:r>
          </w:p>
        </w:tc>
        <w:tc>
          <w:tcPr>
            <w:tcW w:w="0" w:type="auto"/>
            <w:vAlign w:val="center"/>
            <w:hideMark/>
          </w:tcPr>
          <w:p w14:paraId="21804032" w14:textId="77777777" w:rsidR="00AA0E17" w:rsidRPr="00913129" w:rsidRDefault="00AA0E17" w:rsidP="005B37AA">
            <w:pPr>
              <w:ind w:right="-2"/>
              <w:jc w:val="center"/>
              <w:rPr>
                <w:color w:val="000000"/>
                <w:lang w:val="uk-UA"/>
              </w:rPr>
            </w:pPr>
            <w:r w:rsidRPr="00913129">
              <w:rPr>
                <w:color w:val="000000"/>
                <w:lang w:val="uk-UA"/>
              </w:rPr>
              <w:t>4,20</w:t>
            </w:r>
          </w:p>
        </w:tc>
      </w:tr>
      <w:tr w:rsidR="00AA0E17" w:rsidRPr="00913129" w14:paraId="50A2147A" w14:textId="77777777" w:rsidTr="005B37AA">
        <w:tc>
          <w:tcPr>
            <w:tcW w:w="0" w:type="auto"/>
            <w:vAlign w:val="center"/>
            <w:hideMark/>
          </w:tcPr>
          <w:p w14:paraId="2F5CDF1C" w14:textId="77777777" w:rsidR="00AA0E17" w:rsidRPr="00913129" w:rsidRDefault="00AA0E17" w:rsidP="005B37AA">
            <w:pPr>
              <w:ind w:right="-2"/>
              <w:jc w:val="center"/>
              <w:rPr>
                <w:color w:val="000000"/>
                <w:lang w:val="uk-UA"/>
              </w:rPr>
            </w:pPr>
            <w:r w:rsidRPr="00913129">
              <w:rPr>
                <w:color w:val="000000"/>
                <w:lang w:val="uk-UA"/>
              </w:rPr>
              <w:t>2018</w:t>
            </w:r>
          </w:p>
        </w:tc>
        <w:tc>
          <w:tcPr>
            <w:tcW w:w="0" w:type="auto"/>
            <w:vAlign w:val="center"/>
            <w:hideMark/>
          </w:tcPr>
          <w:p w14:paraId="18E81276" w14:textId="77777777" w:rsidR="00AA0E17" w:rsidRPr="00913129" w:rsidRDefault="00AA0E17" w:rsidP="005B37AA">
            <w:pPr>
              <w:ind w:right="-2"/>
              <w:jc w:val="center"/>
              <w:rPr>
                <w:color w:val="000000"/>
                <w:lang w:val="uk-UA"/>
              </w:rPr>
            </w:pPr>
            <w:r w:rsidRPr="00913129">
              <w:rPr>
                <w:color w:val="000000"/>
                <w:lang w:val="uk-UA"/>
              </w:rPr>
              <w:t>110,36</w:t>
            </w:r>
          </w:p>
        </w:tc>
        <w:tc>
          <w:tcPr>
            <w:tcW w:w="0" w:type="auto"/>
            <w:vAlign w:val="center"/>
            <w:hideMark/>
          </w:tcPr>
          <w:p w14:paraId="1A18F1D1" w14:textId="77777777" w:rsidR="00AA0E17" w:rsidRPr="00913129" w:rsidRDefault="00AA0E17" w:rsidP="005B37AA">
            <w:pPr>
              <w:ind w:right="-2"/>
              <w:jc w:val="center"/>
              <w:rPr>
                <w:color w:val="000000"/>
                <w:lang w:val="uk-UA"/>
              </w:rPr>
            </w:pPr>
            <w:r w:rsidRPr="00913129">
              <w:rPr>
                <w:color w:val="000000"/>
                <w:lang w:val="uk-UA"/>
              </w:rPr>
              <w:t>11,70</w:t>
            </w:r>
          </w:p>
        </w:tc>
        <w:tc>
          <w:tcPr>
            <w:tcW w:w="0" w:type="auto"/>
            <w:vAlign w:val="center"/>
            <w:hideMark/>
          </w:tcPr>
          <w:p w14:paraId="4A019433" w14:textId="77777777" w:rsidR="00AA0E17" w:rsidRPr="00913129" w:rsidRDefault="00AA0E17" w:rsidP="005B37AA">
            <w:pPr>
              <w:ind w:right="-2"/>
              <w:jc w:val="center"/>
              <w:rPr>
                <w:color w:val="000000"/>
                <w:lang w:val="uk-UA"/>
              </w:rPr>
            </w:pPr>
            <w:r w:rsidRPr="00913129">
              <w:rPr>
                <w:color w:val="000000"/>
                <w:lang w:val="uk-UA"/>
              </w:rPr>
              <w:t>2,30</w:t>
            </w:r>
          </w:p>
        </w:tc>
        <w:tc>
          <w:tcPr>
            <w:tcW w:w="0" w:type="auto"/>
            <w:vAlign w:val="center"/>
            <w:hideMark/>
          </w:tcPr>
          <w:p w14:paraId="399F47FD" w14:textId="77777777" w:rsidR="00AA0E17" w:rsidRPr="00913129" w:rsidRDefault="00AA0E17" w:rsidP="005B37AA">
            <w:pPr>
              <w:ind w:right="-2"/>
              <w:jc w:val="center"/>
              <w:rPr>
                <w:color w:val="000000"/>
                <w:lang w:val="uk-UA"/>
              </w:rPr>
            </w:pPr>
            <w:r w:rsidRPr="00913129">
              <w:rPr>
                <w:color w:val="000000"/>
                <w:lang w:val="uk-UA"/>
              </w:rPr>
              <w:t>17,25</w:t>
            </w:r>
          </w:p>
        </w:tc>
        <w:tc>
          <w:tcPr>
            <w:tcW w:w="0" w:type="auto"/>
            <w:vAlign w:val="center"/>
            <w:hideMark/>
          </w:tcPr>
          <w:p w14:paraId="2E99781F" w14:textId="77777777" w:rsidR="00AA0E17" w:rsidRPr="00913129" w:rsidRDefault="00AA0E17" w:rsidP="005B37AA">
            <w:pPr>
              <w:ind w:right="-2"/>
              <w:jc w:val="center"/>
              <w:rPr>
                <w:color w:val="000000"/>
                <w:lang w:val="uk-UA"/>
              </w:rPr>
            </w:pPr>
            <w:r w:rsidRPr="00913129">
              <w:rPr>
                <w:color w:val="000000"/>
                <w:lang w:val="uk-UA"/>
              </w:rPr>
              <w:t>4,44</w:t>
            </w:r>
          </w:p>
        </w:tc>
      </w:tr>
      <w:tr w:rsidR="00AA0E17" w:rsidRPr="00913129" w14:paraId="7384C481" w14:textId="77777777" w:rsidTr="005B37AA">
        <w:tc>
          <w:tcPr>
            <w:tcW w:w="0" w:type="auto"/>
            <w:vAlign w:val="center"/>
            <w:hideMark/>
          </w:tcPr>
          <w:p w14:paraId="74F876A4" w14:textId="77777777" w:rsidR="00AA0E17" w:rsidRPr="00913129" w:rsidRDefault="00AA0E17" w:rsidP="005B37AA">
            <w:pPr>
              <w:ind w:right="-2"/>
              <w:jc w:val="center"/>
              <w:rPr>
                <w:color w:val="000000"/>
                <w:lang w:val="uk-UA"/>
              </w:rPr>
            </w:pPr>
            <w:r w:rsidRPr="00913129">
              <w:rPr>
                <w:color w:val="000000"/>
                <w:lang w:val="uk-UA"/>
              </w:rPr>
              <w:t>2019</w:t>
            </w:r>
          </w:p>
        </w:tc>
        <w:tc>
          <w:tcPr>
            <w:tcW w:w="0" w:type="auto"/>
            <w:vAlign w:val="center"/>
            <w:hideMark/>
          </w:tcPr>
          <w:p w14:paraId="7AEC681D" w14:textId="77777777" w:rsidR="00AA0E17" w:rsidRPr="00913129" w:rsidRDefault="00AA0E17" w:rsidP="005B37AA">
            <w:pPr>
              <w:ind w:right="-2"/>
              <w:jc w:val="center"/>
              <w:rPr>
                <w:color w:val="000000"/>
                <w:lang w:val="uk-UA"/>
              </w:rPr>
            </w:pPr>
            <w:r w:rsidRPr="00913129">
              <w:rPr>
                <w:color w:val="000000"/>
                <w:lang w:val="uk-UA"/>
              </w:rPr>
              <w:t>125,84</w:t>
            </w:r>
          </w:p>
        </w:tc>
        <w:tc>
          <w:tcPr>
            <w:tcW w:w="0" w:type="auto"/>
            <w:vAlign w:val="center"/>
            <w:hideMark/>
          </w:tcPr>
          <w:p w14:paraId="5A630803" w14:textId="77777777" w:rsidR="00AA0E17" w:rsidRPr="00913129" w:rsidRDefault="00AA0E17" w:rsidP="005B37AA">
            <w:pPr>
              <w:ind w:right="-2"/>
              <w:jc w:val="center"/>
              <w:rPr>
                <w:color w:val="000000"/>
                <w:lang w:val="uk-UA"/>
              </w:rPr>
            </w:pPr>
            <w:r w:rsidRPr="00913129">
              <w:rPr>
                <w:color w:val="000000"/>
                <w:lang w:val="uk-UA"/>
              </w:rPr>
              <w:t>12,00</w:t>
            </w:r>
          </w:p>
        </w:tc>
        <w:tc>
          <w:tcPr>
            <w:tcW w:w="0" w:type="auto"/>
            <w:vAlign w:val="center"/>
            <w:hideMark/>
          </w:tcPr>
          <w:p w14:paraId="24372F16" w14:textId="77777777" w:rsidR="00AA0E17" w:rsidRPr="00913129" w:rsidRDefault="00AA0E17" w:rsidP="005B37AA">
            <w:pPr>
              <w:ind w:right="-2"/>
              <w:jc w:val="center"/>
              <w:rPr>
                <w:color w:val="000000"/>
                <w:lang w:val="uk-UA"/>
              </w:rPr>
            </w:pPr>
            <w:r w:rsidRPr="00913129">
              <w:rPr>
                <w:color w:val="000000"/>
                <w:lang w:val="uk-UA"/>
              </w:rPr>
              <w:t>2,50</w:t>
            </w:r>
          </w:p>
        </w:tc>
        <w:tc>
          <w:tcPr>
            <w:tcW w:w="0" w:type="auto"/>
            <w:vAlign w:val="center"/>
            <w:hideMark/>
          </w:tcPr>
          <w:p w14:paraId="74162A38" w14:textId="77777777" w:rsidR="00AA0E17" w:rsidRPr="00913129" w:rsidRDefault="00AA0E17" w:rsidP="005B37AA">
            <w:pPr>
              <w:ind w:right="-2"/>
              <w:jc w:val="center"/>
              <w:rPr>
                <w:color w:val="000000"/>
                <w:lang w:val="uk-UA"/>
              </w:rPr>
            </w:pPr>
            <w:r w:rsidRPr="00913129">
              <w:rPr>
                <w:color w:val="000000"/>
                <w:lang w:val="uk-UA"/>
              </w:rPr>
              <w:t>14,61</w:t>
            </w:r>
          </w:p>
        </w:tc>
        <w:tc>
          <w:tcPr>
            <w:tcW w:w="0" w:type="auto"/>
            <w:vAlign w:val="center"/>
            <w:hideMark/>
          </w:tcPr>
          <w:p w14:paraId="115E8E46" w14:textId="77777777" w:rsidR="00AA0E17" w:rsidRPr="00913129" w:rsidRDefault="00AA0E17" w:rsidP="005B37AA">
            <w:pPr>
              <w:ind w:right="-2"/>
              <w:jc w:val="center"/>
              <w:rPr>
                <w:color w:val="000000"/>
                <w:lang w:val="uk-UA"/>
              </w:rPr>
            </w:pPr>
            <w:r w:rsidRPr="00913129">
              <w:rPr>
                <w:color w:val="000000"/>
                <w:lang w:val="uk-UA"/>
              </w:rPr>
              <w:t>4,83</w:t>
            </w:r>
          </w:p>
        </w:tc>
      </w:tr>
      <w:tr w:rsidR="00AA0E17" w:rsidRPr="00913129" w14:paraId="074078E7" w14:textId="77777777" w:rsidTr="005B37AA">
        <w:tc>
          <w:tcPr>
            <w:tcW w:w="0" w:type="auto"/>
            <w:vAlign w:val="center"/>
            <w:hideMark/>
          </w:tcPr>
          <w:p w14:paraId="47738817" w14:textId="77777777" w:rsidR="00AA0E17" w:rsidRPr="00913129" w:rsidRDefault="00AA0E17" w:rsidP="005B37AA">
            <w:pPr>
              <w:ind w:right="-2"/>
              <w:jc w:val="center"/>
              <w:rPr>
                <w:color w:val="000000"/>
                <w:lang w:val="uk-UA"/>
              </w:rPr>
            </w:pPr>
            <w:r w:rsidRPr="00913129">
              <w:rPr>
                <w:color w:val="000000"/>
                <w:lang w:val="uk-UA"/>
              </w:rPr>
              <w:t>2020</w:t>
            </w:r>
          </w:p>
        </w:tc>
        <w:tc>
          <w:tcPr>
            <w:tcW w:w="0" w:type="auto"/>
            <w:vAlign w:val="center"/>
            <w:hideMark/>
          </w:tcPr>
          <w:p w14:paraId="3638C488" w14:textId="77777777" w:rsidR="00AA0E17" w:rsidRPr="00913129" w:rsidRDefault="00AA0E17" w:rsidP="005B37AA">
            <w:pPr>
              <w:ind w:right="-2"/>
              <w:jc w:val="center"/>
              <w:rPr>
                <w:color w:val="000000"/>
                <w:lang w:val="uk-UA"/>
              </w:rPr>
            </w:pPr>
            <w:r w:rsidRPr="00913129">
              <w:rPr>
                <w:color w:val="000000"/>
                <w:lang w:val="uk-UA"/>
              </w:rPr>
              <w:t>143,02</w:t>
            </w:r>
          </w:p>
        </w:tc>
        <w:tc>
          <w:tcPr>
            <w:tcW w:w="0" w:type="auto"/>
            <w:vAlign w:val="center"/>
            <w:hideMark/>
          </w:tcPr>
          <w:p w14:paraId="3AD857A5" w14:textId="77777777" w:rsidR="00AA0E17" w:rsidRPr="00913129" w:rsidRDefault="00AA0E17" w:rsidP="005B37AA">
            <w:pPr>
              <w:ind w:right="-2"/>
              <w:jc w:val="center"/>
              <w:rPr>
                <w:color w:val="000000"/>
                <w:lang w:val="uk-UA"/>
              </w:rPr>
            </w:pPr>
            <w:r w:rsidRPr="00913129">
              <w:rPr>
                <w:color w:val="000000"/>
                <w:lang w:val="uk-UA"/>
              </w:rPr>
              <w:t>12,90</w:t>
            </w:r>
          </w:p>
        </w:tc>
        <w:tc>
          <w:tcPr>
            <w:tcW w:w="0" w:type="auto"/>
            <w:vAlign w:val="center"/>
            <w:hideMark/>
          </w:tcPr>
          <w:p w14:paraId="18A71E4D" w14:textId="77777777" w:rsidR="00AA0E17" w:rsidRPr="00913129" w:rsidRDefault="00AA0E17" w:rsidP="005B37AA">
            <w:pPr>
              <w:ind w:right="-2"/>
              <w:jc w:val="center"/>
              <w:rPr>
                <w:color w:val="000000"/>
                <w:lang w:val="uk-UA"/>
              </w:rPr>
            </w:pPr>
            <w:r w:rsidRPr="00913129">
              <w:rPr>
                <w:color w:val="000000"/>
                <w:lang w:val="uk-UA"/>
              </w:rPr>
              <w:t>2,27</w:t>
            </w:r>
          </w:p>
        </w:tc>
        <w:tc>
          <w:tcPr>
            <w:tcW w:w="0" w:type="auto"/>
            <w:vAlign w:val="center"/>
            <w:hideMark/>
          </w:tcPr>
          <w:p w14:paraId="5E421CC7" w14:textId="77777777" w:rsidR="00AA0E17" w:rsidRPr="00913129" w:rsidRDefault="00AA0E17" w:rsidP="005B37AA">
            <w:pPr>
              <w:ind w:right="-2"/>
              <w:jc w:val="center"/>
              <w:rPr>
                <w:color w:val="000000"/>
                <w:lang w:val="uk-UA"/>
              </w:rPr>
            </w:pPr>
            <w:r w:rsidRPr="00913129">
              <w:rPr>
                <w:color w:val="000000"/>
                <w:lang w:val="uk-UA"/>
              </w:rPr>
              <w:t>17,20</w:t>
            </w:r>
          </w:p>
        </w:tc>
        <w:tc>
          <w:tcPr>
            <w:tcW w:w="0" w:type="auto"/>
            <w:vAlign w:val="center"/>
            <w:hideMark/>
          </w:tcPr>
          <w:p w14:paraId="2956EFF6" w14:textId="77777777" w:rsidR="00AA0E17" w:rsidRPr="00913129" w:rsidRDefault="00AA0E17" w:rsidP="005B37AA">
            <w:pPr>
              <w:ind w:right="-2"/>
              <w:jc w:val="center"/>
              <w:rPr>
                <w:color w:val="000000"/>
                <w:lang w:val="uk-UA"/>
              </w:rPr>
            </w:pPr>
            <w:r w:rsidRPr="00913129">
              <w:rPr>
                <w:color w:val="000000"/>
                <w:lang w:val="uk-UA"/>
              </w:rPr>
              <w:t>5,37</w:t>
            </w:r>
          </w:p>
        </w:tc>
      </w:tr>
      <w:tr w:rsidR="00AA0E17" w:rsidRPr="00913129" w14:paraId="393CD584" w14:textId="77777777" w:rsidTr="005B37AA">
        <w:tc>
          <w:tcPr>
            <w:tcW w:w="0" w:type="auto"/>
            <w:vAlign w:val="center"/>
            <w:hideMark/>
          </w:tcPr>
          <w:p w14:paraId="4F6AE2CD" w14:textId="77777777" w:rsidR="00AA0E17" w:rsidRPr="00913129" w:rsidRDefault="00AA0E17" w:rsidP="005B37AA">
            <w:pPr>
              <w:ind w:right="-2"/>
              <w:jc w:val="center"/>
              <w:rPr>
                <w:color w:val="000000"/>
                <w:lang w:val="uk-UA"/>
              </w:rPr>
            </w:pPr>
            <w:r w:rsidRPr="00913129">
              <w:rPr>
                <w:color w:val="000000"/>
                <w:lang w:val="uk-UA"/>
              </w:rPr>
              <w:t>2021</w:t>
            </w:r>
          </w:p>
        </w:tc>
        <w:tc>
          <w:tcPr>
            <w:tcW w:w="0" w:type="auto"/>
            <w:vAlign w:val="center"/>
            <w:hideMark/>
          </w:tcPr>
          <w:p w14:paraId="528BA4BE" w14:textId="77777777" w:rsidR="00AA0E17" w:rsidRPr="00913129" w:rsidRDefault="00AA0E17" w:rsidP="005B37AA">
            <w:pPr>
              <w:ind w:right="-2"/>
              <w:jc w:val="center"/>
              <w:rPr>
                <w:color w:val="000000"/>
                <w:lang w:val="uk-UA"/>
              </w:rPr>
            </w:pPr>
            <w:r w:rsidRPr="00913129">
              <w:rPr>
                <w:color w:val="000000"/>
                <w:lang w:val="uk-UA"/>
              </w:rPr>
              <w:t>168,09</w:t>
            </w:r>
          </w:p>
        </w:tc>
        <w:tc>
          <w:tcPr>
            <w:tcW w:w="0" w:type="auto"/>
            <w:vAlign w:val="center"/>
            <w:hideMark/>
          </w:tcPr>
          <w:p w14:paraId="523BF7CC" w14:textId="77777777" w:rsidR="00AA0E17" w:rsidRPr="00913129" w:rsidRDefault="00AA0E17" w:rsidP="005B37AA">
            <w:pPr>
              <w:ind w:right="-2"/>
              <w:jc w:val="center"/>
              <w:rPr>
                <w:color w:val="000000"/>
                <w:lang w:val="uk-UA"/>
              </w:rPr>
            </w:pPr>
            <w:r w:rsidRPr="00913129">
              <w:rPr>
                <w:color w:val="000000"/>
                <w:lang w:val="uk-UA"/>
              </w:rPr>
              <w:t>13,90</w:t>
            </w:r>
          </w:p>
        </w:tc>
        <w:tc>
          <w:tcPr>
            <w:tcW w:w="0" w:type="auto"/>
            <w:vAlign w:val="center"/>
            <w:hideMark/>
          </w:tcPr>
          <w:p w14:paraId="619E20BA" w14:textId="77777777" w:rsidR="00AA0E17" w:rsidRPr="00913129" w:rsidRDefault="00AA0E17" w:rsidP="005B37AA">
            <w:pPr>
              <w:ind w:right="-2"/>
              <w:jc w:val="center"/>
              <w:rPr>
                <w:color w:val="000000"/>
                <w:lang w:val="uk-UA"/>
              </w:rPr>
            </w:pPr>
            <w:r w:rsidRPr="00913129">
              <w:rPr>
                <w:color w:val="000000"/>
                <w:lang w:val="uk-UA"/>
              </w:rPr>
              <w:t>2,46</w:t>
            </w:r>
          </w:p>
        </w:tc>
        <w:tc>
          <w:tcPr>
            <w:tcW w:w="0" w:type="auto"/>
            <w:vAlign w:val="center"/>
            <w:hideMark/>
          </w:tcPr>
          <w:p w14:paraId="0A5A74B0" w14:textId="77777777" w:rsidR="00AA0E17" w:rsidRPr="00913129" w:rsidRDefault="00AA0E17" w:rsidP="005B37AA">
            <w:pPr>
              <w:ind w:right="-2"/>
              <w:jc w:val="center"/>
              <w:rPr>
                <w:color w:val="000000"/>
                <w:lang w:val="uk-UA"/>
              </w:rPr>
            </w:pPr>
            <w:r w:rsidRPr="00913129">
              <w:rPr>
                <w:color w:val="000000"/>
                <w:lang w:val="uk-UA"/>
              </w:rPr>
              <w:t>23,06</w:t>
            </w:r>
          </w:p>
        </w:tc>
        <w:tc>
          <w:tcPr>
            <w:tcW w:w="0" w:type="auto"/>
            <w:vAlign w:val="center"/>
            <w:hideMark/>
          </w:tcPr>
          <w:p w14:paraId="4B3B33BE" w14:textId="77777777" w:rsidR="00AA0E17" w:rsidRPr="00913129" w:rsidRDefault="00AA0E17" w:rsidP="005B37AA">
            <w:pPr>
              <w:ind w:right="-2"/>
              <w:jc w:val="center"/>
              <w:rPr>
                <w:color w:val="000000"/>
                <w:lang w:val="uk-UA"/>
              </w:rPr>
            </w:pPr>
            <w:r w:rsidRPr="00913129">
              <w:rPr>
                <w:color w:val="000000"/>
                <w:lang w:val="uk-UA"/>
              </w:rPr>
              <w:t>6,22</w:t>
            </w:r>
          </w:p>
        </w:tc>
      </w:tr>
      <w:tr w:rsidR="00AA0E17" w:rsidRPr="00913129" w14:paraId="2BBCE95E" w14:textId="77777777" w:rsidTr="005B37AA">
        <w:tc>
          <w:tcPr>
            <w:tcW w:w="0" w:type="auto"/>
            <w:vAlign w:val="center"/>
            <w:hideMark/>
          </w:tcPr>
          <w:p w14:paraId="6DD80C75" w14:textId="77777777" w:rsidR="00AA0E17" w:rsidRPr="00913129" w:rsidRDefault="00AA0E17" w:rsidP="005B37AA">
            <w:pPr>
              <w:ind w:right="-2"/>
              <w:jc w:val="center"/>
              <w:rPr>
                <w:color w:val="000000"/>
                <w:lang w:val="uk-UA"/>
              </w:rPr>
            </w:pPr>
            <w:r w:rsidRPr="00913129">
              <w:rPr>
                <w:color w:val="000000"/>
                <w:lang w:val="uk-UA"/>
              </w:rPr>
              <w:t>2022</w:t>
            </w:r>
          </w:p>
        </w:tc>
        <w:tc>
          <w:tcPr>
            <w:tcW w:w="0" w:type="auto"/>
            <w:vAlign w:val="center"/>
            <w:hideMark/>
          </w:tcPr>
          <w:p w14:paraId="1462C6BD" w14:textId="77777777" w:rsidR="00AA0E17" w:rsidRPr="00913129" w:rsidRDefault="00AA0E17" w:rsidP="005B37AA">
            <w:pPr>
              <w:ind w:right="-2"/>
              <w:jc w:val="center"/>
              <w:rPr>
                <w:color w:val="000000"/>
                <w:lang w:val="uk-UA"/>
              </w:rPr>
            </w:pPr>
            <w:r w:rsidRPr="00913129">
              <w:rPr>
                <w:color w:val="000000"/>
                <w:lang w:val="uk-UA"/>
              </w:rPr>
              <w:t>198,27</w:t>
            </w:r>
          </w:p>
        </w:tc>
        <w:tc>
          <w:tcPr>
            <w:tcW w:w="0" w:type="auto"/>
            <w:vAlign w:val="center"/>
            <w:hideMark/>
          </w:tcPr>
          <w:p w14:paraId="2C6EF93C" w14:textId="77777777" w:rsidR="00AA0E17" w:rsidRPr="00913129" w:rsidRDefault="00AA0E17" w:rsidP="005B37AA">
            <w:pPr>
              <w:ind w:right="-2"/>
              <w:jc w:val="center"/>
              <w:rPr>
                <w:color w:val="000000"/>
                <w:lang w:val="uk-UA"/>
              </w:rPr>
            </w:pPr>
            <w:r w:rsidRPr="00913129">
              <w:rPr>
                <w:color w:val="000000"/>
                <w:lang w:val="uk-UA"/>
              </w:rPr>
              <w:t>14,44</w:t>
            </w:r>
          </w:p>
        </w:tc>
        <w:tc>
          <w:tcPr>
            <w:tcW w:w="0" w:type="auto"/>
            <w:vAlign w:val="center"/>
            <w:hideMark/>
          </w:tcPr>
          <w:p w14:paraId="385C2B98" w14:textId="77777777" w:rsidR="00AA0E17" w:rsidRPr="00913129" w:rsidRDefault="00AA0E17" w:rsidP="005B37AA">
            <w:pPr>
              <w:ind w:right="-2"/>
              <w:jc w:val="center"/>
              <w:rPr>
                <w:color w:val="000000"/>
                <w:lang w:val="uk-UA"/>
              </w:rPr>
            </w:pPr>
            <w:r w:rsidRPr="00913129">
              <w:rPr>
                <w:color w:val="000000"/>
                <w:lang w:val="uk-UA"/>
              </w:rPr>
              <w:t>2,50</w:t>
            </w:r>
          </w:p>
        </w:tc>
        <w:tc>
          <w:tcPr>
            <w:tcW w:w="0" w:type="auto"/>
            <w:vAlign w:val="center"/>
            <w:hideMark/>
          </w:tcPr>
          <w:p w14:paraId="430133EB" w14:textId="77777777" w:rsidR="00AA0E17" w:rsidRPr="00913129" w:rsidRDefault="00AA0E17" w:rsidP="005B37AA">
            <w:pPr>
              <w:ind w:right="-2"/>
              <w:jc w:val="center"/>
              <w:rPr>
                <w:color w:val="000000"/>
                <w:lang w:val="uk-UA"/>
              </w:rPr>
            </w:pPr>
            <w:r w:rsidRPr="00913129">
              <w:rPr>
                <w:color w:val="000000"/>
                <w:lang w:val="uk-UA"/>
              </w:rPr>
              <w:t>25,79</w:t>
            </w:r>
          </w:p>
        </w:tc>
        <w:tc>
          <w:tcPr>
            <w:tcW w:w="0" w:type="auto"/>
            <w:vAlign w:val="center"/>
            <w:hideMark/>
          </w:tcPr>
          <w:p w14:paraId="2031A613" w14:textId="77777777" w:rsidR="00AA0E17" w:rsidRPr="00913129" w:rsidRDefault="00AA0E17" w:rsidP="005B37AA">
            <w:pPr>
              <w:ind w:right="-2"/>
              <w:jc w:val="center"/>
              <w:rPr>
                <w:color w:val="000000"/>
                <w:lang w:val="uk-UA"/>
              </w:rPr>
            </w:pPr>
            <w:r w:rsidRPr="00913129">
              <w:rPr>
                <w:color w:val="000000"/>
                <w:lang w:val="uk-UA"/>
              </w:rPr>
              <w:t>5,47</w:t>
            </w:r>
          </w:p>
        </w:tc>
      </w:tr>
      <w:tr w:rsidR="00AA0E17" w:rsidRPr="00913129" w14:paraId="15911EFD" w14:textId="77777777" w:rsidTr="005B37AA">
        <w:tc>
          <w:tcPr>
            <w:tcW w:w="0" w:type="auto"/>
            <w:vAlign w:val="center"/>
            <w:hideMark/>
          </w:tcPr>
          <w:p w14:paraId="0951730C" w14:textId="77777777" w:rsidR="00AA0E17" w:rsidRPr="00913129" w:rsidRDefault="00AA0E17" w:rsidP="005B37AA">
            <w:pPr>
              <w:ind w:right="-2"/>
              <w:jc w:val="center"/>
              <w:rPr>
                <w:color w:val="000000"/>
                <w:lang w:val="uk-UA"/>
              </w:rPr>
            </w:pPr>
            <w:r w:rsidRPr="00913129">
              <w:rPr>
                <w:color w:val="000000"/>
                <w:lang w:val="uk-UA"/>
              </w:rPr>
              <w:t>2023</w:t>
            </w:r>
          </w:p>
        </w:tc>
        <w:tc>
          <w:tcPr>
            <w:tcW w:w="0" w:type="auto"/>
            <w:vAlign w:val="center"/>
            <w:hideMark/>
          </w:tcPr>
          <w:p w14:paraId="14B75A2B" w14:textId="77777777" w:rsidR="00AA0E17" w:rsidRPr="00913129" w:rsidRDefault="00AA0E17" w:rsidP="005B37AA">
            <w:pPr>
              <w:ind w:right="-2"/>
              <w:jc w:val="center"/>
              <w:rPr>
                <w:color w:val="000000"/>
                <w:lang w:val="uk-UA"/>
              </w:rPr>
            </w:pPr>
            <w:r w:rsidRPr="00913129">
              <w:rPr>
                <w:color w:val="000000"/>
                <w:lang w:val="uk-UA"/>
              </w:rPr>
              <w:t>211,92</w:t>
            </w:r>
          </w:p>
        </w:tc>
        <w:tc>
          <w:tcPr>
            <w:tcW w:w="0" w:type="auto"/>
            <w:vAlign w:val="center"/>
            <w:hideMark/>
          </w:tcPr>
          <w:p w14:paraId="590AF00C" w14:textId="77777777" w:rsidR="00AA0E17" w:rsidRPr="00913129" w:rsidRDefault="00AA0E17" w:rsidP="005B37AA">
            <w:pPr>
              <w:ind w:right="-2"/>
              <w:jc w:val="center"/>
              <w:rPr>
                <w:color w:val="000000"/>
                <w:lang w:val="uk-UA"/>
              </w:rPr>
            </w:pPr>
            <w:r w:rsidRPr="00913129">
              <w:rPr>
                <w:color w:val="000000"/>
                <w:lang w:val="uk-UA"/>
              </w:rPr>
              <w:t>16,72</w:t>
            </w:r>
          </w:p>
        </w:tc>
        <w:tc>
          <w:tcPr>
            <w:tcW w:w="0" w:type="auto"/>
            <w:vAlign w:val="center"/>
            <w:hideMark/>
          </w:tcPr>
          <w:p w14:paraId="13A7E0B1" w14:textId="77777777" w:rsidR="00AA0E17" w:rsidRPr="00913129" w:rsidRDefault="00AA0E17" w:rsidP="005B37AA">
            <w:pPr>
              <w:ind w:right="-2"/>
              <w:jc w:val="center"/>
              <w:rPr>
                <w:color w:val="000000"/>
                <w:lang w:val="uk-UA"/>
              </w:rPr>
            </w:pPr>
            <w:r w:rsidRPr="00913129">
              <w:rPr>
                <w:color w:val="000000"/>
                <w:lang w:val="uk-UA"/>
              </w:rPr>
              <w:t>2,68</w:t>
            </w:r>
          </w:p>
        </w:tc>
        <w:tc>
          <w:tcPr>
            <w:tcW w:w="0" w:type="auto"/>
            <w:vAlign w:val="center"/>
            <w:hideMark/>
          </w:tcPr>
          <w:p w14:paraId="2A63A218" w14:textId="77777777" w:rsidR="00AA0E17" w:rsidRPr="00913129" w:rsidRDefault="00AA0E17" w:rsidP="005B37AA">
            <w:pPr>
              <w:ind w:right="-2"/>
              <w:jc w:val="center"/>
              <w:rPr>
                <w:color w:val="000000"/>
                <w:lang w:val="uk-UA"/>
              </w:rPr>
            </w:pPr>
            <w:r w:rsidRPr="00913129">
              <w:rPr>
                <w:color w:val="000000"/>
                <w:lang w:val="uk-UA"/>
              </w:rPr>
              <w:t>26,52</w:t>
            </w:r>
          </w:p>
        </w:tc>
        <w:tc>
          <w:tcPr>
            <w:tcW w:w="0" w:type="auto"/>
            <w:vAlign w:val="center"/>
            <w:hideMark/>
          </w:tcPr>
          <w:p w14:paraId="4B4E4A9C" w14:textId="77777777" w:rsidR="00AA0E17" w:rsidRPr="00913129" w:rsidRDefault="00AA0E17" w:rsidP="005B37AA">
            <w:pPr>
              <w:ind w:right="-2"/>
              <w:jc w:val="center"/>
              <w:rPr>
                <w:color w:val="000000"/>
                <w:lang w:val="uk-UA"/>
              </w:rPr>
            </w:pPr>
            <w:r w:rsidRPr="00913129">
              <w:rPr>
                <w:color w:val="000000"/>
                <w:lang w:val="uk-UA"/>
              </w:rPr>
              <w:t>5,92</w:t>
            </w:r>
          </w:p>
        </w:tc>
      </w:tr>
      <w:tr w:rsidR="00AA0E17" w:rsidRPr="00913129" w14:paraId="53758BD1" w14:textId="77777777" w:rsidTr="005B37AA">
        <w:tc>
          <w:tcPr>
            <w:tcW w:w="0" w:type="auto"/>
            <w:vAlign w:val="center"/>
            <w:hideMark/>
          </w:tcPr>
          <w:p w14:paraId="7B5E7AFE" w14:textId="77777777" w:rsidR="00AA0E17" w:rsidRPr="00913129" w:rsidRDefault="00AA0E17" w:rsidP="005B37AA">
            <w:pPr>
              <w:ind w:right="-2"/>
              <w:jc w:val="center"/>
              <w:rPr>
                <w:color w:val="000000"/>
                <w:lang w:val="uk-UA"/>
              </w:rPr>
            </w:pPr>
            <w:r w:rsidRPr="00913129">
              <w:rPr>
                <w:color w:val="000000"/>
                <w:lang w:val="uk-UA"/>
              </w:rPr>
              <w:t>2024</w:t>
            </w:r>
          </w:p>
        </w:tc>
        <w:tc>
          <w:tcPr>
            <w:tcW w:w="0" w:type="auto"/>
            <w:vAlign w:val="center"/>
            <w:hideMark/>
          </w:tcPr>
          <w:p w14:paraId="72A14D1E" w14:textId="77777777" w:rsidR="00AA0E17" w:rsidRPr="00913129" w:rsidRDefault="00AA0E17" w:rsidP="005B37AA">
            <w:pPr>
              <w:ind w:right="-2"/>
              <w:jc w:val="center"/>
              <w:rPr>
                <w:color w:val="000000"/>
                <w:lang w:val="uk-UA"/>
              </w:rPr>
            </w:pPr>
            <w:r w:rsidRPr="00913129">
              <w:rPr>
                <w:color w:val="000000"/>
                <w:lang w:val="uk-UA"/>
              </w:rPr>
              <w:t>245,12</w:t>
            </w:r>
          </w:p>
        </w:tc>
        <w:tc>
          <w:tcPr>
            <w:tcW w:w="0" w:type="auto"/>
            <w:vAlign w:val="center"/>
            <w:hideMark/>
          </w:tcPr>
          <w:p w14:paraId="311878DA" w14:textId="77777777" w:rsidR="00AA0E17" w:rsidRPr="00913129" w:rsidRDefault="00AA0E17" w:rsidP="005B37AA">
            <w:pPr>
              <w:ind w:right="-2"/>
              <w:jc w:val="center"/>
              <w:rPr>
                <w:color w:val="000000"/>
                <w:lang w:val="uk-UA"/>
              </w:rPr>
            </w:pPr>
            <w:r w:rsidRPr="00913129">
              <w:rPr>
                <w:color w:val="000000"/>
                <w:lang w:val="uk-UA"/>
              </w:rPr>
              <w:t>13,18</w:t>
            </w:r>
          </w:p>
        </w:tc>
        <w:tc>
          <w:tcPr>
            <w:tcW w:w="0" w:type="auto"/>
            <w:vAlign w:val="center"/>
            <w:hideMark/>
          </w:tcPr>
          <w:p w14:paraId="12E10DE7" w14:textId="77777777" w:rsidR="00AA0E17" w:rsidRPr="00913129" w:rsidRDefault="00AA0E17" w:rsidP="005B37AA">
            <w:pPr>
              <w:ind w:right="-2"/>
              <w:jc w:val="center"/>
              <w:rPr>
                <w:color w:val="000000"/>
                <w:lang w:val="uk-UA"/>
              </w:rPr>
            </w:pPr>
            <w:r w:rsidRPr="00913129">
              <w:rPr>
                <w:color w:val="000000"/>
                <w:lang w:val="uk-UA"/>
              </w:rPr>
              <w:t>2,88</w:t>
            </w:r>
          </w:p>
        </w:tc>
        <w:tc>
          <w:tcPr>
            <w:tcW w:w="0" w:type="auto"/>
            <w:vAlign w:val="center"/>
            <w:hideMark/>
          </w:tcPr>
          <w:p w14:paraId="5EDF0E10" w14:textId="77777777" w:rsidR="00AA0E17" w:rsidRPr="00913129" w:rsidRDefault="00AA0E17" w:rsidP="005B37AA">
            <w:pPr>
              <w:ind w:right="-2"/>
              <w:jc w:val="center"/>
              <w:rPr>
                <w:color w:val="000000"/>
                <w:lang w:val="uk-UA"/>
              </w:rPr>
            </w:pPr>
            <w:r w:rsidRPr="00913129">
              <w:rPr>
                <w:color w:val="000000"/>
                <w:lang w:val="uk-UA"/>
              </w:rPr>
              <w:t>27,18</w:t>
            </w:r>
          </w:p>
        </w:tc>
        <w:tc>
          <w:tcPr>
            <w:tcW w:w="0" w:type="auto"/>
            <w:vAlign w:val="center"/>
            <w:hideMark/>
          </w:tcPr>
          <w:p w14:paraId="2E2B7007" w14:textId="77777777" w:rsidR="00AA0E17" w:rsidRPr="00913129" w:rsidRDefault="00AA0E17" w:rsidP="005B37AA">
            <w:pPr>
              <w:ind w:right="-2"/>
              <w:jc w:val="center"/>
              <w:rPr>
                <w:color w:val="000000"/>
                <w:lang w:val="uk-UA"/>
              </w:rPr>
            </w:pPr>
            <w:r w:rsidRPr="00913129">
              <w:rPr>
                <w:color w:val="000000"/>
                <w:lang w:val="uk-UA"/>
              </w:rPr>
              <w:t>7,09</w:t>
            </w:r>
          </w:p>
        </w:tc>
      </w:tr>
    </w:tbl>
    <w:p w14:paraId="03E6E28C" w14:textId="6B2FB94E" w:rsidR="00A652A6" w:rsidRPr="00913129" w:rsidRDefault="005B37AA" w:rsidP="00D4643D">
      <w:pPr>
        <w:spacing w:before="120" w:line="278" w:lineRule="auto"/>
        <w:ind w:right="-2" w:firstLine="851"/>
        <w:rPr>
          <w:rFonts w:eastAsiaTheme="majorEastAsia"/>
          <w:color w:val="000000" w:themeColor="text1"/>
          <w:sz w:val="28"/>
          <w:szCs w:val="28"/>
          <w:lang w:val="uk-UA"/>
        </w:rPr>
      </w:pPr>
      <w:r w:rsidRPr="00913129">
        <w:rPr>
          <w:rFonts w:eastAsiaTheme="majorEastAsia"/>
          <w:color w:val="000000" w:themeColor="text1"/>
          <w:sz w:val="28"/>
          <w:szCs w:val="28"/>
          <w:lang w:val="uk-UA"/>
        </w:rPr>
        <w:t xml:space="preserve">Джерело: складено на основі даних </w:t>
      </w:r>
      <w:r w:rsidRPr="00913129">
        <w:rPr>
          <w:rFonts w:eastAsiaTheme="majorEastAsia"/>
          <w:color w:val="000000" w:themeColor="text1"/>
          <w:sz w:val="28"/>
          <w:szCs w:val="28"/>
          <w:lang w:val="uk-UA"/>
        </w:rPr>
        <w:fldChar w:fldCharType="begin"/>
      </w:r>
      <w:r w:rsidR="00344ACC" w:rsidRPr="00913129">
        <w:rPr>
          <w:rFonts w:eastAsiaTheme="majorEastAsia"/>
          <w:color w:val="000000" w:themeColor="text1"/>
          <w:sz w:val="28"/>
          <w:szCs w:val="28"/>
          <w:lang w:val="uk-UA"/>
        </w:rPr>
        <w:instrText xml:space="preserve"> ADDIN ZOTERO_ITEM CSL_CITATION {"citationID":"a1pvmet2o6k","properties":{"formattedCitation":"\\super [52\\uc0\\u8211{}55,57]\\nosupersub{}","plainCitation":"[52–55,57]","noteIndex":0},"citationItems":[{"id":812,"uris":["http://zotero.org/users/10910668/items/KLWTY9FR"],"itemData":{"id":812,"type":"webpage","title":"Moodys - Financials - Annual Reports &amp; Proxy Statements","URL":"https://ir.moodys.com/financials/annual-reports/default.aspx","accessed":{"date-parts":[["2025",6,3]]}},"label":"page"},{"id":811,"uris":["http://zotero.org/users/10910668/items/KC2KIU5M"],"itemData":{"id":811,"type":"webpage","title":"Applied Industrial Technologies, Inc. - Financials - Annual Reports","URL":"https://ir.applied.com/financials/annual-reports/default.aspx","accessed":{"date-parts":[["2025",6,3]]}}},{"id":810,"uris":["http://zotero.org/users/10910668/items/Y2PNIMY5"],"itemData":{"id":810,"type":"webpage","title":"Verisk Analytics, Inc. - Financials - Financial Summary","URL":"https://investor.verisk.com/financials/quarterly-results/default.aspx","accessed":{"date-parts":[["2025",6,3]]}}},{"id":808,"uris":["http://zotero.org/users/10910668/items/WBID2WY3"],"itemData":{"id":808,"type":"webpage","language":"en","title":"Annual Reports | Sempra","URL":"https://investor.sempra.com/annual-reports","accessed":{"date-parts":[["2025",6,3]]}}},{"id":805,"uris":["http://zotero.org/users/10910668/items/TM48UMKP"],"itemData":{"id":805,"type":"webpage","language":"en-US","title":"Microsoft Investor Relations - Annual Reports","URL":"https://www.microsoft.com/en-us/investor/annual-reports","accessed":{"date-parts":[["2025",6,3]]}}}],"schema":"https://github.com/citation-style-language/schema/raw/master/csl-citation.json"} </w:instrText>
      </w:r>
      <w:r w:rsidRPr="00913129">
        <w:rPr>
          <w:rFonts w:eastAsiaTheme="majorEastAsia"/>
          <w:color w:val="000000" w:themeColor="text1"/>
          <w:sz w:val="28"/>
          <w:szCs w:val="28"/>
          <w:lang w:val="uk-UA"/>
        </w:rPr>
        <w:fldChar w:fldCharType="separate"/>
      </w:r>
      <w:r w:rsidR="00344ACC" w:rsidRPr="00913129">
        <w:rPr>
          <w:color w:val="000000"/>
          <w:sz w:val="28"/>
          <w:lang w:val="uk-UA"/>
        </w:rPr>
        <w:t>[52–55,57]</w:t>
      </w:r>
      <w:r w:rsidRPr="00913129">
        <w:rPr>
          <w:rFonts w:eastAsiaTheme="majorEastAsia"/>
          <w:color w:val="000000" w:themeColor="text1"/>
          <w:sz w:val="28"/>
          <w:szCs w:val="28"/>
          <w:lang w:val="uk-UA"/>
        </w:rPr>
        <w:fldChar w:fldCharType="end"/>
      </w:r>
    </w:p>
    <w:p w14:paraId="2281DC32" w14:textId="77777777" w:rsidR="00D04550" w:rsidRPr="00913129" w:rsidRDefault="00D04550" w:rsidP="001D63D0">
      <w:pPr>
        <w:spacing w:after="160" w:line="278" w:lineRule="auto"/>
        <w:ind w:right="-2" w:firstLine="851"/>
        <w:rPr>
          <w:rFonts w:eastAsiaTheme="majorEastAsia"/>
          <w:color w:val="000000" w:themeColor="text1"/>
          <w:sz w:val="28"/>
          <w:szCs w:val="28"/>
          <w:lang w:val="uk-UA"/>
        </w:rPr>
      </w:pPr>
    </w:p>
    <w:p w14:paraId="116FB136" w14:textId="77777777" w:rsidR="00D04550" w:rsidRPr="00913129" w:rsidRDefault="00D04550" w:rsidP="001D63D0">
      <w:pPr>
        <w:spacing w:after="160" w:line="278" w:lineRule="auto"/>
        <w:ind w:right="-2" w:firstLine="851"/>
        <w:rPr>
          <w:rFonts w:eastAsiaTheme="majorEastAsia"/>
          <w:color w:val="000000" w:themeColor="text1"/>
          <w:sz w:val="28"/>
          <w:szCs w:val="28"/>
          <w:lang w:val="uk-UA"/>
        </w:rPr>
      </w:pPr>
    </w:p>
    <w:p w14:paraId="3EC2CF82" w14:textId="77777777" w:rsidR="00D04550" w:rsidRPr="00913129" w:rsidRDefault="00D04550" w:rsidP="001D63D0">
      <w:pPr>
        <w:spacing w:after="160" w:line="278" w:lineRule="auto"/>
        <w:ind w:right="-2" w:firstLine="851"/>
        <w:rPr>
          <w:rFonts w:eastAsiaTheme="majorEastAsia"/>
          <w:color w:val="000000" w:themeColor="text1"/>
          <w:sz w:val="28"/>
          <w:szCs w:val="28"/>
          <w:lang w:val="uk-UA"/>
        </w:rPr>
      </w:pPr>
    </w:p>
    <w:sectPr w:rsidR="00D04550" w:rsidRPr="00913129" w:rsidSect="0045690E">
      <w:headerReference w:type="even" r:id="rId78"/>
      <w:headerReference w:type="default" r:id="rId79"/>
      <w:pgSz w:w="11906" w:h="16838"/>
      <w:pgMar w:top="1134" w:right="851" w:bottom="1134" w:left="1701" w:header="709" w:footer="709" w:gutter="0"/>
      <w:cols w:space="708"/>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424A89" w14:textId="77777777" w:rsidR="003D4C80" w:rsidRDefault="003D4C80" w:rsidP="00AA0E17">
      <w:r>
        <w:separator/>
      </w:r>
    </w:p>
  </w:endnote>
  <w:endnote w:type="continuationSeparator" w:id="0">
    <w:p w14:paraId="3A6D81FD" w14:textId="77777777" w:rsidR="003D4C80" w:rsidRDefault="003D4C80" w:rsidP="00AA0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Mincho">
    <w:charset w:val="80"/>
    <w:family w:val="roman"/>
    <w:pitch w:val="variable"/>
    <w:sig w:usb0="800002E7" w:usb1="2AC7FCFF" w:usb2="00000012" w:usb3="00000000" w:csb0="0002009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B218E" w14:textId="77777777" w:rsidR="003D4C80" w:rsidRDefault="003D4C80" w:rsidP="00AA0E17">
      <w:r>
        <w:separator/>
      </w:r>
    </w:p>
  </w:footnote>
  <w:footnote w:type="continuationSeparator" w:id="0">
    <w:p w14:paraId="3ED30F2C" w14:textId="77777777" w:rsidR="003D4C80" w:rsidRDefault="003D4C80" w:rsidP="00AA0E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4"/>
      </w:rPr>
      <w:id w:val="1336352781"/>
      <w:docPartObj>
        <w:docPartGallery w:val="Page Numbers (Top of Page)"/>
        <w:docPartUnique/>
      </w:docPartObj>
    </w:sdtPr>
    <w:sdtEndPr>
      <w:rPr>
        <w:rStyle w:val="af4"/>
      </w:rPr>
    </w:sdtEndPr>
    <w:sdtContent>
      <w:p w14:paraId="6B0FF6EE" w14:textId="12D24600" w:rsidR="00AA0E17" w:rsidRDefault="00AA0E17" w:rsidP="00BC33D3">
        <w:pPr>
          <w:pStyle w:val="af5"/>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end"/>
        </w:r>
      </w:p>
    </w:sdtContent>
  </w:sdt>
  <w:p w14:paraId="60FD28B8" w14:textId="77777777" w:rsidR="00AA0E17" w:rsidRDefault="00AA0E17" w:rsidP="00AA0E17">
    <w:pPr>
      <w:pStyle w:val="af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4"/>
      </w:rPr>
      <w:id w:val="-816653863"/>
      <w:docPartObj>
        <w:docPartGallery w:val="Page Numbers (Top of Page)"/>
        <w:docPartUnique/>
      </w:docPartObj>
    </w:sdtPr>
    <w:sdtEndPr>
      <w:rPr>
        <w:rStyle w:val="af4"/>
      </w:rPr>
    </w:sdtEndPr>
    <w:sdtContent>
      <w:p w14:paraId="39178488" w14:textId="5F6C61C6" w:rsidR="00AA0E17" w:rsidRDefault="00AA0E17" w:rsidP="00BC33D3">
        <w:pPr>
          <w:pStyle w:val="af5"/>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separate"/>
        </w:r>
        <w:r w:rsidR="008C51E0">
          <w:rPr>
            <w:rStyle w:val="af4"/>
            <w:noProof/>
          </w:rPr>
          <w:t>20</w:t>
        </w:r>
        <w:r>
          <w:rPr>
            <w:rStyle w:val="af4"/>
          </w:rPr>
          <w:fldChar w:fldCharType="end"/>
        </w:r>
      </w:p>
    </w:sdtContent>
  </w:sdt>
  <w:p w14:paraId="1689A1F9" w14:textId="77777777" w:rsidR="00AA0E17" w:rsidRDefault="00AA0E17" w:rsidP="00AA0E17">
    <w:pPr>
      <w:pStyle w:val="af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A17F4"/>
    <w:multiLevelType w:val="multilevel"/>
    <w:tmpl w:val="59241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CB06BF"/>
    <w:multiLevelType w:val="multilevel"/>
    <w:tmpl w:val="F77C1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BC1C7D"/>
    <w:multiLevelType w:val="multilevel"/>
    <w:tmpl w:val="4B906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B0762A"/>
    <w:multiLevelType w:val="multilevel"/>
    <w:tmpl w:val="03C86E56"/>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324B6A"/>
    <w:multiLevelType w:val="multilevel"/>
    <w:tmpl w:val="AEF80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7D6CB6"/>
    <w:multiLevelType w:val="hybridMultilevel"/>
    <w:tmpl w:val="BEAEBB3A"/>
    <w:lvl w:ilvl="0" w:tplc="9B72F00E">
      <w:numFmt w:val="bullet"/>
      <w:lvlText w:val="-"/>
      <w:lvlJc w:val="left"/>
      <w:pPr>
        <w:ind w:left="1571" w:hanging="360"/>
      </w:pPr>
      <w:rPr>
        <w:rFonts w:ascii="Times New Roman" w:eastAsiaTheme="minorEastAsia" w:hAnsi="Times New Roman" w:cs="Times New Roman" w:hint="default"/>
        <w:b/>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6" w15:restartNumberingAfterBreak="0">
    <w:nsid w:val="1AFE4661"/>
    <w:multiLevelType w:val="multilevel"/>
    <w:tmpl w:val="8C2AA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8C12E1"/>
    <w:multiLevelType w:val="multilevel"/>
    <w:tmpl w:val="D756A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01B404E"/>
    <w:multiLevelType w:val="multilevel"/>
    <w:tmpl w:val="547A522A"/>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30475C4F"/>
    <w:multiLevelType w:val="multilevel"/>
    <w:tmpl w:val="F4F04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1F7C9A"/>
    <w:multiLevelType w:val="multilevel"/>
    <w:tmpl w:val="07BAB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E51AAB"/>
    <w:multiLevelType w:val="multilevel"/>
    <w:tmpl w:val="7F82F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116231D"/>
    <w:multiLevelType w:val="multilevel"/>
    <w:tmpl w:val="90267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27D7ECC"/>
    <w:multiLevelType w:val="hybridMultilevel"/>
    <w:tmpl w:val="76D66EC4"/>
    <w:lvl w:ilvl="0" w:tplc="9612B000">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DB69B4"/>
    <w:multiLevelType w:val="multilevel"/>
    <w:tmpl w:val="FD4AC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DEE6DC6"/>
    <w:multiLevelType w:val="multilevel"/>
    <w:tmpl w:val="35905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C33AA4"/>
    <w:multiLevelType w:val="multilevel"/>
    <w:tmpl w:val="C9BE3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554869"/>
    <w:multiLevelType w:val="multilevel"/>
    <w:tmpl w:val="6B286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60124F"/>
    <w:multiLevelType w:val="multilevel"/>
    <w:tmpl w:val="E0DCFEDA"/>
    <w:lvl w:ilvl="0">
      <w:numFmt w:val="bullet"/>
      <w:lvlText w:val="-"/>
      <w:lvlJc w:val="left"/>
      <w:pPr>
        <w:ind w:left="720" w:hanging="360"/>
      </w:pPr>
      <w:rPr>
        <w:rFonts w:ascii="Times New Roman" w:eastAsiaTheme="minorEastAsia" w:hAnsi="Times New Roman" w:cs="Times New Roman" w:hint="default"/>
        <w:b/>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9E70B0E"/>
    <w:multiLevelType w:val="multilevel"/>
    <w:tmpl w:val="81506B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A325090"/>
    <w:multiLevelType w:val="multilevel"/>
    <w:tmpl w:val="F81627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3DD2BC9"/>
    <w:multiLevelType w:val="multilevel"/>
    <w:tmpl w:val="CDAA7EFC"/>
    <w:lvl w:ilvl="0">
      <w:start w:val="1"/>
      <w:numFmt w:val="decimal"/>
      <w:lvlText w:val="%1."/>
      <w:lvlJc w:val="left"/>
      <w:pPr>
        <w:ind w:left="420" w:hanging="42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num w:numId="1">
    <w:abstractNumId w:val="2"/>
  </w:num>
  <w:num w:numId="2">
    <w:abstractNumId w:val="10"/>
  </w:num>
  <w:num w:numId="3">
    <w:abstractNumId w:val="14"/>
  </w:num>
  <w:num w:numId="4">
    <w:abstractNumId w:val="7"/>
  </w:num>
  <w:num w:numId="5">
    <w:abstractNumId w:val="21"/>
  </w:num>
  <w:num w:numId="6">
    <w:abstractNumId w:val="20"/>
  </w:num>
  <w:num w:numId="7">
    <w:abstractNumId w:val="15"/>
  </w:num>
  <w:num w:numId="8">
    <w:abstractNumId w:val="4"/>
  </w:num>
  <w:num w:numId="9">
    <w:abstractNumId w:val="6"/>
  </w:num>
  <w:num w:numId="10">
    <w:abstractNumId w:val="17"/>
  </w:num>
  <w:num w:numId="11">
    <w:abstractNumId w:val="0"/>
  </w:num>
  <w:num w:numId="12">
    <w:abstractNumId w:val="12"/>
  </w:num>
  <w:num w:numId="13">
    <w:abstractNumId w:val="1"/>
  </w:num>
  <w:num w:numId="14">
    <w:abstractNumId w:val="5"/>
  </w:num>
  <w:num w:numId="15">
    <w:abstractNumId w:val="19"/>
  </w:num>
  <w:num w:numId="16">
    <w:abstractNumId w:val="16"/>
  </w:num>
  <w:num w:numId="17">
    <w:abstractNumId w:val="9"/>
  </w:num>
  <w:num w:numId="18">
    <w:abstractNumId w:val="13"/>
  </w:num>
  <w:num w:numId="19">
    <w:abstractNumId w:val="11"/>
  </w:num>
  <w:num w:numId="20">
    <w:abstractNumId w:val="18"/>
  </w:num>
  <w:num w:numId="21">
    <w:abstractNumId w:val="3"/>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1AF"/>
    <w:rsid w:val="00007FBA"/>
    <w:rsid w:val="0001381A"/>
    <w:rsid w:val="000271B7"/>
    <w:rsid w:val="00034120"/>
    <w:rsid w:val="0003540F"/>
    <w:rsid w:val="0005072E"/>
    <w:rsid w:val="00056CB7"/>
    <w:rsid w:val="00056DC4"/>
    <w:rsid w:val="000604EF"/>
    <w:rsid w:val="00080F74"/>
    <w:rsid w:val="00081CDB"/>
    <w:rsid w:val="000857AB"/>
    <w:rsid w:val="000921D1"/>
    <w:rsid w:val="00093810"/>
    <w:rsid w:val="00094BFB"/>
    <w:rsid w:val="000A1308"/>
    <w:rsid w:val="000B4F8B"/>
    <w:rsid w:val="000B7ADC"/>
    <w:rsid w:val="000C0AF8"/>
    <w:rsid w:val="000D6B04"/>
    <w:rsid w:val="000F1355"/>
    <w:rsid w:val="000F3FDA"/>
    <w:rsid w:val="00103544"/>
    <w:rsid w:val="00105B42"/>
    <w:rsid w:val="00113400"/>
    <w:rsid w:val="0011591D"/>
    <w:rsid w:val="00126355"/>
    <w:rsid w:val="00126B45"/>
    <w:rsid w:val="00142303"/>
    <w:rsid w:val="00151979"/>
    <w:rsid w:val="001531E7"/>
    <w:rsid w:val="00153CE5"/>
    <w:rsid w:val="0015494D"/>
    <w:rsid w:val="00154B05"/>
    <w:rsid w:val="00155DFB"/>
    <w:rsid w:val="0016721D"/>
    <w:rsid w:val="00174A0E"/>
    <w:rsid w:val="0017649D"/>
    <w:rsid w:val="001775AC"/>
    <w:rsid w:val="0017793C"/>
    <w:rsid w:val="00180E4F"/>
    <w:rsid w:val="001860C3"/>
    <w:rsid w:val="00190444"/>
    <w:rsid w:val="001907C3"/>
    <w:rsid w:val="00194401"/>
    <w:rsid w:val="00194FE9"/>
    <w:rsid w:val="001A524A"/>
    <w:rsid w:val="001B37BE"/>
    <w:rsid w:val="001B5C9C"/>
    <w:rsid w:val="001B61BD"/>
    <w:rsid w:val="001C2093"/>
    <w:rsid w:val="001C602D"/>
    <w:rsid w:val="001D585F"/>
    <w:rsid w:val="001D63D0"/>
    <w:rsid w:val="001D77DB"/>
    <w:rsid w:val="001E22B5"/>
    <w:rsid w:val="001E60EF"/>
    <w:rsid w:val="001F5ADC"/>
    <w:rsid w:val="00206060"/>
    <w:rsid w:val="002107D4"/>
    <w:rsid w:val="0023543C"/>
    <w:rsid w:val="002564C8"/>
    <w:rsid w:val="00261DCA"/>
    <w:rsid w:val="00282F1A"/>
    <w:rsid w:val="00283EAD"/>
    <w:rsid w:val="002951BF"/>
    <w:rsid w:val="002B27CB"/>
    <w:rsid w:val="002B3DF5"/>
    <w:rsid w:val="002B5914"/>
    <w:rsid w:val="002B607F"/>
    <w:rsid w:val="002C2102"/>
    <w:rsid w:val="002C6FAE"/>
    <w:rsid w:val="002D0B50"/>
    <w:rsid w:val="002D27AF"/>
    <w:rsid w:val="002D307A"/>
    <w:rsid w:val="002D32E8"/>
    <w:rsid w:val="002D699A"/>
    <w:rsid w:val="002D6D02"/>
    <w:rsid w:val="002E49A5"/>
    <w:rsid w:val="002F5507"/>
    <w:rsid w:val="00327F67"/>
    <w:rsid w:val="00333C30"/>
    <w:rsid w:val="00340D11"/>
    <w:rsid w:val="00344ACC"/>
    <w:rsid w:val="003466C3"/>
    <w:rsid w:val="003477C2"/>
    <w:rsid w:val="003571B9"/>
    <w:rsid w:val="0036116B"/>
    <w:rsid w:val="00364F39"/>
    <w:rsid w:val="0036779F"/>
    <w:rsid w:val="0037122E"/>
    <w:rsid w:val="00371AEF"/>
    <w:rsid w:val="003818A2"/>
    <w:rsid w:val="0038358D"/>
    <w:rsid w:val="00384C53"/>
    <w:rsid w:val="00391985"/>
    <w:rsid w:val="0039220B"/>
    <w:rsid w:val="00392B21"/>
    <w:rsid w:val="003A470D"/>
    <w:rsid w:val="003B553E"/>
    <w:rsid w:val="003C245E"/>
    <w:rsid w:val="003C29D6"/>
    <w:rsid w:val="003C2FC7"/>
    <w:rsid w:val="003D1AAF"/>
    <w:rsid w:val="003D4C80"/>
    <w:rsid w:val="003E3D45"/>
    <w:rsid w:val="003E5626"/>
    <w:rsid w:val="003E75AE"/>
    <w:rsid w:val="0040275C"/>
    <w:rsid w:val="00404165"/>
    <w:rsid w:val="0040707E"/>
    <w:rsid w:val="0041233A"/>
    <w:rsid w:val="00417366"/>
    <w:rsid w:val="00423C6A"/>
    <w:rsid w:val="00425057"/>
    <w:rsid w:val="00442367"/>
    <w:rsid w:val="0045690E"/>
    <w:rsid w:val="0047073D"/>
    <w:rsid w:val="0048201F"/>
    <w:rsid w:val="0048457C"/>
    <w:rsid w:val="00490B75"/>
    <w:rsid w:val="004B1E9E"/>
    <w:rsid w:val="004B284D"/>
    <w:rsid w:val="004B6F12"/>
    <w:rsid w:val="004D00A5"/>
    <w:rsid w:val="004D0FBD"/>
    <w:rsid w:val="004D2D38"/>
    <w:rsid w:val="004D61C9"/>
    <w:rsid w:val="004E569E"/>
    <w:rsid w:val="004F3703"/>
    <w:rsid w:val="004F708D"/>
    <w:rsid w:val="004F7154"/>
    <w:rsid w:val="005024A2"/>
    <w:rsid w:val="00503690"/>
    <w:rsid w:val="005074DA"/>
    <w:rsid w:val="005165C4"/>
    <w:rsid w:val="005207AB"/>
    <w:rsid w:val="005210B7"/>
    <w:rsid w:val="00525745"/>
    <w:rsid w:val="00525E99"/>
    <w:rsid w:val="0052616F"/>
    <w:rsid w:val="005264B7"/>
    <w:rsid w:val="005315D1"/>
    <w:rsid w:val="0053677B"/>
    <w:rsid w:val="0054716E"/>
    <w:rsid w:val="0055081D"/>
    <w:rsid w:val="00565810"/>
    <w:rsid w:val="005674CF"/>
    <w:rsid w:val="00573D91"/>
    <w:rsid w:val="005827A0"/>
    <w:rsid w:val="0058520D"/>
    <w:rsid w:val="0058764F"/>
    <w:rsid w:val="005922EE"/>
    <w:rsid w:val="00594ADD"/>
    <w:rsid w:val="005A13AB"/>
    <w:rsid w:val="005A360E"/>
    <w:rsid w:val="005B37AA"/>
    <w:rsid w:val="005B7306"/>
    <w:rsid w:val="005C6685"/>
    <w:rsid w:val="005D04E9"/>
    <w:rsid w:val="005D0A90"/>
    <w:rsid w:val="005D2A0C"/>
    <w:rsid w:val="005D773A"/>
    <w:rsid w:val="005E0B87"/>
    <w:rsid w:val="005F00B8"/>
    <w:rsid w:val="005F3C53"/>
    <w:rsid w:val="006068B5"/>
    <w:rsid w:val="006203D2"/>
    <w:rsid w:val="00640D2E"/>
    <w:rsid w:val="00642E83"/>
    <w:rsid w:val="00652165"/>
    <w:rsid w:val="006649C0"/>
    <w:rsid w:val="0066760C"/>
    <w:rsid w:val="006701FA"/>
    <w:rsid w:val="00692F7D"/>
    <w:rsid w:val="006A47AC"/>
    <w:rsid w:val="006B36A6"/>
    <w:rsid w:val="006B38B0"/>
    <w:rsid w:val="006C42BC"/>
    <w:rsid w:val="006D66B9"/>
    <w:rsid w:val="006F476D"/>
    <w:rsid w:val="006F58AC"/>
    <w:rsid w:val="006F7E68"/>
    <w:rsid w:val="00700B55"/>
    <w:rsid w:val="00702EF6"/>
    <w:rsid w:val="00703818"/>
    <w:rsid w:val="007039FD"/>
    <w:rsid w:val="00710C8B"/>
    <w:rsid w:val="00711B84"/>
    <w:rsid w:val="007427C8"/>
    <w:rsid w:val="00743BFF"/>
    <w:rsid w:val="00747ACD"/>
    <w:rsid w:val="007562E5"/>
    <w:rsid w:val="00762765"/>
    <w:rsid w:val="0076415F"/>
    <w:rsid w:val="007719DE"/>
    <w:rsid w:val="007744FE"/>
    <w:rsid w:val="00777C49"/>
    <w:rsid w:val="007805E3"/>
    <w:rsid w:val="00783763"/>
    <w:rsid w:val="00790EE2"/>
    <w:rsid w:val="0079512F"/>
    <w:rsid w:val="007A0625"/>
    <w:rsid w:val="007B0538"/>
    <w:rsid w:val="007C11AF"/>
    <w:rsid w:val="007C422A"/>
    <w:rsid w:val="007D29BB"/>
    <w:rsid w:val="007D47AF"/>
    <w:rsid w:val="007E1E57"/>
    <w:rsid w:val="007F0901"/>
    <w:rsid w:val="007F1BFB"/>
    <w:rsid w:val="008023A7"/>
    <w:rsid w:val="00804A38"/>
    <w:rsid w:val="00826185"/>
    <w:rsid w:val="00831E93"/>
    <w:rsid w:val="00834C4D"/>
    <w:rsid w:val="00844081"/>
    <w:rsid w:val="00844AD1"/>
    <w:rsid w:val="00853B30"/>
    <w:rsid w:val="00872A44"/>
    <w:rsid w:val="00884780"/>
    <w:rsid w:val="00890514"/>
    <w:rsid w:val="008A2B83"/>
    <w:rsid w:val="008A7E34"/>
    <w:rsid w:val="008B0D1B"/>
    <w:rsid w:val="008B3D37"/>
    <w:rsid w:val="008B4A9E"/>
    <w:rsid w:val="008C048A"/>
    <w:rsid w:val="008C451B"/>
    <w:rsid w:val="008C51E0"/>
    <w:rsid w:val="008D3F15"/>
    <w:rsid w:val="008D67A1"/>
    <w:rsid w:val="008D6956"/>
    <w:rsid w:val="008E32E6"/>
    <w:rsid w:val="008F1708"/>
    <w:rsid w:val="008F1854"/>
    <w:rsid w:val="008F6F5F"/>
    <w:rsid w:val="009001EE"/>
    <w:rsid w:val="0090520B"/>
    <w:rsid w:val="00913129"/>
    <w:rsid w:val="00913C61"/>
    <w:rsid w:val="0092486A"/>
    <w:rsid w:val="00937C96"/>
    <w:rsid w:val="00942C1D"/>
    <w:rsid w:val="009549C5"/>
    <w:rsid w:val="009572E7"/>
    <w:rsid w:val="009575AD"/>
    <w:rsid w:val="00972594"/>
    <w:rsid w:val="009871EE"/>
    <w:rsid w:val="009932B3"/>
    <w:rsid w:val="0099770E"/>
    <w:rsid w:val="009A083D"/>
    <w:rsid w:val="009B78D7"/>
    <w:rsid w:val="009C5510"/>
    <w:rsid w:val="009D7F92"/>
    <w:rsid w:val="009E52F6"/>
    <w:rsid w:val="009E64B5"/>
    <w:rsid w:val="009E6752"/>
    <w:rsid w:val="00A03971"/>
    <w:rsid w:val="00A12783"/>
    <w:rsid w:val="00A22A28"/>
    <w:rsid w:val="00A414E5"/>
    <w:rsid w:val="00A57DB6"/>
    <w:rsid w:val="00A652A6"/>
    <w:rsid w:val="00A70E41"/>
    <w:rsid w:val="00A719A1"/>
    <w:rsid w:val="00A7256B"/>
    <w:rsid w:val="00A73EA4"/>
    <w:rsid w:val="00A933A8"/>
    <w:rsid w:val="00AA0E17"/>
    <w:rsid w:val="00AA5249"/>
    <w:rsid w:val="00AA6483"/>
    <w:rsid w:val="00AB37CB"/>
    <w:rsid w:val="00AB5B6A"/>
    <w:rsid w:val="00AC0522"/>
    <w:rsid w:val="00AC54B9"/>
    <w:rsid w:val="00AC7175"/>
    <w:rsid w:val="00AC7C06"/>
    <w:rsid w:val="00AD0860"/>
    <w:rsid w:val="00AD7FC3"/>
    <w:rsid w:val="00AE22A2"/>
    <w:rsid w:val="00AE3006"/>
    <w:rsid w:val="00AE5EAB"/>
    <w:rsid w:val="00AE7AE4"/>
    <w:rsid w:val="00AF2C4C"/>
    <w:rsid w:val="00B149BB"/>
    <w:rsid w:val="00B2195B"/>
    <w:rsid w:val="00B22BB1"/>
    <w:rsid w:val="00B23BC0"/>
    <w:rsid w:val="00B315A0"/>
    <w:rsid w:val="00B330F7"/>
    <w:rsid w:val="00B34632"/>
    <w:rsid w:val="00B411AE"/>
    <w:rsid w:val="00B42CBE"/>
    <w:rsid w:val="00B5458A"/>
    <w:rsid w:val="00B66706"/>
    <w:rsid w:val="00B67612"/>
    <w:rsid w:val="00B70060"/>
    <w:rsid w:val="00B762CC"/>
    <w:rsid w:val="00B84558"/>
    <w:rsid w:val="00B93BE1"/>
    <w:rsid w:val="00BA086F"/>
    <w:rsid w:val="00BA3F17"/>
    <w:rsid w:val="00BA7B15"/>
    <w:rsid w:val="00BB36FB"/>
    <w:rsid w:val="00BB7665"/>
    <w:rsid w:val="00BC35F0"/>
    <w:rsid w:val="00BE1BFD"/>
    <w:rsid w:val="00BF2E74"/>
    <w:rsid w:val="00BF5C74"/>
    <w:rsid w:val="00C005A6"/>
    <w:rsid w:val="00C03144"/>
    <w:rsid w:val="00C03370"/>
    <w:rsid w:val="00C03A53"/>
    <w:rsid w:val="00C04EBE"/>
    <w:rsid w:val="00C0612F"/>
    <w:rsid w:val="00C12155"/>
    <w:rsid w:val="00C13236"/>
    <w:rsid w:val="00C169A0"/>
    <w:rsid w:val="00C22C91"/>
    <w:rsid w:val="00C23616"/>
    <w:rsid w:val="00C31BB9"/>
    <w:rsid w:val="00C37612"/>
    <w:rsid w:val="00C546C5"/>
    <w:rsid w:val="00C547C1"/>
    <w:rsid w:val="00C604E6"/>
    <w:rsid w:val="00C72C12"/>
    <w:rsid w:val="00C73376"/>
    <w:rsid w:val="00C8035C"/>
    <w:rsid w:val="00C8710E"/>
    <w:rsid w:val="00C93EF4"/>
    <w:rsid w:val="00CB080B"/>
    <w:rsid w:val="00CB0858"/>
    <w:rsid w:val="00CB5B31"/>
    <w:rsid w:val="00CC3642"/>
    <w:rsid w:val="00CF1DEA"/>
    <w:rsid w:val="00CF2303"/>
    <w:rsid w:val="00CF6F0B"/>
    <w:rsid w:val="00D04550"/>
    <w:rsid w:val="00D047F3"/>
    <w:rsid w:val="00D13913"/>
    <w:rsid w:val="00D16D7D"/>
    <w:rsid w:val="00D22CD5"/>
    <w:rsid w:val="00D23CB6"/>
    <w:rsid w:val="00D27DC5"/>
    <w:rsid w:val="00D315A1"/>
    <w:rsid w:val="00D334F5"/>
    <w:rsid w:val="00D4643D"/>
    <w:rsid w:val="00D5326A"/>
    <w:rsid w:val="00D6621F"/>
    <w:rsid w:val="00D66D29"/>
    <w:rsid w:val="00D67964"/>
    <w:rsid w:val="00D7214E"/>
    <w:rsid w:val="00D72658"/>
    <w:rsid w:val="00D82170"/>
    <w:rsid w:val="00D83493"/>
    <w:rsid w:val="00D90DE0"/>
    <w:rsid w:val="00D910DF"/>
    <w:rsid w:val="00DB4EA9"/>
    <w:rsid w:val="00DC1897"/>
    <w:rsid w:val="00DC7E82"/>
    <w:rsid w:val="00DD4301"/>
    <w:rsid w:val="00DD46B8"/>
    <w:rsid w:val="00DE4F8C"/>
    <w:rsid w:val="00DF2F30"/>
    <w:rsid w:val="00DF6FB4"/>
    <w:rsid w:val="00E121D2"/>
    <w:rsid w:val="00E14994"/>
    <w:rsid w:val="00E1591D"/>
    <w:rsid w:val="00E33087"/>
    <w:rsid w:val="00E36698"/>
    <w:rsid w:val="00E46338"/>
    <w:rsid w:val="00E634C7"/>
    <w:rsid w:val="00E67390"/>
    <w:rsid w:val="00E72C5B"/>
    <w:rsid w:val="00E74E1F"/>
    <w:rsid w:val="00E75F60"/>
    <w:rsid w:val="00E8406A"/>
    <w:rsid w:val="00E84B18"/>
    <w:rsid w:val="00E8604C"/>
    <w:rsid w:val="00E87B37"/>
    <w:rsid w:val="00EB6E5D"/>
    <w:rsid w:val="00EB712D"/>
    <w:rsid w:val="00EC26F4"/>
    <w:rsid w:val="00EE5624"/>
    <w:rsid w:val="00EF4C78"/>
    <w:rsid w:val="00EF7E64"/>
    <w:rsid w:val="00F0078D"/>
    <w:rsid w:val="00F05DB4"/>
    <w:rsid w:val="00F07A78"/>
    <w:rsid w:val="00F12838"/>
    <w:rsid w:val="00F230F4"/>
    <w:rsid w:val="00F327A5"/>
    <w:rsid w:val="00F362A0"/>
    <w:rsid w:val="00F5205D"/>
    <w:rsid w:val="00F70516"/>
    <w:rsid w:val="00F72DEA"/>
    <w:rsid w:val="00F74138"/>
    <w:rsid w:val="00F76906"/>
    <w:rsid w:val="00F774A7"/>
    <w:rsid w:val="00F81289"/>
    <w:rsid w:val="00F83E8D"/>
    <w:rsid w:val="00F87CE4"/>
    <w:rsid w:val="00F87DCF"/>
    <w:rsid w:val="00F94F50"/>
    <w:rsid w:val="00FC6E42"/>
    <w:rsid w:val="00FD213F"/>
    <w:rsid w:val="00FD66D7"/>
    <w:rsid w:val="00FF3367"/>
    <w:rsid w:val="00FF45C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D2D672"/>
  <w15:chartTrackingRefBased/>
  <w15:docId w15:val="{082F7282-26CB-6144-B71C-3E0033156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1B84"/>
    <w:pPr>
      <w:spacing w:after="0" w:line="240" w:lineRule="auto"/>
    </w:pPr>
    <w:rPr>
      <w:rFonts w:ascii="Times New Roman" w:eastAsia="Times New Roman" w:hAnsi="Times New Roman" w:cs="Times New Roman"/>
      <w:kern w:val="0"/>
      <w:lang w:eastAsia="en-GB"/>
      <w14:ligatures w14:val="none"/>
    </w:rPr>
  </w:style>
  <w:style w:type="paragraph" w:styleId="1">
    <w:name w:val="heading 1"/>
    <w:basedOn w:val="a"/>
    <w:next w:val="a"/>
    <w:link w:val="10"/>
    <w:uiPriority w:val="9"/>
    <w:qFormat/>
    <w:rsid w:val="007C11AF"/>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2">
    <w:name w:val="heading 2"/>
    <w:basedOn w:val="a"/>
    <w:next w:val="a"/>
    <w:link w:val="20"/>
    <w:uiPriority w:val="9"/>
    <w:unhideWhenUsed/>
    <w:qFormat/>
    <w:rsid w:val="007C11AF"/>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3">
    <w:name w:val="heading 3"/>
    <w:basedOn w:val="a"/>
    <w:next w:val="a"/>
    <w:link w:val="30"/>
    <w:uiPriority w:val="9"/>
    <w:unhideWhenUsed/>
    <w:qFormat/>
    <w:rsid w:val="007C11AF"/>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lang w:eastAsia="en-US"/>
      <w14:ligatures w14:val="standardContextual"/>
    </w:rPr>
  </w:style>
  <w:style w:type="paragraph" w:styleId="4">
    <w:name w:val="heading 4"/>
    <w:basedOn w:val="a"/>
    <w:next w:val="a"/>
    <w:link w:val="40"/>
    <w:uiPriority w:val="9"/>
    <w:unhideWhenUsed/>
    <w:qFormat/>
    <w:rsid w:val="007C11AF"/>
    <w:pPr>
      <w:keepNext/>
      <w:keepLines/>
      <w:spacing w:before="80" w:after="40" w:line="278" w:lineRule="auto"/>
      <w:outlineLvl w:val="3"/>
    </w:pPr>
    <w:rPr>
      <w:rFonts w:asciiTheme="minorHAnsi" w:eastAsiaTheme="majorEastAsia" w:hAnsiTheme="minorHAnsi" w:cstheme="majorBidi"/>
      <w:i/>
      <w:iCs/>
      <w:color w:val="2F5496" w:themeColor="accent1" w:themeShade="BF"/>
      <w:kern w:val="2"/>
      <w:lang w:eastAsia="en-US"/>
      <w14:ligatures w14:val="standardContextual"/>
    </w:rPr>
  </w:style>
  <w:style w:type="paragraph" w:styleId="5">
    <w:name w:val="heading 5"/>
    <w:basedOn w:val="a"/>
    <w:next w:val="a"/>
    <w:link w:val="50"/>
    <w:uiPriority w:val="9"/>
    <w:semiHidden/>
    <w:unhideWhenUsed/>
    <w:qFormat/>
    <w:rsid w:val="007C11AF"/>
    <w:pPr>
      <w:keepNext/>
      <w:keepLines/>
      <w:spacing w:before="80" w:after="40" w:line="278" w:lineRule="auto"/>
      <w:outlineLvl w:val="4"/>
    </w:pPr>
    <w:rPr>
      <w:rFonts w:asciiTheme="minorHAnsi" w:eastAsiaTheme="majorEastAsia" w:hAnsiTheme="minorHAnsi" w:cstheme="majorBidi"/>
      <w:color w:val="2F5496" w:themeColor="accent1" w:themeShade="BF"/>
      <w:kern w:val="2"/>
      <w:lang w:eastAsia="en-US"/>
      <w14:ligatures w14:val="standardContextual"/>
    </w:rPr>
  </w:style>
  <w:style w:type="paragraph" w:styleId="6">
    <w:name w:val="heading 6"/>
    <w:basedOn w:val="a"/>
    <w:next w:val="a"/>
    <w:link w:val="60"/>
    <w:uiPriority w:val="9"/>
    <w:semiHidden/>
    <w:unhideWhenUsed/>
    <w:qFormat/>
    <w:rsid w:val="007C11AF"/>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7">
    <w:name w:val="heading 7"/>
    <w:basedOn w:val="a"/>
    <w:next w:val="a"/>
    <w:link w:val="70"/>
    <w:uiPriority w:val="9"/>
    <w:semiHidden/>
    <w:unhideWhenUsed/>
    <w:qFormat/>
    <w:rsid w:val="007C11AF"/>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8">
    <w:name w:val="heading 8"/>
    <w:basedOn w:val="a"/>
    <w:next w:val="a"/>
    <w:link w:val="80"/>
    <w:uiPriority w:val="9"/>
    <w:semiHidden/>
    <w:unhideWhenUsed/>
    <w:qFormat/>
    <w:rsid w:val="007C11AF"/>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9">
    <w:name w:val="heading 9"/>
    <w:basedOn w:val="a"/>
    <w:next w:val="a"/>
    <w:link w:val="90"/>
    <w:uiPriority w:val="9"/>
    <w:semiHidden/>
    <w:unhideWhenUsed/>
    <w:qFormat/>
    <w:rsid w:val="007C11AF"/>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C11AF"/>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7C11AF"/>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rsid w:val="007C11AF"/>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rsid w:val="007C11AF"/>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7C11AF"/>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7C11A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C11AF"/>
    <w:rPr>
      <w:rFonts w:eastAsiaTheme="majorEastAsia" w:cstheme="majorBidi"/>
      <w:color w:val="595959" w:themeColor="text1" w:themeTint="A6"/>
    </w:rPr>
  </w:style>
  <w:style w:type="character" w:customStyle="1" w:styleId="80">
    <w:name w:val="Заголовок 8 Знак"/>
    <w:basedOn w:val="a0"/>
    <w:link w:val="8"/>
    <w:uiPriority w:val="9"/>
    <w:semiHidden/>
    <w:rsid w:val="007C11A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C11AF"/>
    <w:rPr>
      <w:rFonts w:eastAsiaTheme="majorEastAsia" w:cstheme="majorBidi"/>
      <w:color w:val="272727" w:themeColor="text1" w:themeTint="D8"/>
    </w:rPr>
  </w:style>
  <w:style w:type="paragraph" w:styleId="a3">
    <w:name w:val="Title"/>
    <w:basedOn w:val="a"/>
    <w:next w:val="a"/>
    <w:link w:val="a4"/>
    <w:uiPriority w:val="10"/>
    <w:qFormat/>
    <w:rsid w:val="007C11AF"/>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a4">
    <w:name w:val="Название Знак"/>
    <w:basedOn w:val="a0"/>
    <w:link w:val="a3"/>
    <w:uiPriority w:val="10"/>
    <w:rsid w:val="007C11A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C11AF"/>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a6">
    <w:name w:val="Подзаголовок Знак"/>
    <w:basedOn w:val="a0"/>
    <w:link w:val="a5"/>
    <w:uiPriority w:val="11"/>
    <w:rsid w:val="007C11AF"/>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7C11AF"/>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22">
    <w:name w:val="Цитата 2 Знак"/>
    <w:basedOn w:val="a0"/>
    <w:link w:val="21"/>
    <w:uiPriority w:val="29"/>
    <w:rsid w:val="007C11AF"/>
    <w:rPr>
      <w:i/>
      <w:iCs/>
      <w:color w:val="404040" w:themeColor="text1" w:themeTint="BF"/>
    </w:rPr>
  </w:style>
  <w:style w:type="paragraph" w:styleId="a7">
    <w:name w:val="List Paragraph"/>
    <w:basedOn w:val="a"/>
    <w:uiPriority w:val="34"/>
    <w:qFormat/>
    <w:rsid w:val="007C11AF"/>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a8">
    <w:name w:val="Intense Emphasis"/>
    <w:basedOn w:val="a0"/>
    <w:uiPriority w:val="21"/>
    <w:qFormat/>
    <w:rsid w:val="007C11AF"/>
    <w:rPr>
      <w:i/>
      <w:iCs/>
      <w:color w:val="2F5496" w:themeColor="accent1" w:themeShade="BF"/>
    </w:rPr>
  </w:style>
  <w:style w:type="paragraph" w:styleId="a9">
    <w:name w:val="Intense Quote"/>
    <w:basedOn w:val="a"/>
    <w:next w:val="a"/>
    <w:link w:val="aa"/>
    <w:uiPriority w:val="30"/>
    <w:qFormat/>
    <w:rsid w:val="007C11AF"/>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lang w:eastAsia="en-US"/>
      <w14:ligatures w14:val="standardContextual"/>
    </w:rPr>
  </w:style>
  <w:style w:type="character" w:customStyle="1" w:styleId="aa">
    <w:name w:val="Выделенная цитата Знак"/>
    <w:basedOn w:val="a0"/>
    <w:link w:val="a9"/>
    <w:uiPriority w:val="30"/>
    <w:rsid w:val="007C11AF"/>
    <w:rPr>
      <w:i/>
      <w:iCs/>
      <w:color w:val="2F5496" w:themeColor="accent1" w:themeShade="BF"/>
    </w:rPr>
  </w:style>
  <w:style w:type="character" w:styleId="ab">
    <w:name w:val="Intense Reference"/>
    <w:basedOn w:val="a0"/>
    <w:uiPriority w:val="32"/>
    <w:qFormat/>
    <w:rsid w:val="007C11AF"/>
    <w:rPr>
      <w:b/>
      <w:bCs/>
      <w:smallCaps/>
      <w:color w:val="2F5496" w:themeColor="accent1" w:themeShade="BF"/>
      <w:spacing w:val="5"/>
    </w:rPr>
  </w:style>
  <w:style w:type="character" w:customStyle="1" w:styleId="ms-1">
    <w:name w:val="ms-1"/>
    <w:basedOn w:val="a0"/>
    <w:rsid w:val="007C11AF"/>
  </w:style>
  <w:style w:type="character" w:customStyle="1" w:styleId="max-w-full">
    <w:name w:val="max-w-full"/>
    <w:basedOn w:val="a0"/>
    <w:rsid w:val="007C11AF"/>
  </w:style>
  <w:style w:type="character" w:customStyle="1" w:styleId="apple-converted-space">
    <w:name w:val="apple-converted-space"/>
    <w:basedOn w:val="a0"/>
    <w:rsid w:val="007C11AF"/>
  </w:style>
  <w:style w:type="character" w:styleId="ac">
    <w:name w:val="Strong"/>
    <w:basedOn w:val="a0"/>
    <w:uiPriority w:val="22"/>
    <w:qFormat/>
    <w:rsid w:val="007C11AF"/>
    <w:rPr>
      <w:b/>
      <w:bCs/>
    </w:rPr>
  </w:style>
  <w:style w:type="character" w:styleId="ad">
    <w:name w:val="Emphasis"/>
    <w:basedOn w:val="a0"/>
    <w:uiPriority w:val="20"/>
    <w:qFormat/>
    <w:rsid w:val="007C11AF"/>
    <w:rPr>
      <w:i/>
      <w:iCs/>
    </w:rPr>
  </w:style>
  <w:style w:type="paragraph" w:styleId="ae">
    <w:name w:val="Normal (Web)"/>
    <w:basedOn w:val="a"/>
    <w:uiPriority w:val="99"/>
    <w:unhideWhenUsed/>
    <w:rsid w:val="00392B21"/>
    <w:pPr>
      <w:spacing w:before="100" w:beforeAutospacing="1" w:after="100" w:afterAutospacing="1"/>
    </w:pPr>
  </w:style>
  <w:style w:type="table" w:styleId="af">
    <w:name w:val="Table Grid"/>
    <w:basedOn w:val="a1"/>
    <w:uiPriority w:val="39"/>
    <w:rsid w:val="007719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ibliography"/>
    <w:basedOn w:val="a"/>
    <w:next w:val="a"/>
    <w:uiPriority w:val="37"/>
    <w:unhideWhenUsed/>
    <w:rsid w:val="007719DE"/>
    <w:pPr>
      <w:spacing w:line="480" w:lineRule="auto"/>
      <w:ind w:left="720" w:hanging="720"/>
    </w:pPr>
  </w:style>
  <w:style w:type="paragraph" w:customStyle="1" w:styleId="paragraph">
    <w:name w:val="paragraph"/>
    <w:basedOn w:val="a"/>
    <w:rsid w:val="0045690E"/>
    <w:pPr>
      <w:spacing w:before="100" w:beforeAutospacing="1" w:after="100" w:afterAutospacing="1"/>
    </w:pPr>
    <w:rPr>
      <w:lang w:eastAsia="en-US"/>
    </w:rPr>
  </w:style>
  <w:style w:type="character" w:customStyle="1" w:styleId="normaltextrun">
    <w:name w:val="normaltextrun"/>
    <w:basedOn w:val="a0"/>
    <w:rsid w:val="0045690E"/>
  </w:style>
  <w:style w:type="character" w:styleId="af1">
    <w:name w:val="Hyperlink"/>
    <w:basedOn w:val="a0"/>
    <w:uiPriority w:val="99"/>
    <w:semiHidden/>
    <w:unhideWhenUsed/>
    <w:rsid w:val="00C0612F"/>
    <w:rPr>
      <w:color w:val="0000FF"/>
      <w:u w:val="single"/>
    </w:rPr>
  </w:style>
  <w:style w:type="character" w:customStyle="1" w:styleId="relative">
    <w:name w:val="relative"/>
    <w:basedOn w:val="a0"/>
    <w:rsid w:val="00890514"/>
  </w:style>
  <w:style w:type="character" w:customStyle="1" w:styleId="mord">
    <w:name w:val="mord"/>
    <w:basedOn w:val="a0"/>
    <w:rsid w:val="002D699A"/>
  </w:style>
  <w:style w:type="character" w:customStyle="1" w:styleId="vlist-s">
    <w:name w:val="vlist-s"/>
    <w:basedOn w:val="a0"/>
    <w:rsid w:val="002D699A"/>
  </w:style>
  <w:style w:type="character" w:customStyle="1" w:styleId="mrel">
    <w:name w:val="mrel"/>
    <w:basedOn w:val="a0"/>
    <w:rsid w:val="002D699A"/>
  </w:style>
  <w:style w:type="character" w:customStyle="1" w:styleId="mpunct">
    <w:name w:val="mpunct"/>
    <w:basedOn w:val="a0"/>
    <w:rsid w:val="002D699A"/>
  </w:style>
  <w:style w:type="character" w:customStyle="1" w:styleId="mbin">
    <w:name w:val="mbin"/>
    <w:basedOn w:val="a0"/>
    <w:rsid w:val="002D699A"/>
  </w:style>
  <w:style w:type="character" w:customStyle="1" w:styleId="katex-mathml">
    <w:name w:val="katex-mathml"/>
    <w:basedOn w:val="a0"/>
    <w:rsid w:val="006F476D"/>
  </w:style>
  <w:style w:type="paragraph" w:styleId="af2">
    <w:name w:val="footer"/>
    <w:basedOn w:val="a"/>
    <w:link w:val="af3"/>
    <w:uiPriority w:val="99"/>
    <w:unhideWhenUsed/>
    <w:rsid w:val="00AA0E17"/>
    <w:pPr>
      <w:tabs>
        <w:tab w:val="center" w:pos="4513"/>
        <w:tab w:val="right" w:pos="9026"/>
      </w:tabs>
    </w:pPr>
  </w:style>
  <w:style w:type="character" w:customStyle="1" w:styleId="af3">
    <w:name w:val="Нижний колонтитул Знак"/>
    <w:basedOn w:val="a0"/>
    <w:link w:val="af2"/>
    <w:uiPriority w:val="99"/>
    <w:rsid w:val="00AA0E17"/>
    <w:rPr>
      <w:rFonts w:ascii="Times New Roman" w:eastAsia="Times New Roman" w:hAnsi="Times New Roman" w:cs="Times New Roman"/>
      <w:kern w:val="0"/>
      <w:lang w:eastAsia="en-GB"/>
      <w14:ligatures w14:val="none"/>
    </w:rPr>
  </w:style>
  <w:style w:type="character" w:styleId="af4">
    <w:name w:val="page number"/>
    <w:basedOn w:val="a0"/>
    <w:uiPriority w:val="99"/>
    <w:semiHidden/>
    <w:unhideWhenUsed/>
    <w:rsid w:val="00AA0E17"/>
  </w:style>
  <w:style w:type="paragraph" w:styleId="af5">
    <w:name w:val="header"/>
    <w:basedOn w:val="a"/>
    <w:link w:val="af6"/>
    <w:uiPriority w:val="99"/>
    <w:unhideWhenUsed/>
    <w:rsid w:val="00AA0E17"/>
    <w:pPr>
      <w:tabs>
        <w:tab w:val="center" w:pos="4513"/>
        <w:tab w:val="right" w:pos="9026"/>
      </w:tabs>
    </w:pPr>
  </w:style>
  <w:style w:type="character" w:customStyle="1" w:styleId="af6">
    <w:name w:val="Верхний колонтитул Знак"/>
    <w:basedOn w:val="a0"/>
    <w:link w:val="af5"/>
    <w:uiPriority w:val="99"/>
    <w:rsid w:val="00AA0E17"/>
    <w:rPr>
      <w:rFonts w:ascii="Times New Roman" w:eastAsia="Times New Roman" w:hAnsi="Times New Roman" w:cs="Times New Roman"/>
      <w:kern w:val="0"/>
      <w:lang w:eastAsia="en-GB"/>
      <w14:ligatures w14:val="none"/>
    </w:rPr>
  </w:style>
  <w:style w:type="character" w:styleId="af7">
    <w:name w:val="FollowedHyperlink"/>
    <w:basedOn w:val="a0"/>
    <w:uiPriority w:val="99"/>
    <w:semiHidden/>
    <w:unhideWhenUsed/>
    <w:rsid w:val="0019044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91284">
      <w:bodyDiv w:val="1"/>
      <w:marLeft w:val="0"/>
      <w:marRight w:val="0"/>
      <w:marTop w:val="0"/>
      <w:marBottom w:val="0"/>
      <w:divBdr>
        <w:top w:val="none" w:sz="0" w:space="0" w:color="auto"/>
        <w:left w:val="none" w:sz="0" w:space="0" w:color="auto"/>
        <w:bottom w:val="none" w:sz="0" w:space="0" w:color="auto"/>
        <w:right w:val="none" w:sz="0" w:space="0" w:color="auto"/>
      </w:divBdr>
    </w:div>
    <w:div w:id="54089202">
      <w:bodyDiv w:val="1"/>
      <w:marLeft w:val="0"/>
      <w:marRight w:val="0"/>
      <w:marTop w:val="0"/>
      <w:marBottom w:val="0"/>
      <w:divBdr>
        <w:top w:val="none" w:sz="0" w:space="0" w:color="auto"/>
        <w:left w:val="none" w:sz="0" w:space="0" w:color="auto"/>
        <w:bottom w:val="none" w:sz="0" w:space="0" w:color="auto"/>
        <w:right w:val="none" w:sz="0" w:space="0" w:color="auto"/>
      </w:divBdr>
    </w:div>
    <w:div w:id="62682983">
      <w:bodyDiv w:val="1"/>
      <w:marLeft w:val="0"/>
      <w:marRight w:val="0"/>
      <w:marTop w:val="0"/>
      <w:marBottom w:val="0"/>
      <w:divBdr>
        <w:top w:val="none" w:sz="0" w:space="0" w:color="auto"/>
        <w:left w:val="none" w:sz="0" w:space="0" w:color="auto"/>
        <w:bottom w:val="none" w:sz="0" w:space="0" w:color="auto"/>
        <w:right w:val="none" w:sz="0" w:space="0" w:color="auto"/>
      </w:divBdr>
    </w:div>
    <w:div w:id="71317904">
      <w:bodyDiv w:val="1"/>
      <w:marLeft w:val="0"/>
      <w:marRight w:val="0"/>
      <w:marTop w:val="0"/>
      <w:marBottom w:val="0"/>
      <w:divBdr>
        <w:top w:val="none" w:sz="0" w:space="0" w:color="auto"/>
        <w:left w:val="none" w:sz="0" w:space="0" w:color="auto"/>
        <w:bottom w:val="none" w:sz="0" w:space="0" w:color="auto"/>
        <w:right w:val="none" w:sz="0" w:space="0" w:color="auto"/>
      </w:divBdr>
    </w:div>
    <w:div w:id="74982813">
      <w:bodyDiv w:val="1"/>
      <w:marLeft w:val="0"/>
      <w:marRight w:val="0"/>
      <w:marTop w:val="0"/>
      <w:marBottom w:val="0"/>
      <w:divBdr>
        <w:top w:val="none" w:sz="0" w:space="0" w:color="auto"/>
        <w:left w:val="none" w:sz="0" w:space="0" w:color="auto"/>
        <w:bottom w:val="none" w:sz="0" w:space="0" w:color="auto"/>
        <w:right w:val="none" w:sz="0" w:space="0" w:color="auto"/>
      </w:divBdr>
    </w:div>
    <w:div w:id="85004246">
      <w:bodyDiv w:val="1"/>
      <w:marLeft w:val="0"/>
      <w:marRight w:val="0"/>
      <w:marTop w:val="0"/>
      <w:marBottom w:val="0"/>
      <w:divBdr>
        <w:top w:val="none" w:sz="0" w:space="0" w:color="auto"/>
        <w:left w:val="none" w:sz="0" w:space="0" w:color="auto"/>
        <w:bottom w:val="none" w:sz="0" w:space="0" w:color="auto"/>
        <w:right w:val="none" w:sz="0" w:space="0" w:color="auto"/>
      </w:divBdr>
    </w:div>
    <w:div w:id="108014071">
      <w:bodyDiv w:val="1"/>
      <w:marLeft w:val="0"/>
      <w:marRight w:val="0"/>
      <w:marTop w:val="0"/>
      <w:marBottom w:val="0"/>
      <w:divBdr>
        <w:top w:val="none" w:sz="0" w:space="0" w:color="auto"/>
        <w:left w:val="none" w:sz="0" w:space="0" w:color="auto"/>
        <w:bottom w:val="none" w:sz="0" w:space="0" w:color="auto"/>
        <w:right w:val="none" w:sz="0" w:space="0" w:color="auto"/>
      </w:divBdr>
    </w:div>
    <w:div w:id="110243968">
      <w:bodyDiv w:val="1"/>
      <w:marLeft w:val="0"/>
      <w:marRight w:val="0"/>
      <w:marTop w:val="0"/>
      <w:marBottom w:val="0"/>
      <w:divBdr>
        <w:top w:val="none" w:sz="0" w:space="0" w:color="auto"/>
        <w:left w:val="none" w:sz="0" w:space="0" w:color="auto"/>
        <w:bottom w:val="none" w:sz="0" w:space="0" w:color="auto"/>
        <w:right w:val="none" w:sz="0" w:space="0" w:color="auto"/>
      </w:divBdr>
    </w:div>
    <w:div w:id="117846125">
      <w:bodyDiv w:val="1"/>
      <w:marLeft w:val="0"/>
      <w:marRight w:val="0"/>
      <w:marTop w:val="0"/>
      <w:marBottom w:val="0"/>
      <w:divBdr>
        <w:top w:val="none" w:sz="0" w:space="0" w:color="auto"/>
        <w:left w:val="none" w:sz="0" w:space="0" w:color="auto"/>
        <w:bottom w:val="none" w:sz="0" w:space="0" w:color="auto"/>
        <w:right w:val="none" w:sz="0" w:space="0" w:color="auto"/>
      </w:divBdr>
      <w:divsChild>
        <w:div w:id="2128231969">
          <w:marLeft w:val="0"/>
          <w:marRight w:val="0"/>
          <w:marTop w:val="0"/>
          <w:marBottom w:val="0"/>
          <w:divBdr>
            <w:top w:val="none" w:sz="0" w:space="0" w:color="auto"/>
            <w:left w:val="none" w:sz="0" w:space="0" w:color="auto"/>
            <w:bottom w:val="none" w:sz="0" w:space="0" w:color="auto"/>
            <w:right w:val="none" w:sz="0" w:space="0" w:color="auto"/>
          </w:divBdr>
          <w:divsChild>
            <w:div w:id="866480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82783">
      <w:bodyDiv w:val="1"/>
      <w:marLeft w:val="0"/>
      <w:marRight w:val="0"/>
      <w:marTop w:val="0"/>
      <w:marBottom w:val="0"/>
      <w:divBdr>
        <w:top w:val="none" w:sz="0" w:space="0" w:color="auto"/>
        <w:left w:val="none" w:sz="0" w:space="0" w:color="auto"/>
        <w:bottom w:val="none" w:sz="0" w:space="0" w:color="auto"/>
        <w:right w:val="none" w:sz="0" w:space="0" w:color="auto"/>
      </w:divBdr>
    </w:div>
    <w:div w:id="140198423">
      <w:bodyDiv w:val="1"/>
      <w:marLeft w:val="0"/>
      <w:marRight w:val="0"/>
      <w:marTop w:val="0"/>
      <w:marBottom w:val="0"/>
      <w:divBdr>
        <w:top w:val="none" w:sz="0" w:space="0" w:color="auto"/>
        <w:left w:val="none" w:sz="0" w:space="0" w:color="auto"/>
        <w:bottom w:val="none" w:sz="0" w:space="0" w:color="auto"/>
        <w:right w:val="none" w:sz="0" w:space="0" w:color="auto"/>
      </w:divBdr>
    </w:div>
    <w:div w:id="159320533">
      <w:bodyDiv w:val="1"/>
      <w:marLeft w:val="0"/>
      <w:marRight w:val="0"/>
      <w:marTop w:val="0"/>
      <w:marBottom w:val="0"/>
      <w:divBdr>
        <w:top w:val="none" w:sz="0" w:space="0" w:color="auto"/>
        <w:left w:val="none" w:sz="0" w:space="0" w:color="auto"/>
        <w:bottom w:val="none" w:sz="0" w:space="0" w:color="auto"/>
        <w:right w:val="none" w:sz="0" w:space="0" w:color="auto"/>
      </w:divBdr>
    </w:div>
    <w:div w:id="197472498">
      <w:bodyDiv w:val="1"/>
      <w:marLeft w:val="0"/>
      <w:marRight w:val="0"/>
      <w:marTop w:val="0"/>
      <w:marBottom w:val="0"/>
      <w:divBdr>
        <w:top w:val="none" w:sz="0" w:space="0" w:color="auto"/>
        <w:left w:val="none" w:sz="0" w:space="0" w:color="auto"/>
        <w:bottom w:val="none" w:sz="0" w:space="0" w:color="auto"/>
        <w:right w:val="none" w:sz="0" w:space="0" w:color="auto"/>
      </w:divBdr>
    </w:div>
    <w:div w:id="243492896">
      <w:bodyDiv w:val="1"/>
      <w:marLeft w:val="0"/>
      <w:marRight w:val="0"/>
      <w:marTop w:val="0"/>
      <w:marBottom w:val="0"/>
      <w:divBdr>
        <w:top w:val="none" w:sz="0" w:space="0" w:color="auto"/>
        <w:left w:val="none" w:sz="0" w:space="0" w:color="auto"/>
        <w:bottom w:val="none" w:sz="0" w:space="0" w:color="auto"/>
        <w:right w:val="none" w:sz="0" w:space="0" w:color="auto"/>
      </w:divBdr>
    </w:div>
    <w:div w:id="308051081">
      <w:bodyDiv w:val="1"/>
      <w:marLeft w:val="0"/>
      <w:marRight w:val="0"/>
      <w:marTop w:val="0"/>
      <w:marBottom w:val="0"/>
      <w:divBdr>
        <w:top w:val="none" w:sz="0" w:space="0" w:color="auto"/>
        <w:left w:val="none" w:sz="0" w:space="0" w:color="auto"/>
        <w:bottom w:val="none" w:sz="0" w:space="0" w:color="auto"/>
        <w:right w:val="none" w:sz="0" w:space="0" w:color="auto"/>
      </w:divBdr>
    </w:div>
    <w:div w:id="309091148">
      <w:bodyDiv w:val="1"/>
      <w:marLeft w:val="0"/>
      <w:marRight w:val="0"/>
      <w:marTop w:val="0"/>
      <w:marBottom w:val="0"/>
      <w:divBdr>
        <w:top w:val="none" w:sz="0" w:space="0" w:color="auto"/>
        <w:left w:val="none" w:sz="0" w:space="0" w:color="auto"/>
        <w:bottom w:val="none" w:sz="0" w:space="0" w:color="auto"/>
        <w:right w:val="none" w:sz="0" w:space="0" w:color="auto"/>
      </w:divBdr>
    </w:div>
    <w:div w:id="330764477">
      <w:bodyDiv w:val="1"/>
      <w:marLeft w:val="0"/>
      <w:marRight w:val="0"/>
      <w:marTop w:val="0"/>
      <w:marBottom w:val="0"/>
      <w:divBdr>
        <w:top w:val="none" w:sz="0" w:space="0" w:color="auto"/>
        <w:left w:val="none" w:sz="0" w:space="0" w:color="auto"/>
        <w:bottom w:val="none" w:sz="0" w:space="0" w:color="auto"/>
        <w:right w:val="none" w:sz="0" w:space="0" w:color="auto"/>
      </w:divBdr>
    </w:div>
    <w:div w:id="331488406">
      <w:bodyDiv w:val="1"/>
      <w:marLeft w:val="0"/>
      <w:marRight w:val="0"/>
      <w:marTop w:val="0"/>
      <w:marBottom w:val="0"/>
      <w:divBdr>
        <w:top w:val="none" w:sz="0" w:space="0" w:color="auto"/>
        <w:left w:val="none" w:sz="0" w:space="0" w:color="auto"/>
        <w:bottom w:val="none" w:sz="0" w:space="0" w:color="auto"/>
        <w:right w:val="none" w:sz="0" w:space="0" w:color="auto"/>
      </w:divBdr>
    </w:div>
    <w:div w:id="341396931">
      <w:bodyDiv w:val="1"/>
      <w:marLeft w:val="0"/>
      <w:marRight w:val="0"/>
      <w:marTop w:val="0"/>
      <w:marBottom w:val="0"/>
      <w:divBdr>
        <w:top w:val="none" w:sz="0" w:space="0" w:color="auto"/>
        <w:left w:val="none" w:sz="0" w:space="0" w:color="auto"/>
        <w:bottom w:val="none" w:sz="0" w:space="0" w:color="auto"/>
        <w:right w:val="none" w:sz="0" w:space="0" w:color="auto"/>
      </w:divBdr>
      <w:divsChild>
        <w:div w:id="1049567822">
          <w:marLeft w:val="0"/>
          <w:marRight w:val="0"/>
          <w:marTop w:val="0"/>
          <w:marBottom w:val="0"/>
          <w:divBdr>
            <w:top w:val="none" w:sz="0" w:space="0" w:color="auto"/>
            <w:left w:val="none" w:sz="0" w:space="0" w:color="auto"/>
            <w:bottom w:val="none" w:sz="0" w:space="0" w:color="auto"/>
            <w:right w:val="none" w:sz="0" w:space="0" w:color="auto"/>
          </w:divBdr>
          <w:divsChild>
            <w:div w:id="1244336995">
              <w:marLeft w:val="0"/>
              <w:marRight w:val="0"/>
              <w:marTop w:val="0"/>
              <w:marBottom w:val="0"/>
              <w:divBdr>
                <w:top w:val="none" w:sz="0" w:space="0" w:color="auto"/>
                <w:left w:val="none" w:sz="0" w:space="0" w:color="auto"/>
                <w:bottom w:val="none" w:sz="0" w:space="0" w:color="auto"/>
                <w:right w:val="none" w:sz="0" w:space="0" w:color="auto"/>
              </w:divBdr>
              <w:divsChild>
                <w:div w:id="1828016886">
                  <w:marLeft w:val="0"/>
                  <w:marRight w:val="0"/>
                  <w:marTop w:val="0"/>
                  <w:marBottom w:val="0"/>
                  <w:divBdr>
                    <w:top w:val="none" w:sz="0" w:space="0" w:color="auto"/>
                    <w:left w:val="none" w:sz="0" w:space="0" w:color="auto"/>
                    <w:bottom w:val="none" w:sz="0" w:space="0" w:color="auto"/>
                    <w:right w:val="none" w:sz="0" w:space="0" w:color="auto"/>
                  </w:divBdr>
                  <w:divsChild>
                    <w:div w:id="1270503409">
                      <w:marLeft w:val="0"/>
                      <w:marRight w:val="0"/>
                      <w:marTop w:val="0"/>
                      <w:marBottom w:val="0"/>
                      <w:divBdr>
                        <w:top w:val="none" w:sz="0" w:space="0" w:color="auto"/>
                        <w:left w:val="none" w:sz="0" w:space="0" w:color="auto"/>
                        <w:bottom w:val="none" w:sz="0" w:space="0" w:color="auto"/>
                        <w:right w:val="none" w:sz="0" w:space="0" w:color="auto"/>
                      </w:divBdr>
                      <w:divsChild>
                        <w:div w:id="1674841771">
                          <w:marLeft w:val="0"/>
                          <w:marRight w:val="0"/>
                          <w:marTop w:val="0"/>
                          <w:marBottom w:val="0"/>
                          <w:divBdr>
                            <w:top w:val="none" w:sz="0" w:space="0" w:color="auto"/>
                            <w:left w:val="none" w:sz="0" w:space="0" w:color="auto"/>
                            <w:bottom w:val="none" w:sz="0" w:space="0" w:color="auto"/>
                            <w:right w:val="none" w:sz="0" w:space="0" w:color="auto"/>
                          </w:divBdr>
                          <w:divsChild>
                            <w:div w:id="915628932">
                              <w:marLeft w:val="0"/>
                              <w:marRight w:val="0"/>
                              <w:marTop w:val="0"/>
                              <w:marBottom w:val="0"/>
                              <w:divBdr>
                                <w:top w:val="none" w:sz="0" w:space="0" w:color="auto"/>
                                <w:left w:val="none" w:sz="0" w:space="0" w:color="auto"/>
                                <w:bottom w:val="none" w:sz="0" w:space="0" w:color="auto"/>
                                <w:right w:val="none" w:sz="0" w:space="0" w:color="auto"/>
                              </w:divBdr>
                              <w:divsChild>
                                <w:div w:id="27267765">
                                  <w:marLeft w:val="0"/>
                                  <w:marRight w:val="0"/>
                                  <w:marTop w:val="0"/>
                                  <w:marBottom w:val="0"/>
                                  <w:divBdr>
                                    <w:top w:val="none" w:sz="0" w:space="0" w:color="auto"/>
                                    <w:left w:val="none" w:sz="0" w:space="0" w:color="auto"/>
                                    <w:bottom w:val="none" w:sz="0" w:space="0" w:color="auto"/>
                                    <w:right w:val="none" w:sz="0" w:space="0" w:color="auto"/>
                                  </w:divBdr>
                                  <w:divsChild>
                                    <w:div w:id="1263565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3046107">
      <w:bodyDiv w:val="1"/>
      <w:marLeft w:val="0"/>
      <w:marRight w:val="0"/>
      <w:marTop w:val="0"/>
      <w:marBottom w:val="0"/>
      <w:divBdr>
        <w:top w:val="none" w:sz="0" w:space="0" w:color="auto"/>
        <w:left w:val="none" w:sz="0" w:space="0" w:color="auto"/>
        <w:bottom w:val="none" w:sz="0" w:space="0" w:color="auto"/>
        <w:right w:val="none" w:sz="0" w:space="0" w:color="auto"/>
      </w:divBdr>
    </w:div>
    <w:div w:id="375467133">
      <w:bodyDiv w:val="1"/>
      <w:marLeft w:val="0"/>
      <w:marRight w:val="0"/>
      <w:marTop w:val="0"/>
      <w:marBottom w:val="0"/>
      <w:divBdr>
        <w:top w:val="none" w:sz="0" w:space="0" w:color="auto"/>
        <w:left w:val="none" w:sz="0" w:space="0" w:color="auto"/>
        <w:bottom w:val="none" w:sz="0" w:space="0" w:color="auto"/>
        <w:right w:val="none" w:sz="0" w:space="0" w:color="auto"/>
      </w:divBdr>
    </w:div>
    <w:div w:id="454442927">
      <w:bodyDiv w:val="1"/>
      <w:marLeft w:val="0"/>
      <w:marRight w:val="0"/>
      <w:marTop w:val="0"/>
      <w:marBottom w:val="0"/>
      <w:divBdr>
        <w:top w:val="none" w:sz="0" w:space="0" w:color="auto"/>
        <w:left w:val="none" w:sz="0" w:space="0" w:color="auto"/>
        <w:bottom w:val="none" w:sz="0" w:space="0" w:color="auto"/>
        <w:right w:val="none" w:sz="0" w:space="0" w:color="auto"/>
      </w:divBdr>
    </w:div>
    <w:div w:id="484861839">
      <w:bodyDiv w:val="1"/>
      <w:marLeft w:val="0"/>
      <w:marRight w:val="0"/>
      <w:marTop w:val="0"/>
      <w:marBottom w:val="0"/>
      <w:divBdr>
        <w:top w:val="none" w:sz="0" w:space="0" w:color="auto"/>
        <w:left w:val="none" w:sz="0" w:space="0" w:color="auto"/>
        <w:bottom w:val="none" w:sz="0" w:space="0" w:color="auto"/>
        <w:right w:val="none" w:sz="0" w:space="0" w:color="auto"/>
      </w:divBdr>
    </w:div>
    <w:div w:id="485585777">
      <w:bodyDiv w:val="1"/>
      <w:marLeft w:val="0"/>
      <w:marRight w:val="0"/>
      <w:marTop w:val="0"/>
      <w:marBottom w:val="0"/>
      <w:divBdr>
        <w:top w:val="none" w:sz="0" w:space="0" w:color="auto"/>
        <w:left w:val="none" w:sz="0" w:space="0" w:color="auto"/>
        <w:bottom w:val="none" w:sz="0" w:space="0" w:color="auto"/>
        <w:right w:val="none" w:sz="0" w:space="0" w:color="auto"/>
      </w:divBdr>
    </w:div>
    <w:div w:id="499779736">
      <w:bodyDiv w:val="1"/>
      <w:marLeft w:val="0"/>
      <w:marRight w:val="0"/>
      <w:marTop w:val="0"/>
      <w:marBottom w:val="0"/>
      <w:divBdr>
        <w:top w:val="none" w:sz="0" w:space="0" w:color="auto"/>
        <w:left w:val="none" w:sz="0" w:space="0" w:color="auto"/>
        <w:bottom w:val="none" w:sz="0" w:space="0" w:color="auto"/>
        <w:right w:val="none" w:sz="0" w:space="0" w:color="auto"/>
      </w:divBdr>
    </w:div>
    <w:div w:id="533857637">
      <w:bodyDiv w:val="1"/>
      <w:marLeft w:val="0"/>
      <w:marRight w:val="0"/>
      <w:marTop w:val="0"/>
      <w:marBottom w:val="0"/>
      <w:divBdr>
        <w:top w:val="none" w:sz="0" w:space="0" w:color="auto"/>
        <w:left w:val="none" w:sz="0" w:space="0" w:color="auto"/>
        <w:bottom w:val="none" w:sz="0" w:space="0" w:color="auto"/>
        <w:right w:val="none" w:sz="0" w:space="0" w:color="auto"/>
      </w:divBdr>
    </w:div>
    <w:div w:id="550650322">
      <w:bodyDiv w:val="1"/>
      <w:marLeft w:val="0"/>
      <w:marRight w:val="0"/>
      <w:marTop w:val="0"/>
      <w:marBottom w:val="0"/>
      <w:divBdr>
        <w:top w:val="none" w:sz="0" w:space="0" w:color="auto"/>
        <w:left w:val="none" w:sz="0" w:space="0" w:color="auto"/>
        <w:bottom w:val="none" w:sz="0" w:space="0" w:color="auto"/>
        <w:right w:val="none" w:sz="0" w:space="0" w:color="auto"/>
      </w:divBdr>
    </w:div>
    <w:div w:id="552815680">
      <w:bodyDiv w:val="1"/>
      <w:marLeft w:val="0"/>
      <w:marRight w:val="0"/>
      <w:marTop w:val="0"/>
      <w:marBottom w:val="0"/>
      <w:divBdr>
        <w:top w:val="none" w:sz="0" w:space="0" w:color="auto"/>
        <w:left w:val="none" w:sz="0" w:space="0" w:color="auto"/>
        <w:bottom w:val="none" w:sz="0" w:space="0" w:color="auto"/>
        <w:right w:val="none" w:sz="0" w:space="0" w:color="auto"/>
      </w:divBdr>
    </w:div>
    <w:div w:id="558444698">
      <w:bodyDiv w:val="1"/>
      <w:marLeft w:val="0"/>
      <w:marRight w:val="0"/>
      <w:marTop w:val="0"/>
      <w:marBottom w:val="0"/>
      <w:divBdr>
        <w:top w:val="none" w:sz="0" w:space="0" w:color="auto"/>
        <w:left w:val="none" w:sz="0" w:space="0" w:color="auto"/>
        <w:bottom w:val="none" w:sz="0" w:space="0" w:color="auto"/>
        <w:right w:val="none" w:sz="0" w:space="0" w:color="auto"/>
      </w:divBdr>
    </w:div>
    <w:div w:id="570312777">
      <w:bodyDiv w:val="1"/>
      <w:marLeft w:val="0"/>
      <w:marRight w:val="0"/>
      <w:marTop w:val="0"/>
      <w:marBottom w:val="0"/>
      <w:divBdr>
        <w:top w:val="none" w:sz="0" w:space="0" w:color="auto"/>
        <w:left w:val="none" w:sz="0" w:space="0" w:color="auto"/>
        <w:bottom w:val="none" w:sz="0" w:space="0" w:color="auto"/>
        <w:right w:val="none" w:sz="0" w:space="0" w:color="auto"/>
      </w:divBdr>
    </w:div>
    <w:div w:id="585647868">
      <w:bodyDiv w:val="1"/>
      <w:marLeft w:val="0"/>
      <w:marRight w:val="0"/>
      <w:marTop w:val="0"/>
      <w:marBottom w:val="0"/>
      <w:divBdr>
        <w:top w:val="none" w:sz="0" w:space="0" w:color="auto"/>
        <w:left w:val="none" w:sz="0" w:space="0" w:color="auto"/>
        <w:bottom w:val="none" w:sz="0" w:space="0" w:color="auto"/>
        <w:right w:val="none" w:sz="0" w:space="0" w:color="auto"/>
      </w:divBdr>
    </w:div>
    <w:div w:id="598753544">
      <w:bodyDiv w:val="1"/>
      <w:marLeft w:val="0"/>
      <w:marRight w:val="0"/>
      <w:marTop w:val="0"/>
      <w:marBottom w:val="0"/>
      <w:divBdr>
        <w:top w:val="none" w:sz="0" w:space="0" w:color="auto"/>
        <w:left w:val="none" w:sz="0" w:space="0" w:color="auto"/>
        <w:bottom w:val="none" w:sz="0" w:space="0" w:color="auto"/>
        <w:right w:val="none" w:sz="0" w:space="0" w:color="auto"/>
      </w:divBdr>
    </w:div>
    <w:div w:id="604508269">
      <w:bodyDiv w:val="1"/>
      <w:marLeft w:val="0"/>
      <w:marRight w:val="0"/>
      <w:marTop w:val="0"/>
      <w:marBottom w:val="0"/>
      <w:divBdr>
        <w:top w:val="none" w:sz="0" w:space="0" w:color="auto"/>
        <w:left w:val="none" w:sz="0" w:space="0" w:color="auto"/>
        <w:bottom w:val="none" w:sz="0" w:space="0" w:color="auto"/>
        <w:right w:val="none" w:sz="0" w:space="0" w:color="auto"/>
      </w:divBdr>
    </w:div>
    <w:div w:id="625503809">
      <w:bodyDiv w:val="1"/>
      <w:marLeft w:val="0"/>
      <w:marRight w:val="0"/>
      <w:marTop w:val="0"/>
      <w:marBottom w:val="0"/>
      <w:divBdr>
        <w:top w:val="none" w:sz="0" w:space="0" w:color="auto"/>
        <w:left w:val="none" w:sz="0" w:space="0" w:color="auto"/>
        <w:bottom w:val="none" w:sz="0" w:space="0" w:color="auto"/>
        <w:right w:val="none" w:sz="0" w:space="0" w:color="auto"/>
      </w:divBdr>
    </w:div>
    <w:div w:id="632365043">
      <w:bodyDiv w:val="1"/>
      <w:marLeft w:val="0"/>
      <w:marRight w:val="0"/>
      <w:marTop w:val="0"/>
      <w:marBottom w:val="0"/>
      <w:divBdr>
        <w:top w:val="none" w:sz="0" w:space="0" w:color="auto"/>
        <w:left w:val="none" w:sz="0" w:space="0" w:color="auto"/>
        <w:bottom w:val="none" w:sz="0" w:space="0" w:color="auto"/>
        <w:right w:val="none" w:sz="0" w:space="0" w:color="auto"/>
      </w:divBdr>
    </w:div>
    <w:div w:id="643238620">
      <w:bodyDiv w:val="1"/>
      <w:marLeft w:val="0"/>
      <w:marRight w:val="0"/>
      <w:marTop w:val="0"/>
      <w:marBottom w:val="0"/>
      <w:divBdr>
        <w:top w:val="none" w:sz="0" w:space="0" w:color="auto"/>
        <w:left w:val="none" w:sz="0" w:space="0" w:color="auto"/>
        <w:bottom w:val="none" w:sz="0" w:space="0" w:color="auto"/>
        <w:right w:val="none" w:sz="0" w:space="0" w:color="auto"/>
      </w:divBdr>
    </w:div>
    <w:div w:id="649409618">
      <w:bodyDiv w:val="1"/>
      <w:marLeft w:val="0"/>
      <w:marRight w:val="0"/>
      <w:marTop w:val="0"/>
      <w:marBottom w:val="0"/>
      <w:divBdr>
        <w:top w:val="none" w:sz="0" w:space="0" w:color="auto"/>
        <w:left w:val="none" w:sz="0" w:space="0" w:color="auto"/>
        <w:bottom w:val="none" w:sz="0" w:space="0" w:color="auto"/>
        <w:right w:val="none" w:sz="0" w:space="0" w:color="auto"/>
      </w:divBdr>
    </w:div>
    <w:div w:id="676464334">
      <w:bodyDiv w:val="1"/>
      <w:marLeft w:val="0"/>
      <w:marRight w:val="0"/>
      <w:marTop w:val="0"/>
      <w:marBottom w:val="0"/>
      <w:divBdr>
        <w:top w:val="none" w:sz="0" w:space="0" w:color="auto"/>
        <w:left w:val="none" w:sz="0" w:space="0" w:color="auto"/>
        <w:bottom w:val="none" w:sz="0" w:space="0" w:color="auto"/>
        <w:right w:val="none" w:sz="0" w:space="0" w:color="auto"/>
      </w:divBdr>
    </w:div>
    <w:div w:id="724764887">
      <w:bodyDiv w:val="1"/>
      <w:marLeft w:val="0"/>
      <w:marRight w:val="0"/>
      <w:marTop w:val="0"/>
      <w:marBottom w:val="0"/>
      <w:divBdr>
        <w:top w:val="none" w:sz="0" w:space="0" w:color="auto"/>
        <w:left w:val="none" w:sz="0" w:space="0" w:color="auto"/>
        <w:bottom w:val="none" w:sz="0" w:space="0" w:color="auto"/>
        <w:right w:val="none" w:sz="0" w:space="0" w:color="auto"/>
      </w:divBdr>
    </w:div>
    <w:div w:id="733242403">
      <w:bodyDiv w:val="1"/>
      <w:marLeft w:val="0"/>
      <w:marRight w:val="0"/>
      <w:marTop w:val="0"/>
      <w:marBottom w:val="0"/>
      <w:divBdr>
        <w:top w:val="none" w:sz="0" w:space="0" w:color="auto"/>
        <w:left w:val="none" w:sz="0" w:space="0" w:color="auto"/>
        <w:bottom w:val="none" w:sz="0" w:space="0" w:color="auto"/>
        <w:right w:val="none" w:sz="0" w:space="0" w:color="auto"/>
      </w:divBdr>
    </w:div>
    <w:div w:id="747652472">
      <w:bodyDiv w:val="1"/>
      <w:marLeft w:val="0"/>
      <w:marRight w:val="0"/>
      <w:marTop w:val="0"/>
      <w:marBottom w:val="0"/>
      <w:divBdr>
        <w:top w:val="none" w:sz="0" w:space="0" w:color="auto"/>
        <w:left w:val="none" w:sz="0" w:space="0" w:color="auto"/>
        <w:bottom w:val="none" w:sz="0" w:space="0" w:color="auto"/>
        <w:right w:val="none" w:sz="0" w:space="0" w:color="auto"/>
      </w:divBdr>
    </w:div>
    <w:div w:id="759374653">
      <w:bodyDiv w:val="1"/>
      <w:marLeft w:val="0"/>
      <w:marRight w:val="0"/>
      <w:marTop w:val="0"/>
      <w:marBottom w:val="0"/>
      <w:divBdr>
        <w:top w:val="none" w:sz="0" w:space="0" w:color="auto"/>
        <w:left w:val="none" w:sz="0" w:space="0" w:color="auto"/>
        <w:bottom w:val="none" w:sz="0" w:space="0" w:color="auto"/>
        <w:right w:val="none" w:sz="0" w:space="0" w:color="auto"/>
      </w:divBdr>
    </w:div>
    <w:div w:id="759377185">
      <w:bodyDiv w:val="1"/>
      <w:marLeft w:val="0"/>
      <w:marRight w:val="0"/>
      <w:marTop w:val="0"/>
      <w:marBottom w:val="0"/>
      <w:divBdr>
        <w:top w:val="none" w:sz="0" w:space="0" w:color="auto"/>
        <w:left w:val="none" w:sz="0" w:space="0" w:color="auto"/>
        <w:bottom w:val="none" w:sz="0" w:space="0" w:color="auto"/>
        <w:right w:val="none" w:sz="0" w:space="0" w:color="auto"/>
      </w:divBdr>
    </w:div>
    <w:div w:id="763112577">
      <w:bodyDiv w:val="1"/>
      <w:marLeft w:val="0"/>
      <w:marRight w:val="0"/>
      <w:marTop w:val="0"/>
      <w:marBottom w:val="0"/>
      <w:divBdr>
        <w:top w:val="none" w:sz="0" w:space="0" w:color="auto"/>
        <w:left w:val="none" w:sz="0" w:space="0" w:color="auto"/>
        <w:bottom w:val="none" w:sz="0" w:space="0" w:color="auto"/>
        <w:right w:val="none" w:sz="0" w:space="0" w:color="auto"/>
      </w:divBdr>
    </w:div>
    <w:div w:id="775826047">
      <w:bodyDiv w:val="1"/>
      <w:marLeft w:val="0"/>
      <w:marRight w:val="0"/>
      <w:marTop w:val="0"/>
      <w:marBottom w:val="0"/>
      <w:divBdr>
        <w:top w:val="none" w:sz="0" w:space="0" w:color="auto"/>
        <w:left w:val="none" w:sz="0" w:space="0" w:color="auto"/>
        <w:bottom w:val="none" w:sz="0" w:space="0" w:color="auto"/>
        <w:right w:val="none" w:sz="0" w:space="0" w:color="auto"/>
      </w:divBdr>
    </w:div>
    <w:div w:id="808396537">
      <w:bodyDiv w:val="1"/>
      <w:marLeft w:val="0"/>
      <w:marRight w:val="0"/>
      <w:marTop w:val="0"/>
      <w:marBottom w:val="0"/>
      <w:divBdr>
        <w:top w:val="none" w:sz="0" w:space="0" w:color="auto"/>
        <w:left w:val="none" w:sz="0" w:space="0" w:color="auto"/>
        <w:bottom w:val="none" w:sz="0" w:space="0" w:color="auto"/>
        <w:right w:val="none" w:sz="0" w:space="0" w:color="auto"/>
      </w:divBdr>
      <w:divsChild>
        <w:div w:id="12472317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8472486">
      <w:bodyDiv w:val="1"/>
      <w:marLeft w:val="0"/>
      <w:marRight w:val="0"/>
      <w:marTop w:val="0"/>
      <w:marBottom w:val="0"/>
      <w:divBdr>
        <w:top w:val="none" w:sz="0" w:space="0" w:color="auto"/>
        <w:left w:val="none" w:sz="0" w:space="0" w:color="auto"/>
        <w:bottom w:val="none" w:sz="0" w:space="0" w:color="auto"/>
        <w:right w:val="none" w:sz="0" w:space="0" w:color="auto"/>
      </w:divBdr>
    </w:div>
    <w:div w:id="818771007">
      <w:bodyDiv w:val="1"/>
      <w:marLeft w:val="0"/>
      <w:marRight w:val="0"/>
      <w:marTop w:val="0"/>
      <w:marBottom w:val="0"/>
      <w:divBdr>
        <w:top w:val="none" w:sz="0" w:space="0" w:color="auto"/>
        <w:left w:val="none" w:sz="0" w:space="0" w:color="auto"/>
        <w:bottom w:val="none" w:sz="0" w:space="0" w:color="auto"/>
        <w:right w:val="none" w:sz="0" w:space="0" w:color="auto"/>
      </w:divBdr>
    </w:div>
    <w:div w:id="848912085">
      <w:bodyDiv w:val="1"/>
      <w:marLeft w:val="0"/>
      <w:marRight w:val="0"/>
      <w:marTop w:val="0"/>
      <w:marBottom w:val="0"/>
      <w:divBdr>
        <w:top w:val="none" w:sz="0" w:space="0" w:color="auto"/>
        <w:left w:val="none" w:sz="0" w:space="0" w:color="auto"/>
        <w:bottom w:val="none" w:sz="0" w:space="0" w:color="auto"/>
        <w:right w:val="none" w:sz="0" w:space="0" w:color="auto"/>
      </w:divBdr>
    </w:div>
    <w:div w:id="867909406">
      <w:bodyDiv w:val="1"/>
      <w:marLeft w:val="0"/>
      <w:marRight w:val="0"/>
      <w:marTop w:val="0"/>
      <w:marBottom w:val="0"/>
      <w:divBdr>
        <w:top w:val="none" w:sz="0" w:space="0" w:color="auto"/>
        <w:left w:val="none" w:sz="0" w:space="0" w:color="auto"/>
        <w:bottom w:val="none" w:sz="0" w:space="0" w:color="auto"/>
        <w:right w:val="none" w:sz="0" w:space="0" w:color="auto"/>
      </w:divBdr>
    </w:div>
    <w:div w:id="878669198">
      <w:bodyDiv w:val="1"/>
      <w:marLeft w:val="0"/>
      <w:marRight w:val="0"/>
      <w:marTop w:val="0"/>
      <w:marBottom w:val="0"/>
      <w:divBdr>
        <w:top w:val="none" w:sz="0" w:space="0" w:color="auto"/>
        <w:left w:val="none" w:sz="0" w:space="0" w:color="auto"/>
        <w:bottom w:val="none" w:sz="0" w:space="0" w:color="auto"/>
        <w:right w:val="none" w:sz="0" w:space="0" w:color="auto"/>
      </w:divBdr>
    </w:div>
    <w:div w:id="888107008">
      <w:bodyDiv w:val="1"/>
      <w:marLeft w:val="0"/>
      <w:marRight w:val="0"/>
      <w:marTop w:val="0"/>
      <w:marBottom w:val="0"/>
      <w:divBdr>
        <w:top w:val="none" w:sz="0" w:space="0" w:color="auto"/>
        <w:left w:val="none" w:sz="0" w:space="0" w:color="auto"/>
        <w:bottom w:val="none" w:sz="0" w:space="0" w:color="auto"/>
        <w:right w:val="none" w:sz="0" w:space="0" w:color="auto"/>
      </w:divBdr>
    </w:div>
    <w:div w:id="898326376">
      <w:bodyDiv w:val="1"/>
      <w:marLeft w:val="0"/>
      <w:marRight w:val="0"/>
      <w:marTop w:val="0"/>
      <w:marBottom w:val="0"/>
      <w:divBdr>
        <w:top w:val="none" w:sz="0" w:space="0" w:color="auto"/>
        <w:left w:val="none" w:sz="0" w:space="0" w:color="auto"/>
        <w:bottom w:val="none" w:sz="0" w:space="0" w:color="auto"/>
        <w:right w:val="none" w:sz="0" w:space="0" w:color="auto"/>
      </w:divBdr>
    </w:div>
    <w:div w:id="917328139">
      <w:bodyDiv w:val="1"/>
      <w:marLeft w:val="0"/>
      <w:marRight w:val="0"/>
      <w:marTop w:val="0"/>
      <w:marBottom w:val="0"/>
      <w:divBdr>
        <w:top w:val="none" w:sz="0" w:space="0" w:color="auto"/>
        <w:left w:val="none" w:sz="0" w:space="0" w:color="auto"/>
        <w:bottom w:val="none" w:sz="0" w:space="0" w:color="auto"/>
        <w:right w:val="none" w:sz="0" w:space="0" w:color="auto"/>
      </w:divBdr>
    </w:div>
    <w:div w:id="919407785">
      <w:bodyDiv w:val="1"/>
      <w:marLeft w:val="0"/>
      <w:marRight w:val="0"/>
      <w:marTop w:val="0"/>
      <w:marBottom w:val="0"/>
      <w:divBdr>
        <w:top w:val="none" w:sz="0" w:space="0" w:color="auto"/>
        <w:left w:val="none" w:sz="0" w:space="0" w:color="auto"/>
        <w:bottom w:val="none" w:sz="0" w:space="0" w:color="auto"/>
        <w:right w:val="none" w:sz="0" w:space="0" w:color="auto"/>
      </w:divBdr>
    </w:div>
    <w:div w:id="923488918">
      <w:bodyDiv w:val="1"/>
      <w:marLeft w:val="0"/>
      <w:marRight w:val="0"/>
      <w:marTop w:val="0"/>
      <w:marBottom w:val="0"/>
      <w:divBdr>
        <w:top w:val="none" w:sz="0" w:space="0" w:color="auto"/>
        <w:left w:val="none" w:sz="0" w:space="0" w:color="auto"/>
        <w:bottom w:val="none" w:sz="0" w:space="0" w:color="auto"/>
        <w:right w:val="none" w:sz="0" w:space="0" w:color="auto"/>
      </w:divBdr>
    </w:div>
    <w:div w:id="941451447">
      <w:bodyDiv w:val="1"/>
      <w:marLeft w:val="0"/>
      <w:marRight w:val="0"/>
      <w:marTop w:val="0"/>
      <w:marBottom w:val="0"/>
      <w:divBdr>
        <w:top w:val="none" w:sz="0" w:space="0" w:color="auto"/>
        <w:left w:val="none" w:sz="0" w:space="0" w:color="auto"/>
        <w:bottom w:val="none" w:sz="0" w:space="0" w:color="auto"/>
        <w:right w:val="none" w:sz="0" w:space="0" w:color="auto"/>
      </w:divBdr>
    </w:div>
    <w:div w:id="974683404">
      <w:bodyDiv w:val="1"/>
      <w:marLeft w:val="0"/>
      <w:marRight w:val="0"/>
      <w:marTop w:val="0"/>
      <w:marBottom w:val="0"/>
      <w:divBdr>
        <w:top w:val="none" w:sz="0" w:space="0" w:color="auto"/>
        <w:left w:val="none" w:sz="0" w:space="0" w:color="auto"/>
        <w:bottom w:val="none" w:sz="0" w:space="0" w:color="auto"/>
        <w:right w:val="none" w:sz="0" w:space="0" w:color="auto"/>
      </w:divBdr>
    </w:div>
    <w:div w:id="982736665">
      <w:bodyDiv w:val="1"/>
      <w:marLeft w:val="0"/>
      <w:marRight w:val="0"/>
      <w:marTop w:val="0"/>
      <w:marBottom w:val="0"/>
      <w:divBdr>
        <w:top w:val="none" w:sz="0" w:space="0" w:color="auto"/>
        <w:left w:val="none" w:sz="0" w:space="0" w:color="auto"/>
        <w:bottom w:val="none" w:sz="0" w:space="0" w:color="auto"/>
        <w:right w:val="none" w:sz="0" w:space="0" w:color="auto"/>
      </w:divBdr>
    </w:div>
    <w:div w:id="985820613">
      <w:bodyDiv w:val="1"/>
      <w:marLeft w:val="0"/>
      <w:marRight w:val="0"/>
      <w:marTop w:val="0"/>
      <w:marBottom w:val="0"/>
      <w:divBdr>
        <w:top w:val="none" w:sz="0" w:space="0" w:color="auto"/>
        <w:left w:val="none" w:sz="0" w:space="0" w:color="auto"/>
        <w:bottom w:val="none" w:sz="0" w:space="0" w:color="auto"/>
        <w:right w:val="none" w:sz="0" w:space="0" w:color="auto"/>
      </w:divBdr>
    </w:div>
    <w:div w:id="993608020">
      <w:bodyDiv w:val="1"/>
      <w:marLeft w:val="0"/>
      <w:marRight w:val="0"/>
      <w:marTop w:val="0"/>
      <w:marBottom w:val="0"/>
      <w:divBdr>
        <w:top w:val="none" w:sz="0" w:space="0" w:color="auto"/>
        <w:left w:val="none" w:sz="0" w:space="0" w:color="auto"/>
        <w:bottom w:val="none" w:sz="0" w:space="0" w:color="auto"/>
        <w:right w:val="none" w:sz="0" w:space="0" w:color="auto"/>
      </w:divBdr>
    </w:div>
    <w:div w:id="1012759562">
      <w:bodyDiv w:val="1"/>
      <w:marLeft w:val="0"/>
      <w:marRight w:val="0"/>
      <w:marTop w:val="0"/>
      <w:marBottom w:val="0"/>
      <w:divBdr>
        <w:top w:val="none" w:sz="0" w:space="0" w:color="auto"/>
        <w:left w:val="none" w:sz="0" w:space="0" w:color="auto"/>
        <w:bottom w:val="none" w:sz="0" w:space="0" w:color="auto"/>
        <w:right w:val="none" w:sz="0" w:space="0" w:color="auto"/>
      </w:divBdr>
    </w:div>
    <w:div w:id="1061754127">
      <w:bodyDiv w:val="1"/>
      <w:marLeft w:val="0"/>
      <w:marRight w:val="0"/>
      <w:marTop w:val="0"/>
      <w:marBottom w:val="0"/>
      <w:divBdr>
        <w:top w:val="none" w:sz="0" w:space="0" w:color="auto"/>
        <w:left w:val="none" w:sz="0" w:space="0" w:color="auto"/>
        <w:bottom w:val="none" w:sz="0" w:space="0" w:color="auto"/>
        <w:right w:val="none" w:sz="0" w:space="0" w:color="auto"/>
      </w:divBdr>
    </w:div>
    <w:div w:id="1082406972">
      <w:bodyDiv w:val="1"/>
      <w:marLeft w:val="0"/>
      <w:marRight w:val="0"/>
      <w:marTop w:val="0"/>
      <w:marBottom w:val="0"/>
      <w:divBdr>
        <w:top w:val="none" w:sz="0" w:space="0" w:color="auto"/>
        <w:left w:val="none" w:sz="0" w:space="0" w:color="auto"/>
        <w:bottom w:val="none" w:sz="0" w:space="0" w:color="auto"/>
        <w:right w:val="none" w:sz="0" w:space="0" w:color="auto"/>
      </w:divBdr>
    </w:div>
    <w:div w:id="1082871555">
      <w:bodyDiv w:val="1"/>
      <w:marLeft w:val="0"/>
      <w:marRight w:val="0"/>
      <w:marTop w:val="0"/>
      <w:marBottom w:val="0"/>
      <w:divBdr>
        <w:top w:val="none" w:sz="0" w:space="0" w:color="auto"/>
        <w:left w:val="none" w:sz="0" w:space="0" w:color="auto"/>
        <w:bottom w:val="none" w:sz="0" w:space="0" w:color="auto"/>
        <w:right w:val="none" w:sz="0" w:space="0" w:color="auto"/>
      </w:divBdr>
    </w:div>
    <w:div w:id="1084228725">
      <w:bodyDiv w:val="1"/>
      <w:marLeft w:val="0"/>
      <w:marRight w:val="0"/>
      <w:marTop w:val="0"/>
      <w:marBottom w:val="0"/>
      <w:divBdr>
        <w:top w:val="none" w:sz="0" w:space="0" w:color="auto"/>
        <w:left w:val="none" w:sz="0" w:space="0" w:color="auto"/>
        <w:bottom w:val="none" w:sz="0" w:space="0" w:color="auto"/>
        <w:right w:val="none" w:sz="0" w:space="0" w:color="auto"/>
      </w:divBdr>
    </w:div>
    <w:div w:id="1091664848">
      <w:bodyDiv w:val="1"/>
      <w:marLeft w:val="0"/>
      <w:marRight w:val="0"/>
      <w:marTop w:val="0"/>
      <w:marBottom w:val="0"/>
      <w:divBdr>
        <w:top w:val="none" w:sz="0" w:space="0" w:color="auto"/>
        <w:left w:val="none" w:sz="0" w:space="0" w:color="auto"/>
        <w:bottom w:val="none" w:sz="0" w:space="0" w:color="auto"/>
        <w:right w:val="none" w:sz="0" w:space="0" w:color="auto"/>
      </w:divBdr>
    </w:div>
    <w:div w:id="1121145325">
      <w:bodyDiv w:val="1"/>
      <w:marLeft w:val="0"/>
      <w:marRight w:val="0"/>
      <w:marTop w:val="0"/>
      <w:marBottom w:val="0"/>
      <w:divBdr>
        <w:top w:val="none" w:sz="0" w:space="0" w:color="auto"/>
        <w:left w:val="none" w:sz="0" w:space="0" w:color="auto"/>
        <w:bottom w:val="none" w:sz="0" w:space="0" w:color="auto"/>
        <w:right w:val="none" w:sz="0" w:space="0" w:color="auto"/>
      </w:divBdr>
    </w:div>
    <w:div w:id="1123574414">
      <w:bodyDiv w:val="1"/>
      <w:marLeft w:val="0"/>
      <w:marRight w:val="0"/>
      <w:marTop w:val="0"/>
      <w:marBottom w:val="0"/>
      <w:divBdr>
        <w:top w:val="none" w:sz="0" w:space="0" w:color="auto"/>
        <w:left w:val="none" w:sz="0" w:space="0" w:color="auto"/>
        <w:bottom w:val="none" w:sz="0" w:space="0" w:color="auto"/>
        <w:right w:val="none" w:sz="0" w:space="0" w:color="auto"/>
      </w:divBdr>
    </w:div>
    <w:div w:id="1130052118">
      <w:bodyDiv w:val="1"/>
      <w:marLeft w:val="0"/>
      <w:marRight w:val="0"/>
      <w:marTop w:val="0"/>
      <w:marBottom w:val="0"/>
      <w:divBdr>
        <w:top w:val="none" w:sz="0" w:space="0" w:color="auto"/>
        <w:left w:val="none" w:sz="0" w:space="0" w:color="auto"/>
        <w:bottom w:val="none" w:sz="0" w:space="0" w:color="auto"/>
        <w:right w:val="none" w:sz="0" w:space="0" w:color="auto"/>
      </w:divBdr>
    </w:div>
    <w:div w:id="1132479507">
      <w:bodyDiv w:val="1"/>
      <w:marLeft w:val="0"/>
      <w:marRight w:val="0"/>
      <w:marTop w:val="0"/>
      <w:marBottom w:val="0"/>
      <w:divBdr>
        <w:top w:val="none" w:sz="0" w:space="0" w:color="auto"/>
        <w:left w:val="none" w:sz="0" w:space="0" w:color="auto"/>
        <w:bottom w:val="none" w:sz="0" w:space="0" w:color="auto"/>
        <w:right w:val="none" w:sz="0" w:space="0" w:color="auto"/>
      </w:divBdr>
    </w:div>
    <w:div w:id="1145901708">
      <w:bodyDiv w:val="1"/>
      <w:marLeft w:val="0"/>
      <w:marRight w:val="0"/>
      <w:marTop w:val="0"/>
      <w:marBottom w:val="0"/>
      <w:divBdr>
        <w:top w:val="none" w:sz="0" w:space="0" w:color="auto"/>
        <w:left w:val="none" w:sz="0" w:space="0" w:color="auto"/>
        <w:bottom w:val="none" w:sz="0" w:space="0" w:color="auto"/>
        <w:right w:val="none" w:sz="0" w:space="0" w:color="auto"/>
      </w:divBdr>
    </w:div>
    <w:div w:id="1149979744">
      <w:bodyDiv w:val="1"/>
      <w:marLeft w:val="0"/>
      <w:marRight w:val="0"/>
      <w:marTop w:val="0"/>
      <w:marBottom w:val="0"/>
      <w:divBdr>
        <w:top w:val="none" w:sz="0" w:space="0" w:color="auto"/>
        <w:left w:val="none" w:sz="0" w:space="0" w:color="auto"/>
        <w:bottom w:val="none" w:sz="0" w:space="0" w:color="auto"/>
        <w:right w:val="none" w:sz="0" w:space="0" w:color="auto"/>
      </w:divBdr>
    </w:div>
    <w:div w:id="1150438458">
      <w:bodyDiv w:val="1"/>
      <w:marLeft w:val="0"/>
      <w:marRight w:val="0"/>
      <w:marTop w:val="0"/>
      <w:marBottom w:val="0"/>
      <w:divBdr>
        <w:top w:val="none" w:sz="0" w:space="0" w:color="auto"/>
        <w:left w:val="none" w:sz="0" w:space="0" w:color="auto"/>
        <w:bottom w:val="none" w:sz="0" w:space="0" w:color="auto"/>
        <w:right w:val="none" w:sz="0" w:space="0" w:color="auto"/>
      </w:divBdr>
    </w:div>
    <w:div w:id="1151866655">
      <w:bodyDiv w:val="1"/>
      <w:marLeft w:val="0"/>
      <w:marRight w:val="0"/>
      <w:marTop w:val="0"/>
      <w:marBottom w:val="0"/>
      <w:divBdr>
        <w:top w:val="none" w:sz="0" w:space="0" w:color="auto"/>
        <w:left w:val="none" w:sz="0" w:space="0" w:color="auto"/>
        <w:bottom w:val="none" w:sz="0" w:space="0" w:color="auto"/>
        <w:right w:val="none" w:sz="0" w:space="0" w:color="auto"/>
      </w:divBdr>
    </w:div>
    <w:div w:id="1167479652">
      <w:bodyDiv w:val="1"/>
      <w:marLeft w:val="0"/>
      <w:marRight w:val="0"/>
      <w:marTop w:val="0"/>
      <w:marBottom w:val="0"/>
      <w:divBdr>
        <w:top w:val="none" w:sz="0" w:space="0" w:color="auto"/>
        <w:left w:val="none" w:sz="0" w:space="0" w:color="auto"/>
        <w:bottom w:val="none" w:sz="0" w:space="0" w:color="auto"/>
        <w:right w:val="none" w:sz="0" w:space="0" w:color="auto"/>
      </w:divBdr>
    </w:div>
    <w:div w:id="1192034308">
      <w:bodyDiv w:val="1"/>
      <w:marLeft w:val="0"/>
      <w:marRight w:val="0"/>
      <w:marTop w:val="0"/>
      <w:marBottom w:val="0"/>
      <w:divBdr>
        <w:top w:val="none" w:sz="0" w:space="0" w:color="auto"/>
        <w:left w:val="none" w:sz="0" w:space="0" w:color="auto"/>
        <w:bottom w:val="none" w:sz="0" w:space="0" w:color="auto"/>
        <w:right w:val="none" w:sz="0" w:space="0" w:color="auto"/>
      </w:divBdr>
    </w:div>
    <w:div w:id="1224023553">
      <w:bodyDiv w:val="1"/>
      <w:marLeft w:val="0"/>
      <w:marRight w:val="0"/>
      <w:marTop w:val="0"/>
      <w:marBottom w:val="0"/>
      <w:divBdr>
        <w:top w:val="none" w:sz="0" w:space="0" w:color="auto"/>
        <w:left w:val="none" w:sz="0" w:space="0" w:color="auto"/>
        <w:bottom w:val="none" w:sz="0" w:space="0" w:color="auto"/>
        <w:right w:val="none" w:sz="0" w:space="0" w:color="auto"/>
      </w:divBdr>
    </w:div>
    <w:div w:id="1228489738">
      <w:bodyDiv w:val="1"/>
      <w:marLeft w:val="0"/>
      <w:marRight w:val="0"/>
      <w:marTop w:val="0"/>
      <w:marBottom w:val="0"/>
      <w:divBdr>
        <w:top w:val="none" w:sz="0" w:space="0" w:color="auto"/>
        <w:left w:val="none" w:sz="0" w:space="0" w:color="auto"/>
        <w:bottom w:val="none" w:sz="0" w:space="0" w:color="auto"/>
        <w:right w:val="none" w:sz="0" w:space="0" w:color="auto"/>
      </w:divBdr>
    </w:div>
    <w:div w:id="1239825832">
      <w:bodyDiv w:val="1"/>
      <w:marLeft w:val="0"/>
      <w:marRight w:val="0"/>
      <w:marTop w:val="0"/>
      <w:marBottom w:val="0"/>
      <w:divBdr>
        <w:top w:val="none" w:sz="0" w:space="0" w:color="auto"/>
        <w:left w:val="none" w:sz="0" w:space="0" w:color="auto"/>
        <w:bottom w:val="none" w:sz="0" w:space="0" w:color="auto"/>
        <w:right w:val="none" w:sz="0" w:space="0" w:color="auto"/>
      </w:divBdr>
      <w:divsChild>
        <w:div w:id="1975258737">
          <w:marLeft w:val="0"/>
          <w:marRight w:val="0"/>
          <w:marTop w:val="0"/>
          <w:marBottom w:val="0"/>
          <w:divBdr>
            <w:top w:val="none" w:sz="0" w:space="0" w:color="auto"/>
            <w:left w:val="none" w:sz="0" w:space="0" w:color="auto"/>
            <w:bottom w:val="none" w:sz="0" w:space="0" w:color="auto"/>
            <w:right w:val="none" w:sz="0" w:space="0" w:color="auto"/>
          </w:divBdr>
          <w:divsChild>
            <w:div w:id="128804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828774">
      <w:bodyDiv w:val="1"/>
      <w:marLeft w:val="0"/>
      <w:marRight w:val="0"/>
      <w:marTop w:val="0"/>
      <w:marBottom w:val="0"/>
      <w:divBdr>
        <w:top w:val="none" w:sz="0" w:space="0" w:color="auto"/>
        <w:left w:val="none" w:sz="0" w:space="0" w:color="auto"/>
        <w:bottom w:val="none" w:sz="0" w:space="0" w:color="auto"/>
        <w:right w:val="none" w:sz="0" w:space="0" w:color="auto"/>
      </w:divBdr>
    </w:div>
    <w:div w:id="1284727683">
      <w:bodyDiv w:val="1"/>
      <w:marLeft w:val="0"/>
      <w:marRight w:val="0"/>
      <w:marTop w:val="0"/>
      <w:marBottom w:val="0"/>
      <w:divBdr>
        <w:top w:val="none" w:sz="0" w:space="0" w:color="auto"/>
        <w:left w:val="none" w:sz="0" w:space="0" w:color="auto"/>
        <w:bottom w:val="none" w:sz="0" w:space="0" w:color="auto"/>
        <w:right w:val="none" w:sz="0" w:space="0" w:color="auto"/>
      </w:divBdr>
    </w:div>
    <w:div w:id="1289774629">
      <w:bodyDiv w:val="1"/>
      <w:marLeft w:val="0"/>
      <w:marRight w:val="0"/>
      <w:marTop w:val="0"/>
      <w:marBottom w:val="0"/>
      <w:divBdr>
        <w:top w:val="none" w:sz="0" w:space="0" w:color="auto"/>
        <w:left w:val="none" w:sz="0" w:space="0" w:color="auto"/>
        <w:bottom w:val="none" w:sz="0" w:space="0" w:color="auto"/>
        <w:right w:val="none" w:sz="0" w:space="0" w:color="auto"/>
      </w:divBdr>
    </w:div>
    <w:div w:id="1298804522">
      <w:bodyDiv w:val="1"/>
      <w:marLeft w:val="0"/>
      <w:marRight w:val="0"/>
      <w:marTop w:val="0"/>
      <w:marBottom w:val="0"/>
      <w:divBdr>
        <w:top w:val="none" w:sz="0" w:space="0" w:color="auto"/>
        <w:left w:val="none" w:sz="0" w:space="0" w:color="auto"/>
        <w:bottom w:val="none" w:sz="0" w:space="0" w:color="auto"/>
        <w:right w:val="none" w:sz="0" w:space="0" w:color="auto"/>
      </w:divBdr>
    </w:div>
    <w:div w:id="1320696777">
      <w:bodyDiv w:val="1"/>
      <w:marLeft w:val="0"/>
      <w:marRight w:val="0"/>
      <w:marTop w:val="0"/>
      <w:marBottom w:val="0"/>
      <w:divBdr>
        <w:top w:val="none" w:sz="0" w:space="0" w:color="auto"/>
        <w:left w:val="none" w:sz="0" w:space="0" w:color="auto"/>
        <w:bottom w:val="none" w:sz="0" w:space="0" w:color="auto"/>
        <w:right w:val="none" w:sz="0" w:space="0" w:color="auto"/>
      </w:divBdr>
    </w:div>
    <w:div w:id="1321040229">
      <w:bodyDiv w:val="1"/>
      <w:marLeft w:val="0"/>
      <w:marRight w:val="0"/>
      <w:marTop w:val="0"/>
      <w:marBottom w:val="0"/>
      <w:divBdr>
        <w:top w:val="none" w:sz="0" w:space="0" w:color="auto"/>
        <w:left w:val="none" w:sz="0" w:space="0" w:color="auto"/>
        <w:bottom w:val="none" w:sz="0" w:space="0" w:color="auto"/>
        <w:right w:val="none" w:sz="0" w:space="0" w:color="auto"/>
      </w:divBdr>
    </w:div>
    <w:div w:id="1405445036">
      <w:bodyDiv w:val="1"/>
      <w:marLeft w:val="0"/>
      <w:marRight w:val="0"/>
      <w:marTop w:val="0"/>
      <w:marBottom w:val="0"/>
      <w:divBdr>
        <w:top w:val="none" w:sz="0" w:space="0" w:color="auto"/>
        <w:left w:val="none" w:sz="0" w:space="0" w:color="auto"/>
        <w:bottom w:val="none" w:sz="0" w:space="0" w:color="auto"/>
        <w:right w:val="none" w:sz="0" w:space="0" w:color="auto"/>
      </w:divBdr>
    </w:div>
    <w:div w:id="1410544436">
      <w:bodyDiv w:val="1"/>
      <w:marLeft w:val="0"/>
      <w:marRight w:val="0"/>
      <w:marTop w:val="0"/>
      <w:marBottom w:val="0"/>
      <w:divBdr>
        <w:top w:val="none" w:sz="0" w:space="0" w:color="auto"/>
        <w:left w:val="none" w:sz="0" w:space="0" w:color="auto"/>
        <w:bottom w:val="none" w:sz="0" w:space="0" w:color="auto"/>
        <w:right w:val="none" w:sz="0" w:space="0" w:color="auto"/>
      </w:divBdr>
    </w:div>
    <w:div w:id="1441410855">
      <w:bodyDiv w:val="1"/>
      <w:marLeft w:val="0"/>
      <w:marRight w:val="0"/>
      <w:marTop w:val="0"/>
      <w:marBottom w:val="0"/>
      <w:divBdr>
        <w:top w:val="none" w:sz="0" w:space="0" w:color="auto"/>
        <w:left w:val="none" w:sz="0" w:space="0" w:color="auto"/>
        <w:bottom w:val="none" w:sz="0" w:space="0" w:color="auto"/>
        <w:right w:val="none" w:sz="0" w:space="0" w:color="auto"/>
      </w:divBdr>
    </w:div>
    <w:div w:id="1468280682">
      <w:bodyDiv w:val="1"/>
      <w:marLeft w:val="0"/>
      <w:marRight w:val="0"/>
      <w:marTop w:val="0"/>
      <w:marBottom w:val="0"/>
      <w:divBdr>
        <w:top w:val="none" w:sz="0" w:space="0" w:color="auto"/>
        <w:left w:val="none" w:sz="0" w:space="0" w:color="auto"/>
        <w:bottom w:val="none" w:sz="0" w:space="0" w:color="auto"/>
        <w:right w:val="none" w:sz="0" w:space="0" w:color="auto"/>
      </w:divBdr>
    </w:div>
    <w:div w:id="1508793095">
      <w:bodyDiv w:val="1"/>
      <w:marLeft w:val="0"/>
      <w:marRight w:val="0"/>
      <w:marTop w:val="0"/>
      <w:marBottom w:val="0"/>
      <w:divBdr>
        <w:top w:val="none" w:sz="0" w:space="0" w:color="auto"/>
        <w:left w:val="none" w:sz="0" w:space="0" w:color="auto"/>
        <w:bottom w:val="none" w:sz="0" w:space="0" w:color="auto"/>
        <w:right w:val="none" w:sz="0" w:space="0" w:color="auto"/>
      </w:divBdr>
    </w:div>
    <w:div w:id="1533106284">
      <w:bodyDiv w:val="1"/>
      <w:marLeft w:val="0"/>
      <w:marRight w:val="0"/>
      <w:marTop w:val="0"/>
      <w:marBottom w:val="0"/>
      <w:divBdr>
        <w:top w:val="none" w:sz="0" w:space="0" w:color="auto"/>
        <w:left w:val="none" w:sz="0" w:space="0" w:color="auto"/>
        <w:bottom w:val="none" w:sz="0" w:space="0" w:color="auto"/>
        <w:right w:val="none" w:sz="0" w:space="0" w:color="auto"/>
      </w:divBdr>
    </w:div>
    <w:div w:id="1535390051">
      <w:bodyDiv w:val="1"/>
      <w:marLeft w:val="0"/>
      <w:marRight w:val="0"/>
      <w:marTop w:val="0"/>
      <w:marBottom w:val="0"/>
      <w:divBdr>
        <w:top w:val="none" w:sz="0" w:space="0" w:color="auto"/>
        <w:left w:val="none" w:sz="0" w:space="0" w:color="auto"/>
        <w:bottom w:val="none" w:sz="0" w:space="0" w:color="auto"/>
        <w:right w:val="none" w:sz="0" w:space="0" w:color="auto"/>
      </w:divBdr>
    </w:div>
    <w:div w:id="1541478325">
      <w:bodyDiv w:val="1"/>
      <w:marLeft w:val="0"/>
      <w:marRight w:val="0"/>
      <w:marTop w:val="0"/>
      <w:marBottom w:val="0"/>
      <w:divBdr>
        <w:top w:val="none" w:sz="0" w:space="0" w:color="auto"/>
        <w:left w:val="none" w:sz="0" w:space="0" w:color="auto"/>
        <w:bottom w:val="none" w:sz="0" w:space="0" w:color="auto"/>
        <w:right w:val="none" w:sz="0" w:space="0" w:color="auto"/>
      </w:divBdr>
    </w:div>
    <w:div w:id="1567447363">
      <w:bodyDiv w:val="1"/>
      <w:marLeft w:val="0"/>
      <w:marRight w:val="0"/>
      <w:marTop w:val="0"/>
      <w:marBottom w:val="0"/>
      <w:divBdr>
        <w:top w:val="none" w:sz="0" w:space="0" w:color="auto"/>
        <w:left w:val="none" w:sz="0" w:space="0" w:color="auto"/>
        <w:bottom w:val="none" w:sz="0" w:space="0" w:color="auto"/>
        <w:right w:val="none" w:sz="0" w:space="0" w:color="auto"/>
      </w:divBdr>
    </w:div>
    <w:div w:id="1596473449">
      <w:bodyDiv w:val="1"/>
      <w:marLeft w:val="0"/>
      <w:marRight w:val="0"/>
      <w:marTop w:val="0"/>
      <w:marBottom w:val="0"/>
      <w:divBdr>
        <w:top w:val="none" w:sz="0" w:space="0" w:color="auto"/>
        <w:left w:val="none" w:sz="0" w:space="0" w:color="auto"/>
        <w:bottom w:val="none" w:sz="0" w:space="0" w:color="auto"/>
        <w:right w:val="none" w:sz="0" w:space="0" w:color="auto"/>
      </w:divBdr>
    </w:div>
    <w:div w:id="1658144521">
      <w:bodyDiv w:val="1"/>
      <w:marLeft w:val="0"/>
      <w:marRight w:val="0"/>
      <w:marTop w:val="0"/>
      <w:marBottom w:val="0"/>
      <w:divBdr>
        <w:top w:val="none" w:sz="0" w:space="0" w:color="auto"/>
        <w:left w:val="none" w:sz="0" w:space="0" w:color="auto"/>
        <w:bottom w:val="none" w:sz="0" w:space="0" w:color="auto"/>
        <w:right w:val="none" w:sz="0" w:space="0" w:color="auto"/>
      </w:divBdr>
    </w:div>
    <w:div w:id="1674066640">
      <w:bodyDiv w:val="1"/>
      <w:marLeft w:val="0"/>
      <w:marRight w:val="0"/>
      <w:marTop w:val="0"/>
      <w:marBottom w:val="0"/>
      <w:divBdr>
        <w:top w:val="none" w:sz="0" w:space="0" w:color="auto"/>
        <w:left w:val="none" w:sz="0" w:space="0" w:color="auto"/>
        <w:bottom w:val="none" w:sz="0" w:space="0" w:color="auto"/>
        <w:right w:val="none" w:sz="0" w:space="0" w:color="auto"/>
      </w:divBdr>
    </w:div>
    <w:div w:id="1675066863">
      <w:bodyDiv w:val="1"/>
      <w:marLeft w:val="0"/>
      <w:marRight w:val="0"/>
      <w:marTop w:val="0"/>
      <w:marBottom w:val="0"/>
      <w:divBdr>
        <w:top w:val="none" w:sz="0" w:space="0" w:color="auto"/>
        <w:left w:val="none" w:sz="0" w:space="0" w:color="auto"/>
        <w:bottom w:val="none" w:sz="0" w:space="0" w:color="auto"/>
        <w:right w:val="none" w:sz="0" w:space="0" w:color="auto"/>
      </w:divBdr>
    </w:div>
    <w:div w:id="1683776649">
      <w:bodyDiv w:val="1"/>
      <w:marLeft w:val="0"/>
      <w:marRight w:val="0"/>
      <w:marTop w:val="0"/>
      <w:marBottom w:val="0"/>
      <w:divBdr>
        <w:top w:val="none" w:sz="0" w:space="0" w:color="auto"/>
        <w:left w:val="none" w:sz="0" w:space="0" w:color="auto"/>
        <w:bottom w:val="none" w:sz="0" w:space="0" w:color="auto"/>
        <w:right w:val="none" w:sz="0" w:space="0" w:color="auto"/>
      </w:divBdr>
    </w:div>
    <w:div w:id="1743212361">
      <w:bodyDiv w:val="1"/>
      <w:marLeft w:val="0"/>
      <w:marRight w:val="0"/>
      <w:marTop w:val="0"/>
      <w:marBottom w:val="0"/>
      <w:divBdr>
        <w:top w:val="none" w:sz="0" w:space="0" w:color="auto"/>
        <w:left w:val="none" w:sz="0" w:space="0" w:color="auto"/>
        <w:bottom w:val="none" w:sz="0" w:space="0" w:color="auto"/>
        <w:right w:val="none" w:sz="0" w:space="0" w:color="auto"/>
      </w:divBdr>
      <w:divsChild>
        <w:div w:id="15671789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58668970">
      <w:bodyDiv w:val="1"/>
      <w:marLeft w:val="0"/>
      <w:marRight w:val="0"/>
      <w:marTop w:val="0"/>
      <w:marBottom w:val="0"/>
      <w:divBdr>
        <w:top w:val="none" w:sz="0" w:space="0" w:color="auto"/>
        <w:left w:val="none" w:sz="0" w:space="0" w:color="auto"/>
        <w:bottom w:val="none" w:sz="0" w:space="0" w:color="auto"/>
        <w:right w:val="none" w:sz="0" w:space="0" w:color="auto"/>
      </w:divBdr>
    </w:div>
    <w:div w:id="1775513301">
      <w:bodyDiv w:val="1"/>
      <w:marLeft w:val="0"/>
      <w:marRight w:val="0"/>
      <w:marTop w:val="0"/>
      <w:marBottom w:val="0"/>
      <w:divBdr>
        <w:top w:val="none" w:sz="0" w:space="0" w:color="auto"/>
        <w:left w:val="none" w:sz="0" w:space="0" w:color="auto"/>
        <w:bottom w:val="none" w:sz="0" w:space="0" w:color="auto"/>
        <w:right w:val="none" w:sz="0" w:space="0" w:color="auto"/>
      </w:divBdr>
    </w:div>
    <w:div w:id="1778405951">
      <w:bodyDiv w:val="1"/>
      <w:marLeft w:val="0"/>
      <w:marRight w:val="0"/>
      <w:marTop w:val="0"/>
      <w:marBottom w:val="0"/>
      <w:divBdr>
        <w:top w:val="none" w:sz="0" w:space="0" w:color="auto"/>
        <w:left w:val="none" w:sz="0" w:space="0" w:color="auto"/>
        <w:bottom w:val="none" w:sz="0" w:space="0" w:color="auto"/>
        <w:right w:val="none" w:sz="0" w:space="0" w:color="auto"/>
      </w:divBdr>
    </w:div>
    <w:div w:id="1787507255">
      <w:bodyDiv w:val="1"/>
      <w:marLeft w:val="0"/>
      <w:marRight w:val="0"/>
      <w:marTop w:val="0"/>
      <w:marBottom w:val="0"/>
      <w:divBdr>
        <w:top w:val="none" w:sz="0" w:space="0" w:color="auto"/>
        <w:left w:val="none" w:sz="0" w:space="0" w:color="auto"/>
        <w:bottom w:val="none" w:sz="0" w:space="0" w:color="auto"/>
        <w:right w:val="none" w:sz="0" w:space="0" w:color="auto"/>
      </w:divBdr>
    </w:div>
    <w:div w:id="1794012107">
      <w:bodyDiv w:val="1"/>
      <w:marLeft w:val="0"/>
      <w:marRight w:val="0"/>
      <w:marTop w:val="0"/>
      <w:marBottom w:val="0"/>
      <w:divBdr>
        <w:top w:val="none" w:sz="0" w:space="0" w:color="auto"/>
        <w:left w:val="none" w:sz="0" w:space="0" w:color="auto"/>
        <w:bottom w:val="none" w:sz="0" w:space="0" w:color="auto"/>
        <w:right w:val="none" w:sz="0" w:space="0" w:color="auto"/>
      </w:divBdr>
    </w:div>
    <w:div w:id="1794399354">
      <w:bodyDiv w:val="1"/>
      <w:marLeft w:val="0"/>
      <w:marRight w:val="0"/>
      <w:marTop w:val="0"/>
      <w:marBottom w:val="0"/>
      <w:divBdr>
        <w:top w:val="none" w:sz="0" w:space="0" w:color="auto"/>
        <w:left w:val="none" w:sz="0" w:space="0" w:color="auto"/>
        <w:bottom w:val="none" w:sz="0" w:space="0" w:color="auto"/>
        <w:right w:val="none" w:sz="0" w:space="0" w:color="auto"/>
      </w:divBdr>
    </w:div>
    <w:div w:id="1802726875">
      <w:bodyDiv w:val="1"/>
      <w:marLeft w:val="0"/>
      <w:marRight w:val="0"/>
      <w:marTop w:val="0"/>
      <w:marBottom w:val="0"/>
      <w:divBdr>
        <w:top w:val="none" w:sz="0" w:space="0" w:color="auto"/>
        <w:left w:val="none" w:sz="0" w:space="0" w:color="auto"/>
        <w:bottom w:val="none" w:sz="0" w:space="0" w:color="auto"/>
        <w:right w:val="none" w:sz="0" w:space="0" w:color="auto"/>
      </w:divBdr>
    </w:div>
    <w:div w:id="1816799450">
      <w:bodyDiv w:val="1"/>
      <w:marLeft w:val="0"/>
      <w:marRight w:val="0"/>
      <w:marTop w:val="0"/>
      <w:marBottom w:val="0"/>
      <w:divBdr>
        <w:top w:val="none" w:sz="0" w:space="0" w:color="auto"/>
        <w:left w:val="none" w:sz="0" w:space="0" w:color="auto"/>
        <w:bottom w:val="none" w:sz="0" w:space="0" w:color="auto"/>
        <w:right w:val="none" w:sz="0" w:space="0" w:color="auto"/>
      </w:divBdr>
    </w:div>
    <w:div w:id="1824932613">
      <w:bodyDiv w:val="1"/>
      <w:marLeft w:val="0"/>
      <w:marRight w:val="0"/>
      <w:marTop w:val="0"/>
      <w:marBottom w:val="0"/>
      <w:divBdr>
        <w:top w:val="none" w:sz="0" w:space="0" w:color="auto"/>
        <w:left w:val="none" w:sz="0" w:space="0" w:color="auto"/>
        <w:bottom w:val="none" w:sz="0" w:space="0" w:color="auto"/>
        <w:right w:val="none" w:sz="0" w:space="0" w:color="auto"/>
      </w:divBdr>
    </w:div>
    <w:div w:id="1828864249">
      <w:bodyDiv w:val="1"/>
      <w:marLeft w:val="0"/>
      <w:marRight w:val="0"/>
      <w:marTop w:val="0"/>
      <w:marBottom w:val="0"/>
      <w:divBdr>
        <w:top w:val="none" w:sz="0" w:space="0" w:color="auto"/>
        <w:left w:val="none" w:sz="0" w:space="0" w:color="auto"/>
        <w:bottom w:val="none" w:sz="0" w:space="0" w:color="auto"/>
        <w:right w:val="none" w:sz="0" w:space="0" w:color="auto"/>
      </w:divBdr>
    </w:div>
    <w:div w:id="1838114111">
      <w:bodyDiv w:val="1"/>
      <w:marLeft w:val="0"/>
      <w:marRight w:val="0"/>
      <w:marTop w:val="0"/>
      <w:marBottom w:val="0"/>
      <w:divBdr>
        <w:top w:val="none" w:sz="0" w:space="0" w:color="auto"/>
        <w:left w:val="none" w:sz="0" w:space="0" w:color="auto"/>
        <w:bottom w:val="none" w:sz="0" w:space="0" w:color="auto"/>
        <w:right w:val="none" w:sz="0" w:space="0" w:color="auto"/>
      </w:divBdr>
    </w:div>
    <w:div w:id="1847397676">
      <w:bodyDiv w:val="1"/>
      <w:marLeft w:val="0"/>
      <w:marRight w:val="0"/>
      <w:marTop w:val="0"/>
      <w:marBottom w:val="0"/>
      <w:divBdr>
        <w:top w:val="none" w:sz="0" w:space="0" w:color="auto"/>
        <w:left w:val="none" w:sz="0" w:space="0" w:color="auto"/>
        <w:bottom w:val="none" w:sz="0" w:space="0" w:color="auto"/>
        <w:right w:val="none" w:sz="0" w:space="0" w:color="auto"/>
      </w:divBdr>
    </w:div>
    <w:div w:id="1865747940">
      <w:bodyDiv w:val="1"/>
      <w:marLeft w:val="0"/>
      <w:marRight w:val="0"/>
      <w:marTop w:val="0"/>
      <w:marBottom w:val="0"/>
      <w:divBdr>
        <w:top w:val="none" w:sz="0" w:space="0" w:color="auto"/>
        <w:left w:val="none" w:sz="0" w:space="0" w:color="auto"/>
        <w:bottom w:val="none" w:sz="0" w:space="0" w:color="auto"/>
        <w:right w:val="none" w:sz="0" w:space="0" w:color="auto"/>
      </w:divBdr>
    </w:div>
    <w:div w:id="1888056505">
      <w:bodyDiv w:val="1"/>
      <w:marLeft w:val="0"/>
      <w:marRight w:val="0"/>
      <w:marTop w:val="0"/>
      <w:marBottom w:val="0"/>
      <w:divBdr>
        <w:top w:val="none" w:sz="0" w:space="0" w:color="auto"/>
        <w:left w:val="none" w:sz="0" w:space="0" w:color="auto"/>
        <w:bottom w:val="none" w:sz="0" w:space="0" w:color="auto"/>
        <w:right w:val="none" w:sz="0" w:space="0" w:color="auto"/>
      </w:divBdr>
    </w:div>
    <w:div w:id="1904369737">
      <w:bodyDiv w:val="1"/>
      <w:marLeft w:val="0"/>
      <w:marRight w:val="0"/>
      <w:marTop w:val="0"/>
      <w:marBottom w:val="0"/>
      <w:divBdr>
        <w:top w:val="none" w:sz="0" w:space="0" w:color="auto"/>
        <w:left w:val="none" w:sz="0" w:space="0" w:color="auto"/>
        <w:bottom w:val="none" w:sz="0" w:space="0" w:color="auto"/>
        <w:right w:val="none" w:sz="0" w:space="0" w:color="auto"/>
      </w:divBdr>
    </w:div>
    <w:div w:id="1916015717">
      <w:bodyDiv w:val="1"/>
      <w:marLeft w:val="0"/>
      <w:marRight w:val="0"/>
      <w:marTop w:val="0"/>
      <w:marBottom w:val="0"/>
      <w:divBdr>
        <w:top w:val="none" w:sz="0" w:space="0" w:color="auto"/>
        <w:left w:val="none" w:sz="0" w:space="0" w:color="auto"/>
        <w:bottom w:val="none" w:sz="0" w:space="0" w:color="auto"/>
        <w:right w:val="none" w:sz="0" w:space="0" w:color="auto"/>
      </w:divBdr>
    </w:div>
    <w:div w:id="1926065958">
      <w:bodyDiv w:val="1"/>
      <w:marLeft w:val="0"/>
      <w:marRight w:val="0"/>
      <w:marTop w:val="0"/>
      <w:marBottom w:val="0"/>
      <w:divBdr>
        <w:top w:val="none" w:sz="0" w:space="0" w:color="auto"/>
        <w:left w:val="none" w:sz="0" w:space="0" w:color="auto"/>
        <w:bottom w:val="none" w:sz="0" w:space="0" w:color="auto"/>
        <w:right w:val="none" w:sz="0" w:space="0" w:color="auto"/>
      </w:divBdr>
    </w:div>
    <w:div w:id="1945573855">
      <w:bodyDiv w:val="1"/>
      <w:marLeft w:val="0"/>
      <w:marRight w:val="0"/>
      <w:marTop w:val="0"/>
      <w:marBottom w:val="0"/>
      <w:divBdr>
        <w:top w:val="none" w:sz="0" w:space="0" w:color="auto"/>
        <w:left w:val="none" w:sz="0" w:space="0" w:color="auto"/>
        <w:bottom w:val="none" w:sz="0" w:space="0" w:color="auto"/>
        <w:right w:val="none" w:sz="0" w:space="0" w:color="auto"/>
      </w:divBdr>
      <w:divsChild>
        <w:div w:id="20377318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5525984">
      <w:bodyDiv w:val="1"/>
      <w:marLeft w:val="0"/>
      <w:marRight w:val="0"/>
      <w:marTop w:val="0"/>
      <w:marBottom w:val="0"/>
      <w:divBdr>
        <w:top w:val="none" w:sz="0" w:space="0" w:color="auto"/>
        <w:left w:val="none" w:sz="0" w:space="0" w:color="auto"/>
        <w:bottom w:val="none" w:sz="0" w:space="0" w:color="auto"/>
        <w:right w:val="none" w:sz="0" w:space="0" w:color="auto"/>
      </w:divBdr>
    </w:div>
    <w:div w:id="1976132410">
      <w:bodyDiv w:val="1"/>
      <w:marLeft w:val="0"/>
      <w:marRight w:val="0"/>
      <w:marTop w:val="0"/>
      <w:marBottom w:val="0"/>
      <w:divBdr>
        <w:top w:val="none" w:sz="0" w:space="0" w:color="auto"/>
        <w:left w:val="none" w:sz="0" w:space="0" w:color="auto"/>
        <w:bottom w:val="none" w:sz="0" w:space="0" w:color="auto"/>
        <w:right w:val="none" w:sz="0" w:space="0" w:color="auto"/>
      </w:divBdr>
    </w:div>
    <w:div w:id="1994093292">
      <w:bodyDiv w:val="1"/>
      <w:marLeft w:val="0"/>
      <w:marRight w:val="0"/>
      <w:marTop w:val="0"/>
      <w:marBottom w:val="0"/>
      <w:divBdr>
        <w:top w:val="none" w:sz="0" w:space="0" w:color="auto"/>
        <w:left w:val="none" w:sz="0" w:space="0" w:color="auto"/>
        <w:bottom w:val="none" w:sz="0" w:space="0" w:color="auto"/>
        <w:right w:val="none" w:sz="0" w:space="0" w:color="auto"/>
      </w:divBdr>
    </w:div>
    <w:div w:id="1997219752">
      <w:bodyDiv w:val="1"/>
      <w:marLeft w:val="0"/>
      <w:marRight w:val="0"/>
      <w:marTop w:val="0"/>
      <w:marBottom w:val="0"/>
      <w:divBdr>
        <w:top w:val="none" w:sz="0" w:space="0" w:color="auto"/>
        <w:left w:val="none" w:sz="0" w:space="0" w:color="auto"/>
        <w:bottom w:val="none" w:sz="0" w:space="0" w:color="auto"/>
        <w:right w:val="none" w:sz="0" w:space="0" w:color="auto"/>
      </w:divBdr>
    </w:div>
    <w:div w:id="2016178369">
      <w:bodyDiv w:val="1"/>
      <w:marLeft w:val="0"/>
      <w:marRight w:val="0"/>
      <w:marTop w:val="0"/>
      <w:marBottom w:val="0"/>
      <w:divBdr>
        <w:top w:val="none" w:sz="0" w:space="0" w:color="auto"/>
        <w:left w:val="none" w:sz="0" w:space="0" w:color="auto"/>
        <w:bottom w:val="none" w:sz="0" w:space="0" w:color="auto"/>
        <w:right w:val="none" w:sz="0" w:space="0" w:color="auto"/>
      </w:divBdr>
    </w:div>
    <w:div w:id="2020345910">
      <w:bodyDiv w:val="1"/>
      <w:marLeft w:val="0"/>
      <w:marRight w:val="0"/>
      <w:marTop w:val="0"/>
      <w:marBottom w:val="0"/>
      <w:divBdr>
        <w:top w:val="none" w:sz="0" w:space="0" w:color="auto"/>
        <w:left w:val="none" w:sz="0" w:space="0" w:color="auto"/>
        <w:bottom w:val="none" w:sz="0" w:space="0" w:color="auto"/>
        <w:right w:val="none" w:sz="0" w:space="0" w:color="auto"/>
      </w:divBdr>
    </w:div>
    <w:div w:id="2027822761">
      <w:bodyDiv w:val="1"/>
      <w:marLeft w:val="0"/>
      <w:marRight w:val="0"/>
      <w:marTop w:val="0"/>
      <w:marBottom w:val="0"/>
      <w:divBdr>
        <w:top w:val="none" w:sz="0" w:space="0" w:color="auto"/>
        <w:left w:val="none" w:sz="0" w:space="0" w:color="auto"/>
        <w:bottom w:val="none" w:sz="0" w:space="0" w:color="auto"/>
        <w:right w:val="none" w:sz="0" w:space="0" w:color="auto"/>
      </w:divBdr>
      <w:divsChild>
        <w:div w:id="1207370455">
          <w:marLeft w:val="0"/>
          <w:marRight w:val="0"/>
          <w:marTop w:val="0"/>
          <w:marBottom w:val="0"/>
          <w:divBdr>
            <w:top w:val="none" w:sz="0" w:space="0" w:color="auto"/>
            <w:left w:val="none" w:sz="0" w:space="0" w:color="auto"/>
            <w:bottom w:val="none" w:sz="0" w:space="0" w:color="auto"/>
            <w:right w:val="none" w:sz="0" w:space="0" w:color="auto"/>
          </w:divBdr>
          <w:divsChild>
            <w:div w:id="268389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426403">
      <w:bodyDiv w:val="1"/>
      <w:marLeft w:val="0"/>
      <w:marRight w:val="0"/>
      <w:marTop w:val="0"/>
      <w:marBottom w:val="0"/>
      <w:divBdr>
        <w:top w:val="none" w:sz="0" w:space="0" w:color="auto"/>
        <w:left w:val="none" w:sz="0" w:space="0" w:color="auto"/>
        <w:bottom w:val="none" w:sz="0" w:space="0" w:color="auto"/>
        <w:right w:val="none" w:sz="0" w:space="0" w:color="auto"/>
      </w:divBdr>
    </w:div>
    <w:div w:id="2069914935">
      <w:bodyDiv w:val="1"/>
      <w:marLeft w:val="0"/>
      <w:marRight w:val="0"/>
      <w:marTop w:val="0"/>
      <w:marBottom w:val="0"/>
      <w:divBdr>
        <w:top w:val="none" w:sz="0" w:space="0" w:color="auto"/>
        <w:left w:val="none" w:sz="0" w:space="0" w:color="auto"/>
        <w:bottom w:val="none" w:sz="0" w:space="0" w:color="auto"/>
        <w:right w:val="none" w:sz="0" w:space="0" w:color="auto"/>
      </w:divBdr>
    </w:div>
    <w:div w:id="2072805291">
      <w:bodyDiv w:val="1"/>
      <w:marLeft w:val="0"/>
      <w:marRight w:val="0"/>
      <w:marTop w:val="0"/>
      <w:marBottom w:val="0"/>
      <w:divBdr>
        <w:top w:val="none" w:sz="0" w:space="0" w:color="auto"/>
        <w:left w:val="none" w:sz="0" w:space="0" w:color="auto"/>
        <w:bottom w:val="none" w:sz="0" w:space="0" w:color="auto"/>
        <w:right w:val="none" w:sz="0" w:space="0" w:color="auto"/>
      </w:divBdr>
    </w:div>
    <w:div w:id="2097944005">
      <w:bodyDiv w:val="1"/>
      <w:marLeft w:val="0"/>
      <w:marRight w:val="0"/>
      <w:marTop w:val="0"/>
      <w:marBottom w:val="0"/>
      <w:divBdr>
        <w:top w:val="none" w:sz="0" w:space="0" w:color="auto"/>
        <w:left w:val="none" w:sz="0" w:space="0" w:color="auto"/>
        <w:bottom w:val="none" w:sz="0" w:space="0" w:color="auto"/>
        <w:right w:val="none" w:sz="0" w:space="0" w:color="auto"/>
      </w:divBdr>
    </w:div>
    <w:div w:id="2104260759">
      <w:bodyDiv w:val="1"/>
      <w:marLeft w:val="0"/>
      <w:marRight w:val="0"/>
      <w:marTop w:val="0"/>
      <w:marBottom w:val="0"/>
      <w:divBdr>
        <w:top w:val="none" w:sz="0" w:space="0" w:color="auto"/>
        <w:left w:val="none" w:sz="0" w:space="0" w:color="auto"/>
        <w:bottom w:val="none" w:sz="0" w:space="0" w:color="auto"/>
        <w:right w:val="none" w:sz="0" w:space="0" w:color="auto"/>
      </w:divBdr>
    </w:div>
    <w:div w:id="2108186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diagramColors" Target="diagrams/colors1.xml"/><Relationship Id="rId26" Type="http://schemas.openxmlformats.org/officeDocument/2006/relationships/hyperlink" Target="https://www.oecd.org/en/publications/esg-investing-practices-progress-and-challenges_b4f71091-en.html" TargetMode="External"/><Relationship Id="rId39" Type="http://schemas.openxmlformats.org/officeDocument/2006/relationships/hyperlink" Target="https://www.gsi-alliance.org/trends-report-2020/" TargetMode="External"/><Relationship Id="rId21" Type="http://schemas.openxmlformats.org/officeDocument/2006/relationships/hyperlink" Target="https://doi.org/10.1016/j.ribaf.2019.101098" TargetMode="External"/><Relationship Id="rId34" Type="http://schemas.openxmlformats.org/officeDocument/2006/relationships/hyperlink" Target="https://doi.org/10.1002/csr.3225" TargetMode="External"/><Relationship Id="rId42" Type="http://schemas.openxmlformats.org/officeDocument/2006/relationships/hyperlink" Target="https://www.eea.europa.eu/en/analysis/indicators/green-bonds-8th-eap" TargetMode="External"/><Relationship Id="rId47" Type="http://schemas.openxmlformats.org/officeDocument/2006/relationships/hyperlink" Target="https://thedocs.worldbank.org/en/doc/dc1d70af2c45cb377ed3ee12b27399d4-0340012024/original/GSSS-Quarterly-Newsletter-Issue-No-6.pdf" TargetMode="External"/><Relationship Id="rId50" Type="http://schemas.openxmlformats.org/officeDocument/2006/relationships/hyperlink" Target="https://doi.org/10.55643/fcaptp.3.56.2024.4403" TargetMode="External"/><Relationship Id="rId55" Type="http://schemas.openxmlformats.org/officeDocument/2006/relationships/hyperlink" Target="https://ubn.news/report/" TargetMode="External"/><Relationship Id="rId63" Type="http://schemas.openxmlformats.org/officeDocument/2006/relationships/hyperlink" Target="https://www.citiesabc.com/resources/dragon-capital-highlights-need-first-loss-capital-support-vietnams-net-zero-transition/" TargetMode="External"/><Relationship Id="rId68" Type="http://schemas.openxmlformats.org/officeDocument/2006/relationships/hyperlink" Target="https://www.microsoft.com/en-us/corporate-responsibility/sustainability/report/" TargetMode="External"/><Relationship Id="rId76" Type="http://schemas.openxmlformats.org/officeDocument/2006/relationships/hyperlink" Target="https://doi.org/10.1787/2fa21143-en" TargetMode="External"/><Relationship Id="rId7" Type="http://schemas.openxmlformats.org/officeDocument/2006/relationships/endnotes" Target="endnotes.xml"/><Relationship Id="rId71" Type="http://schemas.openxmlformats.org/officeDocument/2006/relationships/hyperlink" Target="https://www.bloomberg.com/company/press/global-esg-assets-predicted-to-hit-40-trillion-by-2030-despite-challenging-environment-forecasts-bloomberg-intelligence/" TargetMode="External"/><Relationship Id="rId2" Type="http://schemas.openxmlformats.org/officeDocument/2006/relationships/numbering" Target="numbering.xml"/><Relationship Id="rId16" Type="http://schemas.openxmlformats.org/officeDocument/2006/relationships/diagramLayout" Target="diagrams/layout1.xml"/><Relationship Id="rId29" Type="http://schemas.openxmlformats.org/officeDocument/2006/relationships/hyperlink" Target="https://doi.org/10.1002/csr.2982" TargetMode="External"/><Relationship Id="rId11" Type="http://schemas.openxmlformats.org/officeDocument/2006/relationships/chart" Target="charts/chart4.xml"/><Relationship Id="rId24" Type="http://schemas.openxmlformats.org/officeDocument/2006/relationships/hyperlink" Target="https://essuir.sumdu.edu.ua/bitstream-download/123456789/94199/1/Plastun_responsible_investment.pdf" TargetMode="External"/><Relationship Id="rId32" Type="http://schemas.openxmlformats.org/officeDocument/2006/relationships/hyperlink" Target="https://doi.org/10.24297/jssr.v20i.9687" TargetMode="External"/><Relationship Id="rId37" Type="http://schemas.openxmlformats.org/officeDocument/2006/relationships/hyperlink" Target="https://www.gsi-alliance.org/members-resources/trends-report-2016/" TargetMode="External"/><Relationship Id="rId40" Type="http://schemas.openxmlformats.org/officeDocument/2006/relationships/hyperlink" Target="https://www.gsi-alliance.org/members-resources/gsir2022/" TargetMode="External"/><Relationship Id="rId45" Type="http://schemas.openxmlformats.org/officeDocument/2006/relationships/hyperlink" Target="https://www.forbes.com/sites/lbsbusinessstrategyreview/2024/02/28/emerging-opportunities-for-family-offices-in-sustainable-enterprises/" TargetMode="External"/><Relationship Id="rId53" Type="http://schemas.openxmlformats.org/officeDocument/2006/relationships/hyperlink" Target="https://wnisef.org/wp-content/uploads/2018/01/Western-NIS-Enterprise-Fund-Annual-Report-2016.pdf" TargetMode="External"/><Relationship Id="rId58" Type="http://schemas.openxmlformats.org/officeDocument/2006/relationships/hyperlink" Target="https://sd.capital/eng/tpost/fyfbuxne01-investment-dream-team-konstantin-magalet" TargetMode="External"/><Relationship Id="rId66" Type="http://schemas.openxmlformats.org/officeDocument/2006/relationships/hyperlink" Target="https://investor.verisk.com/financials/quarterly-results/default.aspx" TargetMode="External"/><Relationship Id="rId74" Type="http://schemas.openxmlformats.org/officeDocument/2006/relationships/hyperlink" Target="https://www.ifrs.org/projects/completed-projects/2023/general-sustainability-related-disclosures/" TargetMode="External"/><Relationship Id="rId79"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s://www.unpri.org/signatory-directory/horizon-capital/11224.article" TargetMode="External"/><Relationship Id="rId10" Type="http://schemas.openxmlformats.org/officeDocument/2006/relationships/chart" Target="charts/chart3.xml"/><Relationship Id="rId19" Type="http://schemas.microsoft.com/office/2007/relationships/diagramDrawing" Target="diagrams/drawing1.xml"/><Relationship Id="rId31" Type="http://schemas.openxmlformats.org/officeDocument/2006/relationships/hyperlink" Target="https://doi.org/10.48550/arXiv.2309.05866" TargetMode="External"/><Relationship Id="rId44" Type="http://schemas.openxmlformats.org/officeDocument/2006/relationships/hyperlink" Target="https://gsh.cib.natixis.com/our-center-of-expertise/articles/latest-edition-of-the-global-sustainable-investment-review-confirms-strong-growth-of-esg-assets-all-over-the-world" TargetMode="External"/><Relationship Id="rId52" Type="http://schemas.openxmlformats.org/officeDocument/2006/relationships/hyperlink" Target="https://ec.europa.eu/programmes/erasmus-plus/project-result-content/fcc22362-d0fc-4fae-b116-012581eb631d/National_SE_ecosystem_research_Ukraine_eng.pdf" TargetMode="External"/><Relationship Id="rId60" Type="http://schemas.openxmlformats.org/officeDocument/2006/relationships/hyperlink" Target="https://doi.org/10.1787/866c5c44-en" TargetMode="External"/><Relationship Id="rId65" Type="http://schemas.openxmlformats.org/officeDocument/2006/relationships/hyperlink" Target="https://ir.applied.com/financials/annual-reports/default.aspx" TargetMode="External"/><Relationship Id="rId73" Type="http://schemas.openxmlformats.org/officeDocument/2006/relationships/hyperlink" Target="https://doi.org/10.1080/14693062.2024.2415382" TargetMode="External"/><Relationship Id="rId78" Type="http://schemas.openxmlformats.org/officeDocument/2006/relationships/header" Target="header1.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doi.org/10.2139/ssrn.3698631" TargetMode="External"/><Relationship Id="rId27" Type="http://schemas.openxmlformats.org/officeDocument/2006/relationships/hyperlink" Target="https://doi.org/10.1016/j.iref.2024.103530" TargetMode="External"/><Relationship Id="rId30" Type="http://schemas.openxmlformats.org/officeDocument/2006/relationships/hyperlink" Target="https://doi.org/10.3390/jrfm16070321" TargetMode="External"/><Relationship Id="rId35" Type="http://schemas.openxmlformats.org/officeDocument/2006/relationships/hyperlink" Target="https://www.gsi-alliance.org/latest-trends-report/" TargetMode="External"/><Relationship Id="rId43" Type="http://schemas.openxmlformats.org/officeDocument/2006/relationships/hyperlink" Target="https://www-statista-com-icssr.glibrary.in/statistics/1289406/green-bonds-issued-worldwide/" TargetMode="External"/><Relationship Id="rId48" Type="http://schemas.openxmlformats.org/officeDocument/2006/relationships/hyperlink" Target="https://www.bbvacib.com/wp-content/uploads/2025/02/BBVA-Green-and-Social-Bond-Bulletin-January-2025.pdf" TargetMode="External"/><Relationship Id="rId56" Type="http://schemas.openxmlformats.org/officeDocument/2006/relationships/hyperlink" Target="https://www.kmu.gov.ua/news/uriad-pereoriientovuie-prohramu-dostupni-kredyty-5-7-9-na-investytsiini-tsili-nadiia-bihun" TargetMode="External"/><Relationship Id="rId64" Type="http://schemas.openxmlformats.org/officeDocument/2006/relationships/hyperlink" Target="https://ir.moodys.com/financials/annual-reports/default.aspx" TargetMode="External"/><Relationship Id="rId69" Type="http://schemas.openxmlformats.org/officeDocument/2006/relationships/hyperlink" Target="https://www.microsoft.com/en-us/investor/annual-reports" TargetMode="External"/><Relationship Id="rId77" Type="http://schemas.openxmlformats.org/officeDocument/2006/relationships/hyperlink" Target="https://www.msci-institute.com/themes/risk-return/long-term-corporate-performance/" TargetMode="External"/><Relationship Id="rId8" Type="http://schemas.openxmlformats.org/officeDocument/2006/relationships/chart" Target="charts/chart1.xml"/><Relationship Id="rId51" Type="http://schemas.openxmlformats.org/officeDocument/2006/relationships/hyperlink" Target="https://www.integrites.com/publications/ukrenergo-has-successfully-placed-usd-825-mln-debut-5-year-green-eurobonds-at-6-875/" TargetMode="External"/><Relationship Id="rId72" Type="http://schemas.openxmlformats.org/officeDocument/2006/relationships/hyperlink" Target="https://www.spglobal.com/esg/solutions/esg-scores-data"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diagramQuickStyle" Target="diagrams/quickStyle1.xml"/><Relationship Id="rId25" Type="http://schemas.openxmlformats.org/officeDocument/2006/relationships/hyperlink" Target="https://doi.org/10.3905/jesg.2020.1.1.010" TargetMode="External"/><Relationship Id="rId33" Type="http://schemas.openxmlformats.org/officeDocument/2006/relationships/hyperlink" Target="https://ssrn.com/abstract=3837706" TargetMode="External"/><Relationship Id="rId38" Type="http://schemas.openxmlformats.org/officeDocument/2006/relationships/hyperlink" Target="https://www.gsi-alliance.org/trends-report-2018/" TargetMode="External"/><Relationship Id="rId46" Type="http://schemas.openxmlformats.org/officeDocument/2006/relationships/hyperlink" Target="https://www.spglobal.com/ratings" TargetMode="External"/><Relationship Id="rId59" Type="http://schemas.openxmlformats.org/officeDocument/2006/relationships/hyperlink" Target="https://www.dragoncapital.com/about/responsible-investment/" TargetMode="External"/><Relationship Id="rId67" Type="http://schemas.openxmlformats.org/officeDocument/2006/relationships/hyperlink" Target="https://investor.sempra.com/annual-reports" TargetMode="External"/><Relationship Id="rId20" Type="http://schemas.openxmlformats.org/officeDocument/2006/relationships/hyperlink" Target="https://doi.org/10.31558/2307-2318.2024.2.17" TargetMode="External"/><Relationship Id="rId41" Type="http://schemas.openxmlformats.org/officeDocument/2006/relationships/hyperlink" Target="https://s3.amazonaws.com/giin-web-assets/giin/assets/publication/giin-stateofthemarket2024-report-2024.pdf" TargetMode="External"/><Relationship Id="rId54" Type="http://schemas.openxmlformats.org/officeDocument/2006/relationships/hyperlink" Target="https://www.environmental-finance.com/assets/files/research/sustainability-linked-bonds-and-loans-kpis.pdf" TargetMode="External"/><Relationship Id="rId62" Type="http://schemas.openxmlformats.org/officeDocument/2006/relationships/hyperlink" Target="https://finnfund.fi/en/hankkeet/horizon-capital-growth-fund-iv/" TargetMode="External"/><Relationship Id="rId70" Type="http://schemas.openxmlformats.org/officeDocument/2006/relationships/hyperlink" Target="https://www.msci.com/data-and-analytics/sustainability-solutions/esg-ratings/esg-ratings-and-financial-performance" TargetMode="External"/><Relationship Id="rId75" Type="http://schemas.openxmlformats.org/officeDocument/2006/relationships/hyperlink" Target="https://www.globalreporting.org/news/news-center/efrag-and-gri-enhance-collaboration-with-deeper-tie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hyperlink" Target="https://doi.org/10.1186/s40991-018-0039-y" TargetMode="External"/><Relationship Id="rId28" Type="http://schemas.openxmlformats.org/officeDocument/2006/relationships/hyperlink" Target="https://doi.org/10.1007/s10479-025-06613-9" TargetMode="External"/><Relationship Id="rId36" Type="http://schemas.openxmlformats.org/officeDocument/2006/relationships/hyperlink" Target="https://www.gsi-alliance.org/members-resources/global-sustainable-investment-review-2014/" TargetMode="External"/><Relationship Id="rId49" Type="http://schemas.openxmlformats.org/officeDocument/2006/relationships/hyperlink" Target="https://renewables.dtek.com/media-center/press/gruppa-dtek-vpervye-v-istorii-ukrainskogo-biznesa-razmestila-zelenye-evroobligatsii/" TargetMode="External"/><Relationship Id="rId57" Type="http://schemas.openxmlformats.org/officeDocument/2006/relationships/hyperlink" Target="https://www.nssmc.gov.ua/kompaniia-z-upravlinnia-aktyvamy-profesiinyi-menedzhment-u-sferi-spilnoho-investuvannia/?v=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anastasiashapoval\Desktop\Book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anastasiashapoval\Desktop\Book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817a3740f05390bd/&#1044;&#1086;&#1082;&#1091;&#1084;&#1077;&#1085;&#1090;&#1099;/&#1044;&#1080;&#1087;&#1083;&#1086;&#108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anastasiashapoval\Desktop\Book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anastasiashapoval\Desktop\Book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'Обсяг СВІ від GSIA та 2024'!$B$1</c:f>
              <c:strCache>
                <c:ptCount val="1"/>
                <c:pt idx="0">
                  <c:v>Обсяг СВІ, трлн дол. США</c:v>
                </c:pt>
              </c:strCache>
            </c:strRef>
          </c:tx>
          <c:spPr>
            <a:pattFill prst="trellis">
              <a:fgClr>
                <a:schemeClr val="accent6">
                  <a:lumMod val="60000"/>
                  <a:lumOff val="40000"/>
                </a:schemeClr>
              </a:fgClr>
              <a:bgClr>
                <a:schemeClr val="bg1"/>
              </a:bgClr>
            </a:pattFill>
            <a:ln cap="rnd">
              <a:solidFill>
                <a:schemeClr val="tx2">
                  <a:lumMod val="75000"/>
                  <a:lumOff val="25000"/>
                </a:schemeClr>
              </a:solidFill>
              <a:round/>
            </a:ln>
            <a:effectLst/>
          </c:spPr>
          <c:invertIfNegative val="0"/>
          <c:cat>
            <c:numRef>
              <c:f>'Обсяг СВІ від GSIA та 2024'!$A$2:$A$7</c:f>
              <c:numCache>
                <c:formatCode>General</c:formatCode>
                <c:ptCount val="6"/>
                <c:pt idx="0">
                  <c:v>2012</c:v>
                </c:pt>
                <c:pt idx="1">
                  <c:v>2014</c:v>
                </c:pt>
                <c:pt idx="2">
                  <c:v>2016</c:v>
                </c:pt>
                <c:pt idx="3">
                  <c:v>2018</c:v>
                </c:pt>
                <c:pt idx="4">
                  <c:v>2020</c:v>
                </c:pt>
                <c:pt idx="5">
                  <c:v>2022</c:v>
                </c:pt>
              </c:numCache>
            </c:numRef>
          </c:cat>
          <c:val>
            <c:numRef>
              <c:f>'Обсяг СВІ від GSIA та 2024'!$B$2:$B$7</c:f>
              <c:numCache>
                <c:formatCode>General</c:formatCode>
                <c:ptCount val="6"/>
                <c:pt idx="0">
                  <c:v>13.6</c:v>
                </c:pt>
                <c:pt idx="1">
                  <c:v>21.4</c:v>
                </c:pt>
                <c:pt idx="2">
                  <c:v>22.8</c:v>
                </c:pt>
                <c:pt idx="3">
                  <c:v>30.7</c:v>
                </c:pt>
                <c:pt idx="4">
                  <c:v>35.299999999999997</c:v>
                </c:pt>
                <c:pt idx="5">
                  <c:v>30.3</c:v>
                </c:pt>
              </c:numCache>
            </c:numRef>
          </c:val>
          <c:extLst xmlns:c16r2="http://schemas.microsoft.com/office/drawing/2015/06/chart">
            <c:ext xmlns:c16="http://schemas.microsoft.com/office/drawing/2014/chart" uri="{C3380CC4-5D6E-409C-BE32-E72D297353CC}">
              <c16:uniqueId val="{00000000-B87B-BD47-B6D8-CF86B4B16408}"/>
            </c:ext>
          </c:extLst>
        </c:ser>
        <c:dLbls>
          <c:showLegendKey val="0"/>
          <c:showVal val="0"/>
          <c:showCatName val="0"/>
          <c:showSerName val="0"/>
          <c:showPercent val="0"/>
          <c:showBubbleSize val="0"/>
        </c:dLbls>
        <c:gapWidth val="150"/>
        <c:axId val="409638768"/>
        <c:axId val="409639160"/>
      </c:barChart>
      <c:lineChart>
        <c:grouping val="standard"/>
        <c:varyColors val="0"/>
        <c:ser>
          <c:idx val="1"/>
          <c:order val="1"/>
          <c:tx>
            <c:strRef>
              <c:f>'Обсяг СВІ від GSIA та 2024'!$D$1</c:f>
              <c:strCache>
                <c:ptCount val="1"/>
                <c:pt idx="0">
                  <c:v>Зміна до попереднього року, %</c:v>
                </c:pt>
              </c:strCache>
            </c:strRef>
          </c:tx>
          <c:spPr>
            <a:ln w="28575" cap="rnd">
              <a:solidFill>
                <a:schemeClr val="tx2">
                  <a:lumMod val="50000"/>
                  <a:lumOff val="50000"/>
                </a:schemeClr>
              </a:solidFill>
              <a:round/>
            </a:ln>
            <a:effectLst/>
          </c:spPr>
          <c:marker>
            <c:symbol val="circle"/>
            <c:size val="10"/>
            <c:spPr>
              <a:solidFill>
                <a:schemeClr val="accent6">
                  <a:lumMod val="60000"/>
                  <a:lumOff val="40000"/>
                </a:schemeClr>
              </a:solidFill>
              <a:ln w="9525">
                <a:solidFill>
                  <a:schemeClr val="accent6">
                    <a:lumMod val="75000"/>
                  </a:schemeClr>
                </a:solidFill>
              </a:ln>
              <a:effectLst/>
            </c:spPr>
          </c:marker>
          <c:dLbls>
            <c:spPr>
              <a:solidFill>
                <a:schemeClr val="accent6">
                  <a:lumMod val="20000"/>
                  <a:lumOff val="80000"/>
                  <a:alpha val="74000"/>
                </a:schemeClr>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'Обсяг СВІ від GSIA та 2024'!$A$2:$A$7</c:f>
              <c:numCache>
                <c:formatCode>General</c:formatCode>
                <c:ptCount val="6"/>
                <c:pt idx="0">
                  <c:v>2012</c:v>
                </c:pt>
                <c:pt idx="1">
                  <c:v>2014</c:v>
                </c:pt>
                <c:pt idx="2">
                  <c:v>2016</c:v>
                </c:pt>
                <c:pt idx="3">
                  <c:v>2018</c:v>
                </c:pt>
                <c:pt idx="4">
                  <c:v>2020</c:v>
                </c:pt>
                <c:pt idx="5">
                  <c:v>2022</c:v>
                </c:pt>
              </c:numCache>
            </c:numRef>
          </c:cat>
          <c:val>
            <c:numRef>
              <c:f>'Обсяг СВІ від GSIA та 2024'!$D$2:$D$7</c:f>
              <c:numCache>
                <c:formatCode>0.00%</c:formatCode>
                <c:ptCount val="6"/>
                <c:pt idx="0">
                  <c:v>0</c:v>
                </c:pt>
                <c:pt idx="1">
                  <c:v>0.57352941176470584</c:v>
                </c:pt>
                <c:pt idx="2">
                  <c:v>6.542056074766367E-2</c:v>
                </c:pt>
                <c:pt idx="3">
                  <c:v>0.34649122807017529</c:v>
                </c:pt>
                <c:pt idx="4">
                  <c:v>0.14983713355048844</c:v>
                </c:pt>
                <c:pt idx="5">
                  <c:v>-0.14164305949008493</c:v>
                </c:pt>
              </c:numCache>
            </c:numRef>
          </c:val>
          <c:smooth val="0"/>
          <c:extLst xmlns:c16r2="http://schemas.microsoft.com/office/drawing/2015/06/chart">
            <c:ext xmlns:c16="http://schemas.microsoft.com/office/drawing/2014/chart" uri="{C3380CC4-5D6E-409C-BE32-E72D297353CC}">
              <c16:uniqueId val="{00000001-B87B-BD47-B6D8-CF86B4B16408}"/>
            </c:ext>
          </c:extLst>
        </c:ser>
        <c:dLbls>
          <c:showLegendKey val="0"/>
          <c:showVal val="0"/>
          <c:showCatName val="0"/>
          <c:showSerName val="0"/>
          <c:showPercent val="0"/>
          <c:showBubbleSize val="0"/>
        </c:dLbls>
        <c:marker val="1"/>
        <c:smooth val="0"/>
        <c:axId val="409636416"/>
        <c:axId val="409634848"/>
      </c:lineChart>
      <c:catAx>
        <c:axId val="409638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639160"/>
        <c:crosses val="autoZero"/>
        <c:auto val="1"/>
        <c:lblAlgn val="ctr"/>
        <c:lblOffset val="100"/>
        <c:noMultiLvlLbl val="0"/>
      </c:catAx>
      <c:valAx>
        <c:axId val="409639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638768"/>
        <c:crosses val="autoZero"/>
        <c:crossBetween val="between"/>
        <c:majorUnit val="10"/>
      </c:valAx>
      <c:valAx>
        <c:axId val="409634848"/>
        <c:scaling>
          <c:orientation val="minMax"/>
          <c:min val="-0.2"/>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636416"/>
        <c:crosses val="max"/>
        <c:crossBetween val="between"/>
        <c:majorUnit val="0.3"/>
      </c:valAx>
      <c:catAx>
        <c:axId val="409636416"/>
        <c:scaling>
          <c:orientation val="minMax"/>
        </c:scaling>
        <c:delete val="1"/>
        <c:axPos val="b"/>
        <c:numFmt formatCode="General" sourceLinked="1"/>
        <c:majorTickMark val="out"/>
        <c:minorTickMark val="none"/>
        <c:tickLblPos val="nextTo"/>
        <c:crossAx val="40963484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270917354842826E-2"/>
          <c:y val="5.4835493519441676E-2"/>
          <c:w val="0.90388084416277237"/>
          <c:h val="0.71746280797228601"/>
        </c:manualLayout>
      </c:layout>
      <c:lineChart>
        <c:grouping val="standard"/>
        <c:varyColors val="0"/>
        <c:ser>
          <c:idx val="0"/>
          <c:order val="0"/>
          <c:tx>
            <c:strRef>
              <c:f>Sheet1!$A$2</c:f>
              <c:strCache>
                <c:ptCount val="1"/>
                <c:pt idx="0">
                  <c:v>Європа</c:v>
                </c:pt>
              </c:strCache>
            </c:strRef>
          </c:tx>
          <c:spPr>
            <a:ln w="28575" cap="rnd">
              <a:solidFill>
                <a:schemeClr val="accent1">
                  <a:lumMod val="60000"/>
                  <a:lumOff val="40000"/>
                </a:schemeClr>
              </a:solidFill>
              <a:round/>
            </a:ln>
            <a:effectLst/>
          </c:spPr>
          <c:marker>
            <c:symbol val="circle"/>
            <c:size val="5"/>
            <c:spPr>
              <a:solidFill>
                <a:schemeClr val="accent1">
                  <a:lumMod val="60000"/>
                  <a:lumOff val="40000"/>
                </a:schemeClr>
              </a:solidFill>
              <a:ln w="9525">
                <a:solidFill>
                  <a:schemeClr val="accent1">
                    <a:lumMod val="75000"/>
                  </a:schemeClr>
                </a:solidFill>
              </a:ln>
              <a:effectLst/>
            </c:spPr>
          </c:marker>
          <c:dLbls>
            <c:dLbl>
              <c:idx val="1"/>
              <c:layout>
                <c:manualLayout>
                  <c:x val="-3.3598873311567801E-2"/>
                  <c:y val="-8.296370730328701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4C30-9945-A4E7-9055B0D53AD0}"/>
                </c:ext>
                <c:ext xmlns:c15="http://schemas.microsoft.com/office/drawing/2012/chart" uri="{CE6537A1-D6FC-4f65-9D91-7224C49458BB}"/>
              </c:extLst>
            </c:dLbl>
            <c:dLbl>
              <c:idx val="2"/>
              <c:layout>
                <c:manualLayout>
                  <c:x val="-7.2986535219682902E-2"/>
                  <c:y val="-4.254716166461246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4-4C30-9945-A4E7-9055B0D53AD0}"/>
                </c:ext>
                <c:ext xmlns:c15="http://schemas.microsoft.com/office/drawing/2012/chart" uri="{CE6537A1-D6FC-4f65-9D91-7224C49458BB}"/>
              </c:extLst>
            </c:dLbl>
            <c:dLbl>
              <c:idx val="4"/>
              <c:layout>
                <c:manualLayout>
                  <c:x val="2.0238397029639588E-2"/>
                  <c:y val="-7.6518476067859416E-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7-4C30-9945-A4E7-9055B0D53AD0}"/>
                </c:ext>
                <c:ext xmlns:c15="http://schemas.microsoft.com/office/drawing/2012/chart" uri="{CE6537A1-D6FC-4f65-9D91-7224C49458BB}"/>
              </c:extLst>
            </c:dLbl>
            <c:spPr>
              <a:solidFill>
                <a:schemeClr val="accent5">
                  <a:lumMod val="20000"/>
                  <a:lumOff val="80000"/>
                </a:schemeClr>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Sheet1!$B$1:$F$1</c:f>
              <c:numCache>
                <c:formatCode>General</c:formatCode>
                <c:ptCount val="5"/>
                <c:pt idx="0">
                  <c:v>2014</c:v>
                </c:pt>
                <c:pt idx="1">
                  <c:v>2016</c:v>
                </c:pt>
                <c:pt idx="2">
                  <c:v>2018</c:v>
                </c:pt>
                <c:pt idx="3">
                  <c:v>2020</c:v>
                </c:pt>
                <c:pt idx="4">
                  <c:v>2022</c:v>
                </c:pt>
              </c:numCache>
            </c:numRef>
          </c:cat>
          <c:val>
            <c:numRef>
              <c:f>Sheet1!$B$2:$F$2</c:f>
              <c:numCache>
                <c:formatCode>0%</c:formatCode>
                <c:ptCount val="5"/>
                <c:pt idx="0">
                  <c:v>0.59</c:v>
                </c:pt>
                <c:pt idx="1">
                  <c:v>0.53</c:v>
                </c:pt>
                <c:pt idx="2">
                  <c:v>0.49</c:v>
                </c:pt>
                <c:pt idx="3">
                  <c:v>0.42</c:v>
                </c:pt>
                <c:pt idx="4">
                  <c:v>0.38</c:v>
                </c:pt>
              </c:numCache>
            </c:numRef>
          </c:val>
          <c:smooth val="0"/>
          <c:extLst xmlns:c16r2="http://schemas.microsoft.com/office/drawing/2015/06/chart">
            <c:ext xmlns:c16="http://schemas.microsoft.com/office/drawing/2014/chart" uri="{C3380CC4-5D6E-409C-BE32-E72D297353CC}">
              <c16:uniqueId val="{00000000-4C30-9945-A4E7-9055B0D53AD0}"/>
            </c:ext>
          </c:extLst>
        </c:ser>
        <c:ser>
          <c:idx val="1"/>
          <c:order val="1"/>
          <c:tx>
            <c:strRef>
              <c:f>Sheet1!$A$3</c:f>
              <c:strCache>
                <c:ptCount val="1"/>
                <c:pt idx="0">
                  <c:v>США</c:v>
                </c:pt>
              </c:strCache>
            </c:strRef>
          </c:tx>
          <c:spPr>
            <a:ln w="28575" cap="rnd">
              <a:solidFill>
                <a:schemeClr val="accent2">
                  <a:lumMod val="60000"/>
                  <a:lumOff val="40000"/>
                </a:schemeClr>
              </a:solidFill>
              <a:round/>
            </a:ln>
            <a:effectLst/>
          </c:spPr>
          <c:marker>
            <c:symbol val="circle"/>
            <c:size val="5"/>
            <c:spPr>
              <a:solidFill>
                <a:schemeClr val="accent2">
                  <a:lumMod val="60000"/>
                  <a:lumOff val="40000"/>
                </a:schemeClr>
              </a:solidFill>
              <a:ln w="9525">
                <a:solidFill>
                  <a:schemeClr val="accent2">
                    <a:lumMod val="75000"/>
                  </a:schemeClr>
                </a:solidFill>
              </a:ln>
              <a:effectLst/>
            </c:spPr>
          </c:marker>
          <c:dLbls>
            <c:dLbl>
              <c:idx val="0"/>
              <c:layout>
                <c:manualLayout>
                  <c:x val="-8.9967436997204622E-2"/>
                  <c:y val="6.7671002739812056E-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4C30-9945-A4E7-9055B0D53AD0}"/>
                </c:ext>
                <c:ext xmlns:c15="http://schemas.microsoft.com/office/drawing/2012/chart" uri="{CE6537A1-D6FC-4f65-9D91-7224C49458BB}"/>
              </c:extLst>
            </c:dLbl>
            <c:dLbl>
              <c:idx val="1"/>
              <c:layout>
                <c:manualLayout>
                  <c:x val="-8.1658621940550152E-2"/>
                  <c:y val="-2.260698220299730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6-4C30-9945-A4E7-9055B0D53AD0}"/>
                </c:ext>
                <c:ext xmlns:c15="http://schemas.microsoft.com/office/drawing/2012/chart" uri="{CE6537A1-D6FC-4f65-9D91-7224C49458BB}"/>
              </c:extLst>
            </c:dLbl>
            <c:dLbl>
              <c:idx val="2"/>
              <c:layout>
                <c:manualLayout>
                  <c:x val="-6.8650491859249374E-2"/>
                  <c:y val="-3.2577071933804977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5-4C30-9945-A4E7-9055B0D53AD0}"/>
                </c:ext>
                <c:ext xmlns:c15="http://schemas.microsoft.com/office/drawing/2012/chart" uri="{CE6537A1-D6FC-4f65-9D91-7224C49458BB}"/>
              </c:extLst>
            </c:dLbl>
            <c:dLbl>
              <c:idx val="3"/>
              <c:layout>
                <c:manualLayout>
                  <c:x val="-7.9490600260333305E-2"/>
                  <c:y val="-7.6518476067859416E-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4C30-9945-A4E7-9055B0D53AD0}"/>
                </c:ext>
                <c:ext xmlns:c15="http://schemas.microsoft.com/office/drawing/2012/chart" uri="{CE6537A1-D6FC-4f65-9D91-7224C49458BB}"/>
              </c:extLst>
            </c:dLbl>
            <c:spPr>
              <a:solidFill>
                <a:schemeClr val="accent2">
                  <a:lumMod val="20000"/>
                  <a:lumOff val="80000"/>
                  <a:alpha val="54000"/>
                </a:schemeClr>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Sheet1!$B$1:$F$1</c:f>
              <c:numCache>
                <c:formatCode>General</c:formatCode>
                <c:ptCount val="5"/>
                <c:pt idx="0">
                  <c:v>2014</c:v>
                </c:pt>
                <c:pt idx="1">
                  <c:v>2016</c:v>
                </c:pt>
                <c:pt idx="2">
                  <c:v>2018</c:v>
                </c:pt>
                <c:pt idx="3">
                  <c:v>2020</c:v>
                </c:pt>
                <c:pt idx="4">
                  <c:v>2022</c:v>
                </c:pt>
              </c:numCache>
            </c:numRef>
          </c:cat>
          <c:val>
            <c:numRef>
              <c:f>Sheet1!$B$3:$F$3</c:f>
              <c:numCache>
                <c:formatCode>0%</c:formatCode>
                <c:ptCount val="5"/>
                <c:pt idx="0">
                  <c:v>0.18</c:v>
                </c:pt>
                <c:pt idx="1">
                  <c:v>0.22</c:v>
                </c:pt>
                <c:pt idx="2">
                  <c:v>0.26</c:v>
                </c:pt>
                <c:pt idx="3">
                  <c:v>0.33</c:v>
                </c:pt>
                <c:pt idx="4">
                  <c:v>0.13</c:v>
                </c:pt>
              </c:numCache>
            </c:numRef>
          </c:val>
          <c:smooth val="0"/>
          <c:extLst xmlns:c16r2="http://schemas.microsoft.com/office/drawing/2015/06/chart">
            <c:ext xmlns:c16="http://schemas.microsoft.com/office/drawing/2014/chart" uri="{C3380CC4-5D6E-409C-BE32-E72D297353CC}">
              <c16:uniqueId val="{00000001-4C30-9945-A4E7-9055B0D53AD0}"/>
            </c:ext>
          </c:extLst>
        </c:ser>
        <c:ser>
          <c:idx val="2"/>
          <c:order val="2"/>
          <c:tx>
            <c:strRef>
              <c:f>Sheet1!$A$4</c:f>
              <c:strCache>
                <c:ptCount val="1"/>
                <c:pt idx="0">
                  <c:v>Канада</c:v>
                </c:pt>
              </c:strCache>
            </c:strRef>
          </c:tx>
          <c:spPr>
            <a:ln w="28575" cap="rnd">
              <a:solidFill>
                <a:schemeClr val="accent3">
                  <a:lumMod val="40000"/>
                  <a:lumOff val="60000"/>
                </a:schemeClr>
              </a:solidFill>
              <a:round/>
            </a:ln>
            <a:effectLst/>
          </c:spPr>
          <c:marker>
            <c:symbol val="circle"/>
            <c:size val="5"/>
            <c:spPr>
              <a:solidFill>
                <a:schemeClr val="accent3">
                  <a:lumMod val="40000"/>
                  <a:lumOff val="60000"/>
                </a:schemeClr>
              </a:solidFill>
              <a:ln w="9525">
                <a:solidFill>
                  <a:schemeClr val="accent3">
                    <a:lumMod val="60000"/>
                    <a:lumOff val="40000"/>
                  </a:schemeClr>
                </a:solidFill>
              </a:ln>
              <a:effectLst/>
            </c:spPr>
          </c:marker>
          <c:dLbls>
            <c:dLbl>
              <c:idx val="0"/>
              <c:layout>
                <c:manualLayout>
                  <c:x val="-8.9967436997204622E-2"/>
                  <c:y val="-6.800857270707566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4C30-9945-A4E7-9055B0D53AD0}"/>
                </c:ext>
                <c:ext xmlns:c15="http://schemas.microsoft.com/office/drawing/2012/chart" uri="{CE6537A1-D6FC-4f65-9D91-7224C49458BB}"/>
              </c:extLst>
            </c:dLbl>
            <c:dLbl>
              <c:idx val="1"/>
              <c:layout>
                <c:manualLayout>
                  <c:x val="1.3734331988989181E-2"/>
                  <c:y val="-3.75621167992087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4C30-9945-A4E7-9055B0D53AD0}"/>
                </c:ext>
                <c:ext xmlns:c15="http://schemas.microsoft.com/office/drawing/2012/chart" uri="{CE6537A1-D6FC-4f65-9D91-7224C49458BB}"/>
              </c:extLst>
            </c:dLbl>
            <c:dLbl>
              <c:idx val="2"/>
              <c:layout>
                <c:manualLayout>
                  <c:x val="7.2302669483386948E-3"/>
                  <c:y val="-1.76219373375935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4C30-9945-A4E7-9055B0D53AD0}"/>
                </c:ext>
                <c:ext xmlns:c15="http://schemas.microsoft.com/office/drawing/2012/chart" uri="{CE6537A1-D6FC-4f65-9D91-7224C49458BB}"/>
              </c:extLst>
            </c:dLbl>
            <c:dLbl>
              <c:idx val="4"/>
              <c:layout>
                <c:manualLayout>
                  <c:x val="2.0601668693852292E-2"/>
                  <c:y val="-8.29637073032869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4C30-9945-A4E7-9055B0D53AD0}"/>
                </c:ext>
                <c:ext xmlns:c15="http://schemas.microsoft.com/office/drawing/2012/chart" uri="{CE6537A1-D6FC-4f65-9D91-7224C49458BB}"/>
              </c:extLst>
            </c:dLbl>
            <c:spPr>
              <a:solidFill>
                <a:schemeClr val="accent3">
                  <a:lumMod val="40000"/>
                  <a:lumOff val="60000"/>
                  <a:alpha val="47000"/>
                </a:schemeClr>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Sheet1!$B$1:$F$1</c:f>
              <c:numCache>
                <c:formatCode>General</c:formatCode>
                <c:ptCount val="5"/>
                <c:pt idx="0">
                  <c:v>2014</c:v>
                </c:pt>
                <c:pt idx="1">
                  <c:v>2016</c:v>
                </c:pt>
                <c:pt idx="2">
                  <c:v>2018</c:v>
                </c:pt>
                <c:pt idx="3">
                  <c:v>2020</c:v>
                </c:pt>
                <c:pt idx="4">
                  <c:v>2022</c:v>
                </c:pt>
              </c:numCache>
            </c:numRef>
          </c:cat>
          <c:val>
            <c:numRef>
              <c:f>Sheet1!$B$4:$F$4</c:f>
              <c:numCache>
                <c:formatCode>0%</c:formatCode>
                <c:ptCount val="5"/>
                <c:pt idx="0">
                  <c:v>0.31</c:v>
                </c:pt>
                <c:pt idx="1">
                  <c:v>0.38</c:v>
                </c:pt>
                <c:pt idx="2">
                  <c:v>0.51</c:v>
                </c:pt>
                <c:pt idx="3">
                  <c:v>0.62</c:v>
                </c:pt>
                <c:pt idx="4">
                  <c:v>0.47</c:v>
                </c:pt>
              </c:numCache>
            </c:numRef>
          </c:val>
          <c:smooth val="0"/>
          <c:extLst xmlns:c16r2="http://schemas.microsoft.com/office/drawing/2015/06/chart">
            <c:ext xmlns:c16="http://schemas.microsoft.com/office/drawing/2014/chart" uri="{C3380CC4-5D6E-409C-BE32-E72D297353CC}">
              <c16:uniqueId val="{00000002-4C30-9945-A4E7-9055B0D53AD0}"/>
            </c:ext>
          </c:extLst>
        </c:ser>
        <c:ser>
          <c:idx val="3"/>
          <c:order val="3"/>
          <c:tx>
            <c:strRef>
              <c:f>Sheet1!$A$5</c:f>
              <c:strCache>
                <c:ptCount val="1"/>
                <c:pt idx="0">
                  <c:v>Австралія та Нова Зеландія</c:v>
                </c:pt>
              </c:strCache>
            </c:strRef>
          </c:tx>
          <c:spPr>
            <a:ln w="28575" cap="rnd">
              <a:solidFill>
                <a:schemeClr val="accent4">
                  <a:lumMod val="40000"/>
                  <a:lumOff val="60000"/>
                </a:schemeClr>
              </a:solidFill>
              <a:round/>
            </a:ln>
            <a:effectLst/>
          </c:spPr>
          <c:marker>
            <c:symbol val="circle"/>
            <c:size val="5"/>
            <c:spPr>
              <a:solidFill>
                <a:schemeClr val="accent4">
                  <a:lumMod val="40000"/>
                  <a:lumOff val="60000"/>
                </a:schemeClr>
              </a:solidFill>
              <a:ln w="9525">
                <a:solidFill>
                  <a:schemeClr val="accent4">
                    <a:lumMod val="60000"/>
                    <a:lumOff val="40000"/>
                  </a:schemeClr>
                </a:solidFill>
              </a:ln>
              <a:effectLst/>
            </c:spPr>
          </c:marker>
          <c:dLbls>
            <c:dLbl>
              <c:idx val="0"/>
              <c:layout>
                <c:manualLayout>
                  <c:x val="-7.6959306915903802E-2"/>
                  <c:y val="-9.293379703409457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4C30-9945-A4E7-9055B0D53AD0}"/>
                </c:ext>
                <c:ext xmlns:c15="http://schemas.microsoft.com/office/drawing/2012/chart" uri="{CE6537A1-D6FC-4f65-9D91-7224C49458BB}"/>
              </c:extLst>
            </c:dLbl>
            <c:dLbl>
              <c:idx val="1"/>
              <c:layout>
                <c:manualLayout>
                  <c:x val="-8.1658621940550152E-2"/>
                  <c:y val="4.71836459126556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4C30-9945-A4E7-9055B0D53AD0}"/>
                </c:ext>
                <c:ext xmlns:c15="http://schemas.microsoft.com/office/drawing/2012/chart" uri="{CE6537A1-D6FC-4f65-9D91-7224C49458BB}"/>
              </c:extLst>
            </c:dLbl>
            <c:dLbl>
              <c:idx val="3"/>
              <c:layout>
                <c:manualLayout>
                  <c:x val="-3.6098414527453155E-3"/>
                  <c:y val="-2.260698220299735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4C30-9945-A4E7-9055B0D53AD0}"/>
                </c:ext>
                <c:ext xmlns:c15="http://schemas.microsoft.com/office/drawing/2012/chart" uri="{CE6537A1-D6FC-4f65-9D91-7224C49458BB}"/>
              </c:extLst>
            </c:dLbl>
            <c:dLbl>
              <c:idx val="4"/>
              <c:layout>
                <c:manualLayout>
                  <c:x val="9.7615602927682826E-3"/>
                  <c:y val="-4.308334838005668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4C30-9945-A4E7-9055B0D53AD0}"/>
                </c:ext>
                <c:ext xmlns:c15="http://schemas.microsoft.com/office/drawing/2012/chart" uri="{CE6537A1-D6FC-4f65-9D91-7224C49458BB}"/>
              </c:extLst>
            </c:dLbl>
            <c:spPr>
              <a:solidFill>
                <a:schemeClr val="accent4">
                  <a:lumMod val="20000"/>
                  <a:lumOff val="80000"/>
                  <a:alpha val="54847"/>
                </a:schemeClr>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Sheet1!$B$1:$F$1</c:f>
              <c:numCache>
                <c:formatCode>General</c:formatCode>
                <c:ptCount val="5"/>
                <c:pt idx="0">
                  <c:v>2014</c:v>
                </c:pt>
                <c:pt idx="1">
                  <c:v>2016</c:v>
                </c:pt>
                <c:pt idx="2">
                  <c:v>2018</c:v>
                </c:pt>
                <c:pt idx="3">
                  <c:v>2020</c:v>
                </c:pt>
                <c:pt idx="4">
                  <c:v>2022</c:v>
                </c:pt>
              </c:numCache>
            </c:numRef>
          </c:cat>
          <c:val>
            <c:numRef>
              <c:f>Sheet1!$B$5:$F$5</c:f>
              <c:numCache>
                <c:formatCode>0%</c:formatCode>
                <c:ptCount val="5"/>
                <c:pt idx="0">
                  <c:v>0.17</c:v>
                </c:pt>
                <c:pt idx="1">
                  <c:v>0.51</c:v>
                </c:pt>
                <c:pt idx="2">
                  <c:v>0.63</c:v>
                </c:pt>
                <c:pt idx="3">
                  <c:v>0.38</c:v>
                </c:pt>
                <c:pt idx="4">
                  <c:v>0.43</c:v>
                </c:pt>
              </c:numCache>
            </c:numRef>
          </c:val>
          <c:smooth val="0"/>
          <c:extLst xmlns:c16r2="http://schemas.microsoft.com/office/drawing/2015/06/chart">
            <c:ext xmlns:c16="http://schemas.microsoft.com/office/drawing/2014/chart" uri="{C3380CC4-5D6E-409C-BE32-E72D297353CC}">
              <c16:uniqueId val="{00000003-4C30-9945-A4E7-9055B0D53AD0}"/>
            </c:ext>
          </c:extLst>
        </c:ser>
        <c:ser>
          <c:idx val="4"/>
          <c:order val="4"/>
          <c:tx>
            <c:strRef>
              <c:f>Sheet1!$A$6</c:f>
              <c:strCache>
                <c:ptCount val="1"/>
                <c:pt idx="0">
                  <c:v>Японія</c:v>
                </c:pt>
              </c:strCache>
            </c:strRef>
          </c:tx>
          <c:spPr>
            <a:ln w="28575" cap="rnd">
              <a:solidFill>
                <a:schemeClr val="accent5">
                  <a:lumMod val="60000"/>
                  <a:lumOff val="40000"/>
                </a:schemeClr>
              </a:solidFill>
              <a:round/>
            </a:ln>
            <a:effectLst/>
          </c:spPr>
          <c:marker>
            <c:symbol val="circle"/>
            <c:size val="5"/>
            <c:spPr>
              <a:solidFill>
                <a:schemeClr val="accent5">
                  <a:lumMod val="60000"/>
                  <a:lumOff val="40000"/>
                </a:schemeClr>
              </a:solidFill>
              <a:ln w="9525">
                <a:solidFill>
                  <a:schemeClr val="accent5">
                    <a:lumMod val="75000"/>
                  </a:schemeClr>
                </a:solidFill>
              </a:ln>
              <a:effectLst/>
            </c:spPr>
          </c:marker>
          <c:dLbls>
            <c:dLbl>
              <c:idx val="0"/>
              <c:layout>
                <c:manualLayout>
                  <c:x val="-7.695930691590383E-2"/>
                  <c:y val="-2.812821378384531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4C30-9945-A4E7-9055B0D53AD0}"/>
                </c:ext>
                <c:ext xmlns:c15="http://schemas.microsoft.com/office/drawing/2012/chart" uri="{CE6537A1-D6FC-4f65-9D91-7224C49458BB}"/>
              </c:extLst>
            </c:dLbl>
            <c:dLbl>
              <c:idx val="2"/>
              <c:layout>
                <c:manualLayout>
                  <c:x val="-9.7506348291829369E-3"/>
                  <c:y val="2.172223487019257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4C30-9945-A4E7-9055B0D53AD0}"/>
                </c:ext>
                <c:ext xmlns:c15="http://schemas.microsoft.com/office/drawing/2012/chart" uri="{CE6537A1-D6FC-4f65-9D91-7224C49458BB}"/>
              </c:extLst>
            </c:dLbl>
            <c:dLbl>
              <c:idx val="3"/>
              <c:layout>
                <c:manualLayout>
                  <c:x val="-1.6254699869833345E-2"/>
                  <c:y val="3.169232460100014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4C30-9945-A4E7-9055B0D53AD0}"/>
                </c:ext>
                <c:ext xmlns:c15="http://schemas.microsoft.com/office/drawing/2012/chart" uri="{CE6537A1-D6FC-4f65-9D91-7224C49458BB}"/>
              </c:extLst>
            </c:dLbl>
            <c:dLbl>
              <c:idx val="4"/>
              <c:layout>
                <c:manualLayout>
                  <c:x val="3.2574952521178756E-3"/>
                  <c:y val="4.166241433180772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4C30-9945-A4E7-9055B0D53AD0}"/>
                </c:ext>
                <c:ext xmlns:c15="http://schemas.microsoft.com/office/drawing/2012/chart" uri="{CE6537A1-D6FC-4f65-9D91-7224C49458BB}"/>
              </c:extLst>
            </c:dLbl>
            <c:spPr>
              <a:solidFill>
                <a:schemeClr val="accent1">
                  <a:lumMod val="20000"/>
                  <a:lumOff val="80000"/>
                  <a:alpha val="49988"/>
                </a:schemeClr>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Sheet1!$B$1:$F$1</c:f>
              <c:numCache>
                <c:formatCode>General</c:formatCode>
                <c:ptCount val="5"/>
                <c:pt idx="0">
                  <c:v>2014</c:v>
                </c:pt>
                <c:pt idx="1">
                  <c:v>2016</c:v>
                </c:pt>
                <c:pt idx="2">
                  <c:v>2018</c:v>
                </c:pt>
                <c:pt idx="3">
                  <c:v>2020</c:v>
                </c:pt>
                <c:pt idx="4">
                  <c:v>2022</c:v>
                </c:pt>
              </c:numCache>
            </c:numRef>
          </c:cat>
          <c:val>
            <c:numRef>
              <c:f>Sheet1!$B$6:$F$6</c:f>
              <c:numCache>
                <c:formatCode>0%</c:formatCode>
                <c:ptCount val="5"/>
                <c:pt idx="0">
                  <c:v>0.03</c:v>
                </c:pt>
                <c:pt idx="1">
                  <c:v>0.03</c:v>
                </c:pt>
                <c:pt idx="2">
                  <c:v>0.18</c:v>
                </c:pt>
                <c:pt idx="3">
                  <c:v>0.24</c:v>
                </c:pt>
                <c:pt idx="4">
                  <c:v>0.34</c:v>
                </c:pt>
              </c:numCache>
            </c:numRef>
          </c:val>
          <c:smooth val="0"/>
          <c:extLst xmlns:c16r2="http://schemas.microsoft.com/office/drawing/2015/06/chart">
            <c:ext xmlns:c16="http://schemas.microsoft.com/office/drawing/2014/chart" uri="{C3380CC4-5D6E-409C-BE32-E72D297353CC}">
              <c16:uniqueId val="{00000004-4C30-9945-A4E7-9055B0D53AD0}"/>
            </c:ext>
          </c:extLst>
        </c:ser>
        <c:dLbls>
          <c:dLblPos val="t"/>
          <c:showLegendKey val="0"/>
          <c:showVal val="1"/>
          <c:showCatName val="0"/>
          <c:showSerName val="0"/>
          <c:showPercent val="0"/>
          <c:showBubbleSize val="0"/>
        </c:dLbls>
        <c:marker val="1"/>
        <c:smooth val="0"/>
        <c:axId val="409639552"/>
        <c:axId val="409634064"/>
      </c:lineChart>
      <c:catAx>
        <c:axId val="409639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634064"/>
        <c:crosses val="autoZero"/>
        <c:auto val="1"/>
        <c:lblAlgn val="ctr"/>
        <c:lblOffset val="100"/>
        <c:noMultiLvlLbl val="0"/>
      </c:catAx>
      <c:valAx>
        <c:axId val="4096340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639552"/>
        <c:crosses val="autoZero"/>
        <c:crossBetween val="between"/>
        <c:majorUnit val="0.2"/>
      </c:valAx>
      <c:spPr>
        <a:noFill/>
        <a:ln>
          <a:noFill/>
        </a:ln>
        <a:effectLst/>
      </c:spPr>
    </c:plotArea>
    <c:legend>
      <c:legendPos val="b"/>
      <c:layout>
        <c:manualLayout>
          <c:xMode val="edge"/>
          <c:yMode val="edge"/>
          <c:x val="5.000004267759213E-2"/>
          <c:y val="0.90050203719550015"/>
          <c:w val="0.89999991464481577"/>
          <c:h val="8.4542828208288526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1"/>
          <c:order val="0"/>
          <c:tx>
            <c:v>2024</c:v>
          </c:tx>
          <c:spPr>
            <a:pattFill prst="trellis">
              <a:fgClr>
                <a:schemeClr val="accent6">
                  <a:lumMod val="60000"/>
                  <a:lumOff val="40000"/>
                </a:schemeClr>
              </a:fgClr>
              <a:bgClr>
                <a:schemeClr val="bg1"/>
              </a:bgClr>
            </a:pattFill>
            <a:ln>
              <a:noFill/>
            </a:ln>
            <a:effectLst/>
          </c:spPr>
          <c:invertIfNegative val="0"/>
          <c:dLbls>
            <c:delete val="1"/>
          </c:dLbls>
          <c:cat>
            <c:strRef>
              <c:f>Sheet3!$A$2:$A$8</c:f>
              <c:strCache>
                <c:ptCount val="7"/>
                <c:pt idx="0">
                  <c:v>Сектор</c:v>
                </c:pt>
                <c:pt idx="1">
                  <c:v>Енергетика/клімат</c:v>
                </c:pt>
                <c:pt idx="2">
                  <c:v>Житло</c:v>
                </c:pt>
                <c:pt idx="3">
                  <c:v>Фінансові послуги</c:v>
                </c:pt>
                <c:pt idx="4">
                  <c:v>Їжа, агрокультури</c:v>
                </c:pt>
                <c:pt idx="5">
                  <c:v>Охорона здоров’я</c:v>
                </c:pt>
                <c:pt idx="6">
                  <c:v>ІКТ</c:v>
                </c:pt>
              </c:strCache>
            </c:strRef>
          </c:cat>
          <c:val>
            <c:numRef>
              <c:f>Sheet3!$C$2:$C$8</c:f>
              <c:numCache>
                <c:formatCode>#,##0</c:formatCode>
                <c:ptCount val="7"/>
                <c:pt idx="0" formatCode="General">
                  <c:v>2024</c:v>
                </c:pt>
                <c:pt idx="1">
                  <c:v>31200</c:v>
                </c:pt>
                <c:pt idx="2">
                  <c:v>28711</c:v>
                </c:pt>
                <c:pt idx="3">
                  <c:v>65980</c:v>
                </c:pt>
                <c:pt idx="4">
                  <c:v>8823</c:v>
                </c:pt>
                <c:pt idx="5">
                  <c:v>6656</c:v>
                </c:pt>
                <c:pt idx="6">
                  <c:v>10641</c:v>
                </c:pt>
              </c:numCache>
            </c:numRef>
          </c:val>
          <c:extLst xmlns:c16r2="http://schemas.microsoft.com/office/drawing/2015/06/chart">
            <c:ext xmlns:c16="http://schemas.microsoft.com/office/drawing/2014/chart" uri="{C3380CC4-5D6E-409C-BE32-E72D297353CC}">
              <c16:uniqueId val="{00000000-3518-D54D-90D6-388029CEDD85}"/>
            </c:ext>
          </c:extLst>
        </c:ser>
        <c:ser>
          <c:idx val="0"/>
          <c:order val="1"/>
          <c:tx>
            <c:v>2019</c:v>
          </c:tx>
          <c:spPr>
            <a:pattFill prst="trellis">
              <a:fgClr>
                <a:schemeClr val="accent2">
                  <a:lumMod val="40000"/>
                  <a:lumOff val="60000"/>
                </a:schemeClr>
              </a:fgClr>
              <a:bgClr>
                <a:schemeClr val="bg1"/>
              </a:bgClr>
            </a:pattFill>
            <a:ln>
              <a:noFill/>
            </a:ln>
            <a:effectLst/>
          </c:spPr>
          <c:invertIfNegative val="0"/>
          <c:dLbls>
            <c:delete val="1"/>
          </c:dLbls>
          <c:cat>
            <c:strRef>
              <c:f>Sheet3!$A$2:$A$8</c:f>
              <c:strCache>
                <c:ptCount val="7"/>
                <c:pt idx="0">
                  <c:v>Сектор</c:v>
                </c:pt>
                <c:pt idx="1">
                  <c:v>Енергетика/клімат</c:v>
                </c:pt>
                <c:pt idx="2">
                  <c:v>Житло</c:v>
                </c:pt>
                <c:pt idx="3">
                  <c:v>Фінансові послуги</c:v>
                </c:pt>
                <c:pt idx="4">
                  <c:v>Їжа, агрокультури</c:v>
                </c:pt>
                <c:pt idx="5">
                  <c:v>Охорона здоров’я</c:v>
                </c:pt>
                <c:pt idx="6">
                  <c:v>ІКТ</c:v>
                </c:pt>
              </c:strCache>
            </c:strRef>
          </c:cat>
          <c:val>
            <c:numRef>
              <c:f>Sheet3!$B$2:$B$8</c:f>
              <c:numCache>
                <c:formatCode>#,##0</c:formatCode>
                <c:ptCount val="7"/>
                <c:pt idx="0" formatCode="General">
                  <c:v>2019</c:v>
                </c:pt>
                <c:pt idx="1">
                  <c:v>15338</c:v>
                </c:pt>
                <c:pt idx="2">
                  <c:v>6374</c:v>
                </c:pt>
                <c:pt idx="3">
                  <c:v>57482</c:v>
                </c:pt>
                <c:pt idx="4">
                  <c:v>3538</c:v>
                </c:pt>
                <c:pt idx="5">
                  <c:v>6086</c:v>
                </c:pt>
                <c:pt idx="6">
                  <c:v>2052</c:v>
                </c:pt>
              </c:numCache>
            </c:numRef>
          </c:val>
          <c:extLst xmlns:c16r2="http://schemas.microsoft.com/office/drawing/2015/06/chart">
            <c:ext xmlns:c16="http://schemas.microsoft.com/office/drawing/2014/chart" uri="{C3380CC4-5D6E-409C-BE32-E72D297353CC}">
              <c16:uniqueId val="{00000001-3518-D54D-90D6-388029CEDD85}"/>
            </c:ext>
          </c:extLst>
        </c:ser>
        <c:dLbls>
          <c:dLblPos val="outEnd"/>
          <c:showLegendKey val="0"/>
          <c:showVal val="1"/>
          <c:showCatName val="0"/>
          <c:showSerName val="0"/>
          <c:showPercent val="0"/>
          <c:showBubbleSize val="0"/>
        </c:dLbls>
        <c:gapWidth val="182"/>
        <c:axId val="409634456"/>
        <c:axId val="409639944"/>
      </c:barChart>
      <c:catAx>
        <c:axId val="4096344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639944"/>
        <c:crosses val="autoZero"/>
        <c:auto val="1"/>
        <c:lblAlgn val="ctr"/>
        <c:lblOffset val="100"/>
        <c:noMultiLvlLbl val="0"/>
      </c:catAx>
      <c:valAx>
        <c:axId val="40963994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634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Sheet5!$B$1</c:f>
              <c:strCache>
                <c:ptCount val="1"/>
                <c:pt idx="0">
                  <c:v>млрд дол. США</c:v>
                </c:pt>
              </c:strCache>
            </c:strRef>
          </c:tx>
          <c:spPr>
            <a:pattFill prst="trellis">
              <a:fgClr>
                <a:schemeClr val="accent1">
                  <a:lumMod val="40000"/>
                  <a:lumOff val="60000"/>
                </a:schemeClr>
              </a:fgClr>
              <a:bgClr>
                <a:schemeClr val="bg1"/>
              </a:bgClr>
            </a:pattFill>
            <a:ln>
              <a:noFill/>
            </a:ln>
            <a:effectLst/>
          </c:spPr>
          <c:invertIfNegative val="0"/>
          <c:dLbls>
            <c:spPr>
              <a:solidFill>
                <a:schemeClr val="accent5">
                  <a:lumMod val="20000"/>
                  <a:lumOff val="80000"/>
                  <a:alpha val="44862"/>
                </a:schemeClr>
              </a:solid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Sheet5!$A$2:$A$7</c:f>
              <c:numCache>
                <c:formatCode>General</c:formatCode>
                <c:ptCount val="6"/>
                <c:pt idx="0">
                  <c:v>2018</c:v>
                </c:pt>
                <c:pt idx="1">
                  <c:v>2019</c:v>
                </c:pt>
                <c:pt idx="2">
                  <c:v>2020</c:v>
                </c:pt>
                <c:pt idx="3">
                  <c:v>2021</c:v>
                </c:pt>
                <c:pt idx="4">
                  <c:v>2022</c:v>
                </c:pt>
                <c:pt idx="5">
                  <c:v>2023</c:v>
                </c:pt>
              </c:numCache>
            </c:numRef>
          </c:cat>
          <c:val>
            <c:numRef>
              <c:f>Sheet5!$B$2:$B$7</c:f>
              <c:numCache>
                <c:formatCode>General</c:formatCode>
                <c:ptCount val="6"/>
                <c:pt idx="0">
                  <c:v>502</c:v>
                </c:pt>
                <c:pt idx="1">
                  <c:v>715</c:v>
                </c:pt>
                <c:pt idx="2">
                  <c:v>715</c:v>
                </c:pt>
                <c:pt idx="3" formatCode="#,##0">
                  <c:v>1164</c:v>
                </c:pt>
                <c:pt idx="4" formatCode="#,##0">
                  <c:v>1164</c:v>
                </c:pt>
                <c:pt idx="5" formatCode="#,##0">
                  <c:v>1571</c:v>
                </c:pt>
              </c:numCache>
            </c:numRef>
          </c:val>
          <c:extLst xmlns:c16r2="http://schemas.microsoft.com/office/drawing/2015/06/chart">
            <c:ext xmlns:c16="http://schemas.microsoft.com/office/drawing/2014/chart" uri="{C3380CC4-5D6E-409C-BE32-E72D297353CC}">
              <c16:uniqueId val="{00000000-BE23-404F-98CC-681EFB0F35FC}"/>
            </c:ext>
          </c:extLst>
        </c:ser>
        <c:dLbls>
          <c:dLblPos val="inEnd"/>
          <c:showLegendKey val="0"/>
          <c:showVal val="1"/>
          <c:showCatName val="0"/>
          <c:showSerName val="0"/>
          <c:showPercent val="0"/>
          <c:showBubbleSize val="0"/>
        </c:dLbls>
        <c:gapWidth val="219"/>
        <c:axId val="409636808"/>
        <c:axId val="409637592"/>
      </c:barChart>
      <c:catAx>
        <c:axId val="409636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637592"/>
        <c:crosses val="autoZero"/>
        <c:auto val="1"/>
        <c:lblAlgn val="ctr"/>
        <c:lblOffset val="100"/>
        <c:noMultiLvlLbl val="0"/>
      </c:catAx>
      <c:valAx>
        <c:axId val="409637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636808"/>
        <c:crosses val="autoZero"/>
        <c:crossBetween val="between"/>
        <c:majorUnit val="6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GB</c:v>
                </c:pt>
              </c:strCache>
            </c:strRef>
          </c:tx>
          <c:spPr>
            <a:ln w="28575" cap="rnd">
              <a:solidFill>
                <a:schemeClr val="accent1">
                  <a:lumMod val="60000"/>
                  <a:lumOff val="40000"/>
                </a:schemeClr>
              </a:solidFill>
              <a:round/>
            </a:ln>
            <a:effectLst/>
          </c:spPr>
          <c:marker>
            <c:symbol val="circle"/>
            <c:size val="5"/>
            <c:spPr>
              <a:solidFill>
                <a:schemeClr val="accent1">
                  <a:lumMod val="60000"/>
                  <a:lumOff val="40000"/>
                </a:schemeClr>
              </a:solidFill>
              <a:ln w="9525">
                <a:solidFill>
                  <a:schemeClr val="accent1"/>
                </a:solidFill>
              </a:ln>
              <a:effectLst/>
            </c:spPr>
          </c:marker>
          <c:cat>
            <c:numRef>
              <c:f>Sheet1!$A$2:$A$6</c:f>
              <c:numCache>
                <c:formatCode>General</c:formatCode>
                <c:ptCount val="5"/>
                <c:pt idx="0">
                  <c:v>2019</c:v>
                </c:pt>
                <c:pt idx="1">
                  <c:v>2020</c:v>
                </c:pt>
                <c:pt idx="2">
                  <c:v>2021</c:v>
                </c:pt>
                <c:pt idx="3">
                  <c:v>2022</c:v>
                </c:pt>
                <c:pt idx="4">
                  <c:v>2023</c:v>
                </c:pt>
              </c:numCache>
            </c:numRef>
          </c:cat>
          <c:val>
            <c:numRef>
              <c:f>Sheet1!$B$2:$B$6</c:f>
              <c:numCache>
                <c:formatCode>General</c:formatCode>
                <c:ptCount val="5"/>
                <c:pt idx="0">
                  <c:v>265</c:v>
                </c:pt>
                <c:pt idx="1">
                  <c:v>308</c:v>
                </c:pt>
                <c:pt idx="2">
                  <c:v>570</c:v>
                </c:pt>
                <c:pt idx="3">
                  <c:v>523</c:v>
                </c:pt>
                <c:pt idx="4">
                  <c:v>575</c:v>
                </c:pt>
              </c:numCache>
            </c:numRef>
          </c:val>
          <c:smooth val="0"/>
          <c:extLst xmlns:c16r2="http://schemas.microsoft.com/office/drawing/2015/06/chart">
            <c:ext xmlns:c16="http://schemas.microsoft.com/office/drawing/2014/chart" uri="{C3380CC4-5D6E-409C-BE32-E72D297353CC}">
              <c16:uniqueId val="{00000000-7A24-3748-8DF4-2039C730BAEE}"/>
            </c:ext>
          </c:extLst>
        </c:ser>
        <c:ser>
          <c:idx val="1"/>
          <c:order val="1"/>
          <c:tx>
            <c:strRef>
              <c:f>Sheet1!$C$1</c:f>
              <c:strCache>
                <c:ptCount val="1"/>
                <c:pt idx="0">
                  <c:v>SB</c:v>
                </c:pt>
              </c:strCache>
            </c:strRef>
          </c:tx>
          <c:spPr>
            <a:ln w="28575" cap="rnd">
              <a:solidFill>
                <a:schemeClr val="accent2">
                  <a:lumMod val="60000"/>
                  <a:lumOff val="40000"/>
                </a:schemeClr>
              </a:solidFill>
              <a:round/>
            </a:ln>
            <a:effectLst/>
          </c:spPr>
          <c:marker>
            <c:symbol val="circle"/>
            <c:size val="5"/>
            <c:spPr>
              <a:solidFill>
                <a:schemeClr val="accent2">
                  <a:lumMod val="60000"/>
                  <a:lumOff val="40000"/>
                </a:schemeClr>
              </a:solidFill>
              <a:ln w="9525">
                <a:solidFill>
                  <a:schemeClr val="accent2"/>
                </a:solidFill>
              </a:ln>
              <a:effectLst/>
            </c:spPr>
          </c:marker>
          <c:cat>
            <c:numRef>
              <c:f>Sheet1!$A$2:$A$6</c:f>
              <c:numCache>
                <c:formatCode>General</c:formatCode>
                <c:ptCount val="5"/>
                <c:pt idx="0">
                  <c:v>2019</c:v>
                </c:pt>
                <c:pt idx="1">
                  <c:v>2020</c:v>
                </c:pt>
                <c:pt idx="2">
                  <c:v>2021</c:v>
                </c:pt>
                <c:pt idx="3">
                  <c:v>2022</c:v>
                </c:pt>
                <c:pt idx="4">
                  <c:v>2023</c:v>
                </c:pt>
              </c:numCache>
            </c:numRef>
          </c:cat>
          <c:val>
            <c:numRef>
              <c:f>Sheet1!$C$2:$C$6</c:f>
              <c:numCache>
                <c:formatCode>General</c:formatCode>
                <c:ptCount val="5"/>
                <c:pt idx="0">
                  <c:v>19</c:v>
                </c:pt>
                <c:pt idx="1">
                  <c:v>170</c:v>
                </c:pt>
                <c:pt idx="2">
                  <c:v>221</c:v>
                </c:pt>
                <c:pt idx="3">
                  <c:v>175</c:v>
                </c:pt>
                <c:pt idx="4">
                  <c:v>181</c:v>
                </c:pt>
              </c:numCache>
            </c:numRef>
          </c:val>
          <c:smooth val="0"/>
          <c:extLst xmlns:c16r2="http://schemas.microsoft.com/office/drawing/2015/06/chart">
            <c:ext xmlns:c16="http://schemas.microsoft.com/office/drawing/2014/chart" uri="{C3380CC4-5D6E-409C-BE32-E72D297353CC}">
              <c16:uniqueId val="{00000001-7A24-3748-8DF4-2039C730BAEE}"/>
            </c:ext>
          </c:extLst>
        </c:ser>
        <c:ser>
          <c:idx val="2"/>
          <c:order val="2"/>
          <c:tx>
            <c:strRef>
              <c:f>Sheet1!$D$1</c:f>
              <c:strCache>
                <c:ptCount val="1"/>
                <c:pt idx="0">
                  <c:v>SuB</c:v>
                </c:pt>
              </c:strCache>
            </c:strRef>
          </c:tx>
          <c:spPr>
            <a:ln w="28575" cap="rnd">
              <a:solidFill>
                <a:schemeClr val="accent3">
                  <a:lumMod val="60000"/>
                  <a:lumOff val="40000"/>
                </a:schemeClr>
              </a:solidFill>
              <a:round/>
            </a:ln>
            <a:effectLst/>
          </c:spPr>
          <c:marker>
            <c:symbol val="circle"/>
            <c:size val="5"/>
            <c:spPr>
              <a:solidFill>
                <a:schemeClr val="accent3">
                  <a:lumMod val="60000"/>
                  <a:lumOff val="40000"/>
                </a:schemeClr>
              </a:solidFill>
              <a:ln w="9525">
                <a:solidFill>
                  <a:schemeClr val="accent3"/>
                </a:solidFill>
              </a:ln>
              <a:effectLst/>
            </c:spPr>
          </c:marker>
          <c:cat>
            <c:numRef>
              <c:f>Sheet1!$A$2:$A$6</c:f>
              <c:numCache>
                <c:formatCode>General</c:formatCode>
                <c:ptCount val="5"/>
                <c:pt idx="0">
                  <c:v>2019</c:v>
                </c:pt>
                <c:pt idx="1">
                  <c:v>2020</c:v>
                </c:pt>
                <c:pt idx="2">
                  <c:v>2021</c:v>
                </c:pt>
                <c:pt idx="3">
                  <c:v>2022</c:v>
                </c:pt>
                <c:pt idx="4">
                  <c:v>2023</c:v>
                </c:pt>
              </c:numCache>
            </c:numRef>
          </c:cat>
          <c:val>
            <c:numRef>
              <c:f>Sheet1!$D$2:$D$6</c:f>
              <c:numCache>
                <c:formatCode>General</c:formatCode>
                <c:ptCount val="5"/>
                <c:pt idx="0">
                  <c:v>53</c:v>
                </c:pt>
                <c:pt idx="1">
                  <c:v>137</c:v>
                </c:pt>
                <c:pt idx="2">
                  <c:v>200</c:v>
                </c:pt>
                <c:pt idx="3">
                  <c:v>151</c:v>
                </c:pt>
                <c:pt idx="4">
                  <c:v>159</c:v>
                </c:pt>
              </c:numCache>
            </c:numRef>
          </c:val>
          <c:smooth val="0"/>
          <c:extLst xmlns:c16r2="http://schemas.microsoft.com/office/drawing/2015/06/chart">
            <c:ext xmlns:c16="http://schemas.microsoft.com/office/drawing/2014/chart" uri="{C3380CC4-5D6E-409C-BE32-E72D297353CC}">
              <c16:uniqueId val="{00000002-7A24-3748-8DF4-2039C730BAEE}"/>
            </c:ext>
          </c:extLst>
        </c:ser>
        <c:ser>
          <c:idx val="3"/>
          <c:order val="3"/>
          <c:tx>
            <c:strRef>
              <c:f>Sheet1!$E$1</c:f>
              <c:strCache>
                <c:ptCount val="1"/>
                <c:pt idx="0">
                  <c:v>SLB</c:v>
                </c:pt>
              </c:strCache>
            </c:strRef>
          </c:tx>
          <c:spPr>
            <a:ln w="28575" cap="rnd">
              <a:solidFill>
                <a:schemeClr val="accent4">
                  <a:lumMod val="60000"/>
                  <a:lumOff val="40000"/>
                </a:schemeClr>
              </a:solidFill>
              <a:round/>
            </a:ln>
            <a:effectLst/>
          </c:spPr>
          <c:marker>
            <c:symbol val="circle"/>
            <c:size val="5"/>
            <c:spPr>
              <a:solidFill>
                <a:schemeClr val="accent4">
                  <a:lumMod val="60000"/>
                  <a:lumOff val="40000"/>
                </a:schemeClr>
              </a:solidFill>
              <a:ln w="9525">
                <a:solidFill>
                  <a:schemeClr val="accent4"/>
                </a:solidFill>
              </a:ln>
              <a:effectLst/>
            </c:spPr>
          </c:marker>
          <c:cat>
            <c:numRef>
              <c:f>Sheet1!$A$2:$A$6</c:f>
              <c:numCache>
                <c:formatCode>General</c:formatCode>
                <c:ptCount val="5"/>
                <c:pt idx="0">
                  <c:v>2019</c:v>
                </c:pt>
                <c:pt idx="1">
                  <c:v>2020</c:v>
                </c:pt>
                <c:pt idx="2">
                  <c:v>2021</c:v>
                </c:pt>
                <c:pt idx="3">
                  <c:v>2022</c:v>
                </c:pt>
                <c:pt idx="4">
                  <c:v>2023</c:v>
                </c:pt>
              </c:numCache>
            </c:numRef>
          </c:cat>
          <c:val>
            <c:numRef>
              <c:f>Sheet1!$E$2:$E$6</c:f>
              <c:numCache>
                <c:formatCode>General</c:formatCode>
                <c:ptCount val="5"/>
                <c:pt idx="0">
                  <c:v>4</c:v>
                </c:pt>
                <c:pt idx="1">
                  <c:v>9</c:v>
                </c:pt>
                <c:pt idx="2">
                  <c:v>97</c:v>
                </c:pt>
                <c:pt idx="3">
                  <c:v>77</c:v>
                </c:pt>
                <c:pt idx="4">
                  <c:v>66</c:v>
                </c:pt>
              </c:numCache>
            </c:numRef>
          </c:val>
          <c:smooth val="0"/>
          <c:extLst xmlns:c16r2="http://schemas.microsoft.com/office/drawing/2015/06/chart">
            <c:ext xmlns:c16="http://schemas.microsoft.com/office/drawing/2014/chart" uri="{C3380CC4-5D6E-409C-BE32-E72D297353CC}">
              <c16:uniqueId val="{00000003-7A24-3748-8DF4-2039C730BAEE}"/>
            </c:ext>
          </c:extLst>
        </c:ser>
        <c:ser>
          <c:idx val="4"/>
          <c:order val="4"/>
          <c:tx>
            <c:strRef>
              <c:f>Sheet1!$F$1</c:f>
              <c:strCache>
                <c:ptCount val="1"/>
                <c:pt idx="0">
                  <c:v>TB</c:v>
                </c:pt>
              </c:strCache>
            </c:strRef>
          </c:tx>
          <c:spPr>
            <a:ln w="28575" cap="rnd">
              <a:solidFill>
                <a:schemeClr val="accent5">
                  <a:lumMod val="60000"/>
                  <a:lumOff val="40000"/>
                </a:schemeClr>
              </a:solidFill>
              <a:round/>
            </a:ln>
            <a:effectLst/>
          </c:spPr>
          <c:marker>
            <c:symbol val="circle"/>
            <c:size val="5"/>
            <c:spPr>
              <a:solidFill>
                <a:schemeClr val="accent5">
                  <a:lumMod val="60000"/>
                  <a:lumOff val="40000"/>
                </a:schemeClr>
              </a:solidFill>
              <a:ln w="9525">
                <a:solidFill>
                  <a:schemeClr val="accent5"/>
                </a:solidFill>
              </a:ln>
              <a:effectLst/>
            </c:spPr>
          </c:marker>
          <c:cat>
            <c:numRef>
              <c:f>Sheet1!$A$2:$A$6</c:f>
              <c:numCache>
                <c:formatCode>General</c:formatCode>
                <c:ptCount val="5"/>
                <c:pt idx="0">
                  <c:v>2019</c:v>
                </c:pt>
                <c:pt idx="1">
                  <c:v>2020</c:v>
                </c:pt>
                <c:pt idx="2">
                  <c:v>2021</c:v>
                </c:pt>
                <c:pt idx="3">
                  <c:v>2022</c:v>
                </c:pt>
                <c:pt idx="4">
                  <c:v>2023</c:v>
                </c:pt>
              </c:numCache>
            </c:numRef>
          </c:cat>
          <c:val>
            <c:numRef>
              <c:f>Sheet1!$F$2:$F$6</c:f>
              <c:numCache>
                <c:formatCode>General</c:formatCode>
                <c:ptCount val="5"/>
                <c:pt idx="0">
                  <c:v>1</c:v>
                </c:pt>
                <c:pt idx="1">
                  <c:v>3</c:v>
                </c:pt>
                <c:pt idx="2">
                  <c:v>4</c:v>
                </c:pt>
                <c:pt idx="3">
                  <c:v>4</c:v>
                </c:pt>
                <c:pt idx="4">
                  <c:v>3</c:v>
                </c:pt>
              </c:numCache>
            </c:numRef>
          </c:val>
          <c:smooth val="0"/>
          <c:extLst xmlns:c16r2="http://schemas.microsoft.com/office/drawing/2015/06/chart">
            <c:ext xmlns:c16="http://schemas.microsoft.com/office/drawing/2014/chart" uri="{C3380CC4-5D6E-409C-BE32-E72D297353CC}">
              <c16:uniqueId val="{00000004-7A24-3748-8DF4-2039C730BAEE}"/>
            </c:ext>
          </c:extLst>
        </c:ser>
        <c:dLbls>
          <c:showLegendKey val="0"/>
          <c:showVal val="0"/>
          <c:showCatName val="0"/>
          <c:showSerName val="0"/>
          <c:showPercent val="0"/>
          <c:showBubbleSize val="0"/>
        </c:dLbls>
        <c:marker val="1"/>
        <c:smooth val="0"/>
        <c:axId val="409867512"/>
        <c:axId val="409872608"/>
      </c:lineChart>
      <c:catAx>
        <c:axId val="409867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872608"/>
        <c:crosses val="autoZero"/>
        <c:auto val="1"/>
        <c:lblAlgn val="ctr"/>
        <c:lblOffset val="100"/>
        <c:noMultiLvlLbl val="0"/>
      </c:catAx>
      <c:valAx>
        <c:axId val="409872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867512"/>
        <c:crosses val="autoZero"/>
        <c:crossBetween val="between"/>
        <c:majorUnit val="200"/>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608760579077712"/>
          <c:y val="0.17219127205199627"/>
          <c:w val="0.53426720473282729"/>
          <c:h val="0.62166524100921927"/>
        </c:manualLayout>
      </c:layout>
      <c:barChart>
        <c:barDir val="bar"/>
        <c:grouping val="percentStacked"/>
        <c:varyColors val="0"/>
        <c:ser>
          <c:idx val="0"/>
          <c:order val="0"/>
          <c:tx>
            <c:strRef>
              <c:f>Sheet2!$D$19</c:f>
              <c:strCache>
                <c:ptCount val="1"/>
                <c:pt idx="0">
                  <c:v>Зелені облігації</c:v>
                </c:pt>
              </c:strCache>
            </c:strRef>
          </c:tx>
          <c:spPr>
            <a:pattFill prst="trellis">
              <a:fgClr>
                <a:schemeClr val="accent6">
                  <a:lumMod val="40000"/>
                  <a:lumOff val="60000"/>
                </a:schemeClr>
              </a:fgClr>
              <a:bgClr>
                <a:schemeClr val="bg1"/>
              </a:bgClr>
            </a:pattFill>
            <a:ln>
              <a:noFill/>
            </a:ln>
            <a:effectLst/>
          </c:spPr>
          <c:invertIfNegative val="0"/>
          <c:cat>
            <c:numRef>
              <c:f>(Sheet2!$C$20,Sheet2!$C$21)</c:f>
              <c:numCache>
                <c:formatCode>General</c:formatCode>
                <c:ptCount val="2"/>
                <c:pt idx="0">
                  <c:v>2019</c:v>
                </c:pt>
                <c:pt idx="1">
                  <c:v>2023</c:v>
                </c:pt>
              </c:numCache>
            </c:numRef>
          </c:cat>
          <c:val>
            <c:numRef>
              <c:f>Sheet2!$D$20:$D$21</c:f>
              <c:numCache>
                <c:formatCode>0.00%</c:formatCode>
                <c:ptCount val="2"/>
                <c:pt idx="0">
                  <c:v>0.77485380116959068</c:v>
                </c:pt>
                <c:pt idx="1">
                  <c:v>0.58434959349593496</c:v>
                </c:pt>
              </c:numCache>
            </c:numRef>
          </c:val>
          <c:extLst xmlns:c16r2="http://schemas.microsoft.com/office/drawing/2015/06/chart">
            <c:ext xmlns:c16="http://schemas.microsoft.com/office/drawing/2014/chart" uri="{C3380CC4-5D6E-409C-BE32-E72D297353CC}">
              <c16:uniqueId val="{00000000-D19A-C145-A1FE-2CA02861CF7F}"/>
            </c:ext>
          </c:extLst>
        </c:ser>
        <c:ser>
          <c:idx val="1"/>
          <c:order val="1"/>
          <c:tx>
            <c:strRef>
              <c:f>Sheet2!$E$19</c:f>
              <c:strCache>
                <c:ptCount val="1"/>
                <c:pt idx="0">
                  <c:v>Соціальні облігації</c:v>
                </c:pt>
              </c:strCache>
            </c:strRef>
          </c:tx>
          <c:spPr>
            <a:pattFill prst="trellis">
              <a:fgClr>
                <a:schemeClr val="accent5">
                  <a:lumMod val="40000"/>
                  <a:lumOff val="60000"/>
                </a:schemeClr>
              </a:fgClr>
              <a:bgClr>
                <a:schemeClr val="bg1"/>
              </a:bgClr>
            </a:pattFill>
            <a:ln>
              <a:noFill/>
            </a:ln>
            <a:effectLst/>
          </c:spPr>
          <c:invertIfNegative val="0"/>
          <c:cat>
            <c:numRef>
              <c:f>(Sheet2!$C$20,Sheet2!$C$21)</c:f>
              <c:numCache>
                <c:formatCode>General</c:formatCode>
                <c:ptCount val="2"/>
                <c:pt idx="0">
                  <c:v>2019</c:v>
                </c:pt>
                <c:pt idx="1">
                  <c:v>2023</c:v>
                </c:pt>
              </c:numCache>
            </c:numRef>
          </c:cat>
          <c:val>
            <c:numRef>
              <c:f>Sheet2!$E$20:$E$21</c:f>
              <c:numCache>
                <c:formatCode>0.00%</c:formatCode>
                <c:ptCount val="2"/>
                <c:pt idx="0">
                  <c:v>5.5555555555555552E-2</c:v>
                </c:pt>
                <c:pt idx="1">
                  <c:v>0.1839430894308943</c:v>
                </c:pt>
              </c:numCache>
            </c:numRef>
          </c:val>
          <c:extLst xmlns:c16r2="http://schemas.microsoft.com/office/drawing/2015/06/chart">
            <c:ext xmlns:c16="http://schemas.microsoft.com/office/drawing/2014/chart" uri="{C3380CC4-5D6E-409C-BE32-E72D297353CC}">
              <c16:uniqueId val="{00000001-D19A-C145-A1FE-2CA02861CF7F}"/>
            </c:ext>
          </c:extLst>
        </c:ser>
        <c:ser>
          <c:idx val="2"/>
          <c:order val="2"/>
          <c:tx>
            <c:strRef>
              <c:f>Sheet2!$F$19</c:f>
              <c:strCache>
                <c:ptCount val="1"/>
                <c:pt idx="0">
                  <c:v>Облігації сталого розвитку</c:v>
                </c:pt>
              </c:strCache>
            </c:strRef>
          </c:tx>
          <c:spPr>
            <a:pattFill prst="trellis">
              <a:fgClr>
                <a:schemeClr val="accent4">
                  <a:lumMod val="40000"/>
                  <a:lumOff val="60000"/>
                </a:schemeClr>
              </a:fgClr>
              <a:bgClr>
                <a:schemeClr val="bg1"/>
              </a:bgClr>
            </a:pattFill>
            <a:ln>
              <a:noFill/>
            </a:ln>
            <a:effectLst/>
          </c:spPr>
          <c:invertIfNegative val="0"/>
          <c:cat>
            <c:numRef>
              <c:f>(Sheet2!$C$20,Sheet2!$C$21)</c:f>
              <c:numCache>
                <c:formatCode>General</c:formatCode>
                <c:ptCount val="2"/>
                <c:pt idx="0">
                  <c:v>2019</c:v>
                </c:pt>
                <c:pt idx="1">
                  <c:v>2023</c:v>
                </c:pt>
              </c:numCache>
            </c:numRef>
          </c:cat>
          <c:val>
            <c:numRef>
              <c:f>Sheet2!$F$20:$F$21</c:f>
              <c:numCache>
                <c:formatCode>0.00%</c:formatCode>
                <c:ptCount val="2"/>
                <c:pt idx="0">
                  <c:v>0.15497076023391812</c:v>
                </c:pt>
                <c:pt idx="1">
                  <c:v>0.16158536585365854</c:v>
                </c:pt>
              </c:numCache>
            </c:numRef>
          </c:val>
          <c:extLst xmlns:c16r2="http://schemas.microsoft.com/office/drawing/2015/06/chart">
            <c:ext xmlns:c16="http://schemas.microsoft.com/office/drawing/2014/chart" uri="{C3380CC4-5D6E-409C-BE32-E72D297353CC}">
              <c16:uniqueId val="{00000002-D19A-C145-A1FE-2CA02861CF7F}"/>
            </c:ext>
          </c:extLst>
        </c:ser>
        <c:ser>
          <c:idx val="3"/>
          <c:order val="3"/>
          <c:tx>
            <c:strRef>
              <c:f>Sheet2!$G$19</c:f>
              <c:strCache>
                <c:ptCount val="1"/>
                <c:pt idx="0">
                  <c:v>Облігації, пов’язані зі сталим розвитком (SLB)</c:v>
                </c:pt>
              </c:strCache>
            </c:strRef>
          </c:tx>
          <c:spPr>
            <a:pattFill prst="trellis">
              <a:fgClr>
                <a:schemeClr val="accent2">
                  <a:lumMod val="60000"/>
                  <a:lumOff val="40000"/>
                </a:schemeClr>
              </a:fgClr>
              <a:bgClr>
                <a:schemeClr val="bg1"/>
              </a:bgClr>
            </a:pattFill>
            <a:ln>
              <a:noFill/>
            </a:ln>
            <a:effectLst/>
          </c:spPr>
          <c:invertIfNegative val="0"/>
          <c:cat>
            <c:numRef>
              <c:f>(Sheet2!$C$20,Sheet2!$C$21)</c:f>
              <c:numCache>
                <c:formatCode>General</c:formatCode>
                <c:ptCount val="2"/>
                <c:pt idx="0">
                  <c:v>2019</c:v>
                </c:pt>
                <c:pt idx="1">
                  <c:v>2023</c:v>
                </c:pt>
              </c:numCache>
            </c:numRef>
          </c:cat>
          <c:val>
            <c:numRef>
              <c:f>Sheet2!$G$20:$G$21</c:f>
              <c:numCache>
                <c:formatCode>0.00%</c:formatCode>
                <c:ptCount val="2"/>
                <c:pt idx="0">
                  <c:v>1.1695906432748537E-2</c:v>
                </c:pt>
                <c:pt idx="1">
                  <c:v>6.7073170731707321E-2</c:v>
                </c:pt>
              </c:numCache>
            </c:numRef>
          </c:val>
          <c:extLst xmlns:c16r2="http://schemas.microsoft.com/office/drawing/2015/06/chart">
            <c:ext xmlns:c16="http://schemas.microsoft.com/office/drawing/2014/chart" uri="{C3380CC4-5D6E-409C-BE32-E72D297353CC}">
              <c16:uniqueId val="{00000003-D19A-C145-A1FE-2CA02861CF7F}"/>
            </c:ext>
          </c:extLst>
        </c:ser>
        <c:ser>
          <c:idx val="4"/>
          <c:order val="4"/>
          <c:tx>
            <c:strRef>
              <c:f>Sheet2!$H$19</c:f>
              <c:strCache>
                <c:ptCount val="1"/>
                <c:pt idx="0">
                  <c:v>Перехідні облігації</c:v>
                </c:pt>
              </c:strCache>
            </c:strRef>
          </c:tx>
          <c:spPr>
            <a:solidFill>
              <a:srgbClr val="FF0000"/>
            </a:solidFill>
            <a:ln>
              <a:noFill/>
            </a:ln>
            <a:effectLst/>
          </c:spPr>
          <c:invertIfNegative val="0"/>
          <c:cat>
            <c:numRef>
              <c:f>(Sheet2!$C$20,Sheet2!$C$21)</c:f>
              <c:numCache>
                <c:formatCode>General</c:formatCode>
                <c:ptCount val="2"/>
                <c:pt idx="0">
                  <c:v>2019</c:v>
                </c:pt>
                <c:pt idx="1">
                  <c:v>2023</c:v>
                </c:pt>
              </c:numCache>
            </c:numRef>
          </c:cat>
          <c:val>
            <c:numRef>
              <c:f>Sheet2!$H$20:$H$21</c:f>
              <c:numCache>
                <c:formatCode>0.00%</c:formatCode>
                <c:ptCount val="2"/>
                <c:pt idx="0">
                  <c:v>2.9239766081871343E-3</c:v>
                </c:pt>
                <c:pt idx="1">
                  <c:v>3.0487804878048782E-3</c:v>
                </c:pt>
              </c:numCache>
            </c:numRef>
          </c:val>
          <c:extLst xmlns:c16r2="http://schemas.microsoft.com/office/drawing/2015/06/chart">
            <c:ext xmlns:c16="http://schemas.microsoft.com/office/drawing/2014/chart" uri="{C3380CC4-5D6E-409C-BE32-E72D297353CC}">
              <c16:uniqueId val="{00000004-D19A-C145-A1FE-2CA02861CF7F}"/>
            </c:ext>
          </c:extLst>
        </c:ser>
        <c:dLbls>
          <c:showLegendKey val="0"/>
          <c:showVal val="0"/>
          <c:showCatName val="0"/>
          <c:showSerName val="0"/>
          <c:showPercent val="0"/>
          <c:showBubbleSize val="0"/>
        </c:dLbls>
        <c:gapWidth val="300"/>
        <c:overlap val="100"/>
        <c:serLines>
          <c:spPr>
            <a:ln w="9525" cap="flat" cmpd="sng" algn="ctr">
              <a:solidFill>
                <a:schemeClr val="accent3">
                  <a:lumMod val="40000"/>
                  <a:lumOff val="60000"/>
                </a:schemeClr>
              </a:solidFill>
              <a:round/>
            </a:ln>
            <a:effectLst/>
          </c:spPr>
        </c:serLines>
        <c:axId val="409868296"/>
        <c:axId val="409868688"/>
      </c:barChart>
      <c:catAx>
        <c:axId val="4098682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868688"/>
        <c:crosses val="autoZero"/>
        <c:auto val="1"/>
        <c:lblAlgn val="ctr"/>
        <c:lblOffset val="100"/>
        <c:noMultiLvlLbl val="0"/>
      </c:catAx>
      <c:valAx>
        <c:axId val="40986868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868296"/>
        <c:crosses val="autoZero"/>
        <c:crossBetween val="between"/>
      </c:valAx>
      <c:spPr>
        <a:noFill/>
        <a:ln>
          <a:noFill/>
        </a:ln>
        <a:effectLst/>
      </c:spPr>
    </c:plotArea>
    <c:legend>
      <c:legendPos val="r"/>
      <c:layout>
        <c:manualLayout>
          <c:xMode val="edge"/>
          <c:yMode val="edge"/>
          <c:x val="0.71248326961054176"/>
          <c:y val="0.15289144491745948"/>
          <c:w val="0.26613550310701217"/>
          <c:h val="0.7615165436702723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Sheet1!$A$2</c:f>
              <c:strCache>
                <c:ptCount val="1"/>
                <c:pt idx="0">
                  <c:v>Microsoft (MSFT)</c:v>
                </c:pt>
              </c:strCache>
            </c:strRef>
          </c:tx>
          <c:spPr>
            <a:pattFill prst="pct75">
              <a:fgClr>
                <a:schemeClr val="accent5">
                  <a:lumMod val="40000"/>
                  <a:lumOff val="60000"/>
                </a:schemeClr>
              </a:fgClr>
              <a:bgClr>
                <a:schemeClr val="bg1"/>
              </a:bgClr>
            </a:pattFill>
            <a:ln>
              <a:noFill/>
            </a:ln>
            <a:effectLst/>
          </c:spPr>
          <c:invertIfNegative val="0"/>
          <c:dLbls>
            <c:numFmt formatCode="#,##0" sourceLinked="0"/>
            <c:spPr>
              <a:solidFill>
                <a:schemeClr val="accent5">
                  <a:lumMod val="20000"/>
                  <a:lumOff val="80000"/>
                  <a:alpha val="22000"/>
                </a:schemeClr>
              </a:solidFill>
              <a:ln>
                <a:noFill/>
              </a:ln>
              <a:effectLst/>
            </c:spPr>
            <c:txPr>
              <a:bodyPr rot="-5400000" spcFirstLastPara="1" vertOverflow="ellipsis"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Sheet1!$B$1:$L$1</c:f>
              <c:strCache>
                <c:ptCount val="11"/>
                <c:pt idx="0">
                  <c:v>2014</c:v>
                </c:pt>
                <c:pt idx="1">
                  <c:v>2015</c:v>
                </c:pt>
                <c:pt idx="2">
                  <c:v>2016</c:v>
                </c:pt>
                <c:pt idx="3">
                  <c:v>2017</c:v>
                </c:pt>
                <c:pt idx="4">
                  <c:v>2018</c:v>
                </c:pt>
                <c:pt idx="5">
                  <c:v>2019</c:v>
                </c:pt>
                <c:pt idx="6">
                  <c:v>2020</c:v>
                </c:pt>
                <c:pt idx="7">
                  <c:v>2021</c:v>
                </c:pt>
                <c:pt idx="8">
                  <c:v>2022</c:v>
                </c:pt>
                <c:pt idx="9">
                  <c:v>2023</c:v>
                </c:pt>
                <c:pt idx="10">
                  <c:v>2024</c:v>
                </c:pt>
              </c:strCache>
            </c:strRef>
          </c:cat>
          <c:val>
            <c:numRef>
              <c:f>Sheet1!$B$2:$L$2</c:f>
              <c:numCache>
                <c:formatCode>General</c:formatCode>
                <c:ptCount val="11"/>
                <c:pt idx="0">
                  <c:v>122</c:v>
                </c:pt>
                <c:pt idx="1">
                  <c:v>114</c:v>
                </c:pt>
                <c:pt idx="2">
                  <c:v>104</c:v>
                </c:pt>
                <c:pt idx="3">
                  <c:v>130</c:v>
                </c:pt>
                <c:pt idx="4">
                  <c:v>138</c:v>
                </c:pt>
                <c:pt idx="5">
                  <c:v>143</c:v>
                </c:pt>
                <c:pt idx="6">
                  <c:v>163</c:v>
                </c:pt>
                <c:pt idx="7">
                  <c:v>205</c:v>
                </c:pt>
                <c:pt idx="8">
                  <c:v>237</c:v>
                </c:pt>
                <c:pt idx="9">
                  <c:v>260</c:v>
                </c:pt>
                <c:pt idx="10">
                  <c:v>285</c:v>
                </c:pt>
              </c:numCache>
            </c:numRef>
          </c:val>
          <c:extLst xmlns:c16r2="http://schemas.microsoft.com/office/drawing/2015/06/chart">
            <c:ext xmlns:c16="http://schemas.microsoft.com/office/drawing/2014/chart" uri="{C3380CC4-5D6E-409C-BE32-E72D297353CC}">
              <c16:uniqueId val="{00000000-3C07-CE47-B864-EEEA4E64558F}"/>
            </c:ext>
          </c:extLst>
        </c:ser>
        <c:ser>
          <c:idx val="1"/>
          <c:order val="1"/>
          <c:tx>
            <c:strRef>
              <c:f>Sheet1!$A$3</c:f>
              <c:strCache>
                <c:ptCount val="1"/>
                <c:pt idx="0">
                  <c:v>Sempra Energy (SRE)</c:v>
                </c:pt>
              </c:strCache>
            </c:strRef>
          </c:tx>
          <c:spPr>
            <a:pattFill prst="pct75">
              <a:fgClr>
                <a:schemeClr val="accent2">
                  <a:lumMod val="40000"/>
                  <a:lumOff val="60000"/>
                </a:schemeClr>
              </a:fgClr>
              <a:bgClr>
                <a:schemeClr val="bg1"/>
              </a:bgClr>
            </a:pattFill>
            <a:ln>
              <a:noFill/>
            </a:ln>
            <a:effectLst/>
          </c:spPr>
          <c:invertIfNegative val="0"/>
          <c:dLbls>
            <c:numFmt formatCode="#,##0.00" sourceLinked="0"/>
            <c:spPr>
              <a:solidFill>
                <a:schemeClr val="accent2">
                  <a:lumMod val="20000"/>
                  <a:lumOff val="80000"/>
                  <a:alpha val="18000"/>
                </a:schemeClr>
              </a:solidFill>
              <a:ln>
                <a:noFill/>
              </a:ln>
              <a:effectLst/>
            </c:spPr>
            <c:txPr>
              <a:bodyPr rot="-5400000" spcFirstLastPara="1" vertOverflow="ellipsis"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Sheet1!$B$1:$L$1</c:f>
              <c:strCache>
                <c:ptCount val="11"/>
                <c:pt idx="0">
                  <c:v>2014</c:v>
                </c:pt>
                <c:pt idx="1">
                  <c:v>2015</c:v>
                </c:pt>
                <c:pt idx="2">
                  <c:v>2016</c:v>
                </c:pt>
                <c:pt idx="3">
                  <c:v>2017</c:v>
                </c:pt>
                <c:pt idx="4">
                  <c:v>2018</c:v>
                </c:pt>
                <c:pt idx="5">
                  <c:v>2019</c:v>
                </c:pt>
                <c:pt idx="6">
                  <c:v>2020</c:v>
                </c:pt>
                <c:pt idx="7">
                  <c:v>2021</c:v>
                </c:pt>
                <c:pt idx="8">
                  <c:v>2022</c:v>
                </c:pt>
                <c:pt idx="9">
                  <c:v>2023</c:v>
                </c:pt>
                <c:pt idx="10">
                  <c:v>2024</c:v>
                </c:pt>
              </c:strCache>
            </c:strRef>
          </c:cat>
          <c:val>
            <c:numRef>
              <c:f>Sheet1!$B$3:$L$3</c:f>
              <c:numCache>
                <c:formatCode>General</c:formatCode>
                <c:ptCount val="11"/>
                <c:pt idx="0">
                  <c:v>44.5</c:v>
                </c:pt>
                <c:pt idx="1">
                  <c:v>55.3</c:v>
                </c:pt>
                <c:pt idx="2">
                  <c:v>53.2</c:v>
                </c:pt>
                <c:pt idx="3">
                  <c:v>56.1</c:v>
                </c:pt>
                <c:pt idx="4">
                  <c:v>45.9</c:v>
                </c:pt>
                <c:pt idx="5">
                  <c:v>56.5</c:v>
                </c:pt>
                <c:pt idx="6">
                  <c:v>48.7</c:v>
                </c:pt>
                <c:pt idx="7">
                  <c:v>54.8</c:v>
                </c:pt>
                <c:pt idx="8">
                  <c:v>62</c:v>
                </c:pt>
                <c:pt idx="9">
                  <c:v>67.5</c:v>
                </c:pt>
                <c:pt idx="10">
                  <c:v>61.2</c:v>
                </c:pt>
              </c:numCache>
            </c:numRef>
          </c:val>
          <c:extLst xmlns:c16r2="http://schemas.microsoft.com/office/drawing/2015/06/chart">
            <c:ext xmlns:c16="http://schemas.microsoft.com/office/drawing/2014/chart" uri="{C3380CC4-5D6E-409C-BE32-E72D297353CC}">
              <c16:uniqueId val="{00000001-3C07-CE47-B864-EEEA4E64558F}"/>
            </c:ext>
          </c:extLst>
        </c:ser>
        <c:dLbls>
          <c:dLblPos val="outEnd"/>
          <c:showLegendKey val="0"/>
          <c:showVal val="1"/>
          <c:showCatName val="0"/>
          <c:showSerName val="0"/>
          <c:showPercent val="0"/>
          <c:showBubbleSize val="0"/>
        </c:dLbls>
        <c:gapWidth val="219"/>
        <c:overlap val="-27"/>
        <c:axId val="409869472"/>
        <c:axId val="409865552"/>
      </c:barChart>
      <c:catAx>
        <c:axId val="409869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865552"/>
        <c:crosses val="autoZero"/>
        <c:auto val="1"/>
        <c:lblAlgn val="ctr"/>
        <c:lblOffset val="100"/>
        <c:noMultiLvlLbl val="0"/>
      </c:catAx>
      <c:valAx>
        <c:axId val="409865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09869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b="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841D04B-B0DF-8B48-B83D-28B6B443564B}" type="doc">
      <dgm:prSet loTypeId="urn:microsoft.com/office/officeart/2005/8/layout/matrix2" loCatId="" qsTypeId="urn:microsoft.com/office/officeart/2005/8/quickstyle/simple3" qsCatId="simple" csTypeId="urn:microsoft.com/office/officeart/2005/8/colors/colorful3" csCatId="colorful" phldr="1"/>
      <dgm:spPr/>
      <dgm:t>
        <a:bodyPr/>
        <a:lstStyle/>
        <a:p>
          <a:endParaRPr lang="en-GB"/>
        </a:p>
      </dgm:t>
    </dgm:pt>
    <dgm:pt modelId="{8125A3F6-4860-3848-B6B6-46D94649938E}">
      <dgm:prSet phldrT="[Text]" custT="1"/>
      <dgm:spPr>
        <a:solidFill>
          <a:schemeClr val="accent6">
            <a:lumMod val="20000"/>
            <a:lumOff val="80000"/>
          </a:schemeClr>
        </a:solidFill>
        <a:ln>
          <a:solidFill>
            <a:schemeClr val="accent6">
              <a:lumMod val="75000"/>
            </a:schemeClr>
          </a:solidFill>
        </a:ln>
      </dgm:spPr>
      <dgm:t>
        <a:bodyPr/>
        <a:lstStyle/>
        <a:p>
          <a:pPr algn="ctr">
            <a:buNone/>
          </a:pPr>
          <a:r>
            <a:rPr lang="x-none" sz="1200" b="0">
              <a:latin typeface="Times New Roman" panose="02020603050405020304" pitchFamily="18" charset="0"/>
              <a:cs typeface="Times New Roman" panose="02020603050405020304" pitchFamily="18" charset="0"/>
            </a:rPr>
            <a:t>Сильні сторони </a:t>
          </a:r>
        </a:p>
        <a:p>
          <a:pPr algn="l">
            <a:buNone/>
          </a:pPr>
          <a:r>
            <a:rPr lang="x-none" sz="1100" b="0">
              <a:latin typeface="Times New Roman" panose="02020603050405020304" pitchFamily="18" charset="0"/>
              <a:cs typeface="Times New Roman" panose="02020603050405020304" pitchFamily="18" charset="0"/>
            </a:rPr>
            <a:t>- Високий рівень прозорості та довіри інвесторів;</a:t>
          </a:r>
        </a:p>
        <a:p>
          <a:pPr algn="l">
            <a:buNone/>
          </a:pPr>
          <a:r>
            <a:rPr lang="x-none" sz="1100" b="0">
              <a:latin typeface="Times New Roman" panose="02020603050405020304" pitchFamily="18" charset="0"/>
              <a:cs typeface="Times New Roman" panose="02020603050405020304" pitchFamily="18" charset="0"/>
            </a:rPr>
            <a:t>- Можливість залучення «зеленого» капіталу та дешевшого фінансування;</a:t>
          </a:r>
        </a:p>
        <a:p>
          <a:pPr algn="l">
            <a:buNone/>
          </a:pPr>
          <a:r>
            <a:rPr lang="x-none" sz="1100" b="0">
              <a:latin typeface="Times New Roman" panose="02020603050405020304" pitchFamily="18" charset="0"/>
              <a:cs typeface="Times New Roman" panose="02020603050405020304" pitchFamily="18" charset="0"/>
            </a:rPr>
            <a:t>- Формування позитивної репутації та конкурентних переваг;</a:t>
          </a:r>
        </a:p>
        <a:p>
          <a:pPr algn="l">
            <a:buNone/>
          </a:pPr>
          <a:r>
            <a:rPr lang="x-none" sz="1100" b="0">
              <a:latin typeface="Times New Roman" panose="02020603050405020304" pitchFamily="18" charset="0"/>
              <a:cs typeface="Times New Roman" panose="02020603050405020304" pitchFamily="18" charset="0"/>
            </a:rPr>
            <a:t>- Відповідність глобальним стандартам (GRI, TCFD).</a:t>
          </a:r>
          <a:endParaRPr lang="en-GB" sz="1100" b="0">
            <a:latin typeface="Times New Roman" panose="02020603050405020304" pitchFamily="18" charset="0"/>
            <a:cs typeface="Times New Roman" panose="02020603050405020304" pitchFamily="18" charset="0"/>
          </a:endParaRPr>
        </a:p>
      </dgm:t>
    </dgm:pt>
    <dgm:pt modelId="{75370AF7-E678-1D4C-B16A-B774650EF349}" type="parTrans" cxnId="{00554D3A-FB76-D94C-AB0C-D8E5EE195548}">
      <dgm:prSet/>
      <dgm:spPr/>
      <dgm:t>
        <a:bodyPr/>
        <a:lstStyle/>
        <a:p>
          <a:pPr algn="just"/>
          <a:endParaRPr lang="en-GB" sz="1200" b="0">
            <a:solidFill>
              <a:schemeClr val="tx1"/>
            </a:solidFill>
            <a:latin typeface="Times New Roman" panose="02020603050405020304" pitchFamily="18" charset="0"/>
            <a:cs typeface="Times New Roman" panose="02020603050405020304" pitchFamily="18" charset="0"/>
          </a:endParaRPr>
        </a:p>
      </dgm:t>
    </dgm:pt>
    <dgm:pt modelId="{C1A0CA3B-2678-2F41-B644-BAEA9EE83755}" type="sibTrans" cxnId="{00554D3A-FB76-D94C-AB0C-D8E5EE195548}">
      <dgm:prSet/>
      <dgm:spPr/>
      <dgm:t>
        <a:bodyPr/>
        <a:lstStyle/>
        <a:p>
          <a:pPr algn="just"/>
          <a:endParaRPr lang="en-GB" sz="1200" b="0">
            <a:solidFill>
              <a:schemeClr val="tx1"/>
            </a:solidFill>
            <a:latin typeface="Times New Roman" panose="02020603050405020304" pitchFamily="18" charset="0"/>
            <a:cs typeface="Times New Roman" panose="02020603050405020304" pitchFamily="18" charset="0"/>
          </a:endParaRPr>
        </a:p>
      </dgm:t>
    </dgm:pt>
    <dgm:pt modelId="{45AFB9B8-1555-4D4A-B3C3-FB403DFFB142}">
      <dgm:prSet phldrT="[Text]" custT="1"/>
      <dgm:spPr>
        <a:solidFill>
          <a:schemeClr val="accent2">
            <a:lumMod val="20000"/>
            <a:lumOff val="80000"/>
          </a:schemeClr>
        </a:solidFill>
        <a:ln>
          <a:solidFill>
            <a:schemeClr val="accent2">
              <a:lumMod val="75000"/>
            </a:schemeClr>
          </a:solidFill>
        </a:ln>
      </dgm:spPr>
      <dgm:t>
        <a:bodyPr/>
        <a:lstStyle/>
        <a:p>
          <a:pPr algn="ctr">
            <a:buNone/>
          </a:pPr>
          <a:r>
            <a:rPr lang="x-none" sz="1200" b="0">
              <a:latin typeface="Times New Roman" panose="02020603050405020304" pitchFamily="18" charset="0"/>
              <a:cs typeface="Times New Roman" panose="02020603050405020304" pitchFamily="18" charset="0"/>
            </a:rPr>
            <a:t>Слабкі сторони </a:t>
          </a:r>
        </a:p>
        <a:p>
          <a:pPr algn="l">
            <a:buNone/>
          </a:pPr>
          <a:r>
            <a:rPr lang="x-none" sz="1100" b="0">
              <a:latin typeface="Times New Roman" panose="02020603050405020304" pitchFamily="18" charset="0"/>
              <a:cs typeface="Times New Roman" panose="02020603050405020304" pitchFamily="18" charset="0"/>
            </a:rPr>
            <a:t>- Ризик </a:t>
          </a:r>
          <a:r>
            <a:rPr lang="uk-UA" sz="1100">
              <a:latin typeface="Times New Roman" panose="02020603050405020304" pitchFamily="18" charset="0"/>
              <a:cs typeface="Times New Roman" panose="02020603050405020304" pitchFamily="18" charset="0"/>
            </a:rPr>
            <a:t>«greenwashing»</a:t>
          </a:r>
          <a:r>
            <a:rPr lang="x-none" sz="1100" b="0">
              <a:latin typeface="Times New Roman" panose="02020603050405020304" pitchFamily="18" charset="0"/>
              <a:cs typeface="Times New Roman" panose="02020603050405020304" pitchFamily="18" charset="0"/>
            </a:rPr>
            <a:t> та репутаційних втрат;</a:t>
          </a:r>
        </a:p>
        <a:p>
          <a:pPr algn="l">
            <a:buNone/>
          </a:pPr>
          <a:r>
            <a:rPr lang="x-none" sz="1100" b="0">
              <a:latin typeface="Times New Roman" panose="02020603050405020304" pitchFamily="18" charset="0"/>
              <a:cs typeface="Times New Roman" panose="02020603050405020304" pitchFamily="18" charset="0"/>
            </a:rPr>
            <a:t>- Високі витрати на впровадження і аудит </a:t>
          </a:r>
          <a:r>
            <a:rPr lang="uk-UA" sz="1100" b="0">
              <a:latin typeface="Times New Roman" panose="02020603050405020304" pitchFamily="18" charset="0"/>
              <a:cs typeface="Times New Roman" panose="02020603050405020304" pitchFamily="18" charset="0"/>
            </a:rPr>
            <a:t>СВІ</a:t>
          </a:r>
          <a:r>
            <a:rPr lang="x-none" sz="1100" b="0">
              <a:latin typeface="Times New Roman" panose="02020603050405020304" pitchFamily="18" charset="0"/>
              <a:cs typeface="Times New Roman" panose="02020603050405020304" pitchFamily="18" charset="0"/>
            </a:rPr>
            <a:t>/ESG-стратегій;</a:t>
          </a:r>
        </a:p>
        <a:p>
          <a:pPr algn="l">
            <a:buNone/>
          </a:pPr>
          <a:r>
            <a:rPr lang="x-none" sz="1100" b="0">
              <a:latin typeface="Times New Roman" panose="02020603050405020304" pitchFamily="18" charset="0"/>
              <a:cs typeface="Times New Roman" panose="02020603050405020304" pitchFamily="18" charset="0"/>
            </a:rPr>
            <a:t>- Складність вимірювання та верифікації нефінансових результатів;</a:t>
          </a:r>
        </a:p>
        <a:p>
          <a:pPr algn="l">
            <a:buNone/>
          </a:pPr>
          <a:r>
            <a:rPr lang="x-none" sz="1100" b="0">
              <a:latin typeface="Times New Roman" panose="02020603050405020304" pitchFamily="18" charset="0"/>
              <a:cs typeface="Times New Roman" panose="02020603050405020304" pitchFamily="18" charset="0"/>
            </a:rPr>
            <a:t>- Залежність ефективності від галузевої специфіки.</a:t>
          </a:r>
          <a:endParaRPr lang="en-GB" sz="1100" b="0">
            <a:latin typeface="Times New Roman" panose="02020603050405020304" pitchFamily="18" charset="0"/>
            <a:cs typeface="Times New Roman" panose="02020603050405020304" pitchFamily="18" charset="0"/>
          </a:endParaRPr>
        </a:p>
      </dgm:t>
    </dgm:pt>
    <dgm:pt modelId="{80267D4E-844A-614B-8EE0-1324063B8226}" type="parTrans" cxnId="{767E8651-EF36-2C44-94A0-EF3C54B54ED6}">
      <dgm:prSet/>
      <dgm:spPr/>
      <dgm:t>
        <a:bodyPr/>
        <a:lstStyle/>
        <a:p>
          <a:pPr algn="just"/>
          <a:endParaRPr lang="en-GB" sz="1200" b="0">
            <a:solidFill>
              <a:schemeClr val="tx1"/>
            </a:solidFill>
            <a:latin typeface="Times New Roman" panose="02020603050405020304" pitchFamily="18" charset="0"/>
            <a:cs typeface="Times New Roman" panose="02020603050405020304" pitchFamily="18" charset="0"/>
          </a:endParaRPr>
        </a:p>
      </dgm:t>
    </dgm:pt>
    <dgm:pt modelId="{03DAF582-A57B-7C4F-9C30-CB8CB5B46544}" type="sibTrans" cxnId="{767E8651-EF36-2C44-94A0-EF3C54B54ED6}">
      <dgm:prSet/>
      <dgm:spPr/>
      <dgm:t>
        <a:bodyPr/>
        <a:lstStyle/>
        <a:p>
          <a:pPr algn="just"/>
          <a:endParaRPr lang="en-GB" sz="1200" b="0">
            <a:solidFill>
              <a:schemeClr val="tx1"/>
            </a:solidFill>
            <a:latin typeface="Times New Roman" panose="02020603050405020304" pitchFamily="18" charset="0"/>
            <a:cs typeface="Times New Roman" panose="02020603050405020304" pitchFamily="18" charset="0"/>
          </a:endParaRPr>
        </a:p>
      </dgm:t>
    </dgm:pt>
    <dgm:pt modelId="{6F2F67CC-41A1-D245-9CFB-74D1454E895C}">
      <dgm:prSet phldrT="[Text]" custT="1"/>
      <dgm:spPr>
        <a:solidFill>
          <a:schemeClr val="accent4">
            <a:lumMod val="20000"/>
            <a:lumOff val="80000"/>
          </a:schemeClr>
        </a:solidFill>
        <a:ln>
          <a:solidFill>
            <a:schemeClr val="accent4">
              <a:lumMod val="75000"/>
            </a:schemeClr>
          </a:solidFill>
        </a:ln>
      </dgm:spPr>
      <dgm:t>
        <a:bodyPr/>
        <a:lstStyle/>
        <a:p>
          <a:pPr algn="ctr">
            <a:buNone/>
          </a:pPr>
          <a:r>
            <a:rPr lang="x-none" sz="1200" b="0">
              <a:latin typeface="Times New Roman" panose="02020603050405020304" pitchFamily="18" charset="0"/>
              <a:cs typeface="Times New Roman" panose="02020603050405020304" pitchFamily="18" charset="0"/>
            </a:rPr>
            <a:t>Можливості </a:t>
          </a:r>
        </a:p>
        <a:p>
          <a:pPr algn="l">
            <a:buNone/>
          </a:pPr>
          <a:r>
            <a:rPr lang="x-none" sz="1100" b="0">
              <a:latin typeface="Times New Roman" panose="02020603050405020304" pitchFamily="18" charset="0"/>
              <a:cs typeface="Times New Roman" panose="02020603050405020304" pitchFamily="18" charset="0"/>
            </a:rPr>
            <a:t>- Зростання попиту на ESG-орієнтовані продукти й інвестиції;</a:t>
          </a:r>
        </a:p>
        <a:p>
          <a:pPr algn="l">
            <a:buNone/>
          </a:pPr>
          <a:r>
            <a:rPr lang="x-none" sz="1100" b="0">
              <a:latin typeface="Times New Roman" panose="02020603050405020304" pitchFamily="18" charset="0"/>
              <a:cs typeface="Times New Roman" panose="02020603050405020304" pitchFamily="18" charset="0"/>
            </a:rPr>
            <a:t>- Поява нових ринків і партнерств;</a:t>
          </a:r>
        </a:p>
        <a:p>
          <a:pPr algn="l">
            <a:buNone/>
          </a:pPr>
          <a:r>
            <a:rPr lang="x-none" sz="1100" b="0">
              <a:latin typeface="Times New Roman" panose="02020603050405020304" pitchFamily="18" charset="0"/>
              <a:cs typeface="Times New Roman" panose="02020603050405020304" pitchFamily="18" charset="0"/>
            </a:rPr>
            <a:t>-</a:t>
          </a:r>
          <a:r>
            <a:rPr lang="uk-UA" sz="1100" b="0">
              <a:latin typeface="Times New Roman" panose="02020603050405020304" pitchFamily="18" charset="0"/>
              <a:cs typeface="Times New Roman" panose="02020603050405020304" pitchFamily="18" charset="0"/>
            </a:rPr>
            <a:t> </a:t>
          </a:r>
          <a:r>
            <a:rPr lang="x-none" sz="1100" b="0">
              <a:latin typeface="Times New Roman" panose="02020603050405020304" pitchFamily="18" charset="0"/>
              <a:cs typeface="Times New Roman" panose="02020603050405020304" pitchFamily="18" charset="0"/>
            </a:rPr>
            <a:t>Інноваційний розвиток, мультиплікативний ефект для економіки;</a:t>
          </a:r>
        </a:p>
        <a:p>
          <a:pPr algn="l">
            <a:buNone/>
          </a:pPr>
          <a:r>
            <a:rPr lang="x-none" sz="1100" b="0">
              <a:latin typeface="Times New Roman" panose="02020603050405020304" pitchFamily="18" charset="0"/>
              <a:cs typeface="Times New Roman" panose="02020603050405020304" pitchFamily="18" charset="0"/>
            </a:rPr>
            <a:t>- Гармонізація стандартів нефінансової звітності.</a:t>
          </a:r>
          <a:endParaRPr lang="en-GB" sz="1100" b="0">
            <a:latin typeface="Times New Roman" panose="02020603050405020304" pitchFamily="18" charset="0"/>
            <a:cs typeface="Times New Roman" panose="02020603050405020304" pitchFamily="18" charset="0"/>
          </a:endParaRPr>
        </a:p>
      </dgm:t>
    </dgm:pt>
    <dgm:pt modelId="{92FA3023-8C5D-5040-ABEB-D3877ADDFB22}" type="parTrans" cxnId="{27573C00-C12C-F045-BFC8-66B2D704542C}">
      <dgm:prSet/>
      <dgm:spPr/>
      <dgm:t>
        <a:bodyPr/>
        <a:lstStyle/>
        <a:p>
          <a:pPr algn="just"/>
          <a:endParaRPr lang="en-GB" sz="1200" b="0">
            <a:solidFill>
              <a:schemeClr val="tx1"/>
            </a:solidFill>
            <a:latin typeface="Times New Roman" panose="02020603050405020304" pitchFamily="18" charset="0"/>
            <a:cs typeface="Times New Roman" panose="02020603050405020304" pitchFamily="18" charset="0"/>
          </a:endParaRPr>
        </a:p>
      </dgm:t>
    </dgm:pt>
    <dgm:pt modelId="{904C0A26-3764-AF41-A69B-13CA29559D23}" type="sibTrans" cxnId="{27573C00-C12C-F045-BFC8-66B2D704542C}">
      <dgm:prSet/>
      <dgm:spPr/>
      <dgm:t>
        <a:bodyPr/>
        <a:lstStyle/>
        <a:p>
          <a:pPr algn="just"/>
          <a:endParaRPr lang="en-GB" sz="1200" b="0">
            <a:solidFill>
              <a:schemeClr val="tx1"/>
            </a:solidFill>
            <a:latin typeface="Times New Roman" panose="02020603050405020304" pitchFamily="18" charset="0"/>
            <a:cs typeface="Times New Roman" panose="02020603050405020304" pitchFamily="18" charset="0"/>
          </a:endParaRPr>
        </a:p>
      </dgm:t>
    </dgm:pt>
    <dgm:pt modelId="{ED90AAF4-5693-644F-8FB5-E147ED82606C}">
      <dgm:prSet phldrT="[Text]" custT="1"/>
      <dgm:spPr>
        <a:solidFill>
          <a:srgbClr val="FFAEED">
            <a:alpha val="38000"/>
          </a:srgbClr>
        </a:solidFill>
        <a:ln>
          <a:solidFill>
            <a:srgbClr val="7030A0"/>
          </a:solidFill>
        </a:ln>
      </dgm:spPr>
      <dgm:t>
        <a:bodyPr/>
        <a:lstStyle/>
        <a:p>
          <a:pPr algn="ctr"/>
          <a:r>
            <a:rPr lang="x-none" sz="1200" b="0">
              <a:latin typeface="Times New Roman" panose="02020603050405020304" pitchFamily="18" charset="0"/>
              <a:cs typeface="Times New Roman" panose="02020603050405020304" pitchFamily="18" charset="0"/>
            </a:rPr>
            <a:t>Загрози</a:t>
          </a:r>
          <a:r>
            <a:rPr lang="x-none" sz="1100" b="0">
              <a:latin typeface="Times New Roman" panose="02020603050405020304" pitchFamily="18" charset="0"/>
              <a:cs typeface="Times New Roman" panose="02020603050405020304" pitchFamily="18" charset="0"/>
            </a:rPr>
            <a:t> </a:t>
          </a:r>
        </a:p>
        <a:p>
          <a:pPr algn="l"/>
          <a:r>
            <a:rPr lang="x-none" sz="1100" b="0">
              <a:latin typeface="Times New Roman" panose="02020603050405020304" pitchFamily="18" charset="0"/>
              <a:cs typeface="Times New Roman" panose="02020603050405020304" pitchFamily="18" charset="0"/>
            </a:rPr>
            <a:t>- Посилення регуляторного тиску та часта зміна вимог;</a:t>
          </a:r>
        </a:p>
        <a:p>
          <a:pPr algn="l"/>
          <a:r>
            <a:rPr lang="x-none" sz="1100" b="0">
              <a:latin typeface="Times New Roman" panose="02020603050405020304" pitchFamily="18" charset="0"/>
              <a:cs typeface="Times New Roman" panose="02020603050405020304" pitchFamily="18" charset="0"/>
            </a:rPr>
            <a:t>- Макроекономічна волатильність і глобальні кризи;</a:t>
          </a:r>
        </a:p>
        <a:p>
          <a:pPr algn="l"/>
          <a:r>
            <a:rPr lang="x-none" sz="1100" b="0">
              <a:latin typeface="Times New Roman" panose="02020603050405020304" pitchFamily="18" charset="0"/>
              <a:cs typeface="Times New Roman" panose="02020603050405020304" pitchFamily="18" charset="0"/>
            </a:rPr>
            <a:t>- Ризик невідповідності новим міжнародним стандартам;</a:t>
          </a:r>
        </a:p>
        <a:p>
          <a:pPr algn="l"/>
          <a:r>
            <a:rPr lang="x-none" sz="1100" b="0">
              <a:latin typeface="Times New Roman" panose="02020603050405020304" pitchFamily="18" charset="0"/>
              <a:cs typeface="Times New Roman" panose="02020603050405020304" pitchFamily="18" charset="0"/>
            </a:rPr>
            <a:t>- Можливі втрати довіри через непрозорість чи невдалу комунікацію.</a:t>
          </a:r>
          <a:endParaRPr lang="en-GB" sz="1100" b="0">
            <a:latin typeface="Times New Roman" panose="02020603050405020304" pitchFamily="18" charset="0"/>
            <a:cs typeface="Times New Roman" panose="02020603050405020304" pitchFamily="18" charset="0"/>
          </a:endParaRPr>
        </a:p>
      </dgm:t>
    </dgm:pt>
    <dgm:pt modelId="{F736D80A-0A15-194A-979E-17368F2BA1F2}" type="parTrans" cxnId="{2C203E8F-1A4A-304A-A84A-CC140E2B79A2}">
      <dgm:prSet/>
      <dgm:spPr/>
      <dgm:t>
        <a:bodyPr/>
        <a:lstStyle/>
        <a:p>
          <a:pPr algn="just"/>
          <a:endParaRPr lang="en-GB" sz="1200" b="0">
            <a:solidFill>
              <a:schemeClr val="tx1"/>
            </a:solidFill>
            <a:latin typeface="Times New Roman" panose="02020603050405020304" pitchFamily="18" charset="0"/>
            <a:cs typeface="Times New Roman" panose="02020603050405020304" pitchFamily="18" charset="0"/>
          </a:endParaRPr>
        </a:p>
      </dgm:t>
    </dgm:pt>
    <dgm:pt modelId="{9988B5D9-F37A-9148-B0A7-D2FEFBCD19E6}" type="sibTrans" cxnId="{2C203E8F-1A4A-304A-A84A-CC140E2B79A2}">
      <dgm:prSet/>
      <dgm:spPr/>
      <dgm:t>
        <a:bodyPr/>
        <a:lstStyle/>
        <a:p>
          <a:pPr algn="just"/>
          <a:endParaRPr lang="en-GB" sz="1200" b="0">
            <a:solidFill>
              <a:schemeClr val="tx1"/>
            </a:solidFill>
            <a:latin typeface="Times New Roman" panose="02020603050405020304" pitchFamily="18" charset="0"/>
            <a:cs typeface="Times New Roman" panose="02020603050405020304" pitchFamily="18" charset="0"/>
          </a:endParaRPr>
        </a:p>
      </dgm:t>
    </dgm:pt>
    <dgm:pt modelId="{C8C300FF-FD07-8E4B-BF37-32CDF98889E9}" type="pres">
      <dgm:prSet presAssocID="{1841D04B-B0DF-8B48-B83D-28B6B443564B}" presName="matrix" presStyleCnt="0">
        <dgm:presLayoutVars>
          <dgm:chMax val="1"/>
          <dgm:dir/>
          <dgm:resizeHandles val="exact"/>
        </dgm:presLayoutVars>
      </dgm:prSet>
      <dgm:spPr/>
      <dgm:t>
        <a:bodyPr/>
        <a:lstStyle/>
        <a:p>
          <a:endParaRPr lang="ru-RU"/>
        </a:p>
      </dgm:t>
    </dgm:pt>
    <dgm:pt modelId="{0AE0288A-9599-5C4F-9767-B3B4DFD37FC0}" type="pres">
      <dgm:prSet presAssocID="{1841D04B-B0DF-8B48-B83D-28B6B443564B}" presName="axisShape" presStyleLbl="bgShp" presStyleIdx="0" presStyleCnt="1" custScaleX="162034" custScaleY="82433" custLinFactNeighborX="665" custLinFactNeighborY="10"/>
      <dgm:spPr>
        <a:pattFill prst="pct80">
          <a:fgClr>
            <a:schemeClr val="bg2">
              <a:lumMod val="75000"/>
            </a:schemeClr>
          </a:fgClr>
          <a:bgClr>
            <a:schemeClr val="bg1"/>
          </a:bgClr>
        </a:pattFill>
      </dgm:spPr>
    </dgm:pt>
    <dgm:pt modelId="{8B52ED7A-B21E-5F48-A967-6032490B0F45}" type="pres">
      <dgm:prSet presAssocID="{1841D04B-B0DF-8B48-B83D-28B6B443564B}" presName="rect1" presStyleLbl="node1" presStyleIdx="0" presStyleCnt="4" custScaleX="195966" custScaleY="113736" custLinFactNeighborX="-55032" custLinFactNeighborY="-5546">
        <dgm:presLayoutVars>
          <dgm:chMax val="0"/>
          <dgm:chPref val="0"/>
          <dgm:bulletEnabled val="1"/>
        </dgm:presLayoutVars>
      </dgm:prSet>
      <dgm:spPr/>
      <dgm:t>
        <a:bodyPr/>
        <a:lstStyle/>
        <a:p>
          <a:endParaRPr lang="ru-RU"/>
        </a:p>
      </dgm:t>
    </dgm:pt>
    <dgm:pt modelId="{101DB6CB-2C0F-154E-ABBF-39BAFAD7C64A}" type="pres">
      <dgm:prSet presAssocID="{1841D04B-B0DF-8B48-B83D-28B6B443564B}" presName="rect2" presStyleLbl="node1" presStyleIdx="1" presStyleCnt="4" custScaleX="195966" custScaleY="113736" custLinFactNeighborX="58729" custLinFactNeighborY="-6101">
        <dgm:presLayoutVars>
          <dgm:chMax val="0"/>
          <dgm:chPref val="0"/>
          <dgm:bulletEnabled val="1"/>
        </dgm:presLayoutVars>
      </dgm:prSet>
      <dgm:spPr/>
      <dgm:t>
        <a:bodyPr/>
        <a:lstStyle/>
        <a:p>
          <a:endParaRPr lang="ru-RU"/>
        </a:p>
      </dgm:t>
    </dgm:pt>
    <dgm:pt modelId="{4957AB2A-459B-A24F-B13C-B2D2AF822146}" type="pres">
      <dgm:prSet presAssocID="{1841D04B-B0DF-8B48-B83D-28B6B443564B}" presName="rect3" presStyleLbl="node1" presStyleIdx="2" presStyleCnt="4" custScaleX="195966" custScaleY="113736" custLinFactNeighborX="-55032" custLinFactNeighborY="6102">
        <dgm:presLayoutVars>
          <dgm:chMax val="0"/>
          <dgm:chPref val="0"/>
          <dgm:bulletEnabled val="1"/>
        </dgm:presLayoutVars>
      </dgm:prSet>
      <dgm:spPr/>
      <dgm:t>
        <a:bodyPr/>
        <a:lstStyle/>
        <a:p>
          <a:endParaRPr lang="ru-RU"/>
        </a:p>
      </dgm:t>
    </dgm:pt>
    <dgm:pt modelId="{716398B0-A8CF-DE43-9FC6-DD02B21ADE9D}" type="pres">
      <dgm:prSet presAssocID="{1841D04B-B0DF-8B48-B83D-28B6B443564B}" presName="rect4" presStyleLbl="node1" presStyleIdx="3" presStyleCnt="4" custScaleX="195966" custScaleY="113736" custLinFactNeighborX="58729" custLinFactNeighborY="5547">
        <dgm:presLayoutVars>
          <dgm:chMax val="0"/>
          <dgm:chPref val="0"/>
          <dgm:bulletEnabled val="1"/>
        </dgm:presLayoutVars>
      </dgm:prSet>
      <dgm:spPr/>
      <dgm:t>
        <a:bodyPr/>
        <a:lstStyle/>
        <a:p>
          <a:endParaRPr lang="ru-RU"/>
        </a:p>
      </dgm:t>
    </dgm:pt>
  </dgm:ptLst>
  <dgm:cxnLst>
    <dgm:cxn modelId="{00554D3A-FB76-D94C-AB0C-D8E5EE195548}" srcId="{1841D04B-B0DF-8B48-B83D-28B6B443564B}" destId="{8125A3F6-4860-3848-B6B6-46D94649938E}" srcOrd="0" destOrd="0" parTransId="{75370AF7-E678-1D4C-B16A-B774650EF349}" sibTransId="{C1A0CA3B-2678-2F41-B644-BAEA9EE83755}"/>
    <dgm:cxn modelId="{09349929-2E73-48FB-BF90-14CDD0CE26CD}" type="presOf" srcId="{45AFB9B8-1555-4D4A-B3C3-FB403DFFB142}" destId="{101DB6CB-2C0F-154E-ABBF-39BAFAD7C64A}" srcOrd="0" destOrd="0" presId="urn:microsoft.com/office/officeart/2005/8/layout/matrix2"/>
    <dgm:cxn modelId="{BF8B325B-EBCD-4F56-95AF-B9D4EAAE31CA}" type="presOf" srcId="{8125A3F6-4860-3848-B6B6-46D94649938E}" destId="{8B52ED7A-B21E-5F48-A967-6032490B0F45}" srcOrd="0" destOrd="0" presId="urn:microsoft.com/office/officeart/2005/8/layout/matrix2"/>
    <dgm:cxn modelId="{2C203E8F-1A4A-304A-A84A-CC140E2B79A2}" srcId="{1841D04B-B0DF-8B48-B83D-28B6B443564B}" destId="{ED90AAF4-5693-644F-8FB5-E147ED82606C}" srcOrd="3" destOrd="0" parTransId="{F736D80A-0A15-194A-979E-17368F2BA1F2}" sibTransId="{9988B5D9-F37A-9148-B0A7-D2FEFBCD19E6}"/>
    <dgm:cxn modelId="{4D37EC2B-18B1-4EC8-9D79-43406C7E3FE5}" type="presOf" srcId="{1841D04B-B0DF-8B48-B83D-28B6B443564B}" destId="{C8C300FF-FD07-8E4B-BF37-32CDF98889E9}" srcOrd="0" destOrd="0" presId="urn:microsoft.com/office/officeart/2005/8/layout/matrix2"/>
    <dgm:cxn modelId="{27573C00-C12C-F045-BFC8-66B2D704542C}" srcId="{1841D04B-B0DF-8B48-B83D-28B6B443564B}" destId="{6F2F67CC-41A1-D245-9CFB-74D1454E895C}" srcOrd="2" destOrd="0" parTransId="{92FA3023-8C5D-5040-ABEB-D3877ADDFB22}" sibTransId="{904C0A26-3764-AF41-A69B-13CA29559D23}"/>
    <dgm:cxn modelId="{7DBDEBAE-F880-4E59-8660-9D2627E5C277}" type="presOf" srcId="{ED90AAF4-5693-644F-8FB5-E147ED82606C}" destId="{716398B0-A8CF-DE43-9FC6-DD02B21ADE9D}" srcOrd="0" destOrd="0" presId="urn:microsoft.com/office/officeart/2005/8/layout/matrix2"/>
    <dgm:cxn modelId="{767E8651-EF36-2C44-94A0-EF3C54B54ED6}" srcId="{1841D04B-B0DF-8B48-B83D-28B6B443564B}" destId="{45AFB9B8-1555-4D4A-B3C3-FB403DFFB142}" srcOrd="1" destOrd="0" parTransId="{80267D4E-844A-614B-8EE0-1324063B8226}" sibTransId="{03DAF582-A57B-7C4F-9C30-CB8CB5B46544}"/>
    <dgm:cxn modelId="{3F1B571C-195A-451E-8619-B1258745A3B3}" type="presOf" srcId="{6F2F67CC-41A1-D245-9CFB-74D1454E895C}" destId="{4957AB2A-459B-A24F-B13C-B2D2AF822146}" srcOrd="0" destOrd="0" presId="urn:microsoft.com/office/officeart/2005/8/layout/matrix2"/>
    <dgm:cxn modelId="{CB9F8D1B-B003-4525-8324-3459755A7DBC}" type="presParOf" srcId="{C8C300FF-FD07-8E4B-BF37-32CDF98889E9}" destId="{0AE0288A-9599-5C4F-9767-B3B4DFD37FC0}" srcOrd="0" destOrd="0" presId="urn:microsoft.com/office/officeart/2005/8/layout/matrix2"/>
    <dgm:cxn modelId="{AFE95BBD-B5CB-4001-9044-FECBBBB97C66}" type="presParOf" srcId="{C8C300FF-FD07-8E4B-BF37-32CDF98889E9}" destId="{8B52ED7A-B21E-5F48-A967-6032490B0F45}" srcOrd="1" destOrd="0" presId="urn:microsoft.com/office/officeart/2005/8/layout/matrix2"/>
    <dgm:cxn modelId="{2ABEB315-668B-48DC-A2FC-87D165E7EB10}" type="presParOf" srcId="{C8C300FF-FD07-8E4B-BF37-32CDF98889E9}" destId="{101DB6CB-2C0F-154E-ABBF-39BAFAD7C64A}" srcOrd="2" destOrd="0" presId="urn:microsoft.com/office/officeart/2005/8/layout/matrix2"/>
    <dgm:cxn modelId="{923F24FC-FB2F-40C7-A73B-42DE3FBAB952}" type="presParOf" srcId="{C8C300FF-FD07-8E4B-BF37-32CDF98889E9}" destId="{4957AB2A-459B-A24F-B13C-B2D2AF822146}" srcOrd="3" destOrd="0" presId="urn:microsoft.com/office/officeart/2005/8/layout/matrix2"/>
    <dgm:cxn modelId="{7AD92BD9-58CA-46D4-AC36-1D2EB8BC1B66}" type="presParOf" srcId="{C8C300FF-FD07-8E4B-BF37-32CDF98889E9}" destId="{716398B0-A8CF-DE43-9FC6-DD02B21ADE9D}" srcOrd="4" destOrd="0" presId="urn:microsoft.com/office/officeart/2005/8/layout/matrix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AE0288A-9599-5C4F-9767-B3B4DFD37FC0}">
      <dsp:nvSpPr>
        <dsp:cNvPr id="0" name=""/>
        <dsp:cNvSpPr/>
      </dsp:nvSpPr>
      <dsp:spPr>
        <a:xfrm>
          <a:off x="35336" y="323808"/>
          <a:ext cx="5966683" cy="3035483"/>
        </a:xfrm>
        <a:prstGeom prst="quadArrow">
          <a:avLst>
            <a:gd name="adj1" fmla="val 2000"/>
            <a:gd name="adj2" fmla="val 4000"/>
            <a:gd name="adj3" fmla="val 5000"/>
          </a:avLst>
        </a:prstGeom>
        <a:pattFill prst="pct80">
          <a:fgClr>
            <a:schemeClr val="bg2">
              <a:lumMod val="75000"/>
            </a:schemeClr>
          </a:fgClr>
          <a:bgClr>
            <a:schemeClr val="bg1"/>
          </a:bgClr>
        </a:pattFill>
        <a:ln>
          <a:noFill/>
        </a:ln>
        <a:effectLst/>
      </dsp:spPr>
      <dsp:style>
        <a:lnRef idx="0">
          <a:scrgbClr r="0" g="0" b="0"/>
        </a:lnRef>
        <a:fillRef idx="1">
          <a:scrgbClr r="0" g="0" b="0"/>
        </a:fillRef>
        <a:effectRef idx="1">
          <a:scrgbClr r="0" g="0" b="0"/>
        </a:effectRef>
        <a:fontRef idx="minor"/>
      </dsp:style>
    </dsp:sp>
    <dsp:sp modelId="{8B52ED7A-B21E-5F48-A967-6032490B0F45}">
      <dsp:nvSpPr>
        <dsp:cNvPr id="0" name=""/>
        <dsp:cNvSpPr/>
      </dsp:nvSpPr>
      <dsp:spPr>
        <a:xfrm>
          <a:off x="0" y="56502"/>
          <a:ext cx="2886473" cy="1675269"/>
        </a:xfrm>
        <a:prstGeom prst="roundRect">
          <a:avLst/>
        </a:prstGeom>
        <a:solidFill>
          <a:schemeClr val="accent6">
            <a:lumMod val="20000"/>
            <a:lumOff val="80000"/>
          </a:schemeClr>
        </a:solidFill>
        <a:ln>
          <a:solidFill>
            <a:schemeClr val="accent6">
              <a:lumMod val="75000"/>
            </a:schemeClr>
          </a:solid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x-none" sz="1200" b="0" kern="1200">
              <a:latin typeface="Times New Roman" panose="02020603050405020304" pitchFamily="18" charset="0"/>
              <a:cs typeface="Times New Roman" panose="02020603050405020304" pitchFamily="18" charset="0"/>
            </a:rPr>
            <a:t>Сильні сторони </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Високий рівень прозорості та довіри інвесторів;</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Можливість залучення «зеленого» капіталу та дешевшого фінансування;</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Формування позитивної репутації та конкурентних переваг;</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Відповідність глобальним стандартам (GRI, TCFD).</a:t>
          </a:r>
          <a:endParaRPr lang="en-GB" sz="1100" b="0" kern="1200">
            <a:latin typeface="Times New Roman" panose="02020603050405020304" pitchFamily="18" charset="0"/>
            <a:cs typeface="Times New Roman" panose="02020603050405020304" pitchFamily="18" charset="0"/>
          </a:endParaRPr>
        </a:p>
      </dsp:txBody>
      <dsp:txXfrm>
        <a:off x="81780" y="138282"/>
        <a:ext cx="2722913" cy="1511709"/>
      </dsp:txXfrm>
    </dsp:sp>
    <dsp:sp modelId="{101DB6CB-2C0F-154E-ABBF-39BAFAD7C64A}">
      <dsp:nvSpPr>
        <dsp:cNvPr id="0" name=""/>
        <dsp:cNvSpPr/>
      </dsp:nvSpPr>
      <dsp:spPr>
        <a:xfrm>
          <a:off x="3115546" y="48327"/>
          <a:ext cx="2886473" cy="1675269"/>
        </a:xfrm>
        <a:prstGeom prst="roundRect">
          <a:avLst/>
        </a:prstGeom>
        <a:solidFill>
          <a:schemeClr val="accent2">
            <a:lumMod val="20000"/>
            <a:lumOff val="80000"/>
          </a:schemeClr>
        </a:solidFill>
        <a:ln>
          <a:solidFill>
            <a:schemeClr val="accent2">
              <a:lumMod val="75000"/>
            </a:schemeClr>
          </a:solid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x-none" sz="1200" b="0" kern="1200">
              <a:latin typeface="Times New Roman" panose="02020603050405020304" pitchFamily="18" charset="0"/>
              <a:cs typeface="Times New Roman" panose="02020603050405020304" pitchFamily="18" charset="0"/>
            </a:rPr>
            <a:t>Слабкі сторони </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Ризик </a:t>
          </a:r>
          <a:r>
            <a:rPr lang="uk-UA" sz="1100" kern="1200">
              <a:latin typeface="Times New Roman" panose="02020603050405020304" pitchFamily="18" charset="0"/>
              <a:cs typeface="Times New Roman" panose="02020603050405020304" pitchFamily="18" charset="0"/>
            </a:rPr>
            <a:t>«greenwashing»</a:t>
          </a:r>
          <a:r>
            <a:rPr lang="x-none" sz="1100" b="0" kern="1200">
              <a:latin typeface="Times New Roman" panose="02020603050405020304" pitchFamily="18" charset="0"/>
              <a:cs typeface="Times New Roman" panose="02020603050405020304" pitchFamily="18" charset="0"/>
            </a:rPr>
            <a:t> та репутаційних втрат;</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Високі витрати на впровадження і аудит </a:t>
          </a:r>
          <a:r>
            <a:rPr lang="uk-UA" sz="1100" b="0" kern="1200">
              <a:latin typeface="Times New Roman" panose="02020603050405020304" pitchFamily="18" charset="0"/>
              <a:cs typeface="Times New Roman" panose="02020603050405020304" pitchFamily="18" charset="0"/>
            </a:rPr>
            <a:t>СВІ</a:t>
          </a:r>
          <a:r>
            <a:rPr lang="x-none" sz="1100" b="0" kern="1200">
              <a:latin typeface="Times New Roman" panose="02020603050405020304" pitchFamily="18" charset="0"/>
              <a:cs typeface="Times New Roman" panose="02020603050405020304" pitchFamily="18" charset="0"/>
            </a:rPr>
            <a:t>/ESG-стратегій;</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Складність вимірювання та верифікації нефінансових результатів;</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Залежність ефективності від галузевої специфіки.</a:t>
          </a:r>
          <a:endParaRPr lang="en-GB" sz="1100" b="0" kern="1200">
            <a:latin typeface="Times New Roman" panose="02020603050405020304" pitchFamily="18" charset="0"/>
            <a:cs typeface="Times New Roman" panose="02020603050405020304" pitchFamily="18" charset="0"/>
          </a:endParaRPr>
        </a:p>
      </dsp:txBody>
      <dsp:txXfrm>
        <a:off x="3197326" y="130107"/>
        <a:ext cx="2722913" cy="1511709"/>
      </dsp:txXfrm>
    </dsp:sp>
    <dsp:sp modelId="{4957AB2A-459B-A24F-B13C-B2D2AF822146}">
      <dsp:nvSpPr>
        <dsp:cNvPr id="0" name=""/>
        <dsp:cNvSpPr/>
      </dsp:nvSpPr>
      <dsp:spPr>
        <a:xfrm>
          <a:off x="0" y="1958782"/>
          <a:ext cx="2886473" cy="1675269"/>
        </a:xfrm>
        <a:prstGeom prst="roundRect">
          <a:avLst/>
        </a:prstGeom>
        <a:solidFill>
          <a:schemeClr val="accent4">
            <a:lumMod val="20000"/>
            <a:lumOff val="80000"/>
          </a:schemeClr>
        </a:solidFill>
        <a:ln>
          <a:solidFill>
            <a:schemeClr val="accent4">
              <a:lumMod val="75000"/>
            </a:schemeClr>
          </a:solid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x-none" sz="1200" b="0" kern="1200">
              <a:latin typeface="Times New Roman" panose="02020603050405020304" pitchFamily="18" charset="0"/>
              <a:cs typeface="Times New Roman" panose="02020603050405020304" pitchFamily="18" charset="0"/>
            </a:rPr>
            <a:t>Можливості </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Зростання попиту на ESG-орієнтовані продукти й інвестиції;</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Поява нових ринків і партнерств;</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a:t>
          </a:r>
          <a:r>
            <a:rPr lang="uk-UA" sz="1100" b="0" kern="1200">
              <a:latin typeface="Times New Roman" panose="02020603050405020304" pitchFamily="18" charset="0"/>
              <a:cs typeface="Times New Roman" panose="02020603050405020304" pitchFamily="18" charset="0"/>
            </a:rPr>
            <a:t> </a:t>
          </a:r>
          <a:r>
            <a:rPr lang="x-none" sz="1100" b="0" kern="1200">
              <a:latin typeface="Times New Roman" panose="02020603050405020304" pitchFamily="18" charset="0"/>
              <a:cs typeface="Times New Roman" panose="02020603050405020304" pitchFamily="18" charset="0"/>
            </a:rPr>
            <a:t>Інноваційний розвиток, мультиплікативний ефект для економіки;</a:t>
          </a:r>
        </a:p>
        <a:p>
          <a:pPr lvl="0" algn="l" defTabSz="533400">
            <a:lnSpc>
              <a:spcPct val="90000"/>
            </a:lnSpc>
            <a:spcBef>
              <a:spcPct val="0"/>
            </a:spcBef>
            <a:spcAft>
              <a:spcPct val="35000"/>
            </a:spcAft>
            <a:buNone/>
          </a:pPr>
          <a:r>
            <a:rPr lang="x-none" sz="1100" b="0" kern="1200">
              <a:latin typeface="Times New Roman" panose="02020603050405020304" pitchFamily="18" charset="0"/>
              <a:cs typeface="Times New Roman" panose="02020603050405020304" pitchFamily="18" charset="0"/>
            </a:rPr>
            <a:t>- Гармонізація стандартів нефінансової звітності.</a:t>
          </a:r>
          <a:endParaRPr lang="en-GB" sz="1100" b="0" kern="1200">
            <a:latin typeface="Times New Roman" panose="02020603050405020304" pitchFamily="18" charset="0"/>
            <a:cs typeface="Times New Roman" panose="02020603050405020304" pitchFamily="18" charset="0"/>
          </a:endParaRPr>
        </a:p>
      </dsp:txBody>
      <dsp:txXfrm>
        <a:off x="81780" y="2040562"/>
        <a:ext cx="2722913" cy="1511709"/>
      </dsp:txXfrm>
    </dsp:sp>
    <dsp:sp modelId="{716398B0-A8CF-DE43-9FC6-DD02B21ADE9D}">
      <dsp:nvSpPr>
        <dsp:cNvPr id="0" name=""/>
        <dsp:cNvSpPr/>
      </dsp:nvSpPr>
      <dsp:spPr>
        <a:xfrm>
          <a:off x="3115546" y="1950607"/>
          <a:ext cx="2886473" cy="1675269"/>
        </a:xfrm>
        <a:prstGeom prst="roundRect">
          <a:avLst/>
        </a:prstGeom>
        <a:solidFill>
          <a:srgbClr val="FFAEED">
            <a:alpha val="38000"/>
          </a:srgbClr>
        </a:solidFill>
        <a:ln>
          <a:solidFill>
            <a:srgbClr val="7030A0"/>
          </a:solid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x-none" sz="1200" b="0" kern="1200">
              <a:latin typeface="Times New Roman" panose="02020603050405020304" pitchFamily="18" charset="0"/>
              <a:cs typeface="Times New Roman" panose="02020603050405020304" pitchFamily="18" charset="0"/>
            </a:rPr>
            <a:t>Загрози</a:t>
          </a:r>
          <a:r>
            <a:rPr lang="x-none" sz="1100" b="0" kern="1200">
              <a:latin typeface="Times New Roman" panose="02020603050405020304" pitchFamily="18" charset="0"/>
              <a:cs typeface="Times New Roman" panose="02020603050405020304" pitchFamily="18" charset="0"/>
            </a:rPr>
            <a:t> </a:t>
          </a:r>
        </a:p>
        <a:p>
          <a:pPr lvl="0" algn="l" defTabSz="533400">
            <a:lnSpc>
              <a:spcPct val="90000"/>
            </a:lnSpc>
            <a:spcBef>
              <a:spcPct val="0"/>
            </a:spcBef>
            <a:spcAft>
              <a:spcPct val="35000"/>
            </a:spcAft>
          </a:pPr>
          <a:r>
            <a:rPr lang="x-none" sz="1100" b="0" kern="1200">
              <a:latin typeface="Times New Roman" panose="02020603050405020304" pitchFamily="18" charset="0"/>
              <a:cs typeface="Times New Roman" panose="02020603050405020304" pitchFamily="18" charset="0"/>
            </a:rPr>
            <a:t>- Посилення регуляторного тиску та часта зміна вимог;</a:t>
          </a:r>
        </a:p>
        <a:p>
          <a:pPr lvl="0" algn="l" defTabSz="533400">
            <a:lnSpc>
              <a:spcPct val="90000"/>
            </a:lnSpc>
            <a:spcBef>
              <a:spcPct val="0"/>
            </a:spcBef>
            <a:spcAft>
              <a:spcPct val="35000"/>
            </a:spcAft>
          </a:pPr>
          <a:r>
            <a:rPr lang="x-none" sz="1100" b="0" kern="1200">
              <a:latin typeface="Times New Roman" panose="02020603050405020304" pitchFamily="18" charset="0"/>
              <a:cs typeface="Times New Roman" panose="02020603050405020304" pitchFamily="18" charset="0"/>
            </a:rPr>
            <a:t>- Макроекономічна волатильність і глобальні кризи;</a:t>
          </a:r>
        </a:p>
        <a:p>
          <a:pPr lvl="0" algn="l" defTabSz="533400">
            <a:lnSpc>
              <a:spcPct val="90000"/>
            </a:lnSpc>
            <a:spcBef>
              <a:spcPct val="0"/>
            </a:spcBef>
            <a:spcAft>
              <a:spcPct val="35000"/>
            </a:spcAft>
          </a:pPr>
          <a:r>
            <a:rPr lang="x-none" sz="1100" b="0" kern="1200">
              <a:latin typeface="Times New Roman" panose="02020603050405020304" pitchFamily="18" charset="0"/>
              <a:cs typeface="Times New Roman" panose="02020603050405020304" pitchFamily="18" charset="0"/>
            </a:rPr>
            <a:t>- Ризик невідповідності новим міжнародним стандартам;</a:t>
          </a:r>
        </a:p>
        <a:p>
          <a:pPr lvl="0" algn="l" defTabSz="533400">
            <a:lnSpc>
              <a:spcPct val="90000"/>
            </a:lnSpc>
            <a:spcBef>
              <a:spcPct val="0"/>
            </a:spcBef>
            <a:spcAft>
              <a:spcPct val="35000"/>
            </a:spcAft>
          </a:pPr>
          <a:r>
            <a:rPr lang="x-none" sz="1100" b="0" kern="1200">
              <a:latin typeface="Times New Roman" panose="02020603050405020304" pitchFamily="18" charset="0"/>
              <a:cs typeface="Times New Roman" panose="02020603050405020304" pitchFamily="18" charset="0"/>
            </a:rPr>
            <a:t>- Можливі втрати довіри через непрозорість чи невдалу комунікацію.</a:t>
          </a:r>
          <a:endParaRPr lang="en-GB" sz="1100" b="0" kern="1200">
            <a:latin typeface="Times New Roman" panose="02020603050405020304" pitchFamily="18" charset="0"/>
            <a:cs typeface="Times New Roman" panose="02020603050405020304" pitchFamily="18" charset="0"/>
          </a:endParaRPr>
        </a:p>
      </dsp:txBody>
      <dsp:txXfrm>
        <a:off x="3197326" y="2032387"/>
        <a:ext cx="2722913" cy="1511709"/>
      </dsp:txXfrm>
    </dsp:sp>
  </dsp:spTree>
</dsp:drawing>
</file>

<file path=word/diagrams/layout1.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283A53-D559-46E2-9483-0E2785904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60</Pages>
  <Words>50756</Words>
  <Characters>289312</Characters>
  <Application>Microsoft Office Word</Application>
  <DocSecurity>0</DocSecurity>
  <Lines>2410</Lines>
  <Paragraphs>678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339390</CharactersWithSpaces>
  <SharedDoc>false</SharedDoc>
  <HLinks>
    <vt:vector size="378" baseType="variant">
      <vt:variant>
        <vt:i4>7733349</vt:i4>
      </vt:variant>
      <vt:variant>
        <vt:i4>507</vt:i4>
      </vt:variant>
      <vt:variant>
        <vt:i4>0</vt:i4>
      </vt:variant>
      <vt:variant>
        <vt:i4>5</vt:i4>
      </vt:variant>
      <vt:variant>
        <vt:lpwstr>https://www.msci-institute.com/themes/risk-return/long-term-corporate-performance/</vt:lpwstr>
      </vt:variant>
      <vt:variant>
        <vt:lpwstr/>
      </vt:variant>
      <vt:variant>
        <vt:i4>2621473</vt:i4>
      </vt:variant>
      <vt:variant>
        <vt:i4>504</vt:i4>
      </vt:variant>
      <vt:variant>
        <vt:i4>0</vt:i4>
      </vt:variant>
      <vt:variant>
        <vt:i4>5</vt:i4>
      </vt:variant>
      <vt:variant>
        <vt:lpwstr>https://doi.org/10.1787/2fa21143-en</vt:lpwstr>
      </vt:variant>
      <vt:variant>
        <vt:lpwstr/>
      </vt:variant>
      <vt:variant>
        <vt:i4>6619192</vt:i4>
      </vt:variant>
      <vt:variant>
        <vt:i4>501</vt:i4>
      </vt:variant>
      <vt:variant>
        <vt:i4>0</vt:i4>
      </vt:variant>
      <vt:variant>
        <vt:i4>5</vt:i4>
      </vt:variant>
      <vt:variant>
        <vt:lpwstr>https://www.globalreporting.org/news/news-center/efrag-and-gri-enhance-collaboration-with-deeper-ties/</vt:lpwstr>
      </vt:variant>
      <vt:variant>
        <vt:lpwstr/>
      </vt:variant>
      <vt:variant>
        <vt:i4>5898246</vt:i4>
      </vt:variant>
      <vt:variant>
        <vt:i4>498</vt:i4>
      </vt:variant>
      <vt:variant>
        <vt:i4>0</vt:i4>
      </vt:variant>
      <vt:variant>
        <vt:i4>5</vt:i4>
      </vt:variant>
      <vt:variant>
        <vt:lpwstr>https://www.ifrs.org/projects/completed-projects/2023/general-sustainability-related-disclosures/</vt:lpwstr>
      </vt:variant>
      <vt:variant>
        <vt:lpwstr/>
      </vt:variant>
      <vt:variant>
        <vt:i4>196674</vt:i4>
      </vt:variant>
      <vt:variant>
        <vt:i4>495</vt:i4>
      </vt:variant>
      <vt:variant>
        <vt:i4>0</vt:i4>
      </vt:variant>
      <vt:variant>
        <vt:i4>5</vt:i4>
      </vt:variant>
      <vt:variant>
        <vt:lpwstr>https://doi.org/10.1080/14693062.2024.2415382</vt:lpwstr>
      </vt:variant>
      <vt:variant>
        <vt:lpwstr/>
      </vt:variant>
      <vt:variant>
        <vt:i4>7798902</vt:i4>
      </vt:variant>
      <vt:variant>
        <vt:i4>492</vt:i4>
      </vt:variant>
      <vt:variant>
        <vt:i4>0</vt:i4>
      </vt:variant>
      <vt:variant>
        <vt:i4>5</vt:i4>
      </vt:variant>
      <vt:variant>
        <vt:lpwstr>https://www.spglobal.com/esg/solutions/esg-scores-data</vt:lpwstr>
      </vt:variant>
      <vt:variant>
        <vt:lpwstr/>
      </vt:variant>
      <vt:variant>
        <vt:i4>4194380</vt:i4>
      </vt:variant>
      <vt:variant>
        <vt:i4>489</vt:i4>
      </vt:variant>
      <vt:variant>
        <vt:i4>0</vt:i4>
      </vt:variant>
      <vt:variant>
        <vt:i4>5</vt:i4>
      </vt:variant>
      <vt:variant>
        <vt:lpwstr>https://www.bloomberg.com/company/press/global-esg-assets-predicted-to-hit-40-trillion-by-2030-despite-challenging-environment-forecasts-bloomberg-intelligence/</vt:lpwstr>
      </vt:variant>
      <vt:variant>
        <vt:lpwstr/>
      </vt:variant>
      <vt:variant>
        <vt:i4>7471161</vt:i4>
      </vt:variant>
      <vt:variant>
        <vt:i4>486</vt:i4>
      </vt:variant>
      <vt:variant>
        <vt:i4>0</vt:i4>
      </vt:variant>
      <vt:variant>
        <vt:i4>5</vt:i4>
      </vt:variant>
      <vt:variant>
        <vt:lpwstr>https://www.msci.com/data-and-analytics/sustainability-solutions/esg-ratings/esg-ratings-and-financial-performance</vt:lpwstr>
      </vt:variant>
      <vt:variant>
        <vt:lpwstr/>
      </vt:variant>
      <vt:variant>
        <vt:i4>2883620</vt:i4>
      </vt:variant>
      <vt:variant>
        <vt:i4>483</vt:i4>
      </vt:variant>
      <vt:variant>
        <vt:i4>0</vt:i4>
      </vt:variant>
      <vt:variant>
        <vt:i4>5</vt:i4>
      </vt:variant>
      <vt:variant>
        <vt:lpwstr>https://www.microsoft.com/en-us/investor/annual-reports</vt:lpwstr>
      </vt:variant>
      <vt:variant>
        <vt:lpwstr/>
      </vt:variant>
      <vt:variant>
        <vt:i4>6750269</vt:i4>
      </vt:variant>
      <vt:variant>
        <vt:i4>480</vt:i4>
      </vt:variant>
      <vt:variant>
        <vt:i4>0</vt:i4>
      </vt:variant>
      <vt:variant>
        <vt:i4>5</vt:i4>
      </vt:variant>
      <vt:variant>
        <vt:lpwstr>https://www.microsoft.com/en-us/corporate-responsibility/sustainability/report/</vt:lpwstr>
      </vt:variant>
      <vt:variant>
        <vt:lpwstr/>
      </vt:variant>
      <vt:variant>
        <vt:i4>6946858</vt:i4>
      </vt:variant>
      <vt:variant>
        <vt:i4>477</vt:i4>
      </vt:variant>
      <vt:variant>
        <vt:i4>0</vt:i4>
      </vt:variant>
      <vt:variant>
        <vt:i4>5</vt:i4>
      </vt:variant>
      <vt:variant>
        <vt:lpwstr>https://investor.sempra.com/annual-reports</vt:lpwstr>
      </vt:variant>
      <vt:variant>
        <vt:lpwstr/>
      </vt:variant>
      <vt:variant>
        <vt:i4>2031637</vt:i4>
      </vt:variant>
      <vt:variant>
        <vt:i4>474</vt:i4>
      </vt:variant>
      <vt:variant>
        <vt:i4>0</vt:i4>
      </vt:variant>
      <vt:variant>
        <vt:i4>5</vt:i4>
      </vt:variant>
      <vt:variant>
        <vt:lpwstr>https://investor.verisk.com/financials/quarterly-results/default.aspx</vt:lpwstr>
      </vt:variant>
      <vt:variant>
        <vt:lpwstr/>
      </vt:variant>
      <vt:variant>
        <vt:i4>5963854</vt:i4>
      </vt:variant>
      <vt:variant>
        <vt:i4>471</vt:i4>
      </vt:variant>
      <vt:variant>
        <vt:i4>0</vt:i4>
      </vt:variant>
      <vt:variant>
        <vt:i4>5</vt:i4>
      </vt:variant>
      <vt:variant>
        <vt:lpwstr>https://ir.applied.com/financials/annual-reports/default.aspx</vt:lpwstr>
      </vt:variant>
      <vt:variant>
        <vt:lpwstr/>
      </vt:variant>
      <vt:variant>
        <vt:i4>5242971</vt:i4>
      </vt:variant>
      <vt:variant>
        <vt:i4>468</vt:i4>
      </vt:variant>
      <vt:variant>
        <vt:i4>0</vt:i4>
      </vt:variant>
      <vt:variant>
        <vt:i4>5</vt:i4>
      </vt:variant>
      <vt:variant>
        <vt:lpwstr>https://ir.moodys.com/financials/annual-reports/default.aspx</vt:lpwstr>
      </vt:variant>
      <vt:variant>
        <vt:lpwstr/>
      </vt:variant>
      <vt:variant>
        <vt:i4>2555958</vt:i4>
      </vt:variant>
      <vt:variant>
        <vt:i4>465</vt:i4>
      </vt:variant>
      <vt:variant>
        <vt:i4>0</vt:i4>
      </vt:variant>
      <vt:variant>
        <vt:i4>5</vt:i4>
      </vt:variant>
      <vt:variant>
        <vt:lpwstr>https://www.citiesabc.com/resources/dragon-capital-highlights-need-first-loss-capital-support-vietnams-net-zero-transition/</vt:lpwstr>
      </vt:variant>
      <vt:variant>
        <vt:lpwstr/>
      </vt:variant>
      <vt:variant>
        <vt:i4>3735674</vt:i4>
      </vt:variant>
      <vt:variant>
        <vt:i4>462</vt:i4>
      </vt:variant>
      <vt:variant>
        <vt:i4>0</vt:i4>
      </vt:variant>
      <vt:variant>
        <vt:i4>5</vt:i4>
      </vt:variant>
      <vt:variant>
        <vt:lpwstr>https://finnfund.fi/en/hankkeet/horizon-capital-growth-fund-iv/</vt:lpwstr>
      </vt:variant>
      <vt:variant>
        <vt:lpwstr/>
      </vt:variant>
      <vt:variant>
        <vt:i4>7733344</vt:i4>
      </vt:variant>
      <vt:variant>
        <vt:i4>459</vt:i4>
      </vt:variant>
      <vt:variant>
        <vt:i4>0</vt:i4>
      </vt:variant>
      <vt:variant>
        <vt:i4>5</vt:i4>
      </vt:variant>
      <vt:variant>
        <vt:lpwstr>https://www.unpri.org/signatory-directory/horizon-capital/11224.article</vt:lpwstr>
      </vt:variant>
      <vt:variant>
        <vt:lpwstr/>
      </vt:variant>
      <vt:variant>
        <vt:i4>8126584</vt:i4>
      </vt:variant>
      <vt:variant>
        <vt:i4>456</vt:i4>
      </vt:variant>
      <vt:variant>
        <vt:i4>0</vt:i4>
      </vt:variant>
      <vt:variant>
        <vt:i4>5</vt:i4>
      </vt:variant>
      <vt:variant>
        <vt:lpwstr>https://doi.org/10.1787/866c5c44-en</vt:lpwstr>
      </vt:variant>
      <vt:variant>
        <vt:lpwstr/>
      </vt:variant>
      <vt:variant>
        <vt:i4>3211296</vt:i4>
      </vt:variant>
      <vt:variant>
        <vt:i4>453</vt:i4>
      </vt:variant>
      <vt:variant>
        <vt:i4>0</vt:i4>
      </vt:variant>
      <vt:variant>
        <vt:i4>5</vt:i4>
      </vt:variant>
      <vt:variant>
        <vt:lpwstr>https://www.dragoncapital.com/about/responsible-investment/</vt:lpwstr>
      </vt:variant>
      <vt:variant>
        <vt:lpwstr/>
      </vt:variant>
      <vt:variant>
        <vt:i4>5898315</vt:i4>
      </vt:variant>
      <vt:variant>
        <vt:i4>450</vt:i4>
      </vt:variant>
      <vt:variant>
        <vt:i4>0</vt:i4>
      </vt:variant>
      <vt:variant>
        <vt:i4>5</vt:i4>
      </vt:variant>
      <vt:variant>
        <vt:lpwstr>https://sd.capital/eng/tpost/fyfbuxne01-investment-dream-team-konstantin-magalet</vt:lpwstr>
      </vt:variant>
      <vt:variant>
        <vt:lpwstr/>
      </vt:variant>
      <vt:variant>
        <vt:i4>655446</vt:i4>
      </vt:variant>
      <vt:variant>
        <vt:i4>447</vt:i4>
      </vt:variant>
      <vt:variant>
        <vt:i4>0</vt:i4>
      </vt:variant>
      <vt:variant>
        <vt:i4>5</vt:i4>
      </vt:variant>
      <vt:variant>
        <vt:lpwstr>https://www.nssmc.gov.ua/kompaniia-z-upravlinnia-aktyvamy-profesiinyi-menedzhment-u-sferi-spilnoho-investuvannia/?v=2</vt:lpwstr>
      </vt:variant>
      <vt:variant>
        <vt:lpwstr/>
      </vt:variant>
      <vt:variant>
        <vt:i4>7209008</vt:i4>
      </vt:variant>
      <vt:variant>
        <vt:i4>444</vt:i4>
      </vt:variant>
      <vt:variant>
        <vt:i4>0</vt:i4>
      </vt:variant>
      <vt:variant>
        <vt:i4>5</vt:i4>
      </vt:variant>
      <vt:variant>
        <vt:lpwstr>https://www.kmu.gov.ua/news/uriad-pereoriientovuie-prohramu-dostupni-kredyty-5-7-9-na-investytsiini-tsili-nadiia-bihun</vt:lpwstr>
      </vt:variant>
      <vt:variant>
        <vt:lpwstr/>
      </vt:variant>
      <vt:variant>
        <vt:i4>1310739</vt:i4>
      </vt:variant>
      <vt:variant>
        <vt:i4>441</vt:i4>
      </vt:variant>
      <vt:variant>
        <vt:i4>0</vt:i4>
      </vt:variant>
      <vt:variant>
        <vt:i4>5</vt:i4>
      </vt:variant>
      <vt:variant>
        <vt:lpwstr>https://ubn.news/report/</vt:lpwstr>
      </vt:variant>
      <vt:variant>
        <vt:lpwstr/>
      </vt:variant>
      <vt:variant>
        <vt:i4>3932221</vt:i4>
      </vt:variant>
      <vt:variant>
        <vt:i4>438</vt:i4>
      </vt:variant>
      <vt:variant>
        <vt:i4>0</vt:i4>
      </vt:variant>
      <vt:variant>
        <vt:i4>5</vt:i4>
      </vt:variant>
      <vt:variant>
        <vt:lpwstr>https://www.environmental-finance.com/assets/files/research/sustainability-linked-bonds-and-loans-kpis.pdf</vt:lpwstr>
      </vt:variant>
      <vt:variant>
        <vt:lpwstr/>
      </vt:variant>
      <vt:variant>
        <vt:i4>3932221</vt:i4>
      </vt:variant>
      <vt:variant>
        <vt:i4>435</vt:i4>
      </vt:variant>
      <vt:variant>
        <vt:i4>0</vt:i4>
      </vt:variant>
      <vt:variant>
        <vt:i4>5</vt:i4>
      </vt:variant>
      <vt:variant>
        <vt:lpwstr>https://www.environmental-finance.com/assets/files/research/sustainability-linked-bonds-and-loans-kpis.pdf</vt:lpwstr>
      </vt:variant>
      <vt:variant>
        <vt:lpwstr/>
      </vt:variant>
      <vt:variant>
        <vt:i4>4390922</vt:i4>
      </vt:variant>
      <vt:variant>
        <vt:i4>432</vt:i4>
      </vt:variant>
      <vt:variant>
        <vt:i4>0</vt:i4>
      </vt:variant>
      <vt:variant>
        <vt:i4>5</vt:i4>
      </vt:variant>
      <vt:variant>
        <vt:lpwstr>https://wnisef.org/wp-content/uploads/2018/01/Western-NIS-Enterprise-Fund-Annual-Report-2016.pdf</vt:lpwstr>
      </vt:variant>
      <vt:variant>
        <vt:lpwstr/>
      </vt:variant>
      <vt:variant>
        <vt:i4>5439525</vt:i4>
      </vt:variant>
      <vt:variant>
        <vt:i4>429</vt:i4>
      </vt:variant>
      <vt:variant>
        <vt:i4>0</vt:i4>
      </vt:variant>
      <vt:variant>
        <vt:i4>5</vt:i4>
      </vt:variant>
      <vt:variant>
        <vt:lpwstr>https://ec.europa.eu/programmes/erasmus-plus/project-result-content/fcc22362-d0fc-4fae-b116-012581eb631d/National_SE_ecosystem_research_Ukraine_eng.pdf</vt:lpwstr>
      </vt:variant>
      <vt:variant>
        <vt:lpwstr/>
      </vt:variant>
      <vt:variant>
        <vt:i4>5374040</vt:i4>
      </vt:variant>
      <vt:variant>
        <vt:i4>426</vt:i4>
      </vt:variant>
      <vt:variant>
        <vt:i4>0</vt:i4>
      </vt:variant>
      <vt:variant>
        <vt:i4>5</vt:i4>
      </vt:variant>
      <vt:variant>
        <vt:lpwstr>https://www.integrites.com/publications/ukrenergo-has-successfully-placed-usd-825-mln-debut-5-year-green-eurobonds-at-6-875/</vt:lpwstr>
      </vt:variant>
      <vt:variant>
        <vt:lpwstr/>
      </vt:variant>
      <vt:variant>
        <vt:i4>6357055</vt:i4>
      </vt:variant>
      <vt:variant>
        <vt:i4>423</vt:i4>
      </vt:variant>
      <vt:variant>
        <vt:i4>0</vt:i4>
      </vt:variant>
      <vt:variant>
        <vt:i4>5</vt:i4>
      </vt:variant>
      <vt:variant>
        <vt:lpwstr>https://doi.org/10.55643/fcaptp.3.56.2024.4403</vt:lpwstr>
      </vt:variant>
      <vt:variant>
        <vt:lpwstr/>
      </vt:variant>
      <vt:variant>
        <vt:i4>6291558</vt:i4>
      </vt:variant>
      <vt:variant>
        <vt:i4>420</vt:i4>
      </vt:variant>
      <vt:variant>
        <vt:i4>0</vt:i4>
      </vt:variant>
      <vt:variant>
        <vt:i4>5</vt:i4>
      </vt:variant>
      <vt:variant>
        <vt:lpwstr>https://renewables.dtek.com/media-center/press/gruppa-dtek-vpervye-v-istorii-ukrainskogo-biznesa-razmestila-zelenye-evroobligatsii/</vt:lpwstr>
      </vt:variant>
      <vt:variant>
        <vt:lpwstr/>
      </vt:variant>
      <vt:variant>
        <vt:i4>6815801</vt:i4>
      </vt:variant>
      <vt:variant>
        <vt:i4>417</vt:i4>
      </vt:variant>
      <vt:variant>
        <vt:i4>0</vt:i4>
      </vt:variant>
      <vt:variant>
        <vt:i4>5</vt:i4>
      </vt:variant>
      <vt:variant>
        <vt:lpwstr>https://www.bbvacib.com/wp-content/uploads/2025/02/BBVA-Green-and-Social-Bond-Bulletin-January-2025.pdf</vt:lpwstr>
      </vt:variant>
      <vt:variant>
        <vt:lpwstr/>
      </vt:variant>
      <vt:variant>
        <vt:i4>6750318</vt:i4>
      </vt:variant>
      <vt:variant>
        <vt:i4>414</vt:i4>
      </vt:variant>
      <vt:variant>
        <vt:i4>0</vt:i4>
      </vt:variant>
      <vt:variant>
        <vt:i4>5</vt:i4>
      </vt:variant>
      <vt:variant>
        <vt:lpwstr>https://thedocs.worldbank.org/en/doc/dc1d70af2c45cb377ed3ee12b27399d4-0340012024/original/GSSS-Quarterly-Newsletter-Issue-No-6.pdf</vt:lpwstr>
      </vt:variant>
      <vt:variant>
        <vt:lpwstr/>
      </vt:variant>
      <vt:variant>
        <vt:i4>5177435</vt:i4>
      </vt:variant>
      <vt:variant>
        <vt:i4>411</vt:i4>
      </vt:variant>
      <vt:variant>
        <vt:i4>0</vt:i4>
      </vt:variant>
      <vt:variant>
        <vt:i4>5</vt:i4>
      </vt:variant>
      <vt:variant>
        <vt:lpwstr>https://www.spglobal.com/ratings</vt:lpwstr>
      </vt:variant>
      <vt:variant>
        <vt:lpwstr/>
      </vt:variant>
      <vt:variant>
        <vt:i4>3997801</vt:i4>
      </vt:variant>
      <vt:variant>
        <vt:i4>408</vt:i4>
      </vt:variant>
      <vt:variant>
        <vt:i4>0</vt:i4>
      </vt:variant>
      <vt:variant>
        <vt:i4>5</vt:i4>
      </vt:variant>
      <vt:variant>
        <vt:lpwstr>https://assets.contentstack.io/v3/assets/blt4eb669caa7dc65b2/blt608d2560e8c97e65/61f43439df9e4f26248691ea/Global_ESG_Q4_2021_Flow_Report_FINAL.pdf</vt:lpwstr>
      </vt:variant>
      <vt:variant>
        <vt:lpwstr/>
      </vt:variant>
      <vt:variant>
        <vt:i4>4128801</vt:i4>
      </vt:variant>
      <vt:variant>
        <vt:i4>405</vt:i4>
      </vt:variant>
      <vt:variant>
        <vt:i4>0</vt:i4>
      </vt:variant>
      <vt:variant>
        <vt:i4>5</vt:i4>
      </vt:variant>
      <vt:variant>
        <vt:lpwstr>https://www.forbes.com/sites/lbsbusinessstrategyreview/2024/02/28/emerging-opportunities-for-family-offices-in-sustainable-enterprises/</vt:lpwstr>
      </vt:variant>
      <vt:variant>
        <vt:lpwstr/>
      </vt:variant>
      <vt:variant>
        <vt:i4>3342432</vt:i4>
      </vt:variant>
      <vt:variant>
        <vt:i4>402</vt:i4>
      </vt:variant>
      <vt:variant>
        <vt:i4>0</vt:i4>
      </vt:variant>
      <vt:variant>
        <vt:i4>5</vt:i4>
      </vt:variant>
      <vt:variant>
        <vt:lpwstr>https://gsh.cib.natixis.com/our-center-of-expertise/articles/latest-edition-of-the-global-sustainable-investment-review-confirms-strong-growth-of-esg-assets-all-over-the-world</vt:lpwstr>
      </vt:variant>
      <vt:variant>
        <vt:lpwstr/>
      </vt:variant>
      <vt:variant>
        <vt:i4>3473533</vt:i4>
      </vt:variant>
      <vt:variant>
        <vt:i4>399</vt:i4>
      </vt:variant>
      <vt:variant>
        <vt:i4>0</vt:i4>
      </vt:variant>
      <vt:variant>
        <vt:i4>5</vt:i4>
      </vt:variant>
      <vt:variant>
        <vt:lpwstr>https://www-statista-com-icssr.glibrary.in/statistics/1289406/green-bonds-issued-worldwide/</vt:lpwstr>
      </vt:variant>
      <vt:variant>
        <vt:lpwstr/>
      </vt:variant>
      <vt:variant>
        <vt:i4>5177427</vt:i4>
      </vt:variant>
      <vt:variant>
        <vt:i4>396</vt:i4>
      </vt:variant>
      <vt:variant>
        <vt:i4>0</vt:i4>
      </vt:variant>
      <vt:variant>
        <vt:i4>5</vt:i4>
      </vt:variant>
      <vt:variant>
        <vt:lpwstr>https://www.eea.europa.eu/en/analysis/indicators/green-bonds-8th-eap</vt:lpwstr>
      </vt:variant>
      <vt:variant>
        <vt:lpwstr/>
      </vt:variant>
      <vt:variant>
        <vt:i4>7209019</vt:i4>
      </vt:variant>
      <vt:variant>
        <vt:i4>393</vt:i4>
      </vt:variant>
      <vt:variant>
        <vt:i4>0</vt:i4>
      </vt:variant>
      <vt:variant>
        <vt:i4>5</vt:i4>
      </vt:variant>
      <vt:variant>
        <vt:lpwstr>https://s3.amazonaws.com/giin-web-assets/giin/assets/publication/giin-stateofthemarket2024-report-2024.pdf</vt:lpwstr>
      </vt:variant>
      <vt:variant>
        <vt:lpwstr/>
      </vt:variant>
      <vt:variant>
        <vt:i4>4391003</vt:i4>
      </vt:variant>
      <vt:variant>
        <vt:i4>390</vt:i4>
      </vt:variant>
      <vt:variant>
        <vt:i4>0</vt:i4>
      </vt:variant>
      <vt:variant>
        <vt:i4>5</vt:i4>
      </vt:variant>
      <vt:variant>
        <vt:lpwstr>https://www.gsi-alliance.org/members-resources/gsir2022/</vt:lpwstr>
      </vt:variant>
      <vt:variant>
        <vt:lpwstr/>
      </vt:variant>
      <vt:variant>
        <vt:i4>1638400</vt:i4>
      </vt:variant>
      <vt:variant>
        <vt:i4>387</vt:i4>
      </vt:variant>
      <vt:variant>
        <vt:i4>0</vt:i4>
      </vt:variant>
      <vt:variant>
        <vt:i4>5</vt:i4>
      </vt:variant>
      <vt:variant>
        <vt:lpwstr>https://www.gsi-alliance.org/trends-report-2020/</vt:lpwstr>
      </vt:variant>
      <vt:variant>
        <vt:lpwstr/>
      </vt:variant>
      <vt:variant>
        <vt:i4>1703944</vt:i4>
      </vt:variant>
      <vt:variant>
        <vt:i4>384</vt:i4>
      </vt:variant>
      <vt:variant>
        <vt:i4>0</vt:i4>
      </vt:variant>
      <vt:variant>
        <vt:i4>5</vt:i4>
      </vt:variant>
      <vt:variant>
        <vt:lpwstr>https://www.gsi-alliance.org/trends-report-2018/</vt:lpwstr>
      </vt:variant>
      <vt:variant>
        <vt:lpwstr/>
      </vt:variant>
      <vt:variant>
        <vt:i4>6815852</vt:i4>
      </vt:variant>
      <vt:variant>
        <vt:i4>381</vt:i4>
      </vt:variant>
      <vt:variant>
        <vt:i4>0</vt:i4>
      </vt:variant>
      <vt:variant>
        <vt:i4>5</vt:i4>
      </vt:variant>
      <vt:variant>
        <vt:lpwstr>https://www.gsi-alliance.org/members-resources/trends-report-2016/</vt:lpwstr>
      </vt:variant>
      <vt:variant>
        <vt:lpwstr/>
      </vt:variant>
      <vt:variant>
        <vt:i4>4718600</vt:i4>
      </vt:variant>
      <vt:variant>
        <vt:i4>378</vt:i4>
      </vt:variant>
      <vt:variant>
        <vt:i4>0</vt:i4>
      </vt:variant>
      <vt:variant>
        <vt:i4>5</vt:i4>
      </vt:variant>
      <vt:variant>
        <vt:lpwstr>https://www.gsi-alliance.org/members-resources/global-sustainable-investment-review-2014/</vt:lpwstr>
      </vt:variant>
      <vt:variant>
        <vt:lpwstr/>
      </vt:variant>
      <vt:variant>
        <vt:i4>6684772</vt:i4>
      </vt:variant>
      <vt:variant>
        <vt:i4>375</vt:i4>
      </vt:variant>
      <vt:variant>
        <vt:i4>0</vt:i4>
      </vt:variant>
      <vt:variant>
        <vt:i4>5</vt:i4>
      </vt:variant>
      <vt:variant>
        <vt:lpwstr>https://www.gsi-alliance.org/latest-trends-report/</vt:lpwstr>
      </vt:variant>
      <vt:variant>
        <vt:lpwstr/>
      </vt:variant>
      <vt:variant>
        <vt:i4>4784200</vt:i4>
      </vt:variant>
      <vt:variant>
        <vt:i4>372</vt:i4>
      </vt:variant>
      <vt:variant>
        <vt:i4>0</vt:i4>
      </vt:variant>
      <vt:variant>
        <vt:i4>5</vt:i4>
      </vt:variant>
      <vt:variant>
        <vt:lpwstr>https://doi.org/10.1002/csr.3225</vt:lpwstr>
      </vt:variant>
      <vt:variant>
        <vt:lpwstr/>
      </vt:variant>
      <vt:variant>
        <vt:i4>196635</vt:i4>
      </vt:variant>
      <vt:variant>
        <vt:i4>369</vt:i4>
      </vt:variant>
      <vt:variant>
        <vt:i4>0</vt:i4>
      </vt:variant>
      <vt:variant>
        <vt:i4>5</vt:i4>
      </vt:variant>
      <vt:variant>
        <vt:lpwstr>https://ssrn.com/abstract=3837706</vt:lpwstr>
      </vt:variant>
      <vt:variant>
        <vt:lpwstr/>
      </vt:variant>
      <vt:variant>
        <vt:i4>6750247</vt:i4>
      </vt:variant>
      <vt:variant>
        <vt:i4>366</vt:i4>
      </vt:variant>
      <vt:variant>
        <vt:i4>0</vt:i4>
      </vt:variant>
      <vt:variant>
        <vt:i4>5</vt:i4>
      </vt:variant>
      <vt:variant>
        <vt:lpwstr>https://doi.org/10.24297/jssr.v20i.9687</vt:lpwstr>
      </vt:variant>
      <vt:variant>
        <vt:lpwstr/>
      </vt:variant>
      <vt:variant>
        <vt:i4>4980815</vt:i4>
      </vt:variant>
      <vt:variant>
        <vt:i4>363</vt:i4>
      </vt:variant>
      <vt:variant>
        <vt:i4>0</vt:i4>
      </vt:variant>
      <vt:variant>
        <vt:i4>5</vt:i4>
      </vt:variant>
      <vt:variant>
        <vt:lpwstr>https://doi.org/10.48550/arXiv.2309.05866</vt:lpwstr>
      </vt:variant>
      <vt:variant>
        <vt:lpwstr/>
      </vt:variant>
      <vt:variant>
        <vt:i4>262230</vt:i4>
      </vt:variant>
      <vt:variant>
        <vt:i4>360</vt:i4>
      </vt:variant>
      <vt:variant>
        <vt:i4>0</vt:i4>
      </vt:variant>
      <vt:variant>
        <vt:i4>5</vt:i4>
      </vt:variant>
      <vt:variant>
        <vt:lpwstr>https://doi.org/10.3390/jrfm16070321</vt:lpwstr>
      </vt:variant>
      <vt:variant>
        <vt:lpwstr/>
      </vt:variant>
      <vt:variant>
        <vt:i4>4522051</vt:i4>
      </vt:variant>
      <vt:variant>
        <vt:i4>357</vt:i4>
      </vt:variant>
      <vt:variant>
        <vt:i4>0</vt:i4>
      </vt:variant>
      <vt:variant>
        <vt:i4>5</vt:i4>
      </vt:variant>
      <vt:variant>
        <vt:lpwstr>https://doi.org/10.1002/csr.2982</vt:lpwstr>
      </vt:variant>
      <vt:variant>
        <vt:lpwstr/>
      </vt:variant>
      <vt:variant>
        <vt:i4>2490417</vt:i4>
      </vt:variant>
      <vt:variant>
        <vt:i4>354</vt:i4>
      </vt:variant>
      <vt:variant>
        <vt:i4>0</vt:i4>
      </vt:variant>
      <vt:variant>
        <vt:i4>5</vt:i4>
      </vt:variant>
      <vt:variant>
        <vt:lpwstr>https://doi.org/10.1007/s10479-025-06613-9</vt:lpwstr>
      </vt:variant>
      <vt:variant>
        <vt:lpwstr/>
      </vt:variant>
      <vt:variant>
        <vt:i4>3342369</vt:i4>
      </vt:variant>
      <vt:variant>
        <vt:i4>351</vt:i4>
      </vt:variant>
      <vt:variant>
        <vt:i4>0</vt:i4>
      </vt:variant>
      <vt:variant>
        <vt:i4>5</vt:i4>
      </vt:variant>
      <vt:variant>
        <vt:lpwstr>https://doi.org/10.1016/j.iref.2024.103530</vt:lpwstr>
      </vt:variant>
      <vt:variant>
        <vt:lpwstr/>
      </vt:variant>
      <vt:variant>
        <vt:i4>4390960</vt:i4>
      </vt:variant>
      <vt:variant>
        <vt:i4>348</vt:i4>
      </vt:variant>
      <vt:variant>
        <vt:i4>0</vt:i4>
      </vt:variant>
      <vt:variant>
        <vt:i4>5</vt:i4>
      </vt:variant>
      <vt:variant>
        <vt:lpwstr>https://www.oecd.org/en/publications/esg-investing-practices-progress-and-challenges_b4f71091-en.html</vt:lpwstr>
      </vt:variant>
      <vt:variant>
        <vt:lpwstr/>
      </vt:variant>
      <vt:variant>
        <vt:i4>786513</vt:i4>
      </vt:variant>
      <vt:variant>
        <vt:i4>345</vt:i4>
      </vt:variant>
      <vt:variant>
        <vt:i4>0</vt:i4>
      </vt:variant>
      <vt:variant>
        <vt:i4>5</vt:i4>
      </vt:variant>
      <vt:variant>
        <vt:lpwstr>https://doi.org/10.3905/jesg.2020.1.1.010</vt:lpwstr>
      </vt:variant>
      <vt:variant>
        <vt:lpwstr/>
      </vt:variant>
      <vt:variant>
        <vt:i4>6750334</vt:i4>
      </vt:variant>
      <vt:variant>
        <vt:i4>342</vt:i4>
      </vt:variant>
      <vt:variant>
        <vt:i4>0</vt:i4>
      </vt:variant>
      <vt:variant>
        <vt:i4>5</vt:i4>
      </vt:variant>
      <vt:variant>
        <vt:lpwstr>https://essuir.sumdu.edu.ua/bitstream-download/123456789/94199/1/Plastun_responsible_investment.pdf</vt:lpwstr>
      </vt:variant>
      <vt:variant>
        <vt:lpwstr/>
      </vt:variant>
      <vt:variant>
        <vt:i4>65567</vt:i4>
      </vt:variant>
      <vt:variant>
        <vt:i4>339</vt:i4>
      </vt:variant>
      <vt:variant>
        <vt:i4>0</vt:i4>
      </vt:variant>
      <vt:variant>
        <vt:i4>5</vt:i4>
      </vt:variant>
      <vt:variant>
        <vt:lpwstr>https://doi.org/10.1186/s40991-018-0039-y</vt:lpwstr>
      </vt:variant>
      <vt:variant>
        <vt:lpwstr/>
      </vt:variant>
      <vt:variant>
        <vt:i4>196672</vt:i4>
      </vt:variant>
      <vt:variant>
        <vt:i4>336</vt:i4>
      </vt:variant>
      <vt:variant>
        <vt:i4>0</vt:i4>
      </vt:variant>
      <vt:variant>
        <vt:i4>5</vt:i4>
      </vt:variant>
      <vt:variant>
        <vt:lpwstr>https://doi.org/10.2139/ssrn.3698631</vt:lpwstr>
      </vt:variant>
      <vt:variant>
        <vt:lpwstr/>
      </vt:variant>
      <vt:variant>
        <vt:i4>2752621</vt:i4>
      </vt:variant>
      <vt:variant>
        <vt:i4>333</vt:i4>
      </vt:variant>
      <vt:variant>
        <vt:i4>0</vt:i4>
      </vt:variant>
      <vt:variant>
        <vt:i4>5</vt:i4>
      </vt:variant>
      <vt:variant>
        <vt:lpwstr>https://doi.org/10.1016/j.ribaf.2019.101098</vt:lpwstr>
      </vt:variant>
      <vt:variant>
        <vt:lpwstr/>
      </vt:variant>
      <vt:variant>
        <vt:i4>6160410</vt:i4>
      </vt:variant>
      <vt:variant>
        <vt:i4>330</vt:i4>
      </vt:variant>
      <vt:variant>
        <vt:i4>0</vt:i4>
      </vt:variant>
      <vt:variant>
        <vt:i4>5</vt:i4>
      </vt:variant>
      <vt:variant>
        <vt:lpwstr>https://doi.org/10.1016/j.jfineco.2018.08.013</vt:lpwstr>
      </vt:variant>
      <vt:variant>
        <vt:lpwstr/>
      </vt:variant>
      <vt:variant>
        <vt:i4>1900637</vt:i4>
      </vt:variant>
      <vt:variant>
        <vt:i4>327</vt:i4>
      </vt:variant>
      <vt:variant>
        <vt:i4>0</vt:i4>
      </vt:variant>
      <vt:variant>
        <vt:i4>5</vt:i4>
      </vt:variant>
      <vt:variant>
        <vt:lpwstr>https://doi.org/10.1108/JCMS-09-2020-0034</vt:lpwstr>
      </vt:variant>
      <vt:variant>
        <vt:lpwstr/>
      </vt:variant>
      <vt:variant>
        <vt:i4>1048671</vt:i4>
      </vt:variant>
      <vt:variant>
        <vt:i4>324</vt:i4>
      </vt:variant>
      <vt:variant>
        <vt:i4>0</vt:i4>
      </vt:variant>
      <vt:variant>
        <vt:i4>5</vt:i4>
      </vt:variant>
      <vt:variant>
        <vt:lpwstr>https://doi.org/10.31558/2307-2318.2024.2.17</vt:lpwstr>
      </vt:variant>
      <vt:variant>
        <vt:lpwstr/>
      </vt:variant>
      <vt:variant>
        <vt:i4>2621489</vt:i4>
      </vt:variant>
      <vt:variant>
        <vt:i4>321</vt:i4>
      </vt:variant>
      <vt:variant>
        <vt:i4>0</vt:i4>
      </vt:variant>
      <vt:variant>
        <vt:i4>5</vt:i4>
      </vt:variant>
      <vt:variant>
        <vt:lpwstr>https://doi.org/10.1007/s10668-021-01375-3</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Anastasiia Shapoval</dc:creator>
  <cp:keywords/>
  <dc:description/>
  <cp:lastModifiedBy>Учетная запись Майкрософт</cp:lastModifiedBy>
  <cp:revision>2</cp:revision>
  <cp:lastPrinted>2025-06-13T15:04:00Z</cp:lastPrinted>
  <dcterms:created xsi:type="dcterms:W3CDTF">2025-06-13T17:27:00Z</dcterms:created>
  <dcterms:modified xsi:type="dcterms:W3CDTF">2025-06-13T17:27:00Z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id="8kZpw6Af"/&gt;&lt;style id="http://www.zotero.org/styles/apa-numeric-superscript-brackets" locale="en-US" hasBibliography="1" bibliographyStyleHasBeenSet="1"/&gt;&lt;prefs&gt;&lt;pref name="fieldType" value="Field</vt:lpwstr>
  </property>
  <property fmtid="{D5CDD505-2E9C-101B-9397-08002B2CF9AE}" pid="3" name="ZOTERO_PREF_2">
    <vt:lpwstr>"/&gt;&lt;pref name="delayCitationUpdates" value="true"/&gt;&lt;pref name="dontAskDelayCitationUpdates" value="true"/&gt;&lt;/prefs&gt;&lt;/data&gt;</vt:lpwstr>
  </property>
  <property fmtid="{D5CDD505-2E9C-101B-9397-08002B2CF9AE}" pid="4" name="GrammarlyDocumentId">
    <vt:lpwstr>ffc89380-f180-4adc-858d-c9da784e280c</vt:lpwstr>
  </property>
</Properties>
</file>