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8D728" w14:textId="77777777" w:rsidR="008604BD" w:rsidRPr="00164EF1" w:rsidRDefault="008604BD" w:rsidP="008604BD">
      <w:pPr>
        <w:spacing w:line="360" w:lineRule="auto"/>
        <w:jc w:val="center"/>
        <w:rPr>
          <w:rFonts w:ascii="Times New Roman" w:hAnsi="Times New Roman"/>
          <w:sz w:val="28"/>
          <w:szCs w:val="28"/>
          <w:lang w:val="en-US"/>
        </w:rPr>
      </w:pPr>
      <w:r w:rsidRPr="00164EF1">
        <w:rPr>
          <w:rFonts w:ascii="Times New Roman" w:hAnsi="Times New Roman"/>
          <w:sz w:val="28"/>
          <w:szCs w:val="28"/>
          <w:lang w:val="en-US"/>
        </w:rPr>
        <w:t>ODESA I.I. MECHNIKOV NATIONAL UNIVERSITY                                          FACULTY OF ECONOMICS AND LAW                                                                                             DEPARTMENT OF MANAGEMENT AND INNOVATIONS</w:t>
      </w:r>
    </w:p>
    <w:p w14:paraId="4C52E595" w14:textId="77777777" w:rsidR="008604BD" w:rsidRPr="00164EF1" w:rsidRDefault="008604BD" w:rsidP="008604BD">
      <w:pPr>
        <w:spacing w:line="360" w:lineRule="auto"/>
        <w:rPr>
          <w:rFonts w:ascii="Times New Roman" w:hAnsi="Times New Roman"/>
          <w:sz w:val="28"/>
          <w:szCs w:val="28"/>
          <w:lang w:val="en-US"/>
        </w:rPr>
      </w:pPr>
    </w:p>
    <w:p w14:paraId="233E6CFB" w14:textId="77777777" w:rsidR="008604BD" w:rsidRDefault="008604BD" w:rsidP="008604BD">
      <w:pPr>
        <w:spacing w:line="360" w:lineRule="auto"/>
        <w:jc w:val="center"/>
        <w:rPr>
          <w:rFonts w:ascii="Times New Roman" w:hAnsi="Times New Roman"/>
          <w:b/>
          <w:bCs/>
          <w:sz w:val="28"/>
          <w:szCs w:val="28"/>
          <w:lang w:val="uk-UA"/>
        </w:rPr>
      </w:pPr>
      <w:r w:rsidRPr="00164EF1">
        <w:rPr>
          <w:rFonts w:ascii="Times New Roman" w:hAnsi="Times New Roman"/>
          <w:b/>
          <w:bCs/>
          <w:sz w:val="28"/>
          <w:szCs w:val="28"/>
          <w:lang w:val="en-US"/>
        </w:rPr>
        <w:t>Qualification project (thesis)</w:t>
      </w:r>
    </w:p>
    <w:p w14:paraId="2CE7A995" w14:textId="77777777" w:rsidR="00430348" w:rsidRPr="00430348" w:rsidRDefault="00430348" w:rsidP="008604BD">
      <w:pPr>
        <w:spacing w:line="360" w:lineRule="auto"/>
        <w:jc w:val="center"/>
        <w:rPr>
          <w:rFonts w:ascii="Times New Roman" w:hAnsi="Times New Roman"/>
          <w:b/>
          <w:bCs/>
          <w:sz w:val="28"/>
          <w:szCs w:val="28"/>
          <w:lang w:val="uk-UA"/>
        </w:rPr>
      </w:pPr>
    </w:p>
    <w:p w14:paraId="4E618F25" w14:textId="77777777" w:rsidR="008604BD" w:rsidRPr="00164EF1" w:rsidRDefault="008604BD" w:rsidP="008604BD">
      <w:pPr>
        <w:spacing w:line="360" w:lineRule="auto"/>
        <w:jc w:val="center"/>
        <w:rPr>
          <w:rFonts w:ascii="Times New Roman" w:hAnsi="Times New Roman"/>
          <w:sz w:val="28"/>
          <w:szCs w:val="28"/>
          <w:lang w:val="en-US"/>
        </w:rPr>
      </w:pPr>
      <w:r w:rsidRPr="00164EF1">
        <w:rPr>
          <w:rFonts w:ascii="Times New Roman" w:hAnsi="Times New Roman"/>
          <w:sz w:val="28"/>
          <w:szCs w:val="28"/>
          <w:lang w:val="en-US"/>
        </w:rPr>
        <w:t>for obtaining the degree of higher education «master»</w:t>
      </w:r>
    </w:p>
    <w:p w14:paraId="0FBD6C5D" w14:textId="77777777" w:rsidR="008604BD" w:rsidRPr="008F7264" w:rsidRDefault="008604BD" w:rsidP="008604BD">
      <w:pPr>
        <w:spacing w:line="360" w:lineRule="auto"/>
        <w:ind w:firstLine="567"/>
        <w:jc w:val="center"/>
        <w:rPr>
          <w:rFonts w:ascii="Times New Roman" w:hAnsi="Times New Roman" w:cs="Times New Roman"/>
          <w:b/>
          <w:bCs/>
          <w:sz w:val="28"/>
          <w:szCs w:val="28"/>
          <w:lang w:val="en-US"/>
        </w:rPr>
      </w:pPr>
      <w:r w:rsidRPr="008F7264">
        <w:rPr>
          <w:rFonts w:ascii="Times New Roman" w:hAnsi="Times New Roman" w:cs="Times New Roman"/>
          <w:b/>
          <w:bCs/>
          <w:sz w:val="28"/>
          <w:szCs w:val="28"/>
          <w:lang w:val="en-US"/>
        </w:rPr>
        <w:t>«</w:t>
      </w:r>
      <w:r w:rsidRPr="008F7264">
        <w:rPr>
          <w:rFonts w:ascii="Times New Roman" w:eastAsia="TimesNewRomanPS-BoldMT" w:hAnsi="Times New Roman" w:cs="Times New Roman"/>
          <w:b/>
          <w:bCs/>
          <w:color w:val="000000"/>
          <w:sz w:val="28"/>
          <w:szCs w:val="28"/>
          <w:lang w:val="en-US" w:bidi="ar"/>
        </w:rPr>
        <w:t xml:space="preserve"> Anti-crisis management based on analysis of demand dynamics and infrastructure profitability of People's Republic of China</w:t>
      </w:r>
      <w:r w:rsidRPr="008F7264">
        <w:rPr>
          <w:rFonts w:ascii="Times New Roman" w:hAnsi="Times New Roman" w:cs="Times New Roman"/>
          <w:sz w:val="28"/>
          <w:szCs w:val="28"/>
          <w:lang w:val="uk-UA" w:eastAsia="ru-RU"/>
        </w:rPr>
        <w:t xml:space="preserve"> </w:t>
      </w:r>
      <w:r w:rsidRPr="008F7264">
        <w:rPr>
          <w:rFonts w:ascii="Times New Roman" w:hAnsi="Times New Roman" w:cs="Times New Roman"/>
          <w:b/>
          <w:bCs/>
          <w:sz w:val="28"/>
          <w:szCs w:val="28"/>
          <w:lang w:val="en-US"/>
        </w:rPr>
        <w:t>»</w:t>
      </w:r>
    </w:p>
    <w:p w14:paraId="70F2F12B" w14:textId="77777777" w:rsidR="008604BD" w:rsidRDefault="008604BD" w:rsidP="008604BD">
      <w:pPr>
        <w:spacing w:line="360" w:lineRule="auto"/>
        <w:ind w:firstLine="567"/>
        <w:jc w:val="center"/>
        <w:rPr>
          <w:rFonts w:ascii="Times New Roman" w:hAnsi="Times New Roman"/>
          <w:sz w:val="28"/>
          <w:szCs w:val="28"/>
          <w:lang w:val="uk-UA"/>
        </w:rPr>
      </w:pPr>
      <w:r>
        <w:rPr>
          <w:rFonts w:ascii="Times New Roman" w:hAnsi="Times New Roman"/>
          <w:sz w:val="28"/>
          <w:szCs w:val="28"/>
          <w:lang w:val="uk-UA"/>
        </w:rPr>
        <w:t>«</w:t>
      </w:r>
      <w:r w:rsidRPr="008604BD">
        <w:rPr>
          <w:rFonts w:ascii="Times New Roman" w:hAnsi="Times New Roman"/>
          <w:sz w:val="28"/>
          <w:szCs w:val="28"/>
          <w:lang w:val="uk-UA"/>
        </w:rPr>
        <w:t>Антикризове управління на основі аналізу динаміки попиту та прибутковості інфраструктури КНР</w:t>
      </w:r>
      <w:r>
        <w:rPr>
          <w:rFonts w:ascii="Times New Roman" w:hAnsi="Times New Roman"/>
          <w:sz w:val="28"/>
          <w:szCs w:val="28"/>
          <w:lang w:val="uk-UA"/>
        </w:rPr>
        <w:t>»</w:t>
      </w:r>
    </w:p>
    <w:p w14:paraId="331AE01B" w14:textId="77777777" w:rsidR="008604BD" w:rsidRDefault="008604BD" w:rsidP="008604BD">
      <w:pPr>
        <w:spacing w:line="360" w:lineRule="auto"/>
        <w:ind w:firstLine="567"/>
        <w:jc w:val="center"/>
        <w:rPr>
          <w:rFonts w:ascii="Times New Roman" w:hAnsi="Times New Roman"/>
          <w:b/>
          <w:bCs/>
          <w:sz w:val="28"/>
          <w:szCs w:val="28"/>
          <w:lang w:val="uk-UA"/>
        </w:rPr>
      </w:pPr>
    </w:p>
    <w:p w14:paraId="29142B6D" w14:textId="77777777" w:rsidR="008604BD" w:rsidRPr="00164EF1" w:rsidRDefault="008604BD" w:rsidP="008604BD">
      <w:pPr>
        <w:ind w:left="1701"/>
        <w:rPr>
          <w:rFonts w:ascii="Times New Roman" w:hAnsi="Times New Roman"/>
          <w:sz w:val="28"/>
          <w:szCs w:val="28"/>
          <w:lang w:val="en-US"/>
        </w:rPr>
      </w:pPr>
      <w:r w:rsidRPr="00164EF1">
        <w:rPr>
          <w:rFonts w:ascii="Times New Roman" w:hAnsi="Times New Roman"/>
          <w:sz w:val="28"/>
          <w:szCs w:val="28"/>
          <w:lang w:val="en-US"/>
        </w:rPr>
        <w:t xml:space="preserve">Performed by: full-time student </w:t>
      </w:r>
    </w:p>
    <w:p w14:paraId="05D2B03F" w14:textId="77777777" w:rsidR="008604BD" w:rsidRPr="00164EF1" w:rsidRDefault="008604BD" w:rsidP="008604BD">
      <w:pPr>
        <w:ind w:left="1701"/>
        <w:rPr>
          <w:rFonts w:ascii="Times New Roman" w:hAnsi="Times New Roman"/>
          <w:sz w:val="28"/>
          <w:szCs w:val="28"/>
          <w:lang w:val="en-US"/>
        </w:rPr>
      </w:pPr>
      <w:r w:rsidRPr="00164EF1">
        <w:rPr>
          <w:rFonts w:ascii="Times New Roman" w:hAnsi="Times New Roman"/>
          <w:sz w:val="28"/>
          <w:szCs w:val="28"/>
          <w:lang w:val="en-US"/>
        </w:rPr>
        <w:t xml:space="preserve">specialty 073 Management </w:t>
      </w:r>
    </w:p>
    <w:p w14:paraId="7EC00479" w14:textId="77777777" w:rsidR="008604BD" w:rsidRPr="00164EF1" w:rsidRDefault="008604BD" w:rsidP="008604BD">
      <w:pPr>
        <w:autoSpaceDE w:val="0"/>
        <w:autoSpaceDN w:val="0"/>
        <w:ind w:left="2977" w:hanging="1276"/>
        <w:rPr>
          <w:rFonts w:ascii="Times New Roman" w:hAnsi="Times New Roman"/>
          <w:bCs/>
          <w:sz w:val="28"/>
          <w:szCs w:val="28"/>
          <w:lang w:val="en-US"/>
        </w:rPr>
      </w:pPr>
      <w:r w:rsidRPr="00164EF1">
        <w:rPr>
          <w:rFonts w:ascii="Times New Roman" w:hAnsi="Times New Roman"/>
          <w:bCs/>
          <w:sz w:val="28"/>
          <w:szCs w:val="28"/>
          <w:lang w:val="en-US"/>
        </w:rPr>
        <w:t>Educational and professional program «Management»</w:t>
      </w:r>
    </w:p>
    <w:p w14:paraId="2778A0E0" w14:textId="77777777" w:rsidR="008604BD" w:rsidRDefault="008604BD" w:rsidP="008604BD">
      <w:pPr>
        <w:ind w:left="1701"/>
        <w:rPr>
          <w:rFonts w:ascii="Times New Roman" w:hAnsi="Times New Roman"/>
          <w:b/>
          <w:bCs/>
          <w:color w:val="000000"/>
          <w:sz w:val="28"/>
          <w:szCs w:val="28"/>
          <w:shd w:val="clear" w:color="auto" w:fill="FFFFFF"/>
          <w:lang w:val="uk-UA"/>
        </w:rPr>
      </w:pPr>
      <w:r>
        <w:rPr>
          <w:rFonts w:ascii="Times New Roman" w:hAnsi="Times New Roman"/>
          <w:b/>
          <w:bCs/>
          <w:sz w:val="28"/>
          <w:szCs w:val="28"/>
          <w:lang w:val="en-US"/>
        </w:rPr>
        <w:t>Wei Meng</w:t>
      </w:r>
      <w:r>
        <w:rPr>
          <w:rFonts w:ascii="Times New Roman" w:hAnsi="Times New Roman"/>
          <w:b/>
          <w:bCs/>
          <w:sz w:val="28"/>
          <w:szCs w:val="28"/>
          <w:lang w:val="uk-UA"/>
        </w:rPr>
        <w:t xml:space="preserve"> / Вей Менг</w:t>
      </w:r>
    </w:p>
    <w:p w14:paraId="59C08239" w14:textId="77777777" w:rsidR="008604BD" w:rsidRPr="00164EF1" w:rsidRDefault="008604BD" w:rsidP="008604BD">
      <w:pPr>
        <w:ind w:left="1701"/>
        <w:rPr>
          <w:rFonts w:ascii="Times New Roman" w:hAnsi="Times New Roman"/>
          <w:sz w:val="28"/>
          <w:szCs w:val="28"/>
          <w:lang w:val="en-US"/>
        </w:rPr>
      </w:pPr>
    </w:p>
    <w:p w14:paraId="49509E2C" w14:textId="77777777" w:rsidR="008604BD" w:rsidRPr="008F7264" w:rsidRDefault="008604BD" w:rsidP="008604BD">
      <w:pPr>
        <w:pStyle w:val="af"/>
        <w:ind w:firstLine="1701"/>
        <w:rPr>
          <w:sz w:val="28"/>
          <w:szCs w:val="28"/>
          <w:lang w:val="uk-UA"/>
        </w:rPr>
      </w:pPr>
      <w:r w:rsidRPr="008F7264">
        <w:rPr>
          <w:sz w:val="28"/>
          <w:szCs w:val="28"/>
          <w:lang w:val="en-US"/>
        </w:rPr>
        <w:t xml:space="preserve">Scientific supervisor: Candidate of Economics, </w:t>
      </w:r>
    </w:p>
    <w:p w14:paraId="34D0D32E" w14:textId="77777777" w:rsidR="008604BD" w:rsidRPr="008F7264" w:rsidRDefault="008604BD" w:rsidP="008604BD">
      <w:pPr>
        <w:pStyle w:val="af"/>
        <w:ind w:firstLine="1701"/>
        <w:rPr>
          <w:sz w:val="28"/>
          <w:szCs w:val="28"/>
          <w:lang w:val="en-US"/>
        </w:rPr>
      </w:pPr>
      <w:r w:rsidRPr="008F7264">
        <w:rPr>
          <w:sz w:val="28"/>
          <w:szCs w:val="28"/>
          <w:lang w:val="en-US"/>
        </w:rPr>
        <w:t>Associated Prof. Yehorova-Hudkova T.I.</w:t>
      </w:r>
    </w:p>
    <w:p w14:paraId="4A425358" w14:textId="77777777" w:rsidR="008604BD" w:rsidRPr="008604BD" w:rsidRDefault="008604BD" w:rsidP="008604BD">
      <w:pPr>
        <w:pStyle w:val="af"/>
        <w:ind w:firstLine="1701"/>
        <w:rPr>
          <w:sz w:val="28"/>
          <w:szCs w:val="28"/>
          <w:lang w:val="en-US"/>
        </w:rPr>
      </w:pPr>
      <w:r w:rsidRPr="008F7264">
        <w:rPr>
          <w:sz w:val="28"/>
          <w:szCs w:val="28"/>
          <w:lang w:val="en-US"/>
        </w:rPr>
        <w:t>Reviewer: Doctor of Economics, Professor Kozachenko G.V</w:t>
      </w:r>
    </w:p>
    <w:p w14:paraId="6D842351" w14:textId="77777777" w:rsidR="008604BD" w:rsidRDefault="008604BD" w:rsidP="008604BD">
      <w:pPr>
        <w:pStyle w:val="ad"/>
        <w:tabs>
          <w:tab w:val="left" w:pos="1134"/>
        </w:tabs>
        <w:spacing w:line="360" w:lineRule="auto"/>
        <w:ind w:left="142"/>
        <w:jc w:val="center"/>
        <w:rPr>
          <w:b/>
          <w:bCs/>
          <w:sz w:val="28"/>
          <w:szCs w:val="28"/>
          <w:lang w:val="en-US"/>
        </w:rPr>
        <w:sectPr w:rsidR="008604BD" w:rsidSect="006F35DE">
          <w:headerReference w:type="default" r:id="rId8"/>
          <w:footerReference w:type="default" r:id="rId9"/>
          <w:pgSz w:w="11906" w:h="16838"/>
          <w:pgMar w:top="1134" w:right="851" w:bottom="1134" w:left="1418" w:header="709" w:footer="709" w:gutter="0"/>
          <w:pgNumType w:start="1"/>
          <w:cols w:space="720"/>
          <w:docGrid w:linePitch="360"/>
        </w:sectPr>
      </w:pPr>
      <w:r w:rsidRPr="00AD3280">
        <w:rPr>
          <w:noProof/>
          <w:lang w:eastAsia="uk-UA"/>
        </w:rPr>
        <w:drawing>
          <wp:inline distT="0" distB="0" distL="0" distR="0" wp14:anchorId="5D9591EE" wp14:editId="4E0C2C94">
            <wp:extent cx="6119495" cy="3481705"/>
            <wp:effectExtent l="0" t="0" r="0" b="0"/>
            <wp:docPr id="8272766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9495" cy="3481705"/>
                    </a:xfrm>
                    <a:prstGeom prst="rect">
                      <a:avLst/>
                    </a:prstGeom>
                    <a:noFill/>
                    <a:ln>
                      <a:noFill/>
                    </a:ln>
                  </pic:spPr>
                </pic:pic>
              </a:graphicData>
            </a:graphic>
          </wp:inline>
        </w:drawing>
      </w:r>
    </w:p>
    <w:p w14:paraId="014BDE27" w14:textId="77777777" w:rsidR="007353B9" w:rsidRDefault="006F35DE" w:rsidP="008604BD">
      <w:pPr>
        <w:snapToGrid w:val="0"/>
        <w:ind w:firstLineChars="200" w:firstLine="562"/>
        <w:jc w:val="center"/>
        <w:rPr>
          <w:rFonts w:ascii="Times New Roman" w:eastAsia="Times New Roman" w:hAnsi="Times New Roman" w:cs="Times New Roman"/>
          <w:b/>
          <w:sz w:val="28"/>
          <w:szCs w:val="28"/>
          <w:lang w:val="en-US" w:eastAsia="uk-UA"/>
        </w:rPr>
      </w:pPr>
      <w:r>
        <w:rPr>
          <w:rFonts w:ascii="Times New Roman" w:eastAsia="Times New Roman" w:hAnsi="Times New Roman" w:cs="Times New Roman"/>
          <w:b/>
          <w:bCs/>
          <w:sz w:val="28"/>
          <w:szCs w:val="28"/>
          <w:lang w:val="en-US" w:eastAsia="uk-UA"/>
        </w:rPr>
        <w:lastRenderedPageBreak/>
        <w:t>CONTENTS</w:t>
      </w:r>
    </w:p>
    <w:sdt>
      <w:sdtPr>
        <w:rPr>
          <w:rFonts w:ascii="SimSun" w:eastAsia="SimSun" w:hAnsi="SimSun"/>
        </w:rPr>
        <w:id w:val="147464688"/>
        <w:docPartObj>
          <w:docPartGallery w:val="Table of Contents"/>
          <w:docPartUnique/>
        </w:docPartObj>
      </w:sdtPr>
      <w:sdtContent>
        <w:p w14:paraId="56963E3B" w14:textId="77777777" w:rsidR="007353B9" w:rsidRDefault="007353B9">
          <w:pPr>
            <w:jc w:val="center"/>
          </w:pPr>
        </w:p>
        <w:p w14:paraId="5CDE42E3" w14:textId="77777777" w:rsidR="007353B9" w:rsidRPr="00177B22" w:rsidRDefault="006F35DE">
          <w:pPr>
            <w:pStyle w:val="1"/>
            <w:tabs>
              <w:tab w:val="right" w:leader="dot" w:pos="9355"/>
            </w:tabs>
            <w:snapToGrid w:val="0"/>
            <w:spacing w:line="360" w:lineRule="auto"/>
            <w:rPr>
              <w:rFonts w:ascii="Times New Roman" w:hAnsi="Times New Roman" w:cs="Times New Roman"/>
              <w:b/>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TOC \o "1-3" \h \u </w:instrText>
          </w:r>
          <w:r>
            <w:rPr>
              <w:rFonts w:ascii="Times New Roman" w:hAnsi="Times New Roman" w:cs="Times New Roman"/>
              <w:sz w:val="28"/>
              <w:szCs w:val="28"/>
            </w:rPr>
            <w:fldChar w:fldCharType="separate"/>
          </w:r>
          <w:hyperlink w:anchor="_Toc23203" w:history="1">
            <w:r w:rsidRPr="00177B22">
              <w:rPr>
                <w:rFonts w:ascii="Times New Roman" w:eastAsia="Times New Roman" w:hAnsi="Times New Roman" w:cs="Times New Roman"/>
                <w:b/>
                <w:sz w:val="28"/>
                <w:szCs w:val="28"/>
                <w:lang w:val="en-US" w:eastAsia="uk-UA"/>
              </w:rPr>
              <w:t>INTRODUCTION</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_Toc23203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2</w:t>
            </w:r>
            <w:r w:rsidRPr="00177B22">
              <w:rPr>
                <w:rFonts w:ascii="Times New Roman" w:hAnsi="Times New Roman" w:cs="Times New Roman"/>
                <w:b/>
                <w:sz w:val="28"/>
                <w:szCs w:val="28"/>
              </w:rPr>
              <w:fldChar w:fldCharType="end"/>
            </w:r>
          </w:hyperlink>
        </w:p>
        <w:p w14:paraId="55B8E185" w14:textId="77777777" w:rsidR="007353B9" w:rsidRPr="00177B22" w:rsidRDefault="006F35DE">
          <w:pPr>
            <w:pStyle w:val="1"/>
            <w:tabs>
              <w:tab w:val="right" w:leader="dot" w:pos="9355"/>
            </w:tabs>
            <w:snapToGrid w:val="0"/>
            <w:spacing w:line="360" w:lineRule="auto"/>
            <w:rPr>
              <w:rFonts w:ascii="Times New Roman" w:hAnsi="Times New Roman" w:cs="Times New Roman"/>
              <w:b/>
              <w:sz w:val="28"/>
              <w:szCs w:val="28"/>
            </w:rPr>
          </w:pPr>
          <w:hyperlink w:anchor="_Toc12239" w:history="1">
            <w:r w:rsidRPr="00177B22">
              <w:rPr>
                <w:rFonts w:ascii="Times New Roman" w:eastAsia="Times New Roman" w:hAnsi="Times New Roman" w:cs="Times New Roman"/>
                <w:b/>
                <w:sz w:val="28"/>
                <w:szCs w:val="28"/>
                <w:lang w:val="en-US" w:eastAsia="uk-UA"/>
              </w:rPr>
              <w:t>CHAPTER 1</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_Toc12239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7</w:t>
            </w:r>
            <w:r w:rsidRPr="00177B22">
              <w:rPr>
                <w:rFonts w:ascii="Times New Roman" w:hAnsi="Times New Roman" w:cs="Times New Roman"/>
                <w:b/>
                <w:sz w:val="28"/>
                <w:szCs w:val="28"/>
              </w:rPr>
              <w:fldChar w:fldCharType="end"/>
            </w:r>
          </w:hyperlink>
        </w:p>
        <w:p w14:paraId="30B08A1A" w14:textId="77777777" w:rsidR="007353B9" w:rsidRDefault="006F35DE">
          <w:pPr>
            <w:pStyle w:val="1"/>
            <w:tabs>
              <w:tab w:val="right" w:leader="dot" w:pos="9355"/>
            </w:tabs>
            <w:snapToGrid w:val="0"/>
            <w:spacing w:line="360" w:lineRule="auto"/>
            <w:rPr>
              <w:rFonts w:ascii="Times New Roman" w:hAnsi="Times New Roman" w:cs="Times New Roman"/>
              <w:sz w:val="28"/>
              <w:szCs w:val="28"/>
            </w:rPr>
          </w:pPr>
          <w:hyperlink w:anchor="_Toc3617" w:history="1">
            <w:r w:rsidRPr="00177B22">
              <w:rPr>
                <w:rFonts w:ascii="Times New Roman" w:eastAsia="Times New Roman" w:hAnsi="Times New Roman" w:cs="Times New Roman"/>
                <w:b/>
                <w:sz w:val="28"/>
                <w:szCs w:val="28"/>
                <w:lang w:val="en-US" w:eastAsia="uk-UA"/>
              </w:rPr>
              <w:t>THEORETICAL BASIS OF THE ANTICRISIS MANAGEMENT IN 21 CENTURE</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_Toc3617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7</w:t>
            </w:r>
            <w:r w:rsidRPr="00177B22">
              <w:rPr>
                <w:rFonts w:ascii="Times New Roman" w:hAnsi="Times New Roman" w:cs="Times New Roman"/>
                <w:b/>
                <w:sz w:val="28"/>
                <w:szCs w:val="28"/>
              </w:rPr>
              <w:fldChar w:fldCharType="end"/>
            </w:r>
          </w:hyperlink>
        </w:p>
        <w:p w14:paraId="7FAED8AA"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3352" w:history="1">
            <w:r>
              <w:rPr>
                <w:rFonts w:ascii="Times New Roman" w:eastAsia="Times New Roman" w:hAnsi="Times New Roman" w:cs="Times New Roman"/>
                <w:sz w:val="28"/>
                <w:szCs w:val="28"/>
                <w:lang w:val="en-US" w:eastAsia="uk-UA"/>
              </w:rPr>
              <w:t>1.1. Theoretical bases of anti-crisis management</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_Toc3352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w:t>
            </w:r>
            <w:r>
              <w:rPr>
                <w:rFonts w:ascii="Times New Roman" w:hAnsi="Times New Roman" w:cs="Times New Roman"/>
                <w:sz w:val="28"/>
                <w:szCs w:val="28"/>
              </w:rPr>
              <w:fldChar w:fldCharType="end"/>
            </w:r>
          </w:hyperlink>
        </w:p>
        <w:p w14:paraId="71BAEE10"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26651" w:history="1">
            <w:r>
              <w:rPr>
                <w:rFonts w:ascii="Times New Roman" w:eastAsia="Times New Roman" w:hAnsi="Times New Roman" w:cs="Times New Roman"/>
                <w:sz w:val="28"/>
                <w:szCs w:val="28"/>
                <w:lang w:val="en-US" w:eastAsia="uk-UA"/>
              </w:rPr>
              <w:t>1.2. The concept and essence of Demand Dynamics at the macro level of the economy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_Toc26651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15</w:t>
            </w:r>
            <w:r>
              <w:rPr>
                <w:rFonts w:ascii="Times New Roman" w:hAnsi="Times New Roman" w:cs="Times New Roman"/>
                <w:sz w:val="28"/>
                <w:szCs w:val="28"/>
              </w:rPr>
              <w:fldChar w:fldCharType="end"/>
            </w:r>
          </w:hyperlink>
        </w:p>
        <w:p w14:paraId="2B4BC2D7"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7756" w:history="1">
            <w:r>
              <w:rPr>
                <w:rFonts w:ascii="Times New Roman" w:eastAsia="Times New Roman" w:hAnsi="Times New Roman" w:cs="Times New Roman"/>
                <w:kern w:val="0"/>
                <w:sz w:val="28"/>
                <w:szCs w:val="28"/>
                <w:lang w:val="en-US" w:eastAsia="uk-UA"/>
              </w:rPr>
              <w:t xml:space="preserve">1.3. The concept and essence of </w:t>
            </w:r>
            <w:r>
              <w:rPr>
                <w:rFonts w:ascii="Times New Roman" w:eastAsia="Calibri" w:hAnsi="Times New Roman" w:cs="Times New Roman"/>
                <w:kern w:val="0"/>
                <w:sz w:val="28"/>
                <w:szCs w:val="28"/>
                <w:lang w:val="en-US" w:eastAsia="en-US"/>
              </w:rPr>
              <w:t xml:space="preserve">Infrastructure Profitability </w:t>
            </w:r>
            <w:r>
              <w:rPr>
                <w:rFonts w:ascii="Times New Roman" w:eastAsia="Times New Roman" w:hAnsi="Times New Roman" w:cs="Times New Roman"/>
                <w:kern w:val="0"/>
                <w:sz w:val="28"/>
                <w:szCs w:val="28"/>
                <w:lang w:val="en-US" w:eastAsia="uk-UA"/>
              </w:rPr>
              <w:t>at the macro level of the economy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_Toc7756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20</w:t>
            </w:r>
            <w:r>
              <w:rPr>
                <w:rFonts w:ascii="Times New Roman" w:hAnsi="Times New Roman" w:cs="Times New Roman"/>
                <w:sz w:val="28"/>
                <w:szCs w:val="28"/>
              </w:rPr>
              <w:fldChar w:fldCharType="end"/>
            </w:r>
          </w:hyperlink>
        </w:p>
        <w:p w14:paraId="147E82A8" w14:textId="77777777" w:rsidR="007353B9" w:rsidRDefault="006F35DE">
          <w:pPr>
            <w:pStyle w:val="1"/>
            <w:tabs>
              <w:tab w:val="right" w:leader="dot" w:pos="9355"/>
            </w:tabs>
            <w:snapToGrid w:val="0"/>
            <w:spacing w:line="360" w:lineRule="auto"/>
            <w:rPr>
              <w:rFonts w:ascii="Times New Roman" w:hAnsi="Times New Roman" w:cs="Times New Roman"/>
              <w:sz w:val="28"/>
              <w:szCs w:val="28"/>
            </w:rPr>
          </w:pPr>
          <w:hyperlink w:anchor="_Toc31034" w:history="1">
            <w:r w:rsidRPr="00177B22">
              <w:rPr>
                <w:rFonts w:ascii="Times New Roman" w:hAnsi="Times New Roman" w:cs="Times New Roman"/>
                <w:b/>
                <w:bCs/>
                <w:sz w:val="28"/>
                <w:szCs w:val="28"/>
              </w:rPr>
              <w:t>CHAPTER 2 RESEARCH OF THE ANTICRISIS MANAGEMENT BASED ON ANALYSIS OF DEMAND DYNAMICS AND INFRASTRUCTURE PROFITABILITY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_Toc31034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27</w:t>
            </w:r>
            <w:r>
              <w:rPr>
                <w:rFonts w:ascii="Times New Roman" w:hAnsi="Times New Roman" w:cs="Times New Roman"/>
                <w:sz w:val="28"/>
                <w:szCs w:val="28"/>
              </w:rPr>
              <w:fldChar w:fldCharType="end"/>
            </w:r>
          </w:hyperlink>
        </w:p>
        <w:p w14:paraId="5467249F"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13923" w:history="1">
            <w:r>
              <w:rPr>
                <w:rFonts w:ascii="Times New Roman" w:hAnsi="Times New Roman" w:cs="Times New Roman"/>
                <w:bCs/>
                <w:sz w:val="28"/>
                <w:szCs w:val="28"/>
              </w:rPr>
              <w:t>2.1. Analysis of demand dynamics over the last 5 years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_Toc13923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27</w:t>
            </w:r>
            <w:r>
              <w:rPr>
                <w:rFonts w:ascii="Times New Roman" w:hAnsi="Times New Roman" w:cs="Times New Roman"/>
                <w:sz w:val="28"/>
                <w:szCs w:val="28"/>
              </w:rPr>
              <w:fldChar w:fldCharType="end"/>
            </w:r>
          </w:hyperlink>
        </w:p>
        <w:p w14:paraId="13F4CD71"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446" w:history="1">
            <w:r>
              <w:rPr>
                <w:rFonts w:ascii="Times New Roman" w:eastAsia="Times New Roman" w:hAnsi="Times New Roman" w:cs="Times New Roman"/>
                <w:bCs/>
                <w:sz w:val="28"/>
                <w:szCs w:val="28"/>
                <w:lang w:val="en-US" w:eastAsia="uk-UA"/>
              </w:rPr>
              <w:t xml:space="preserve">2.2. Analysis of infrastructure profitability </w:t>
            </w:r>
            <w:r>
              <w:rPr>
                <w:rFonts w:ascii="Times New Roman" w:eastAsia="Calibri" w:hAnsi="Times New Roman" w:cs="Times New Roman"/>
                <w:bCs/>
                <w:sz w:val="28"/>
                <w:szCs w:val="28"/>
                <w:lang w:eastAsia="en-US"/>
              </w:rPr>
              <w:t>over the last 5 years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_Toc446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31</w:t>
            </w:r>
            <w:r>
              <w:rPr>
                <w:rFonts w:ascii="Times New Roman" w:hAnsi="Times New Roman" w:cs="Times New Roman"/>
                <w:sz w:val="28"/>
                <w:szCs w:val="28"/>
              </w:rPr>
              <w:fldChar w:fldCharType="end"/>
            </w:r>
          </w:hyperlink>
        </w:p>
        <w:p w14:paraId="317A2E2F"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4379" w:history="1">
            <w:r>
              <w:rPr>
                <w:rFonts w:ascii="Times New Roman" w:hAnsi="Times New Roman" w:cs="Times New Roman"/>
                <w:bCs/>
                <w:sz w:val="28"/>
                <w:szCs w:val="28"/>
              </w:rPr>
              <w:t>2.3. Evaluation of the prospects for infrastructure profitability at the macroeconomic level in the context of declining demand.</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_Toc4379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35</w:t>
            </w:r>
            <w:r>
              <w:rPr>
                <w:rFonts w:ascii="Times New Roman" w:hAnsi="Times New Roman" w:cs="Times New Roman"/>
                <w:sz w:val="28"/>
                <w:szCs w:val="28"/>
              </w:rPr>
              <w:fldChar w:fldCharType="end"/>
            </w:r>
          </w:hyperlink>
        </w:p>
        <w:p w14:paraId="374A9B83" w14:textId="77777777" w:rsidR="007353B9" w:rsidRPr="00177B22" w:rsidRDefault="006F35DE">
          <w:pPr>
            <w:pStyle w:val="1"/>
            <w:tabs>
              <w:tab w:val="right" w:leader="dot" w:pos="9355"/>
            </w:tabs>
            <w:snapToGrid w:val="0"/>
            <w:spacing w:line="360" w:lineRule="auto"/>
            <w:rPr>
              <w:rFonts w:ascii="Times New Roman" w:hAnsi="Times New Roman" w:cs="Times New Roman"/>
              <w:b/>
              <w:sz w:val="28"/>
              <w:szCs w:val="28"/>
            </w:rPr>
          </w:pPr>
          <w:hyperlink w:anchor="_Toc24806" w:history="1">
            <w:r w:rsidRPr="00177B22">
              <w:rPr>
                <w:rFonts w:ascii="Times New Roman" w:eastAsia="Times New Roman" w:hAnsi="Times New Roman" w:cs="Times New Roman"/>
                <w:b/>
                <w:sz w:val="28"/>
                <w:szCs w:val="28"/>
                <w:lang w:val="en-US" w:eastAsia="uk-UA"/>
              </w:rPr>
              <w:t>CHAPTER 3</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_Toc24806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42</w:t>
            </w:r>
            <w:r w:rsidRPr="00177B22">
              <w:rPr>
                <w:rFonts w:ascii="Times New Roman" w:hAnsi="Times New Roman" w:cs="Times New Roman"/>
                <w:b/>
                <w:sz w:val="28"/>
                <w:szCs w:val="28"/>
              </w:rPr>
              <w:fldChar w:fldCharType="end"/>
            </w:r>
          </w:hyperlink>
        </w:p>
        <w:p w14:paraId="443CD3A5" w14:textId="77777777" w:rsidR="007353B9" w:rsidRDefault="006F35DE">
          <w:pPr>
            <w:pStyle w:val="1"/>
            <w:tabs>
              <w:tab w:val="right" w:leader="dot" w:pos="9355"/>
            </w:tabs>
            <w:snapToGrid w:val="0"/>
            <w:spacing w:line="360" w:lineRule="auto"/>
            <w:rPr>
              <w:rFonts w:ascii="Times New Roman" w:hAnsi="Times New Roman" w:cs="Times New Roman"/>
              <w:sz w:val="28"/>
              <w:szCs w:val="28"/>
            </w:rPr>
          </w:pPr>
          <w:hyperlink w:anchor="_Toc16715" w:history="1">
            <w:r w:rsidRPr="00177B22">
              <w:rPr>
                <w:rFonts w:ascii="Times New Roman" w:eastAsia="Times New Roman" w:hAnsi="Times New Roman" w:cs="Times New Roman"/>
                <w:b/>
                <w:sz w:val="28"/>
                <w:szCs w:val="28"/>
                <w:lang w:val="en-US" w:eastAsia="uk-UA"/>
              </w:rPr>
              <w:t xml:space="preserve">IMPROVEMENT OF THE ANTICRISIS MANAGEMENT SYSTEM </w:t>
            </w:r>
            <w:r w:rsidRPr="00177B22">
              <w:rPr>
                <w:rFonts w:ascii="Times New Roman" w:hAnsi="Times New Roman" w:cs="Times New Roman"/>
                <w:b/>
                <w:sz w:val="28"/>
                <w:szCs w:val="28"/>
              </w:rPr>
              <w:t>AT THE MACROECONOMIC LEVEL</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_Toc16715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42</w:t>
            </w:r>
            <w:r>
              <w:rPr>
                <w:rFonts w:ascii="Times New Roman" w:hAnsi="Times New Roman" w:cs="Times New Roman"/>
                <w:sz w:val="28"/>
                <w:szCs w:val="28"/>
              </w:rPr>
              <w:fldChar w:fldCharType="end"/>
            </w:r>
          </w:hyperlink>
        </w:p>
        <w:p w14:paraId="6C903FB9"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5246" w:history="1">
            <w:r>
              <w:rPr>
                <w:rFonts w:ascii="Times New Roman" w:hAnsi="Times New Roman" w:cs="Times New Roman"/>
                <w:sz w:val="28"/>
                <w:szCs w:val="28"/>
                <w:lang w:val="en-US"/>
              </w:rPr>
              <w:t xml:space="preserve">3.1. </w:t>
            </w:r>
            <w:r>
              <w:rPr>
                <w:rFonts w:ascii="Times New Roman" w:hAnsi="Times New Roman" w:cs="Times New Roman"/>
                <w:sz w:val="28"/>
                <w:szCs w:val="28"/>
              </w:rPr>
              <w:t>Development of a planning system based on intersectoral balances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_Toc5246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42</w:t>
            </w:r>
            <w:r>
              <w:rPr>
                <w:rFonts w:ascii="Times New Roman" w:hAnsi="Times New Roman" w:cs="Times New Roman"/>
                <w:sz w:val="28"/>
                <w:szCs w:val="28"/>
              </w:rPr>
              <w:fldChar w:fldCharType="end"/>
            </w:r>
          </w:hyperlink>
        </w:p>
        <w:p w14:paraId="74E993CA"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21170" w:history="1">
            <w:r>
              <w:rPr>
                <w:rFonts w:ascii="Times New Roman" w:eastAsia="Times New Roman" w:hAnsi="Times New Roman" w:cs="Times New Roman"/>
                <w:sz w:val="28"/>
                <w:szCs w:val="28"/>
                <w:lang w:val="en-US" w:eastAsia="uk-UA"/>
              </w:rPr>
              <w:t>3.2. Implementation of a project and program management system as a working methodology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_Toc21170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46</w:t>
            </w:r>
            <w:r>
              <w:rPr>
                <w:rFonts w:ascii="Times New Roman" w:hAnsi="Times New Roman" w:cs="Times New Roman"/>
                <w:sz w:val="28"/>
                <w:szCs w:val="28"/>
              </w:rPr>
              <w:fldChar w:fldCharType="end"/>
            </w:r>
          </w:hyperlink>
        </w:p>
        <w:p w14:paraId="3FD7A8B0" w14:textId="77777777" w:rsidR="007353B9" w:rsidRDefault="006F35DE">
          <w:pPr>
            <w:pStyle w:val="2"/>
            <w:tabs>
              <w:tab w:val="right" w:leader="dot" w:pos="9355"/>
            </w:tabs>
            <w:snapToGrid w:val="0"/>
            <w:spacing w:line="360" w:lineRule="auto"/>
            <w:ind w:leftChars="0" w:left="0"/>
            <w:rPr>
              <w:rFonts w:ascii="Times New Roman" w:hAnsi="Times New Roman" w:cs="Times New Roman"/>
              <w:sz w:val="28"/>
              <w:szCs w:val="28"/>
            </w:rPr>
          </w:pPr>
          <w:hyperlink w:anchor="_Toc29148" w:history="1">
            <w:r>
              <w:rPr>
                <w:rFonts w:ascii="Times New Roman" w:hAnsi="Times New Roman" w:cs="Times New Roman"/>
                <w:bCs/>
                <w:sz w:val="28"/>
                <w:szCs w:val="28"/>
              </w:rPr>
              <w:t>3.3. Using Primavera Oracle software as a tool for monitoring the relationship between demand dynamics and infrastructure profitability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_Toc29148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52</w:t>
            </w:r>
            <w:r>
              <w:rPr>
                <w:rFonts w:ascii="Times New Roman" w:hAnsi="Times New Roman" w:cs="Times New Roman"/>
                <w:sz w:val="28"/>
                <w:szCs w:val="28"/>
              </w:rPr>
              <w:fldChar w:fldCharType="end"/>
            </w:r>
          </w:hyperlink>
        </w:p>
        <w:p w14:paraId="4F6F4EF7" w14:textId="77777777" w:rsidR="007353B9" w:rsidRPr="00177B22" w:rsidRDefault="006F35DE">
          <w:pPr>
            <w:pStyle w:val="1"/>
            <w:tabs>
              <w:tab w:val="right" w:leader="dot" w:pos="9355"/>
            </w:tabs>
            <w:snapToGrid w:val="0"/>
            <w:spacing w:line="360" w:lineRule="auto"/>
            <w:rPr>
              <w:rFonts w:ascii="Times New Roman" w:hAnsi="Times New Roman" w:cs="Times New Roman"/>
              <w:b/>
              <w:sz w:val="28"/>
              <w:szCs w:val="28"/>
            </w:rPr>
          </w:pPr>
          <w:hyperlink w:anchor="_Toc17281" w:history="1">
            <w:r w:rsidRPr="00177B22">
              <w:rPr>
                <w:rFonts w:ascii="Times New Roman" w:eastAsia="Times New Roman" w:hAnsi="Times New Roman" w:cs="Times New Roman"/>
                <w:b/>
                <w:bCs/>
                <w:sz w:val="28"/>
                <w:szCs w:val="28"/>
                <w:lang w:val="en-US" w:eastAsia="uk-UA"/>
              </w:rPr>
              <w:t>CONCLUSIONS</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_Toc17281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56</w:t>
            </w:r>
            <w:r w:rsidRPr="00177B22">
              <w:rPr>
                <w:rFonts w:ascii="Times New Roman" w:hAnsi="Times New Roman" w:cs="Times New Roman"/>
                <w:b/>
                <w:sz w:val="28"/>
                <w:szCs w:val="28"/>
              </w:rPr>
              <w:fldChar w:fldCharType="end"/>
            </w:r>
          </w:hyperlink>
        </w:p>
        <w:p w14:paraId="7C352A33" w14:textId="77777777" w:rsidR="007353B9" w:rsidRPr="00177B22" w:rsidRDefault="006F35DE">
          <w:pPr>
            <w:pStyle w:val="1"/>
            <w:tabs>
              <w:tab w:val="right" w:leader="dot" w:pos="9355"/>
            </w:tabs>
            <w:snapToGrid w:val="0"/>
            <w:spacing w:line="360" w:lineRule="auto"/>
            <w:rPr>
              <w:rFonts w:ascii="Times New Roman" w:hAnsi="Times New Roman" w:cs="Times New Roman"/>
              <w:b/>
              <w:sz w:val="28"/>
              <w:szCs w:val="28"/>
            </w:rPr>
          </w:pPr>
          <w:hyperlink w:anchor="_Toc19415" w:history="1">
            <w:r w:rsidRPr="00177B22">
              <w:rPr>
                <w:rFonts w:ascii="Times New Roman" w:eastAsia="Times New Roman" w:hAnsi="Times New Roman" w:cs="Times New Roman"/>
                <w:b/>
                <w:bCs/>
                <w:sz w:val="28"/>
                <w:szCs w:val="28"/>
                <w:lang w:val="en-US" w:eastAsia="uk-UA"/>
              </w:rPr>
              <w:t>REFERENCES</w:t>
            </w:r>
            <w:r w:rsidRPr="00177B22">
              <w:rPr>
                <w:rFonts w:ascii="Times New Roman" w:hAnsi="Times New Roman" w:cs="Times New Roman"/>
                <w:b/>
                <w:sz w:val="28"/>
                <w:szCs w:val="28"/>
              </w:rPr>
              <w:tab/>
            </w:r>
            <w:r w:rsidRPr="00177B22">
              <w:rPr>
                <w:rFonts w:ascii="Times New Roman" w:hAnsi="Times New Roman" w:cs="Times New Roman"/>
                <w:b/>
                <w:sz w:val="28"/>
                <w:szCs w:val="28"/>
              </w:rPr>
              <w:fldChar w:fldCharType="begin"/>
            </w:r>
            <w:r w:rsidRPr="00177B22">
              <w:rPr>
                <w:rFonts w:ascii="Times New Roman" w:hAnsi="Times New Roman" w:cs="Times New Roman"/>
                <w:b/>
                <w:sz w:val="28"/>
                <w:szCs w:val="28"/>
              </w:rPr>
              <w:instrText xml:space="preserve"> PAGEREF _Toc19415 \h </w:instrText>
            </w:r>
            <w:r w:rsidRPr="00177B22">
              <w:rPr>
                <w:rFonts w:ascii="Times New Roman" w:hAnsi="Times New Roman" w:cs="Times New Roman"/>
                <w:b/>
                <w:sz w:val="28"/>
                <w:szCs w:val="28"/>
              </w:rPr>
            </w:r>
            <w:r w:rsidRPr="00177B22">
              <w:rPr>
                <w:rFonts w:ascii="Times New Roman" w:hAnsi="Times New Roman" w:cs="Times New Roman"/>
                <w:b/>
                <w:sz w:val="28"/>
                <w:szCs w:val="28"/>
              </w:rPr>
              <w:fldChar w:fldCharType="separate"/>
            </w:r>
            <w:r w:rsidRPr="00177B22">
              <w:rPr>
                <w:rFonts w:ascii="Times New Roman" w:hAnsi="Times New Roman" w:cs="Times New Roman"/>
                <w:b/>
                <w:sz w:val="28"/>
                <w:szCs w:val="28"/>
              </w:rPr>
              <w:t>61</w:t>
            </w:r>
            <w:r w:rsidRPr="00177B22">
              <w:rPr>
                <w:rFonts w:ascii="Times New Roman" w:hAnsi="Times New Roman" w:cs="Times New Roman"/>
                <w:b/>
                <w:sz w:val="28"/>
                <w:szCs w:val="28"/>
              </w:rPr>
              <w:fldChar w:fldCharType="end"/>
            </w:r>
          </w:hyperlink>
        </w:p>
        <w:p w14:paraId="1EA0E9E1" w14:textId="77777777" w:rsidR="007353B9" w:rsidRDefault="006F35DE">
          <w:pPr>
            <w:snapToGrid w:val="0"/>
            <w:spacing w:line="360" w:lineRule="auto"/>
          </w:pPr>
          <w:r>
            <w:rPr>
              <w:rFonts w:ascii="Times New Roman" w:hAnsi="Times New Roman" w:cs="Times New Roman"/>
              <w:sz w:val="28"/>
              <w:szCs w:val="28"/>
            </w:rPr>
            <w:fldChar w:fldCharType="end"/>
          </w:r>
        </w:p>
      </w:sdtContent>
    </w:sdt>
    <w:p w14:paraId="1E392040" w14:textId="77777777" w:rsidR="007353B9" w:rsidRDefault="007353B9"/>
    <w:p w14:paraId="109703FB" w14:textId="77777777" w:rsidR="007353B9" w:rsidRDefault="007353B9"/>
    <w:p w14:paraId="0C8067AA" w14:textId="77777777" w:rsidR="007353B9" w:rsidRDefault="006F35DE">
      <w:pPr>
        <w:snapToGrid w:val="0"/>
        <w:jc w:val="center"/>
        <w:outlineLvl w:val="0"/>
        <w:rPr>
          <w:rFonts w:ascii="Times New Roman" w:eastAsia="Times New Roman" w:hAnsi="Times New Roman"/>
          <w:b/>
          <w:sz w:val="28"/>
          <w:szCs w:val="28"/>
          <w:lang w:val="en-US" w:eastAsia="uk-UA"/>
        </w:rPr>
      </w:pPr>
      <w:bookmarkStart w:id="0" w:name="_Toc23203"/>
      <w:r>
        <w:rPr>
          <w:rFonts w:ascii="Times New Roman" w:eastAsia="Times New Roman" w:hAnsi="Times New Roman"/>
          <w:b/>
          <w:sz w:val="28"/>
          <w:szCs w:val="28"/>
          <w:lang w:val="en-US" w:eastAsia="uk-UA"/>
        </w:rPr>
        <w:lastRenderedPageBreak/>
        <w:t>INTRODUCTION</w:t>
      </w:r>
      <w:bookmarkEnd w:id="0"/>
    </w:p>
    <w:p w14:paraId="35159011" w14:textId="77777777" w:rsidR="007353B9" w:rsidRDefault="007353B9">
      <w:pPr>
        <w:snapToGrid w:val="0"/>
        <w:jc w:val="center"/>
        <w:outlineLvl w:val="0"/>
        <w:rPr>
          <w:rFonts w:ascii="Times New Roman" w:eastAsia="Times New Roman" w:hAnsi="Times New Roman"/>
          <w:b/>
          <w:sz w:val="28"/>
          <w:szCs w:val="28"/>
          <w:lang w:val="en-US" w:eastAsia="uk-UA"/>
        </w:rPr>
      </w:pPr>
    </w:p>
    <w:p w14:paraId="1744B591" w14:textId="77777777" w:rsidR="007353B9" w:rsidRDefault="007353B9">
      <w:pPr>
        <w:snapToGrid w:val="0"/>
        <w:jc w:val="center"/>
        <w:outlineLvl w:val="0"/>
        <w:rPr>
          <w:rFonts w:ascii="Times New Roman" w:eastAsia="Times New Roman" w:hAnsi="Times New Roman"/>
          <w:b/>
          <w:sz w:val="28"/>
          <w:szCs w:val="28"/>
          <w:lang w:val="en-US" w:eastAsia="uk-UA"/>
        </w:rPr>
      </w:pPr>
    </w:p>
    <w:p w14:paraId="41F649E7" w14:textId="77777777" w:rsidR="007353B9" w:rsidRDefault="006F35DE">
      <w:pPr>
        <w:snapToGrid w:val="0"/>
        <w:spacing w:line="360" w:lineRule="auto"/>
        <w:ind w:firstLine="709"/>
        <w:rPr>
          <w:rFonts w:ascii="Times New Roman" w:hAnsi="Times New Roman" w:cs="Times New Roman"/>
          <w:sz w:val="28"/>
          <w:szCs w:val="28"/>
          <w:lang w:val="en-US" w:eastAsia="uk-UA"/>
        </w:rPr>
      </w:pPr>
      <w:r w:rsidRPr="007813E2">
        <w:rPr>
          <w:rFonts w:ascii="Times New Roman" w:hAnsi="Times New Roman"/>
          <w:b/>
          <w:bCs/>
          <w:sz w:val="28"/>
          <w:szCs w:val="28"/>
          <w:lang w:val="en-US"/>
        </w:rPr>
        <w:t xml:space="preserve">Relevance. </w:t>
      </w:r>
      <w:r>
        <w:rPr>
          <w:rFonts w:ascii="Times New Roman" w:hAnsi="Times New Roman" w:cs="Times New Roman"/>
          <w:sz w:val="28"/>
          <w:szCs w:val="28"/>
          <w:lang w:val="en-US" w:eastAsia="uk-UA"/>
        </w:rPr>
        <w:t>In recent years, the global economic system has faced a series of unprecedented challenges, including fluctuations in demand dynamics and declining profitability of infrastructure. Against the backdrop of rapid economic globalization and digitalization, how to effectively conduct anti-crisis management has become an important issue in modern economic management. In particular, under the influence of multiple uncertainties such as global supply chain disruptions, intensified geopolitical conflicts, and the socioeconomic impact of the COVID-19 pandemic, the uncertainty of the global economy has further increased, and economies around the world are also facing an increasingly complex external environment. These challenges not only test the policy-making capabilities of governments around the world, but also directly affect the survival and development capabilities of enterprises.</w:t>
      </w:r>
    </w:p>
    <w:p w14:paraId="207DEEAC" w14:textId="77777777" w:rsidR="007353B9" w:rsidRDefault="006F35DE">
      <w:p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The core goal of anti-crisis management is to reduce the negative impact of economic fluctuations on the national economic system and corporate operations through scientific and effective policy tools, and ensure that the economic system can maintain resilience and recovery under the impact of the crisis. In this process, demand dynamics and infrastructure profitability, as the two core elements of the macro economy, play a key role. Demand dynamics reflect the overall trend of economic activities such as consumption, investment, and government spending, and are a direct indicator of economic activity. Infrastructure profitability determines the sustainability of long-term economic development, because infrastructure construction is one of the basic driving forces for economic growth, and its rate of return directly affects the efficiency of social resource allocation.</w:t>
      </w:r>
    </w:p>
    <w:p w14:paraId="1A3A0877" w14:textId="77777777" w:rsidR="007353B9" w:rsidRDefault="006F35DE">
      <w:p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In the context of economic globalization, one of the common challenges faced by countries in responding to crises is how to balance short-term economic demand with long-term economic development. Fluctuations in demand dynamics may trigger drastic changes in economic activities, which in turn affect market </w:t>
      </w:r>
      <w:r>
        <w:rPr>
          <w:rFonts w:ascii="Times New Roman" w:hAnsi="Times New Roman" w:cs="Times New Roman"/>
          <w:sz w:val="28"/>
          <w:szCs w:val="28"/>
          <w:lang w:val="en-US" w:eastAsia="uk-UA"/>
        </w:rPr>
        <w:lastRenderedPageBreak/>
        <w:t>confidence and corporate investment decisions. Infrastructure profitability is a key indicator for measuring investment effectiveness. Especially in the context of increasingly tight public financial funds, efficient infrastructure investment has become an important means to improve national competitiveness and achieve high-quality economic development. Therefore, in-depth research on demand dynamics and infrastructure profitability can not only provide a theoretical basis for the government to formulate macroeconomic policies, but also provide practical guidance for enterprises to make strategic decisions in an uncertain environment.</w:t>
      </w:r>
    </w:p>
    <w:p w14:paraId="3F6377C0" w14:textId="77777777" w:rsidR="007353B9" w:rsidRDefault="006F35DE">
      <w:p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In addition, as the world's second largest economy, China's rapid development in the past few decades is inseparable from infrastructure investment. However, with the transformation of economic structure and the adjustment of growth model, the traditional large-scale infrastructure investment model has gradually exposed problems such as diminishing returns and declining resource allocation efficiency. Therefore, how to optimize infrastructure investment to improve its profitability while ensuring sustainable economic growth is an important issue in China's current economic development. Through a systematic study of demand dynamics and infrastructure profitability, it can help clarify the role of different types of infrastructure projects in promoting economic growth, optimize resource allocation strategies, and thus enhance the overall economic risk resistance and resilience.</w:t>
      </w:r>
    </w:p>
    <w:p w14:paraId="65F5D544" w14:textId="77777777" w:rsidR="007353B9" w:rsidRDefault="006F35DE">
      <w:p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Therefore, the research of this paper not only has important theoretical significance, but also has extensive practical value. On the one hand, from a theoretical perspective, this paper enriches the existing macroeconomic anti-crisis management theory by systematically sorting out the relationship between demand dynamics and infrastructure profitability. On the other hand, from a practical perspective, the research results of this paper can provide data support and practical guidance for the formulation of national economic policies and corporate investment decisions, helping decision makers at all levels to better cope with </w:t>
      </w:r>
      <w:r>
        <w:rPr>
          <w:rFonts w:ascii="Times New Roman" w:hAnsi="Times New Roman" w:cs="Times New Roman"/>
          <w:sz w:val="28"/>
          <w:szCs w:val="28"/>
          <w:lang w:val="en-US" w:eastAsia="uk-UA"/>
        </w:rPr>
        <w:lastRenderedPageBreak/>
        <w:t>economic uncertainties and ensure sustained economic growth and stable social development.</w:t>
      </w:r>
    </w:p>
    <w:p w14:paraId="23038DB6" w14:textId="77777777" w:rsidR="007353B9" w:rsidRDefault="006E1A43">
      <w:pPr>
        <w:snapToGrid w:val="0"/>
        <w:spacing w:line="360" w:lineRule="auto"/>
        <w:ind w:firstLine="709"/>
        <w:rPr>
          <w:rFonts w:ascii="Times New Roman" w:hAnsi="Times New Roman" w:cs="Times New Roman"/>
          <w:sz w:val="28"/>
          <w:szCs w:val="28"/>
          <w:lang w:val="en-US" w:eastAsia="uk-UA"/>
        </w:rPr>
      </w:pPr>
      <w:r w:rsidRPr="00AD2904">
        <w:rPr>
          <w:rFonts w:ascii="Times New Roman" w:hAnsi="Times New Roman"/>
          <w:b/>
          <w:bCs/>
          <w:sz w:val="28"/>
          <w:szCs w:val="28"/>
          <w:lang w:val="en-US"/>
        </w:rPr>
        <w:t>Analysis of recent research and publications.</w:t>
      </w:r>
      <w:r>
        <w:rPr>
          <w:rFonts w:ascii="Times New Roman" w:hAnsi="Times New Roman"/>
          <w:b/>
          <w:bCs/>
          <w:sz w:val="28"/>
          <w:szCs w:val="28"/>
          <w:lang w:val="en-US"/>
        </w:rPr>
        <w:t xml:space="preserve"> </w:t>
      </w:r>
      <w:r w:rsidR="006F35DE">
        <w:rPr>
          <w:rFonts w:ascii="Times New Roman" w:hAnsi="Times New Roman" w:cs="Times New Roman"/>
          <w:sz w:val="28"/>
          <w:szCs w:val="28"/>
          <w:lang w:val="en-US" w:eastAsia="uk-UA"/>
        </w:rPr>
        <w:t>Keynes's theory of effective demand is the foundational work in the study of demand dynamics. He pointed out that the lack of effective demand is the root cause of economic crises, which provides a theoretical basis for subsequent research on demand dynamics. In recent years, Milton Friedman has conducted in-depth discussions on the limitations of demand management policies, and his research emphasizes the role of monetary policy in regulating demand dynamics. In addition, Martin Feldstein</w:t>
      </w:r>
      <w:r w:rsidR="002F5B8C">
        <w:rPr>
          <w:rFonts w:ascii="Times New Roman" w:hAnsi="Times New Roman" w:cs="Times New Roman"/>
          <w:sz w:val="28"/>
          <w:szCs w:val="28"/>
          <w:lang w:val="en-US" w:eastAsia="uk-UA"/>
        </w:rPr>
        <w:t>, David Rubens, Arkadii Sukhor</w:t>
      </w:r>
      <w:r w:rsidR="001C728D">
        <w:rPr>
          <w:rFonts w:ascii="Times New Roman" w:hAnsi="Times New Roman" w:cs="Times New Roman"/>
          <w:sz w:val="28"/>
          <w:szCs w:val="28"/>
          <w:lang w:val="en-US" w:eastAsia="uk-UA"/>
        </w:rPr>
        <w:t>u</w:t>
      </w:r>
      <w:r w:rsidR="002F5B8C">
        <w:rPr>
          <w:rFonts w:ascii="Times New Roman" w:hAnsi="Times New Roman" w:cs="Times New Roman"/>
          <w:sz w:val="28"/>
          <w:szCs w:val="28"/>
          <w:lang w:val="en-US" w:eastAsia="uk-UA"/>
        </w:rPr>
        <w:t>kov, Ganna Kozachenko</w:t>
      </w:r>
      <w:r w:rsidR="006F35DE">
        <w:rPr>
          <w:rFonts w:ascii="Times New Roman" w:hAnsi="Times New Roman" w:cs="Times New Roman"/>
          <w:sz w:val="28"/>
          <w:szCs w:val="28"/>
          <w:lang w:val="en-US" w:eastAsia="uk-UA"/>
        </w:rPr>
        <w:t xml:space="preserve"> analyzed the key role of infrastructure investment in stabilizing the economy from the perspective of fiscal policy, pointing out that infrastructure investment can not only directly stimulate demand, but also enhance economic resilience by improving long-term productivity. However, although these studies provide important insights into understanding demand dynamics and infrastructure investment, the current literature still lacks systematic research on the relationship between demand dynamics and infrastructure profitability, especially how to improve overall economic resilience by optimizing infrastructure investment in the context of economic crises. Therefore, this paper aims to fill this research gap, reveal the complex relationship between demand dynamics and infrastructure profitability through empirical analysis and theoretical discussion, and provide a scientific basis for anti-crisis management.</w:t>
      </w:r>
    </w:p>
    <w:p w14:paraId="5A604A32" w14:textId="77777777" w:rsidR="002F5B8C" w:rsidRPr="00281488" w:rsidRDefault="001B653B" w:rsidP="002F5B8C">
      <w:pPr>
        <w:spacing w:line="360" w:lineRule="auto"/>
        <w:ind w:firstLineChars="200" w:firstLine="562"/>
        <w:rPr>
          <w:rFonts w:ascii="Times New Roman" w:hAnsi="Times New Roman"/>
          <w:sz w:val="28"/>
          <w:szCs w:val="28"/>
          <w:lang w:val="en-US"/>
        </w:rPr>
      </w:pPr>
      <w:r w:rsidRPr="002F5B8C">
        <w:rPr>
          <w:rFonts w:ascii="Times New Roman" w:hAnsi="Times New Roman"/>
          <w:b/>
          <w:bCs/>
          <w:sz w:val="28"/>
          <w:szCs w:val="28"/>
          <w:lang w:val="en-US"/>
        </w:rPr>
        <w:t>Connection of the qualification project with scientific projects, plans, and topics.</w:t>
      </w:r>
      <w:r w:rsidRPr="00281488">
        <w:rPr>
          <w:rFonts w:ascii="Times New Roman" w:hAnsi="Times New Roman"/>
          <w:sz w:val="28"/>
          <w:szCs w:val="28"/>
          <w:lang w:val="en-US"/>
        </w:rPr>
        <w:t xml:space="preserve"> </w:t>
      </w:r>
      <w:r w:rsidR="002F5B8C" w:rsidRPr="00281488">
        <w:rPr>
          <w:rFonts w:ascii="Times New Roman" w:hAnsi="Times New Roman"/>
          <w:sz w:val="28"/>
          <w:szCs w:val="28"/>
          <w:lang w:val="en-US"/>
        </w:rPr>
        <w:t xml:space="preserve">The qualification certificate was issued at the Department of Management and Innovation Odesa I.I. Mechnikov National University. The scientific research plan in the process of state budget topic is “Innovative and investment guidelines for modernization of the national economy in the conditions of globalization” </w:t>
      </w:r>
      <w:r w:rsidR="002F5B8C" w:rsidRPr="00281488">
        <w:rPr>
          <w:rFonts w:ascii="Times New Roman" w:hAnsi="Times New Roman"/>
          <w:sz w:val="28"/>
          <w:szCs w:val="28"/>
          <w:lang w:val="en-US"/>
        </w:rPr>
        <w:lastRenderedPageBreak/>
        <w:t>(State 60 registration office 0121U109469, 2021-2025) – the system of marketing activity management under global challenges has been studied.</w:t>
      </w:r>
    </w:p>
    <w:p w14:paraId="3B0B3A27" w14:textId="77777777" w:rsidR="00FB5FB6" w:rsidRDefault="00FB5FB6">
      <w:pPr>
        <w:snapToGrid w:val="0"/>
        <w:spacing w:line="360" w:lineRule="auto"/>
        <w:ind w:firstLine="709"/>
        <w:rPr>
          <w:rFonts w:ascii="Times New Roman" w:hAnsi="Times New Roman" w:cs="Times New Roman"/>
          <w:sz w:val="28"/>
          <w:szCs w:val="28"/>
          <w:lang w:val="en-US" w:eastAsia="uk-UA"/>
        </w:rPr>
      </w:pPr>
      <w:r w:rsidRPr="00281488">
        <w:rPr>
          <w:rFonts w:ascii="Times New Roman" w:hAnsi="Times New Roman"/>
          <w:b/>
          <w:sz w:val="28"/>
          <w:szCs w:val="28"/>
          <w:lang w:val="en-US"/>
        </w:rPr>
        <w:t xml:space="preserve">Goal and tasks. </w:t>
      </w:r>
      <w:r w:rsidRPr="00FB5FB6">
        <w:rPr>
          <w:rFonts w:ascii="Times New Roman" w:hAnsi="Times New Roman"/>
          <w:sz w:val="28"/>
          <w:szCs w:val="28"/>
          <w:lang w:val="en-US"/>
        </w:rPr>
        <w:t>The</w:t>
      </w:r>
      <w:r>
        <w:rPr>
          <w:rFonts w:ascii="Times New Roman" w:hAnsi="Times New Roman"/>
          <w:b/>
          <w:sz w:val="28"/>
          <w:szCs w:val="28"/>
          <w:lang w:val="en-US"/>
        </w:rPr>
        <w:t xml:space="preserve"> </w:t>
      </w:r>
      <w:r w:rsidR="006F35DE">
        <w:rPr>
          <w:rFonts w:ascii="Times New Roman" w:hAnsi="Times New Roman" w:cs="Times New Roman"/>
          <w:b/>
          <w:bCs/>
          <w:sz w:val="28"/>
          <w:szCs w:val="28"/>
          <w:lang w:val="en-US" w:eastAsia="uk-UA"/>
        </w:rPr>
        <w:t xml:space="preserve">goal </w:t>
      </w:r>
      <w:r w:rsidR="006F35DE">
        <w:rPr>
          <w:rFonts w:ascii="Times New Roman" w:hAnsi="Times New Roman" w:cs="Times New Roman"/>
          <w:sz w:val="28"/>
          <w:szCs w:val="28"/>
          <w:lang w:val="en-US" w:eastAsia="uk-UA"/>
        </w:rPr>
        <w:t xml:space="preserve">of this study is to explore the role and impact of demand dynamics and infrastructure profitability in anti-crisis management through a systematic analysis of the Chinese economy. </w:t>
      </w:r>
    </w:p>
    <w:p w14:paraId="38C2C9C7" w14:textId="77777777" w:rsidR="00FB5FB6" w:rsidRPr="00281488" w:rsidRDefault="00FB5FB6" w:rsidP="00FB5FB6">
      <w:pPr>
        <w:spacing w:line="360" w:lineRule="auto"/>
        <w:ind w:firstLineChars="200" w:firstLine="560"/>
        <w:rPr>
          <w:rFonts w:ascii="Times New Roman" w:hAnsi="Times New Roman"/>
          <w:sz w:val="28"/>
          <w:szCs w:val="28"/>
          <w:lang w:val="en-US"/>
        </w:rPr>
      </w:pPr>
      <w:r w:rsidRPr="00281488">
        <w:rPr>
          <w:rFonts w:ascii="Times New Roman" w:hAnsi="Times New Roman"/>
          <w:sz w:val="28"/>
          <w:szCs w:val="28"/>
          <w:lang w:val="en-US"/>
        </w:rPr>
        <w:t>To achieve the goal, the</w:t>
      </w:r>
      <w:r w:rsidRPr="00281488">
        <w:rPr>
          <w:rFonts w:ascii="Times New Roman" w:hAnsi="Times New Roman"/>
          <w:b/>
          <w:bCs/>
          <w:sz w:val="28"/>
          <w:szCs w:val="28"/>
          <w:lang w:val="en-US"/>
        </w:rPr>
        <w:t xml:space="preserve"> </w:t>
      </w:r>
      <w:r w:rsidRPr="00281488">
        <w:rPr>
          <w:rFonts w:ascii="Times New Roman" w:hAnsi="Times New Roman"/>
          <w:sz w:val="28"/>
          <w:szCs w:val="28"/>
          <w:lang w:val="en-US"/>
        </w:rPr>
        <w:t>research</w:t>
      </w:r>
      <w:r w:rsidRPr="00281488">
        <w:rPr>
          <w:rFonts w:ascii="Times New Roman" w:hAnsi="Times New Roman"/>
          <w:b/>
          <w:bCs/>
          <w:sz w:val="28"/>
          <w:szCs w:val="28"/>
          <w:lang w:val="en-US"/>
        </w:rPr>
        <w:t xml:space="preserve"> tasks </w:t>
      </w:r>
      <w:r w:rsidRPr="00281488">
        <w:rPr>
          <w:rFonts w:ascii="Times New Roman" w:hAnsi="Times New Roman"/>
          <w:sz w:val="28"/>
          <w:szCs w:val="28"/>
          <w:lang w:val="en-US"/>
        </w:rPr>
        <w:t>were defined:</w:t>
      </w:r>
    </w:p>
    <w:p w14:paraId="23C3A871" w14:textId="77777777" w:rsidR="007353B9" w:rsidRDefault="006F35DE">
      <w:pPr>
        <w:numPr>
          <w:ilvl w:val="0"/>
          <w:numId w:val="1"/>
        </w:num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Analyze the interrelationship between demand dynamics and infrastructure profitability.</w:t>
      </w:r>
    </w:p>
    <w:p w14:paraId="2421C607" w14:textId="77777777" w:rsidR="007353B9" w:rsidRDefault="006F35DE">
      <w:pPr>
        <w:numPr>
          <w:ilvl w:val="0"/>
          <w:numId w:val="1"/>
        </w:num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Define the key factors that influence infrastructure ROI.</w:t>
      </w:r>
    </w:p>
    <w:p w14:paraId="3EB6BF41" w14:textId="77777777" w:rsidR="007353B9" w:rsidRDefault="006F35DE">
      <w:pPr>
        <w:numPr>
          <w:ilvl w:val="0"/>
          <w:numId w:val="1"/>
        </w:num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Identify the performance characteristics of different types of infrastructure projects during economic crises.</w:t>
      </w:r>
    </w:p>
    <w:p w14:paraId="03D3E9BF" w14:textId="77777777" w:rsidR="007353B9" w:rsidRDefault="006F35DE">
      <w:pPr>
        <w:numPr>
          <w:ilvl w:val="0"/>
          <w:numId w:val="1"/>
        </w:num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Improve the theoretical and practical methods of anti-crisis management to enhance the stability of the macroeconomic system.</w:t>
      </w:r>
    </w:p>
    <w:p w14:paraId="73BB02A6" w14:textId="77777777" w:rsidR="007353B9" w:rsidRDefault="00FB5FB6" w:rsidP="007E73A7">
      <w:pPr>
        <w:snapToGrid w:val="0"/>
        <w:spacing w:line="360" w:lineRule="auto"/>
        <w:ind w:firstLine="709"/>
        <w:rPr>
          <w:rFonts w:ascii="Times New Roman" w:hAnsi="Times New Roman" w:cs="Times New Roman"/>
          <w:sz w:val="28"/>
          <w:szCs w:val="28"/>
          <w:lang w:val="en-US" w:eastAsia="uk-UA"/>
        </w:rPr>
      </w:pPr>
      <w:r w:rsidRPr="00281488">
        <w:rPr>
          <w:rFonts w:ascii="Times New Roman" w:eastAsia="SimSun" w:hAnsi="Times New Roman" w:hint="eastAsia"/>
          <w:b/>
          <w:bCs/>
          <w:sz w:val="28"/>
          <w:szCs w:val="28"/>
          <w:lang w:val="en-US"/>
        </w:rPr>
        <w:t>The object</w:t>
      </w:r>
      <w:r>
        <w:rPr>
          <w:rFonts w:ascii="Times New Roman" w:eastAsia="SimSun" w:hAnsi="Times New Roman"/>
          <w:sz w:val="28"/>
          <w:szCs w:val="28"/>
          <w:lang w:val="en-US"/>
        </w:rPr>
        <w:t xml:space="preserve">. </w:t>
      </w:r>
      <w:r w:rsidR="006F35DE">
        <w:rPr>
          <w:rFonts w:ascii="Times New Roman" w:hAnsi="Times New Roman" w:cs="Times New Roman"/>
          <w:sz w:val="28"/>
          <w:szCs w:val="28"/>
          <w:lang w:val="en-US" w:eastAsia="uk-UA"/>
        </w:rPr>
        <w:t xml:space="preserve">The research </w:t>
      </w:r>
      <w:r w:rsidR="006F35DE">
        <w:rPr>
          <w:rFonts w:ascii="Times New Roman" w:hAnsi="Times New Roman" w:cs="Times New Roman"/>
          <w:b/>
          <w:bCs/>
          <w:sz w:val="28"/>
          <w:szCs w:val="28"/>
          <w:lang w:val="en-US" w:eastAsia="uk-UA"/>
        </w:rPr>
        <w:t xml:space="preserve">object </w:t>
      </w:r>
      <w:r w:rsidR="006F35DE">
        <w:rPr>
          <w:rFonts w:ascii="Times New Roman" w:hAnsi="Times New Roman" w:cs="Times New Roman"/>
          <w:sz w:val="28"/>
          <w:szCs w:val="28"/>
          <w:lang w:val="en-US" w:eastAsia="uk-UA"/>
        </w:rPr>
        <w:t xml:space="preserve">is the demand dynamics and infrastructure profitability in China's macro-economy, </w:t>
      </w:r>
      <w:r w:rsidR="006F35DE">
        <w:rPr>
          <w:rFonts w:ascii="Times New Roman" w:hAnsi="Times New Roman" w:cs="Times New Roman"/>
          <w:b/>
          <w:bCs/>
          <w:sz w:val="28"/>
          <w:szCs w:val="28"/>
          <w:lang w:val="en-US" w:eastAsia="uk-UA"/>
        </w:rPr>
        <w:t xml:space="preserve">the </w:t>
      </w:r>
      <w:r w:rsidR="009642DA" w:rsidRPr="009642DA">
        <w:rPr>
          <w:rFonts w:ascii="Times New Roman" w:eastAsia="SimSun" w:hAnsi="Times New Roman" w:hint="eastAsia"/>
          <w:b/>
          <w:bCs/>
          <w:sz w:val="28"/>
          <w:szCs w:val="28"/>
          <w:lang w:val="en-US"/>
        </w:rPr>
        <w:t>subject</w:t>
      </w:r>
      <w:r w:rsidR="007E73A7">
        <w:rPr>
          <w:rFonts w:ascii="Times New Roman" w:eastAsia="SimSun" w:hAnsi="Times New Roman"/>
          <w:b/>
          <w:bCs/>
          <w:sz w:val="28"/>
          <w:szCs w:val="28"/>
          <w:lang w:val="en-US"/>
        </w:rPr>
        <w:t xml:space="preserve"> </w:t>
      </w:r>
      <w:r w:rsidR="006F35DE">
        <w:rPr>
          <w:rFonts w:ascii="Times New Roman" w:hAnsi="Times New Roman" w:cs="Times New Roman"/>
          <w:sz w:val="28"/>
          <w:szCs w:val="28"/>
          <w:lang w:val="en-US" w:eastAsia="uk-UA"/>
        </w:rPr>
        <w:t>focuses on the mutual influence between the two and their application in anti-crisis management. The research objects include specific economic indicators, such as total retail sales of consumer goods, infrastructure investment return rate, etc., and the research theme focuses on the changing characteristics of these indicators in the context of economic crisis and their interaction mechanism.</w:t>
      </w:r>
    </w:p>
    <w:p w14:paraId="68619855" w14:textId="77777777" w:rsidR="008E0FD5" w:rsidRPr="00281488" w:rsidRDefault="008E0FD5" w:rsidP="008E0FD5">
      <w:pPr>
        <w:tabs>
          <w:tab w:val="left" w:pos="851"/>
        </w:tabs>
        <w:spacing w:line="360" w:lineRule="auto"/>
        <w:ind w:firstLineChars="200" w:firstLine="562"/>
        <w:rPr>
          <w:rFonts w:ascii="Times New Roman" w:eastAsia="SimSun" w:hAnsi="Times New Roman"/>
          <w:sz w:val="28"/>
          <w:szCs w:val="28"/>
          <w:lang w:val="en-US"/>
        </w:rPr>
      </w:pPr>
      <w:r w:rsidRPr="00281488">
        <w:rPr>
          <w:rFonts w:ascii="Times New Roman" w:eastAsia="SimSun" w:hAnsi="Times New Roman" w:hint="eastAsia"/>
          <w:b/>
          <w:bCs/>
          <w:sz w:val="28"/>
          <w:szCs w:val="28"/>
          <w:lang w:val="en-US"/>
        </w:rPr>
        <w:t>Research methods:</w:t>
      </w:r>
    </w:p>
    <w:p w14:paraId="031DE2CE" w14:textId="77777777" w:rsidR="008E0FD5" w:rsidRPr="00281488" w:rsidRDefault="008E0FD5" w:rsidP="008E0FD5">
      <w:pPr>
        <w:tabs>
          <w:tab w:val="left" w:pos="851"/>
        </w:tabs>
        <w:spacing w:line="360" w:lineRule="auto"/>
        <w:ind w:firstLineChars="200" w:firstLine="560"/>
        <w:rPr>
          <w:rFonts w:ascii="Times New Roman" w:eastAsia="SimSun" w:hAnsi="Times New Roman"/>
          <w:sz w:val="28"/>
          <w:szCs w:val="28"/>
          <w:lang w:val="en-US"/>
        </w:rPr>
      </w:pPr>
      <w:r w:rsidRPr="00281488">
        <w:rPr>
          <w:rFonts w:ascii="Times New Roman" w:eastAsia="SimSun" w:hAnsi="Times New Roman" w:hint="eastAsia"/>
          <w:sz w:val="28"/>
          <w:szCs w:val="28"/>
          <w:lang w:val="en-US"/>
        </w:rPr>
        <w:t xml:space="preserve">1. Literature review: This method involves reviewing and analyzing existing literature to understand the theoretical foundations and best practices of </w:t>
      </w:r>
      <w:r>
        <w:rPr>
          <w:rFonts w:ascii="Times New Roman" w:eastAsia="SimSun" w:hAnsi="Times New Roman"/>
          <w:sz w:val="28"/>
          <w:szCs w:val="28"/>
          <w:lang w:val="en-US"/>
        </w:rPr>
        <w:t xml:space="preserve">crisis management and project management </w:t>
      </w:r>
      <w:r w:rsidRPr="00281488">
        <w:rPr>
          <w:rFonts w:ascii="Times New Roman" w:eastAsia="SimSun" w:hAnsi="Times New Roman" w:hint="eastAsia"/>
          <w:sz w:val="28"/>
          <w:szCs w:val="28"/>
          <w:lang w:val="en-US"/>
        </w:rPr>
        <w:t>in the face of global challenges.</w:t>
      </w:r>
    </w:p>
    <w:p w14:paraId="2C9297DC" w14:textId="77777777" w:rsidR="008E0FD5" w:rsidRPr="00281488" w:rsidRDefault="008E0FD5" w:rsidP="008E0FD5">
      <w:pPr>
        <w:tabs>
          <w:tab w:val="left" w:pos="851"/>
        </w:tabs>
        <w:spacing w:line="360" w:lineRule="auto"/>
        <w:ind w:firstLineChars="200" w:firstLine="560"/>
        <w:rPr>
          <w:rFonts w:ascii="Times New Roman" w:eastAsia="SimSun" w:hAnsi="Times New Roman"/>
          <w:sz w:val="28"/>
          <w:szCs w:val="28"/>
          <w:lang w:val="en-US"/>
        </w:rPr>
      </w:pPr>
      <w:r>
        <w:rPr>
          <w:rFonts w:ascii="Times New Roman" w:eastAsia="SimSun" w:hAnsi="Times New Roman"/>
          <w:sz w:val="28"/>
          <w:szCs w:val="28"/>
          <w:lang w:val="en-US"/>
        </w:rPr>
        <w:t>2</w:t>
      </w:r>
      <w:r w:rsidRPr="00281488">
        <w:rPr>
          <w:rFonts w:ascii="Times New Roman" w:eastAsia="SimSun" w:hAnsi="Times New Roman" w:hint="eastAsia"/>
          <w:sz w:val="28"/>
          <w:szCs w:val="28"/>
          <w:lang w:val="en-US"/>
        </w:rPr>
        <w:t xml:space="preserve">. Economic analysis: Quantitative methods such as financial ratio analysis, cost-benefit analysis, and benchmarking against industry standards will help </w:t>
      </w:r>
      <w:r w:rsidRPr="00281488">
        <w:rPr>
          <w:rFonts w:ascii="Times New Roman" w:eastAsia="SimSun" w:hAnsi="Times New Roman" w:hint="eastAsia"/>
          <w:sz w:val="28"/>
          <w:szCs w:val="28"/>
          <w:lang w:val="en-US"/>
        </w:rPr>
        <w:lastRenderedPageBreak/>
        <w:t xml:space="preserve">evaluate the group's economic performance related to </w:t>
      </w:r>
      <w:r>
        <w:rPr>
          <w:rFonts w:ascii="Times New Roman" w:eastAsia="SimSun" w:hAnsi="Times New Roman"/>
          <w:sz w:val="28"/>
          <w:szCs w:val="28"/>
          <w:lang w:val="en-US"/>
        </w:rPr>
        <w:t>crisis management and project management on macro-level of economy</w:t>
      </w:r>
      <w:r w:rsidRPr="00281488">
        <w:rPr>
          <w:rFonts w:ascii="Times New Roman" w:eastAsia="SimSun" w:hAnsi="Times New Roman" w:hint="eastAsia"/>
          <w:sz w:val="28"/>
          <w:szCs w:val="28"/>
          <w:lang w:val="en-US"/>
        </w:rPr>
        <w:t>.</w:t>
      </w:r>
    </w:p>
    <w:p w14:paraId="0ED88E0C" w14:textId="77777777" w:rsidR="008E0FD5" w:rsidRPr="00C35259" w:rsidRDefault="008E0FD5" w:rsidP="008E0FD5">
      <w:pPr>
        <w:tabs>
          <w:tab w:val="left" w:pos="851"/>
        </w:tabs>
        <w:spacing w:line="360" w:lineRule="auto"/>
        <w:ind w:firstLineChars="200" w:firstLine="560"/>
        <w:rPr>
          <w:rFonts w:ascii="Times New Roman" w:eastAsia="SimSun" w:hAnsi="Times New Roman"/>
          <w:sz w:val="28"/>
          <w:szCs w:val="28"/>
          <w:lang w:val="en-US"/>
        </w:rPr>
      </w:pPr>
      <w:r>
        <w:rPr>
          <w:rFonts w:ascii="Times New Roman" w:eastAsia="SimSun" w:hAnsi="Times New Roman"/>
          <w:sz w:val="28"/>
          <w:szCs w:val="28"/>
          <w:lang w:val="en-US"/>
        </w:rPr>
        <w:t>3</w:t>
      </w:r>
      <w:r w:rsidRPr="00281488">
        <w:rPr>
          <w:rFonts w:ascii="Times New Roman" w:eastAsia="SimSun" w:hAnsi="Times New Roman" w:hint="eastAsia"/>
          <w:sz w:val="28"/>
          <w:szCs w:val="28"/>
          <w:lang w:val="en-US"/>
        </w:rPr>
        <w:t xml:space="preserve">. Data triangulation: Combining multiple sources of data (qualitative and quantitative) ensures a comprehensive understanding of the issue and increases the reliability </w:t>
      </w:r>
      <w:r w:rsidRPr="00C35259">
        <w:rPr>
          <w:rFonts w:ascii="Times New Roman" w:eastAsia="SimSun" w:hAnsi="Times New Roman" w:hint="eastAsia"/>
          <w:sz w:val="28"/>
          <w:szCs w:val="28"/>
          <w:lang w:val="en-US"/>
        </w:rPr>
        <w:t>of findings.</w:t>
      </w:r>
    </w:p>
    <w:p w14:paraId="24CE128A" w14:textId="77777777" w:rsidR="008E0FD5" w:rsidRPr="00281488" w:rsidRDefault="008E0FD5" w:rsidP="008E0FD5">
      <w:pPr>
        <w:tabs>
          <w:tab w:val="left" w:pos="851"/>
        </w:tabs>
        <w:spacing w:line="360" w:lineRule="auto"/>
        <w:ind w:firstLineChars="200" w:firstLine="560"/>
        <w:rPr>
          <w:rFonts w:ascii="Times New Roman" w:eastAsia="SimSun" w:hAnsi="Times New Roman"/>
          <w:sz w:val="28"/>
          <w:szCs w:val="28"/>
          <w:lang w:val="en-US"/>
        </w:rPr>
      </w:pPr>
      <w:r>
        <w:rPr>
          <w:rFonts w:ascii="Times New Roman" w:eastAsia="SimSun" w:hAnsi="Times New Roman"/>
          <w:sz w:val="28"/>
          <w:szCs w:val="28"/>
          <w:lang w:val="en-US"/>
        </w:rPr>
        <w:t>4</w:t>
      </w:r>
      <w:r w:rsidRPr="00C35259">
        <w:rPr>
          <w:rFonts w:ascii="Times New Roman" w:eastAsia="SimSun" w:hAnsi="Times New Roman" w:hint="eastAsia"/>
          <w:sz w:val="28"/>
          <w:szCs w:val="28"/>
          <w:lang w:val="en-US"/>
        </w:rPr>
        <w:t xml:space="preserve">. Content analysis: Analyzing </w:t>
      </w:r>
      <w:r>
        <w:rPr>
          <w:rFonts w:ascii="Times New Roman" w:eastAsia="SimSun" w:hAnsi="Times New Roman"/>
          <w:sz w:val="28"/>
          <w:szCs w:val="28"/>
          <w:lang w:val="en-US"/>
        </w:rPr>
        <w:t xml:space="preserve">statistics </w:t>
      </w:r>
      <w:r w:rsidRPr="00C35259">
        <w:rPr>
          <w:rFonts w:ascii="Times New Roman" w:eastAsia="SimSun" w:hAnsi="Times New Roman" w:hint="eastAsia"/>
          <w:sz w:val="28"/>
          <w:szCs w:val="28"/>
          <w:lang w:val="en-US"/>
        </w:rPr>
        <w:t xml:space="preserve">documents, reports, and policies to understand the context and structure of </w:t>
      </w:r>
      <w:r>
        <w:rPr>
          <w:rFonts w:ascii="Times New Roman" w:eastAsia="SimSun" w:hAnsi="Times New Roman"/>
          <w:sz w:val="28"/>
          <w:szCs w:val="28"/>
          <w:lang w:val="en-US"/>
        </w:rPr>
        <w:t>crisis management and project management on macro-level of economy</w:t>
      </w:r>
      <w:r w:rsidRPr="00281488">
        <w:rPr>
          <w:rFonts w:ascii="Times New Roman" w:eastAsia="SimSun" w:hAnsi="Times New Roman" w:hint="eastAsia"/>
          <w:sz w:val="28"/>
          <w:szCs w:val="28"/>
          <w:lang w:val="en-US"/>
        </w:rPr>
        <w:t>.</w:t>
      </w:r>
    </w:p>
    <w:p w14:paraId="10AA0A1C" w14:textId="77777777" w:rsidR="007353B9" w:rsidRDefault="006F35DE">
      <w:pPr>
        <w:snapToGrid w:val="0"/>
        <w:spacing w:line="360" w:lineRule="auto"/>
        <w:ind w:firstLine="709"/>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achieve the research objectives, this paper adopts a variety of research methods, including abstract logic, historical analysis and modeling analysis. Abstract logic is used to build a theoretical framework for anti-crisis management; historical analysis is used to review demand changes from 2019 to 2023 and their impact on infrastructure investment; modeling analysis is used to simulate the changing trends of demand dynamics and profitability under different economic scenarios.</w:t>
      </w:r>
    </w:p>
    <w:p w14:paraId="66527CB5" w14:textId="77777777" w:rsidR="008515F6" w:rsidRDefault="00862118" w:rsidP="008515F6">
      <w:pPr>
        <w:rPr>
          <w:rFonts w:ascii="Times New Roman" w:hAnsi="Times New Roman"/>
          <w:sz w:val="28"/>
          <w:szCs w:val="28"/>
          <w:lang w:val="en-US"/>
        </w:rPr>
      </w:pPr>
      <w:r w:rsidRPr="00767DB0">
        <w:rPr>
          <w:rFonts w:ascii="Times New Roman" w:hAnsi="Times New Roman"/>
          <w:b/>
          <w:bCs/>
          <w:sz w:val="28"/>
          <w:szCs w:val="28"/>
          <w:lang w:val="en-US"/>
        </w:rPr>
        <w:t xml:space="preserve">Results approval and publication. </w:t>
      </w:r>
      <w:r w:rsidRPr="00767DB0">
        <w:rPr>
          <w:rFonts w:ascii="Times New Roman" w:hAnsi="Times New Roman"/>
          <w:sz w:val="28"/>
          <w:szCs w:val="28"/>
          <w:lang w:val="en-US"/>
        </w:rPr>
        <w:t xml:space="preserve">The materials of the qualification project were represented </w:t>
      </w:r>
      <w:bookmarkStart w:id="1" w:name="_Hlk180700955"/>
      <w:r w:rsidRPr="00767DB0">
        <w:rPr>
          <w:rFonts w:ascii="Times New Roman" w:hAnsi="Times New Roman"/>
          <w:sz w:val="28"/>
          <w:szCs w:val="28"/>
          <w:lang w:val="en-US"/>
        </w:rPr>
        <w:t>at the 80th reporting student scien</w:t>
      </w:r>
      <w:r w:rsidR="008515F6">
        <w:rPr>
          <w:rFonts w:ascii="Times New Roman" w:hAnsi="Times New Roman"/>
          <w:sz w:val="28"/>
          <w:szCs w:val="28"/>
          <w:lang w:val="en-US"/>
        </w:rPr>
        <w:t xml:space="preserve">tific conference of the EPF ONU </w:t>
      </w:r>
      <w:r w:rsidRPr="00767DB0">
        <w:rPr>
          <w:rFonts w:ascii="Times New Roman" w:hAnsi="Times New Roman"/>
          <w:sz w:val="28"/>
          <w:szCs w:val="28"/>
          <w:lang w:val="en-US"/>
        </w:rPr>
        <w:t xml:space="preserve">named after I.I. Mechnikov </w:t>
      </w:r>
      <w:r w:rsidRPr="00767DB0">
        <w:rPr>
          <w:rFonts w:ascii="Times New Roman" w:hAnsi="Times New Roman"/>
          <w:sz w:val="28"/>
          <w:szCs w:val="28"/>
          <w:lang w:val="uk-UA"/>
        </w:rPr>
        <w:t>(</w:t>
      </w:r>
      <w:r>
        <w:rPr>
          <w:rFonts w:ascii="Times New Roman" w:hAnsi="Times New Roman"/>
          <w:sz w:val="28"/>
          <w:szCs w:val="28"/>
          <w:lang w:val="en-US"/>
        </w:rPr>
        <w:t>November,</w:t>
      </w:r>
      <w:r w:rsidRPr="00767DB0">
        <w:rPr>
          <w:rFonts w:ascii="Times New Roman" w:hAnsi="Times New Roman"/>
          <w:sz w:val="28"/>
          <w:szCs w:val="28"/>
          <w:lang w:val="en-US"/>
        </w:rPr>
        <w:t xml:space="preserve"> 2</w:t>
      </w:r>
      <w:r>
        <w:rPr>
          <w:rFonts w:ascii="Times New Roman" w:hAnsi="Times New Roman"/>
          <w:sz w:val="28"/>
          <w:szCs w:val="28"/>
          <w:lang w:val="uk-UA"/>
        </w:rPr>
        <w:t>2</w:t>
      </w:r>
      <w:r>
        <w:rPr>
          <w:rFonts w:ascii="Times New Roman" w:hAnsi="Times New Roman"/>
          <w:sz w:val="28"/>
          <w:szCs w:val="28"/>
          <w:lang w:val="en-US"/>
        </w:rPr>
        <w:t xml:space="preserve">, </w:t>
      </w:r>
      <w:r w:rsidRPr="00767DB0">
        <w:rPr>
          <w:rFonts w:ascii="Times New Roman" w:hAnsi="Times New Roman"/>
          <w:sz w:val="28"/>
          <w:szCs w:val="28"/>
          <w:lang w:val="en-US"/>
        </w:rPr>
        <w:t xml:space="preserve">2024, Odesa). </w:t>
      </w:r>
      <w:bookmarkEnd w:id="1"/>
    </w:p>
    <w:p w14:paraId="05870FDD" w14:textId="77777777" w:rsidR="008515F6" w:rsidRDefault="00862118" w:rsidP="008515F6">
      <w:pPr>
        <w:rPr>
          <w:rFonts w:ascii="Times New Roman" w:hAnsi="Times New Roman"/>
          <w:sz w:val="28"/>
          <w:szCs w:val="28"/>
          <w:lang w:val="en-US"/>
        </w:rPr>
      </w:pPr>
      <w:r w:rsidRPr="00767DB0">
        <w:rPr>
          <w:rFonts w:ascii="Times New Roman" w:hAnsi="Times New Roman"/>
          <w:sz w:val="28"/>
          <w:szCs w:val="28"/>
          <w:lang w:val="en-US"/>
        </w:rPr>
        <w:t>According to the results of the assessment, a presentation was prepared</w:t>
      </w:r>
      <w:r w:rsidR="008515F6" w:rsidRPr="008515F6">
        <w:rPr>
          <w:rFonts w:ascii="Times New Roman" w:hAnsi="Times New Roman"/>
          <w:sz w:val="28"/>
          <w:szCs w:val="28"/>
          <w:lang w:val="en-US"/>
        </w:rPr>
        <w:t xml:space="preserve">: </w:t>
      </w:r>
    </w:p>
    <w:p w14:paraId="2978382D" w14:textId="77777777" w:rsidR="00862118" w:rsidRPr="008515F6" w:rsidRDefault="008515F6" w:rsidP="008515F6">
      <w:pPr>
        <w:rPr>
          <w:rFonts w:ascii="Times New Roman" w:hAnsi="Times New Roman"/>
          <w:sz w:val="28"/>
          <w:szCs w:val="28"/>
          <w:lang w:val="en-US"/>
        </w:rPr>
      </w:pPr>
      <w:r w:rsidRPr="008515F6">
        <w:rPr>
          <w:rFonts w:ascii="Times New Roman" w:hAnsi="Times New Roman"/>
          <w:sz w:val="28"/>
          <w:szCs w:val="28"/>
          <w:lang w:val="en-US"/>
        </w:rPr>
        <w:t>«</w:t>
      </w:r>
      <w:r>
        <w:rPr>
          <w:rFonts w:ascii="Times New Roman" w:hAnsi="Times New Roman"/>
          <w:sz w:val="28"/>
          <w:szCs w:val="28"/>
        </w:rPr>
        <w:t xml:space="preserve">Anti-crisis management: analysis </w:t>
      </w:r>
      <w:r w:rsidRPr="008515F6">
        <w:rPr>
          <w:rFonts w:ascii="Times New Roman" w:hAnsi="Times New Roman"/>
          <w:sz w:val="28"/>
          <w:szCs w:val="28"/>
        </w:rPr>
        <w:t>of demand dynamics and infrastructure profitability</w:t>
      </w:r>
      <w:r w:rsidRPr="008515F6">
        <w:rPr>
          <w:rFonts w:ascii="Times New Roman" w:hAnsi="Times New Roman"/>
          <w:sz w:val="28"/>
          <w:szCs w:val="28"/>
          <w:lang w:val="en-US"/>
        </w:rPr>
        <w:t>».</w:t>
      </w:r>
    </w:p>
    <w:p w14:paraId="040FD43E" w14:textId="77777777" w:rsidR="00862118" w:rsidRPr="00A06D02" w:rsidRDefault="00862118" w:rsidP="00862118">
      <w:pPr>
        <w:spacing w:line="360" w:lineRule="auto"/>
        <w:ind w:firstLine="567"/>
        <w:rPr>
          <w:rFonts w:ascii="Times New Roman" w:hAnsi="Times New Roman"/>
          <w:sz w:val="28"/>
          <w:szCs w:val="28"/>
          <w:lang w:val="en-US"/>
        </w:rPr>
      </w:pPr>
      <w:r w:rsidRPr="00767DB0">
        <w:rPr>
          <w:rFonts w:ascii="Times New Roman" w:hAnsi="Times New Roman"/>
          <w:b/>
          <w:bCs/>
          <w:sz w:val="28"/>
          <w:szCs w:val="28"/>
          <w:lang w:val="en-US"/>
        </w:rPr>
        <w:t xml:space="preserve">Structure and scope of work. </w:t>
      </w:r>
      <w:r w:rsidRPr="00767DB0">
        <w:rPr>
          <w:rFonts w:ascii="Times New Roman" w:hAnsi="Times New Roman"/>
          <w:sz w:val="28"/>
          <w:szCs w:val="28"/>
          <w:lang w:val="en-US"/>
        </w:rPr>
        <w:t xml:space="preserve">The work consists of </w:t>
      </w:r>
      <w:r w:rsidRPr="007813E2">
        <w:rPr>
          <w:rFonts w:ascii="Times New Roman" w:hAnsi="Times New Roman"/>
          <w:sz w:val="28"/>
          <w:szCs w:val="28"/>
          <w:lang w:val="en-US"/>
        </w:rPr>
        <w:t>introduction, three chapters, conclusions, references (</w:t>
      </w:r>
      <w:r w:rsidR="00DD2E6C">
        <w:rPr>
          <w:rFonts w:ascii="Times New Roman" w:hAnsi="Times New Roman"/>
          <w:sz w:val="28"/>
          <w:szCs w:val="28"/>
          <w:lang w:val="en-US"/>
        </w:rPr>
        <w:t>8</w:t>
      </w:r>
      <w:r w:rsidRPr="007813E2">
        <w:rPr>
          <w:rFonts w:ascii="Times New Roman" w:hAnsi="Times New Roman"/>
          <w:sz w:val="28"/>
          <w:szCs w:val="28"/>
          <w:lang w:val="uk-UA"/>
        </w:rPr>
        <w:t>2</w:t>
      </w:r>
      <w:r w:rsidRPr="007813E2">
        <w:rPr>
          <w:rFonts w:ascii="Times New Roman" w:hAnsi="Times New Roman"/>
          <w:sz w:val="28"/>
          <w:szCs w:val="28"/>
          <w:lang w:val="en-US"/>
        </w:rPr>
        <w:t xml:space="preserve"> names). The total amount of qualification project is </w:t>
      </w:r>
      <w:r w:rsidR="00DD2E6C">
        <w:rPr>
          <w:rFonts w:ascii="Times New Roman" w:hAnsi="Times New Roman"/>
          <w:sz w:val="28"/>
          <w:szCs w:val="28"/>
          <w:lang w:val="en-US"/>
        </w:rPr>
        <w:t>7</w:t>
      </w:r>
      <w:r w:rsidRPr="007813E2">
        <w:rPr>
          <w:rFonts w:ascii="Times New Roman" w:hAnsi="Times New Roman"/>
          <w:sz w:val="28"/>
          <w:szCs w:val="28"/>
          <w:lang w:val="en-US"/>
        </w:rPr>
        <w:t xml:space="preserve">0 pages. The work includes </w:t>
      </w:r>
      <w:r w:rsidR="008653E9">
        <w:rPr>
          <w:rFonts w:ascii="Times New Roman" w:hAnsi="Times New Roman"/>
          <w:sz w:val="28"/>
          <w:szCs w:val="28"/>
          <w:lang w:val="en-US"/>
        </w:rPr>
        <w:t>14</w:t>
      </w:r>
      <w:r w:rsidRPr="007813E2">
        <w:rPr>
          <w:rFonts w:ascii="Times New Roman" w:hAnsi="Times New Roman"/>
          <w:sz w:val="28"/>
          <w:szCs w:val="28"/>
          <w:lang w:val="en-US"/>
        </w:rPr>
        <w:t xml:space="preserve"> tables and </w:t>
      </w:r>
      <w:r w:rsidR="008653E9">
        <w:rPr>
          <w:rFonts w:ascii="Times New Roman" w:hAnsi="Times New Roman"/>
          <w:sz w:val="28"/>
          <w:szCs w:val="28"/>
          <w:lang w:val="en-US"/>
        </w:rPr>
        <w:t>4</w:t>
      </w:r>
      <w:r w:rsidRPr="007813E2">
        <w:rPr>
          <w:rFonts w:ascii="Times New Roman" w:hAnsi="Times New Roman"/>
          <w:sz w:val="28"/>
          <w:szCs w:val="28"/>
          <w:lang w:val="en-US"/>
        </w:rPr>
        <w:t xml:space="preserve"> figures.</w:t>
      </w:r>
    </w:p>
    <w:p w14:paraId="6E4E0358" w14:textId="77777777" w:rsidR="007353B9" w:rsidRDefault="006F35DE" w:rsidP="008604BD">
      <w:pPr>
        <w:snapToGrid w:val="0"/>
        <w:spacing w:line="360" w:lineRule="auto"/>
        <w:ind w:firstLineChars="200" w:firstLine="562"/>
        <w:jc w:val="center"/>
        <w:outlineLvl w:val="0"/>
        <w:rPr>
          <w:rFonts w:ascii="Times New Roman" w:eastAsia="Times New Roman" w:hAnsi="Times New Roman" w:cs="Times New Roman"/>
          <w:b/>
          <w:sz w:val="28"/>
          <w:szCs w:val="28"/>
          <w:lang w:val="en-US" w:eastAsia="uk-UA"/>
        </w:rPr>
      </w:pPr>
      <w:bookmarkStart w:id="2" w:name="_Toc12239"/>
      <w:r>
        <w:rPr>
          <w:rFonts w:ascii="Times New Roman" w:eastAsia="Times New Roman" w:hAnsi="Times New Roman" w:cs="Times New Roman"/>
          <w:b/>
          <w:sz w:val="28"/>
          <w:szCs w:val="28"/>
          <w:lang w:val="en-US" w:eastAsia="uk-UA"/>
        </w:rPr>
        <w:lastRenderedPageBreak/>
        <w:t>CHAPTER 1</w:t>
      </w:r>
      <w:bookmarkEnd w:id="2"/>
    </w:p>
    <w:p w14:paraId="41E34958" w14:textId="77777777" w:rsidR="007353B9" w:rsidRDefault="006F35DE" w:rsidP="008604BD">
      <w:pPr>
        <w:snapToGrid w:val="0"/>
        <w:spacing w:line="360" w:lineRule="auto"/>
        <w:ind w:firstLineChars="200" w:firstLine="562"/>
        <w:jc w:val="center"/>
        <w:outlineLvl w:val="0"/>
        <w:rPr>
          <w:rFonts w:ascii="Times New Roman" w:eastAsia="Times New Roman" w:hAnsi="Times New Roman" w:cs="Times New Roman"/>
          <w:b/>
          <w:sz w:val="28"/>
          <w:szCs w:val="28"/>
          <w:lang w:val="en-US" w:eastAsia="uk-UA"/>
        </w:rPr>
      </w:pPr>
      <w:bookmarkStart w:id="3" w:name="_Toc3617"/>
      <w:r>
        <w:rPr>
          <w:rFonts w:ascii="Times New Roman" w:eastAsia="Times New Roman" w:hAnsi="Times New Roman" w:cs="Times New Roman"/>
          <w:b/>
          <w:sz w:val="28"/>
          <w:szCs w:val="28"/>
          <w:lang w:val="en-US" w:eastAsia="uk-UA"/>
        </w:rPr>
        <w:t>THEORETICAL BASIS OF THE ANTICRISIS MANAGEMENT IN 21 CENTURE</w:t>
      </w:r>
      <w:bookmarkEnd w:id="3"/>
    </w:p>
    <w:p w14:paraId="478190E8" w14:textId="77777777" w:rsidR="007353B9" w:rsidRDefault="006F35DE" w:rsidP="008604BD">
      <w:pPr>
        <w:ind w:firstLineChars="200" w:firstLine="562"/>
        <w:jc w:val="center"/>
        <w:outlineLvl w:val="1"/>
        <w:rPr>
          <w:rFonts w:ascii="Times New Roman" w:eastAsia="Times New Roman" w:hAnsi="Times New Roman" w:cs="Times New Roman"/>
          <w:b/>
          <w:sz w:val="28"/>
          <w:szCs w:val="28"/>
          <w:lang w:val="en-US" w:eastAsia="uk-UA"/>
        </w:rPr>
      </w:pPr>
      <w:bookmarkStart w:id="4" w:name="_Toc3352"/>
      <w:r>
        <w:rPr>
          <w:rFonts w:ascii="Times New Roman" w:eastAsia="Times New Roman" w:hAnsi="Times New Roman" w:cs="Times New Roman"/>
          <w:b/>
          <w:sz w:val="28"/>
          <w:szCs w:val="28"/>
          <w:lang w:val="en-US" w:eastAsia="uk-UA"/>
        </w:rPr>
        <w:t>1.1. Theoretical bases of anti-crisis management</w:t>
      </w:r>
      <w:bookmarkEnd w:id="4"/>
    </w:p>
    <w:p w14:paraId="50A0E940"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As a systematic management science, the theoretical basis of anti-crisis management is gradually formed and developed in long-term practical exploration and theoretical research. To deeply understand the theoretical system of contemporary anti-crisis management, we first need to analyze its conceptual connotation and historical evolution.</w:t>
      </w:r>
    </w:p>
    <w:p w14:paraId="48211557"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Essentially, anti-crisis management refers to the systematic management activities that organizations carry out to prevent, respond to and resolve crises. This concept can be traced back to the late 19th century, when economic crises occurred frequently with the rapid development of the capitalist economy, and scholars began to pay attention to the laws of economic cycle fluctuations and how to deal with them. The word "crisis" comes from the ancient Greek word "krisis", which originally meant "decisive moment" or "turning point". This etymological meaning deeply reveals the dual nature of crisis - it is both a threat and an opportunity. It is based on this understanding that the core of anti-crisis management lies in being good at grasping and creating development opportunities while identifying and responding to threats.</w:t>
      </w:r>
    </w:p>
    <w:p w14:paraId="383C8352"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Looking at the development of anti-crisis management theory, the Great Depression of 1929-1933 was an epoch-making turning point</w:t>
      </w:r>
      <w:r w:rsidR="00DD2E6C">
        <w:rPr>
          <w:rFonts w:ascii="Times New Roman" w:hAnsi="Times New Roman" w:cs="Times New Roman"/>
          <w:sz w:val="28"/>
          <w:szCs w:val="36"/>
        </w:rPr>
        <w:t xml:space="preserve"> []</w:t>
      </w:r>
      <w:r>
        <w:rPr>
          <w:rFonts w:ascii="Times New Roman" w:hAnsi="Times New Roman" w:cs="Times New Roman"/>
          <w:sz w:val="28"/>
          <w:szCs w:val="36"/>
        </w:rPr>
        <w:t xml:space="preserve">. This economic crisis, which began with the stock market crash on Wall Street and quickly spread to the world, not only caused unprecedented economic losses, but also fundamentally shook the basic assumption of classical economics about "market self-regulation". During the crisis, the industrial output value of the United States fell by 46%, the unemployment rate climbed to more than 25%, and nearly half of the banks went bankrupt. These serious consequences exposed the serious drawbacks of the laissez-faire market economic system. Against this background, </w:t>
      </w:r>
      <w:r>
        <w:rPr>
          <w:rFonts w:ascii="Times New Roman" w:hAnsi="Times New Roman" w:cs="Times New Roman"/>
          <w:sz w:val="28"/>
          <w:szCs w:val="36"/>
        </w:rPr>
        <w:lastRenderedPageBreak/>
        <w:t xml:space="preserve">the new economic theory proposed by British economist John Maynard Keynes </w:t>
      </w:r>
      <w:r w:rsidR="00DD2E6C">
        <w:rPr>
          <w:rFonts w:ascii="Times New Roman" w:hAnsi="Times New Roman" w:cs="Times New Roman"/>
          <w:sz w:val="28"/>
          <w:szCs w:val="36"/>
        </w:rPr>
        <w:t xml:space="preserve">[] </w:t>
      </w:r>
      <w:r>
        <w:rPr>
          <w:rFonts w:ascii="Times New Roman" w:hAnsi="Times New Roman" w:cs="Times New Roman"/>
          <w:sz w:val="28"/>
          <w:szCs w:val="36"/>
        </w:rPr>
        <w:t>has been widely recognized. Keynes systematically discussed the positive role of the government in economic operation and laid an important theoretical foundation for modern anti-crisis management. His core view is that the market mechanism has inherent defects and that the automatic equilibrium of the economy cannot be achieved by relying solely on the "invisible hand". Therefore, during economic crises, the government should stimulate aggregate demand and maintain economic stability by expanding public spending, lowering interest rates, and implementing active fiscal policies. This theory has made a breakthrough in incorporating government intervention into the institutional framework of economic operation, ushering in a new era of macroeconomic management. The "New Deal" implemented by the Roosevelt administration in the United States was a successful practice of this theory. The Keynesian policy framework it established had a profound impact on the establishment of macroeconomic regulation systems in various countries later, and continues to influence contemporary anti-crisis management practices</w:t>
      </w:r>
      <w:r w:rsidR="00DD2E6C">
        <w:rPr>
          <w:rFonts w:ascii="Times New Roman" w:hAnsi="Times New Roman" w:cs="Times New Roman"/>
          <w:sz w:val="28"/>
          <w:szCs w:val="36"/>
        </w:rPr>
        <w:t xml:space="preserve"> [</w:t>
      </w:r>
      <w:r w:rsidR="000E7109">
        <w:rPr>
          <w:rFonts w:ascii="Times New Roman" w:hAnsi="Times New Roman" w:cs="Times New Roman"/>
          <w:sz w:val="28"/>
          <w:szCs w:val="36"/>
        </w:rPr>
        <w:t>2;5;7;9;10;12;15;16</w:t>
      </w:r>
      <w:r w:rsidR="0003198E">
        <w:rPr>
          <w:rFonts w:ascii="Times New Roman" w:hAnsi="Times New Roman" w:cs="Times New Roman"/>
          <w:sz w:val="28"/>
          <w:szCs w:val="36"/>
        </w:rPr>
        <w:t>;</w:t>
      </w:r>
      <w:r w:rsidR="003B79CF">
        <w:rPr>
          <w:rFonts w:ascii="Times New Roman" w:hAnsi="Times New Roman" w:cs="Times New Roman"/>
          <w:sz w:val="28"/>
          <w:szCs w:val="36"/>
        </w:rPr>
        <w:t>51,52;63</w:t>
      </w:r>
      <w:r w:rsidR="00DD2E6C">
        <w:rPr>
          <w:rFonts w:ascii="Times New Roman" w:hAnsi="Times New Roman" w:cs="Times New Roman"/>
          <w:sz w:val="28"/>
          <w:szCs w:val="36"/>
        </w:rPr>
        <w:t>]</w:t>
      </w:r>
      <w:r>
        <w:rPr>
          <w:rFonts w:ascii="Times New Roman" w:hAnsi="Times New Roman" w:cs="Times New Roman"/>
          <w:sz w:val="28"/>
          <w:szCs w:val="36"/>
        </w:rPr>
        <w:t>.</w:t>
      </w:r>
    </w:p>
    <w:p w14:paraId="0486BD08"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With the deepening development of economic globalization, the theoretical connotation of anti-crisis management has been continuously enriched and expanded. The two oil crises in the 1970s (1973 and 1979) brought serious shocks to the world economy. This experience made people deeply realize that in a highly interconnected world economic system, crises have significant global and transmission characteristics. The first oil crisis caused the global crude oil price to rise fourfold in a short period of time, triggering the "stagflation" phenomenon. This unprecedented economic predicament exposed the limitations of the Keynesian policy framework and promoted the innovation of macroeconomic theory</w:t>
      </w:r>
      <w:r w:rsidR="000E7109">
        <w:rPr>
          <w:rFonts w:ascii="Times New Roman" w:hAnsi="Times New Roman" w:cs="Times New Roman"/>
          <w:sz w:val="28"/>
          <w:szCs w:val="36"/>
        </w:rPr>
        <w:t xml:space="preserve"> [</w:t>
      </w:r>
      <w:r w:rsidR="0003198E">
        <w:rPr>
          <w:rFonts w:ascii="Times New Roman" w:hAnsi="Times New Roman" w:cs="Times New Roman"/>
          <w:sz w:val="28"/>
          <w:szCs w:val="36"/>
        </w:rPr>
        <w:t>17;20;25;26]</w:t>
      </w:r>
      <w:r>
        <w:rPr>
          <w:rFonts w:ascii="Times New Roman" w:hAnsi="Times New Roman" w:cs="Times New Roman"/>
          <w:sz w:val="28"/>
          <w:szCs w:val="36"/>
        </w:rPr>
        <w:t xml:space="preserve">. These lessons have made people realize that effective anti-crisis management must go beyond the national level and strengthen international coordination and cooperation. At the same time, the rapid development of financial markets during this period brought about financial </w:t>
      </w:r>
      <w:r>
        <w:rPr>
          <w:rFonts w:ascii="Times New Roman" w:hAnsi="Times New Roman" w:cs="Times New Roman"/>
          <w:sz w:val="28"/>
          <w:szCs w:val="36"/>
        </w:rPr>
        <w:lastRenderedPageBreak/>
        <w:t>innovation products such as derivatives. Although these innovative tools help to diversify risks, they also bring new systemic risks, which has prompted the continuous innovation of risk management theory. Especially after the 1990s, with the rapid development of information technology and the globalization and deep integration of financial markets, the complexity, correlation and transmission of financial risks have been significantly enhanced</w:t>
      </w:r>
      <w:r w:rsidR="00DD2E6C">
        <w:rPr>
          <w:rFonts w:ascii="Times New Roman" w:hAnsi="Times New Roman" w:cs="Times New Roman"/>
          <w:sz w:val="28"/>
          <w:szCs w:val="36"/>
        </w:rPr>
        <w:t xml:space="preserve"> [</w:t>
      </w:r>
      <w:r w:rsidR="0003198E">
        <w:rPr>
          <w:rFonts w:ascii="Times New Roman" w:hAnsi="Times New Roman" w:cs="Times New Roman"/>
          <w:sz w:val="28"/>
          <w:szCs w:val="36"/>
        </w:rPr>
        <w:t>43;53;67</w:t>
      </w:r>
      <w:r w:rsidR="00DD2E6C">
        <w:rPr>
          <w:rFonts w:ascii="Times New Roman" w:hAnsi="Times New Roman" w:cs="Times New Roman"/>
          <w:sz w:val="28"/>
          <w:szCs w:val="36"/>
        </w:rPr>
        <w:t>]</w:t>
      </w:r>
      <w:r>
        <w:rPr>
          <w:rFonts w:ascii="Times New Roman" w:hAnsi="Times New Roman" w:cs="Times New Roman"/>
          <w:sz w:val="28"/>
          <w:szCs w:val="36"/>
        </w:rPr>
        <w:t>. This change has made systemic financial risks increasingly become the core area that anti-crisis management needs to focus on, and has promoted the development of new risk management methods and tools.</w:t>
      </w:r>
    </w:p>
    <w:p w14:paraId="400E8006"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Entering the 21st century, anti-crisis management theory faces unprecedented development opportunities and challenges</w:t>
      </w:r>
      <w:r w:rsidR="00DD2E6C">
        <w:rPr>
          <w:rFonts w:ascii="Times New Roman" w:hAnsi="Times New Roman" w:cs="Times New Roman"/>
          <w:sz w:val="28"/>
          <w:szCs w:val="36"/>
        </w:rPr>
        <w:t xml:space="preserve"> [43;67]</w:t>
      </w:r>
      <w:r>
        <w:rPr>
          <w:rFonts w:ascii="Times New Roman" w:hAnsi="Times New Roman" w:cs="Times New Roman"/>
          <w:sz w:val="28"/>
          <w:szCs w:val="36"/>
        </w:rPr>
        <w:t>. The global financial crisis that broke out in 2008 was not only unprecedented in scale, but also exposed many limitations of traditional anti-crisis management theories and methods</w:t>
      </w:r>
      <w:r w:rsidR="00DD2E6C">
        <w:rPr>
          <w:rFonts w:ascii="Times New Roman" w:hAnsi="Times New Roman" w:cs="Times New Roman"/>
          <w:sz w:val="28"/>
          <w:szCs w:val="36"/>
        </w:rPr>
        <w:t xml:space="preserve"> [45;56;58;68;72];</w:t>
      </w:r>
      <w:r>
        <w:rPr>
          <w:rFonts w:ascii="Times New Roman" w:hAnsi="Times New Roman" w:cs="Times New Roman"/>
          <w:sz w:val="28"/>
          <w:szCs w:val="36"/>
        </w:rPr>
        <w:t>. This crisis, which started in the US subprime mortgage market and quickly evolved into a global financial tsunami, shows that in a highly complex and interconnected modern economic and financial system, the identification, measurement and control of risks have become extremely difficult. The occurrence of crises is often the result of the superposition of multiple factors such as excessive financial innovation, insufficient supervision, credit expansion, and asset bubbles. It is highly sudden, contagious and destructive. Traditional linear thinking and single-dimensional risk management methods have been unable to cope with this complexity</w:t>
      </w:r>
      <w:r w:rsidR="00DD2E6C">
        <w:rPr>
          <w:rFonts w:ascii="Times New Roman" w:hAnsi="Times New Roman" w:cs="Times New Roman"/>
          <w:sz w:val="28"/>
          <w:szCs w:val="36"/>
        </w:rPr>
        <w:t xml:space="preserve"> [53;54;</w:t>
      </w:r>
      <w:r w:rsidR="00F35B86">
        <w:rPr>
          <w:rFonts w:ascii="Times New Roman" w:hAnsi="Times New Roman" w:cs="Times New Roman"/>
          <w:sz w:val="28"/>
          <w:szCs w:val="36"/>
        </w:rPr>
        <w:t>65;78</w:t>
      </w:r>
      <w:r w:rsidR="00DD2E6C">
        <w:rPr>
          <w:rFonts w:ascii="Times New Roman" w:hAnsi="Times New Roman" w:cs="Times New Roman"/>
          <w:sz w:val="28"/>
          <w:szCs w:val="36"/>
        </w:rPr>
        <w:t>]</w:t>
      </w:r>
      <w:r>
        <w:rPr>
          <w:rFonts w:ascii="Times New Roman" w:hAnsi="Times New Roman" w:cs="Times New Roman"/>
          <w:sz w:val="28"/>
          <w:szCs w:val="36"/>
        </w:rPr>
        <w:t>. This requires anti-crisis management to adopt a more systematic and forward-looking approach, including establishing a cross-border regulatory cooperation mechanism, improving the macro-prudential policy framework, and strengthening the construction of financial market infrastructure</w:t>
      </w:r>
      <w:r w:rsidR="00DD2E6C">
        <w:rPr>
          <w:rFonts w:ascii="Times New Roman" w:hAnsi="Times New Roman" w:cs="Times New Roman"/>
          <w:sz w:val="28"/>
          <w:szCs w:val="36"/>
        </w:rPr>
        <w:t xml:space="preserve"> [50;53;65;76;]</w:t>
      </w:r>
      <w:r>
        <w:rPr>
          <w:rFonts w:ascii="Times New Roman" w:hAnsi="Times New Roman" w:cs="Times New Roman"/>
          <w:sz w:val="28"/>
          <w:szCs w:val="36"/>
        </w:rPr>
        <w:t xml:space="preserve">. At the same time, the emergence of new technologies such as big data and artificial intelligence has provided new tools for improving crisis warning capabilities and management efficiency, but it has also brought new risks such as network security, which further highlights the importance of </w:t>
      </w:r>
      <w:r>
        <w:rPr>
          <w:rFonts w:ascii="Times New Roman" w:hAnsi="Times New Roman" w:cs="Times New Roman"/>
          <w:sz w:val="28"/>
          <w:szCs w:val="36"/>
        </w:rPr>
        <w:lastRenderedPageBreak/>
        <w:t>innovation in anti-crisis management theory</w:t>
      </w:r>
      <w:r w:rsidR="00F35B86">
        <w:rPr>
          <w:rFonts w:ascii="Times New Roman" w:hAnsi="Times New Roman" w:cs="Times New Roman"/>
          <w:sz w:val="28"/>
          <w:szCs w:val="36"/>
        </w:rPr>
        <w:t xml:space="preserve"> [45;59; 66;70;76]</w:t>
      </w:r>
      <w:r>
        <w:rPr>
          <w:rFonts w:ascii="Times New Roman" w:hAnsi="Times New Roman" w:cs="Times New Roman"/>
          <w:sz w:val="28"/>
          <w:szCs w:val="36"/>
        </w:rPr>
        <w:t>.</w:t>
      </w:r>
    </w:p>
    <w:p w14:paraId="07522ECA"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theory, modern anti-crisis management emphasizes the importance of systematic thinking more than the traditional linear thinking mode. This change stems from the profound reflection on major events such as the global financial crisis in 2008</w:t>
      </w:r>
      <w:r w:rsidR="00D11506">
        <w:rPr>
          <w:rFonts w:ascii="Times New Roman" w:hAnsi="Times New Roman" w:cs="Times New Roman"/>
          <w:sz w:val="28"/>
          <w:szCs w:val="36"/>
        </w:rPr>
        <w:t xml:space="preserve"> [</w:t>
      </w:r>
      <w:r w:rsidR="00F61C56">
        <w:rPr>
          <w:rFonts w:ascii="Times New Roman" w:hAnsi="Times New Roman" w:cs="Times New Roman"/>
          <w:sz w:val="28"/>
          <w:szCs w:val="36"/>
        </w:rPr>
        <w:t>62;63;64;</w:t>
      </w:r>
      <w:r w:rsidR="00D11506">
        <w:rPr>
          <w:rFonts w:ascii="Times New Roman" w:hAnsi="Times New Roman" w:cs="Times New Roman"/>
          <w:sz w:val="28"/>
          <w:szCs w:val="36"/>
        </w:rPr>
        <w:t>71;73;75;76]</w:t>
      </w:r>
      <w:r>
        <w:rPr>
          <w:rFonts w:ascii="Times New Roman" w:hAnsi="Times New Roman" w:cs="Times New Roman"/>
          <w:sz w:val="28"/>
          <w:szCs w:val="36"/>
        </w:rPr>
        <w:t>. The traditional reductionist approach is difficult to effectively explain and respond to the complexity of modern economic crises</w:t>
      </w:r>
      <w:r w:rsidR="00F35B86">
        <w:rPr>
          <w:rFonts w:ascii="Times New Roman" w:hAnsi="Times New Roman" w:cs="Times New Roman"/>
          <w:sz w:val="28"/>
          <w:szCs w:val="36"/>
        </w:rPr>
        <w:t xml:space="preserve"> [47;49;50;53;60;76]</w:t>
      </w:r>
      <w:r>
        <w:rPr>
          <w:rFonts w:ascii="Times New Roman" w:hAnsi="Times New Roman" w:cs="Times New Roman"/>
          <w:sz w:val="28"/>
          <w:szCs w:val="36"/>
        </w:rPr>
        <w:t>. Modern anti-crisis management regards the economic system as a complex adaptive system (CAS). This theoretical perspective emphasizes that the system has characteristics such as self-organization, emergence, and nonlinearity. In this framework, the crisis is understood as the result of complex interactions between various elements of the system, rather than a simple cause-and-effect relationship. Therefore, anti-crisis management needs to pay special attention to studying the interaction between various elements of the system (such as financial institutions, market participants, regulators, etc.), as well as the systemic risks that these interactions may generate</w:t>
      </w:r>
      <w:r w:rsidR="00D5474D">
        <w:rPr>
          <w:rFonts w:ascii="Times New Roman" w:hAnsi="Times New Roman" w:cs="Times New Roman"/>
          <w:sz w:val="28"/>
          <w:szCs w:val="36"/>
        </w:rPr>
        <w:t xml:space="preserve"> [</w:t>
      </w:r>
      <w:r w:rsidR="00064387">
        <w:rPr>
          <w:rFonts w:ascii="Times New Roman" w:hAnsi="Times New Roman" w:cs="Times New Roman"/>
          <w:sz w:val="28"/>
          <w:szCs w:val="36"/>
        </w:rPr>
        <w:t xml:space="preserve">45; </w:t>
      </w:r>
      <w:r w:rsidR="00F61C56">
        <w:rPr>
          <w:rFonts w:ascii="Times New Roman" w:hAnsi="Times New Roman" w:cs="Times New Roman"/>
          <w:sz w:val="28"/>
          <w:szCs w:val="36"/>
        </w:rPr>
        <w:t>51;52;</w:t>
      </w:r>
      <w:r w:rsidR="0007262F">
        <w:rPr>
          <w:rFonts w:ascii="Times New Roman" w:hAnsi="Times New Roman" w:cs="Times New Roman"/>
          <w:sz w:val="28"/>
          <w:szCs w:val="36"/>
        </w:rPr>
        <w:t>53;</w:t>
      </w:r>
      <w:r w:rsidR="00064387">
        <w:rPr>
          <w:rFonts w:ascii="Times New Roman" w:hAnsi="Times New Roman" w:cs="Times New Roman"/>
          <w:sz w:val="28"/>
          <w:szCs w:val="36"/>
        </w:rPr>
        <w:t>65;76</w:t>
      </w:r>
      <w:r w:rsidR="00D5474D">
        <w:rPr>
          <w:rFonts w:ascii="Times New Roman" w:hAnsi="Times New Roman" w:cs="Times New Roman"/>
          <w:sz w:val="28"/>
          <w:szCs w:val="36"/>
        </w:rPr>
        <w:t>]</w:t>
      </w:r>
      <w:r>
        <w:rPr>
          <w:rFonts w:ascii="Times New Roman" w:hAnsi="Times New Roman" w:cs="Times New Roman"/>
          <w:sz w:val="28"/>
          <w:szCs w:val="36"/>
        </w:rPr>
        <w:t>.</w:t>
      </w:r>
    </w:p>
    <w:p w14:paraId="76D9AF3B"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The introduction of game theory has greatly enriched the theoretical toolbox of anti-crisis management. Through game theory models, we can better understand the decision-making logic and behavioral strategies of various stakeholders in crisis situations. For example, in financial crises such as bank runs, game theory can help analyze the strategic interaction between depositors, banks and regulators, and provide a theoretical basis for formulating effective crisis intervention measures. At the same time, the development of evolutionary game theory also provides a new analytical framework for studying the dynamic evolution of group behavior in crises. The use of these theoretical tools enables anti-crisis management to more accurately grasp the inherent laws of the behavior of various subjects and improve the effectiveness of policy intervention.</w:t>
      </w:r>
    </w:p>
    <w:p w14:paraId="18245EF3"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At the same time, the rapid development of emerging technologies such as big data, artificial intelligence, and blockchain has opened up new prospects for anti-crisis management</w:t>
      </w:r>
      <w:r w:rsidR="00064387">
        <w:rPr>
          <w:rFonts w:ascii="Times New Roman" w:hAnsi="Times New Roman" w:cs="Times New Roman"/>
          <w:sz w:val="28"/>
          <w:szCs w:val="36"/>
        </w:rPr>
        <w:t xml:space="preserve"> [</w:t>
      </w:r>
      <w:r w:rsidR="0034476A">
        <w:rPr>
          <w:rFonts w:ascii="Times New Roman" w:hAnsi="Times New Roman" w:cs="Times New Roman"/>
          <w:sz w:val="28"/>
          <w:szCs w:val="36"/>
        </w:rPr>
        <w:t>57;61;66;73;</w:t>
      </w:r>
      <w:r w:rsidR="00064387">
        <w:rPr>
          <w:rFonts w:ascii="Times New Roman" w:hAnsi="Times New Roman" w:cs="Times New Roman"/>
          <w:sz w:val="28"/>
          <w:szCs w:val="36"/>
        </w:rPr>
        <w:t>76]</w:t>
      </w:r>
      <w:r>
        <w:rPr>
          <w:rFonts w:ascii="Times New Roman" w:hAnsi="Times New Roman" w:cs="Times New Roman"/>
          <w:sz w:val="28"/>
          <w:szCs w:val="36"/>
        </w:rPr>
        <w:t xml:space="preserve">. These technological innovations not only </w:t>
      </w:r>
      <w:r>
        <w:rPr>
          <w:rFonts w:ascii="Times New Roman" w:hAnsi="Times New Roman" w:cs="Times New Roman"/>
          <w:sz w:val="28"/>
          <w:szCs w:val="36"/>
        </w:rPr>
        <w:lastRenderedPageBreak/>
        <w:t>provide more powerful data processing capabilities, but also can capture potential risk signals that are difficult to identify with traditional methods. For example, by analyzing massive market transaction data through machine learning algorithms, abnormal fluctuations and risk accumulation can be detected early; using natural language processing technology to monitor social media information in real time, changes in market sentiment and public opinion risks can be quickly perceived. These technological applications have significantly improved the accuracy, comprehensiveness, and timeliness of crisis warnings, creating conditions for the realization of intelligent crisis management enabled by "technology". It is worth noting that the application of technical tools must be combined with professional judgment to avoid over-reliance on quantitative indicators and neglecting the importance of qualitative analysis.</w:t>
      </w:r>
    </w:p>
    <w:p w14:paraId="465B5523"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This change in theoretical perspective and innovation in technical means enable modern anti-crisis management to have a more comprehensive and in-depth understanding of the formation mechanism of crises, and then take more targeted prevention and response measures. This is not only reflected in the identification and control of specific risks at the micro level, but also in the cultivation and strengthening of the resilience of the entire economic and financial system at the macro level. The application of this systematic thinking is also highly consistent with the current emphasis on the development direction of financial technology supervision (RegTech) and regulatory technology (SupTech), and points out the direction for building a more intelligent and effective anti-crisis management system</w:t>
      </w:r>
      <w:r w:rsidR="00F61C56">
        <w:rPr>
          <w:rFonts w:ascii="Times New Roman" w:hAnsi="Times New Roman" w:cs="Times New Roman"/>
          <w:sz w:val="28"/>
          <w:szCs w:val="36"/>
        </w:rPr>
        <w:t xml:space="preserve"> [76]</w:t>
      </w:r>
      <w:r>
        <w:rPr>
          <w:rFonts w:ascii="Times New Roman" w:hAnsi="Times New Roman" w:cs="Times New Roman"/>
          <w:sz w:val="28"/>
          <w:szCs w:val="36"/>
        </w:rPr>
        <w:t>.</w:t>
      </w:r>
    </w:p>
    <w:p w14:paraId="38DDF6C8"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 xml:space="preserve">From the perspective of management practice, modern anti-crisis management pays more attention to establishing a sound risk prevention and control system. This includes improving the legal and regulatory system, establishing an effective market supervision mechanism, and strengthening the prudent supervision of financial institutions. At the same time, it also pays more attention to improving the crisis response capabilities of organizations, including </w:t>
      </w:r>
      <w:r>
        <w:rPr>
          <w:rFonts w:ascii="Times New Roman" w:hAnsi="Times New Roman" w:cs="Times New Roman"/>
          <w:sz w:val="28"/>
          <w:szCs w:val="36"/>
        </w:rPr>
        <w:lastRenderedPageBreak/>
        <w:t>establishing emergency response mechanisms, strengthening crisis communication management, and cultivating professional crisis management talents. It is particularly worth noting that with the in-depth development of economic globalization, the transmission mechanism of crises has become more complex, which requires anti-crisis management to have stronger foresight and coordination.</w:t>
      </w:r>
    </w:p>
    <w:p w14:paraId="3651330B"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the development of anti-crisis management theory, risk management theory occupies an important position. Modern risk management theory emphasizes the comprehensive identification, scientific assessment and effective control of risks</w:t>
      </w:r>
      <w:r w:rsidR="00F61C56">
        <w:rPr>
          <w:rFonts w:ascii="Times New Roman" w:hAnsi="Times New Roman" w:cs="Times New Roman"/>
          <w:sz w:val="28"/>
          <w:szCs w:val="36"/>
        </w:rPr>
        <w:t xml:space="preserve"> [53]</w:t>
      </w:r>
      <w:r>
        <w:rPr>
          <w:rFonts w:ascii="Times New Roman" w:hAnsi="Times New Roman" w:cs="Times New Roman"/>
          <w:sz w:val="28"/>
          <w:szCs w:val="36"/>
        </w:rPr>
        <w:t>. It not only focuses on individual risk factors, but also pays more attention to the study of the correlation and transmission mechanism between various risks. This systematic risk management thinking provides important theoretical support for anti-crisis management. At the same time, with the continuous deepening of financial innovation, new forms of risk continue to emerge, which also promotes the continuous innovation and development of risk management theory</w:t>
      </w:r>
      <w:r w:rsidR="00064387">
        <w:rPr>
          <w:rFonts w:ascii="Times New Roman" w:hAnsi="Times New Roman" w:cs="Times New Roman"/>
          <w:sz w:val="28"/>
          <w:szCs w:val="36"/>
        </w:rPr>
        <w:t xml:space="preserve"> [53]</w:t>
      </w:r>
      <w:r>
        <w:rPr>
          <w:rFonts w:ascii="Times New Roman" w:hAnsi="Times New Roman" w:cs="Times New Roman"/>
          <w:sz w:val="28"/>
          <w:szCs w:val="36"/>
        </w:rPr>
        <w:t>.</w:t>
      </w:r>
    </w:p>
    <w:p w14:paraId="64200569"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The theory of information asymmetry is another important theoretical cornerstone in the study of anti-crisis management. This theory reveals an important mechanism for the formation of crises - information asymmetry between market participants may lead to market failure and trigger crises. Therefore, improving the information disclosure mechanism and reducing information asymmetry have become important tasks in modern anti-crisis management. In this regard, emerging financial technology and regulatory technology provide new technical means to improve market transparency and strengthen risk monitoring.</w:t>
      </w:r>
    </w:p>
    <w:p w14:paraId="3B7C73DF"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 xml:space="preserve">Organizational behavior theory also has important implications for anti-crisis management. Issues such as decision-making behavior, organizational coordination, and leadership in the crisis management process all need to be analyzed and solved with the help of organizational behavior theory. Especially in a crisis situation, how to maintain the effective operation of the organization, maintain employee morale, and coordinate the interests of all parties are all issues that anti-crisis management </w:t>
      </w:r>
      <w:r>
        <w:rPr>
          <w:rFonts w:ascii="Times New Roman" w:hAnsi="Times New Roman" w:cs="Times New Roman"/>
          <w:sz w:val="28"/>
          <w:szCs w:val="36"/>
        </w:rPr>
        <w:lastRenderedPageBreak/>
        <w:t>needs to focus on.</w:t>
      </w:r>
    </w:p>
    <w:p w14:paraId="30760CFA"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From a macro perspective, anti-crisis management theory is closely related to economic cycle theory. Kondratiev's long wave theory and Juglar cycle theory provide important perspectives for understanding the cyclical characteristics of economic crises</w:t>
      </w:r>
      <w:r w:rsidR="00064387">
        <w:rPr>
          <w:rFonts w:ascii="Times New Roman" w:hAnsi="Times New Roman" w:cs="Times New Roman"/>
          <w:sz w:val="28"/>
          <w:szCs w:val="36"/>
        </w:rPr>
        <w:t xml:space="preserve"> [60]</w:t>
      </w:r>
      <w:r>
        <w:rPr>
          <w:rFonts w:ascii="Times New Roman" w:hAnsi="Times New Roman" w:cs="Times New Roman"/>
          <w:sz w:val="28"/>
          <w:szCs w:val="36"/>
        </w:rPr>
        <w:t>. These theories help us realize that economic crises are not accidental phenomena, but inevitable phenomena in the development of the market economy. Therefore, anti-crisis management should not only focus on responding to specific crises, but also grasp the initiative of crisis prevention from the understanding of the regularity of economic cycle evolution.</w:t>
      </w:r>
    </w:p>
    <w:p w14:paraId="3BDC99EE"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It is worth noting that anti-crisis management is not only a means of passively responding to crises, but should also be a positive tool to promote the sustainable and healthy development of the economy and society. Effective anti-crisis management should focus on improving the resilience of the economic system and enhancing the ability to resist risks. This requires that in daily management, we must pay attention to preventing various potential risks and establish a scientific risk assessment and early warning mechanism. At the same time, we must also be good at taking advantage of the opportunities brought by the crisis to promote economic structural adjustment and transformation and upgrading.</w:t>
      </w:r>
    </w:p>
    <w:p w14:paraId="190A0167"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Especially in the context of many uncertainties facing the global economy, the importance of anti-crisis management is more prominent. The global spread of the COVID-19 pandemic, geopolitical conflicts, climate change and other factors have brought severe challenges to the world economy</w:t>
      </w:r>
      <w:r w:rsidR="00064387">
        <w:rPr>
          <w:rFonts w:ascii="Times New Roman" w:hAnsi="Times New Roman" w:cs="Times New Roman"/>
          <w:sz w:val="28"/>
          <w:szCs w:val="36"/>
        </w:rPr>
        <w:t xml:space="preserve"> [</w:t>
      </w:r>
      <w:r w:rsidR="00181492">
        <w:rPr>
          <w:rFonts w:ascii="Times New Roman" w:hAnsi="Times New Roman" w:cs="Times New Roman"/>
          <w:sz w:val="28"/>
          <w:szCs w:val="36"/>
        </w:rPr>
        <w:t>49</w:t>
      </w:r>
      <w:r w:rsidR="00064387">
        <w:rPr>
          <w:rFonts w:ascii="Times New Roman" w:hAnsi="Times New Roman" w:cs="Times New Roman"/>
          <w:sz w:val="28"/>
          <w:szCs w:val="36"/>
        </w:rPr>
        <w:t>]</w:t>
      </w:r>
      <w:r>
        <w:rPr>
          <w:rFonts w:ascii="Times New Roman" w:hAnsi="Times New Roman" w:cs="Times New Roman"/>
          <w:sz w:val="28"/>
          <w:szCs w:val="36"/>
        </w:rPr>
        <w:t>. This requires countries to strengthen coordination and cooperation to jointly respond to various risks and challenges. At the same time, the rapid development of the digital economy has also provided new ideas and tools for anti-crisis management. How to effectively use digital technology to improve crisis management capabilities is an important direction for current theoretical research and practical exploration.</w:t>
      </w:r>
    </w:p>
    <w:p w14:paraId="2FE479E7"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 xml:space="preserve">Theoretical research on anti-crisis management also needs to pay special </w:t>
      </w:r>
      <w:r>
        <w:rPr>
          <w:rFonts w:ascii="Times New Roman" w:hAnsi="Times New Roman" w:cs="Times New Roman"/>
          <w:sz w:val="28"/>
          <w:szCs w:val="36"/>
        </w:rPr>
        <w:lastRenderedPageBreak/>
        <w:t>attention to China's practical experience. Since the reform and opening up, China has accumulated rich experience in dealing with various risks and challenges. In particular, during the Asian financial crisis in 1997 and the global financial crisis in 2008, a series of policy measures taken by China achieved remarkable results, providing useful inspiration for enriching the theory of anti-crisis management</w:t>
      </w:r>
      <w:r w:rsidR="00926C15">
        <w:rPr>
          <w:rFonts w:ascii="Times New Roman" w:hAnsi="Times New Roman" w:cs="Times New Roman"/>
          <w:sz w:val="28"/>
          <w:szCs w:val="36"/>
        </w:rPr>
        <w:t xml:space="preserve"> </w:t>
      </w:r>
      <w:r w:rsidR="00926C15" w:rsidRPr="00F61C56">
        <w:rPr>
          <w:rFonts w:ascii="Times New Roman" w:hAnsi="Times New Roman" w:cs="Times New Roman"/>
          <w:sz w:val="28"/>
          <w:szCs w:val="36"/>
        </w:rPr>
        <w:t>[</w:t>
      </w:r>
      <w:r w:rsidR="00F61C56" w:rsidRPr="00F61C56">
        <w:rPr>
          <w:rFonts w:ascii="Times New Roman" w:hAnsi="Times New Roman" w:cs="Times New Roman"/>
          <w:sz w:val="28"/>
          <w:szCs w:val="36"/>
        </w:rPr>
        <w:t>32;34</w:t>
      </w:r>
      <w:r w:rsidR="00926C15" w:rsidRPr="00F61C56">
        <w:rPr>
          <w:rFonts w:ascii="Times New Roman" w:hAnsi="Times New Roman" w:cs="Times New Roman"/>
          <w:sz w:val="28"/>
          <w:szCs w:val="36"/>
        </w:rPr>
        <w:t>]</w:t>
      </w:r>
      <w:r w:rsidRPr="00F61C56">
        <w:rPr>
          <w:rFonts w:ascii="Times New Roman" w:hAnsi="Times New Roman" w:cs="Times New Roman"/>
          <w:sz w:val="28"/>
          <w:szCs w:val="36"/>
        </w:rPr>
        <w:t>.</w:t>
      </w:r>
      <w:r>
        <w:rPr>
          <w:rFonts w:ascii="Times New Roman" w:hAnsi="Times New Roman" w:cs="Times New Roman"/>
          <w:sz w:val="28"/>
          <w:szCs w:val="36"/>
        </w:rPr>
        <w:t xml:space="preserve"> These experiences show that effective anti-crisis management needs to be based on the country's reality and adopt policy measures that are in line with national conditions. At the same time, we must also be good at learning from international experience and constantly improve the crisis management system.</w:t>
      </w:r>
    </w:p>
    <w:p w14:paraId="6B255035"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the specific practice of anti-crisis management, the construction of early warning mechanism is particularly important. A scientific early warning mechanism should include the design of indicator system, the collection of monitoring data, the analysis and judgment of early warning signals and other links. With the development of big data technology, the scientificity and effectiveness of early warning mechanism have been significantly improved. However, it should also be noted that over-reliance on quantitative indicators may lead to the neglect of qualitative factors. Therefore, it is necessary to establish a comprehensive early warning system that combines quantitative analysis with qualitative judgment.</w:t>
      </w:r>
    </w:p>
    <w:p w14:paraId="1182F16D"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Crisis communication management is another important part of anti-crisis management. In a crisis situation, effective information transmission and communication play an important role in stabilizing market expectations and maintaining social stability. This requires the establishment of a sound crisis communication mechanism, including information release system, media relations management, public opinion monitoring and guidance, etc. Especially in the era of social media, the speed of information dissemination and the scope of influence have greatly increased, which has put forward new requirements for crisis communication management</w:t>
      </w:r>
      <w:r w:rsidR="00064387">
        <w:rPr>
          <w:rFonts w:ascii="Times New Roman" w:hAnsi="Times New Roman" w:cs="Times New Roman"/>
          <w:sz w:val="28"/>
          <w:szCs w:val="36"/>
        </w:rPr>
        <w:t xml:space="preserve"> [53]</w:t>
      </w:r>
      <w:r>
        <w:rPr>
          <w:rFonts w:ascii="Times New Roman" w:hAnsi="Times New Roman" w:cs="Times New Roman"/>
          <w:sz w:val="28"/>
          <w:szCs w:val="36"/>
        </w:rPr>
        <w:t>.</w:t>
      </w:r>
    </w:p>
    <w:p w14:paraId="677492ED"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 xml:space="preserve">From a methodological perspective, modern anti-crisis management emphasizes the cross-integration of multiple disciplines. In addition to the basic </w:t>
      </w:r>
      <w:r>
        <w:rPr>
          <w:rFonts w:ascii="Times New Roman" w:hAnsi="Times New Roman" w:cs="Times New Roman"/>
          <w:sz w:val="28"/>
          <w:szCs w:val="36"/>
        </w:rPr>
        <w:lastRenderedPageBreak/>
        <w:t>theories of economics and management, it is also necessary to make full use of the research results of disciplines such as sociology, psychology, and information science. This cross-integration helps to more comprehensively understand the essential characteristics of the crisis and improve the effectiveness of crisis management. At the same time, it is also necessary to pay attention to the combination of qualitative analysis and quantitative analysis, and to grasp the general laws of crisis evolution while also paying attention to the particularity of specific situations</w:t>
      </w:r>
      <w:r w:rsidR="00926C15">
        <w:rPr>
          <w:rFonts w:ascii="Times New Roman" w:hAnsi="Times New Roman" w:cs="Times New Roman"/>
          <w:sz w:val="28"/>
          <w:szCs w:val="36"/>
        </w:rPr>
        <w:t xml:space="preserve"> [45; 50;56; 58;65;76;78]</w:t>
      </w:r>
      <w:r>
        <w:rPr>
          <w:rFonts w:ascii="Times New Roman" w:hAnsi="Times New Roman" w:cs="Times New Roman"/>
          <w:sz w:val="28"/>
          <w:szCs w:val="36"/>
        </w:rPr>
        <w:t>.</w:t>
      </w:r>
    </w:p>
    <w:p w14:paraId="7E356E01"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terms of the institutional construction of anti-crisis management, special attention should be paid to the improvement of the legal and regulatory system. This includes the formulation and revision of relevant legal systems, the establishment and improvement of regulatory systems, the design of market exit mechanisms, and other aspects. At the same time, attention should also be paid to the coordination of international rules to promote the formation of a more effective global economic governance system. Especially in the financial field, the formulation and implementation of international rules such as the Basel Accord are of great significance for preventing systemic financial risks.</w:t>
      </w:r>
    </w:p>
    <w:p w14:paraId="62CA0962"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Talent cultivation is an important support for the construction of an anti-crisis management system. This includes not only the cultivation of professional crisis management talents, but also the improvement of the risk awareness and crisis response capabilities of the whole society. In terms of talent cultivation, we should pay attention to both the learning of theoretical knowledge and the accumulation of practical experience. At the same time, we should establish an effective training system, conduct crisis simulation exercises regularly, and continuously improve the level of crisis management.</w:t>
      </w:r>
    </w:p>
    <w:p w14:paraId="7BD6D987" w14:textId="77777777" w:rsidR="007353B9" w:rsidRDefault="006F35DE">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general, anti-crisis management theory is an evolving field that requires theoretical research and practical exploration to promote each other, and to be continuously improved and innovated.</w:t>
      </w:r>
    </w:p>
    <w:p w14:paraId="7C640394" w14:textId="77777777" w:rsidR="00064387" w:rsidRDefault="00064387">
      <w:pPr>
        <w:snapToGrid w:val="0"/>
        <w:spacing w:line="360" w:lineRule="auto"/>
        <w:ind w:firstLine="709"/>
        <w:rPr>
          <w:rFonts w:ascii="Times New Roman" w:hAnsi="Times New Roman" w:cs="Times New Roman"/>
          <w:sz w:val="28"/>
          <w:szCs w:val="36"/>
        </w:rPr>
      </w:pPr>
    </w:p>
    <w:p w14:paraId="23EA4891" w14:textId="77777777" w:rsidR="007353B9" w:rsidRDefault="006F35DE" w:rsidP="008604BD">
      <w:pPr>
        <w:snapToGrid w:val="0"/>
        <w:ind w:firstLineChars="200" w:firstLine="562"/>
        <w:jc w:val="center"/>
        <w:outlineLvl w:val="1"/>
        <w:rPr>
          <w:rFonts w:ascii="Times New Roman" w:eastAsia="Times New Roman" w:hAnsi="Times New Roman" w:cs="Times New Roman"/>
          <w:b/>
          <w:sz w:val="28"/>
          <w:szCs w:val="28"/>
          <w:lang w:val="en-US" w:eastAsia="uk-UA"/>
        </w:rPr>
      </w:pPr>
      <w:bookmarkStart w:id="5" w:name="_Toc26651"/>
      <w:r>
        <w:rPr>
          <w:rFonts w:ascii="Times New Roman" w:eastAsia="Times New Roman" w:hAnsi="Times New Roman" w:cs="Times New Roman"/>
          <w:b/>
          <w:sz w:val="28"/>
          <w:szCs w:val="28"/>
          <w:lang w:val="en-US" w:eastAsia="uk-UA"/>
        </w:rPr>
        <w:lastRenderedPageBreak/>
        <w:t>1.2. The concept and essence of Demand Dynamics at the macro level of the economy</w:t>
      </w:r>
      <w:bookmarkEnd w:id="5"/>
    </w:p>
    <w:p w14:paraId="6DEEA9A1" w14:textId="77777777" w:rsidR="007353B9" w:rsidRDefault="007353B9" w:rsidP="008604BD">
      <w:pPr>
        <w:snapToGrid w:val="0"/>
        <w:ind w:firstLineChars="200" w:firstLine="562"/>
        <w:jc w:val="center"/>
        <w:outlineLvl w:val="1"/>
        <w:rPr>
          <w:rFonts w:ascii="Times New Roman" w:eastAsia="Times New Roman" w:hAnsi="Times New Roman" w:cs="Times New Roman"/>
          <w:b/>
          <w:sz w:val="28"/>
          <w:szCs w:val="28"/>
          <w:lang w:val="en-US" w:eastAsia="uk-UA"/>
        </w:rPr>
      </w:pPr>
    </w:p>
    <w:p w14:paraId="77EE8636"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Demand dynamics is a core concept in macroeconomics. It reflects the laws and characteristics of the total demand in an economic system over time. Fundamentally speaking, the study of demand dynamics not only focuses on the changes in the total demand, but also Pay attention to the evolution process of demand structure and its internal mechanism. Understanding demand dynamics is of great significance for grasping the laws of economic operation and formulating macroeconomic policies.</w:t>
      </w:r>
    </w:p>
    <w:p w14:paraId="149FC838"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From the perspective of theoretical origin, the study of demand dynamics can be traced back to Keynes' effective demand theory. Keynes believed that the root cause of economic crisis lies in insufficient effective demand, and the change of effective demand is jointly determined by consumption tendency and investment willingness</w:t>
      </w:r>
      <w:r w:rsidR="00F61C56">
        <w:rPr>
          <w:rFonts w:ascii="Times New Roman" w:hAnsi="Times New Roman" w:cs="Times New Roman"/>
          <w:sz w:val="28"/>
          <w:szCs w:val="28"/>
        </w:rPr>
        <w:t xml:space="preserve"> [9;10;21;22]</w:t>
      </w:r>
      <w:r>
        <w:rPr>
          <w:rFonts w:ascii="Times New Roman" w:hAnsi="Times New Roman" w:cs="Times New Roman"/>
          <w:sz w:val="28"/>
          <w:szCs w:val="28"/>
        </w:rPr>
        <w:t>. It provides a basic framework for us to understand demand dynamics.</w:t>
      </w:r>
      <w:r w:rsidR="00F61C56">
        <w:rPr>
          <w:rFonts w:ascii="Times New Roman" w:hAnsi="Times New Roman" w:cs="Times New Roman"/>
          <w:sz w:val="28"/>
          <w:szCs w:val="28"/>
        </w:rPr>
        <w:t xml:space="preserve"> </w:t>
      </w:r>
      <w:r>
        <w:rPr>
          <w:rFonts w:ascii="Times New Roman" w:hAnsi="Times New Roman" w:cs="Times New Roman"/>
          <w:sz w:val="28"/>
          <w:szCs w:val="28"/>
        </w:rPr>
        <w:t>With the development of economic theory, the research on demand dynamics has been deepened, forming a more systematic and perfect theoretical system.</w:t>
      </w:r>
    </w:p>
    <w:p w14:paraId="50D0D6E6"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In modern macroeconomics, demand dynamics is regarded as a multi-dimensional complex system. It not only includes basic components such as household consumption demand, corporate investment demand, and government purchasing demand, but also involves the interaction between these elements and their evolution laws. Especially in the context of economic globalization, the demand dynamics of a country or region are often deeply affected by changes in the international economic environment. Therefore, the study of demand dynamics must adopt a systematic approach and comprehensively consider various influencing factors</w:t>
      </w:r>
      <w:r w:rsidR="00F61C56">
        <w:rPr>
          <w:rFonts w:ascii="Times New Roman" w:hAnsi="Times New Roman" w:cs="Times New Roman"/>
          <w:sz w:val="28"/>
          <w:szCs w:val="28"/>
        </w:rPr>
        <w:t xml:space="preserve"> [25;28]</w:t>
      </w:r>
      <w:r>
        <w:rPr>
          <w:rFonts w:ascii="Times New Roman" w:hAnsi="Times New Roman" w:cs="Times New Roman"/>
          <w:sz w:val="28"/>
          <w:szCs w:val="28"/>
        </w:rPr>
        <w:t>.</w:t>
      </w:r>
    </w:p>
    <w:p w14:paraId="76D10520"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 xml:space="preserve">From the perspective of influencing factors, demand dynamics are affected by many factors. The first is the change in income level. Income is the most basic factor affecting demand, and income growth usually leads to a corresponding </w:t>
      </w:r>
      <w:r>
        <w:rPr>
          <w:rFonts w:ascii="Times New Roman" w:hAnsi="Times New Roman" w:cs="Times New Roman"/>
          <w:sz w:val="28"/>
          <w:szCs w:val="28"/>
        </w:rPr>
        <w:lastRenderedPageBreak/>
        <w:t>increase in demand. However, it should be noted that there is not a simple linear relationship between income and demand. As income levels increase, the marginal propensity to consume may decline, which forms the "Engel's Law" of demand growth. At the same time, changes in the income distribution pattern will also have an important impact on the demand structure.</w:t>
      </w:r>
    </w:p>
    <w:p w14:paraId="4BBE9915"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The second is the impact of price factors. Price changes not only directly affect changes in demand, but also affect the demand structure through substitution effects and income effects. Especially in periods of inflation or deflation, sharp price fluctuations may lead to significant changes in demand dynamics. In addition, changes in asset prices will also affect the level of demand through the wealth effect. For example, the prosperity of the real estate and stock markets tends to stimulate the growth of consumer demand.</w:t>
      </w:r>
    </w:p>
    <w:p w14:paraId="6A03893A"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Consumer expectations are another important factor that affects demand dynamics. Consumers' expectations of future income and economic conditions will directly affect their current consumption decisions. If consumers are optimistic about the future, they will tend to increase current consumption; conversely, pessimistic expectations may lead to a contraction in consumer demand. Therefore, expectation management has become an important part of macroeconomic regulation.</w:t>
      </w:r>
    </w:p>
    <w:p w14:paraId="24B464AB"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Policy factors also play a key role in shaping demand dynamics. Fiscal policy directly affects the level of aggregate demand through government spending and taxation; monetary policy affects investment demand and consumption demand through interest rates, credit and other channels. In addition, industrial policy, income distribution policy and other factors will also have a profound impact on the demand structure. Therefore, policymakers need to fully understand the mechanism of action of various policy tools and use policy combinations reasonably</w:t>
      </w:r>
      <w:r w:rsidR="00434355">
        <w:rPr>
          <w:rFonts w:ascii="Times New Roman" w:hAnsi="Times New Roman" w:cs="Times New Roman"/>
          <w:sz w:val="28"/>
          <w:szCs w:val="28"/>
        </w:rPr>
        <w:t xml:space="preserve"> [25]</w:t>
      </w:r>
      <w:r>
        <w:rPr>
          <w:rFonts w:ascii="Times New Roman" w:hAnsi="Times New Roman" w:cs="Times New Roman"/>
          <w:sz w:val="28"/>
          <w:szCs w:val="28"/>
        </w:rPr>
        <w:t>.</w:t>
      </w:r>
    </w:p>
    <w:p w14:paraId="3786AB7E"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 xml:space="preserve">Changes in the international economic environment are important external factors that affect demand dynamics. In the context of economic globalization, a </w:t>
      </w:r>
      <w:r>
        <w:rPr>
          <w:rFonts w:ascii="Times New Roman" w:hAnsi="Times New Roman" w:cs="Times New Roman"/>
          <w:sz w:val="28"/>
          <w:szCs w:val="28"/>
        </w:rPr>
        <w:lastRenderedPageBreak/>
        <w:t>country's demand situation is often affected by factors such as international market fluctuations, exchange rate changes, and trade policy adjustments. For example, the slowdown in economic growth of major trading partners may lead to a decline in export demand; fluctuations in international commodity prices may affect domestic price levels and demand structures.</w:t>
      </w:r>
    </w:p>
    <w:p w14:paraId="446DE387"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Technological progress is a deep-seated force driving the dynamic changes in demand. The emergence of new technologies not only creates new demands, but also changes the existing demand structure. For example, the development of Internet technology has promoted the rapid growth of online consumption; the application of artificial intelligence technology may change the demand structure of the labor market. Therefore, grasping the trend of technological innovation is of great significance for predicting the dynamic changes in demand</w:t>
      </w:r>
      <w:r w:rsidR="00C83911">
        <w:rPr>
          <w:rFonts w:ascii="Times New Roman" w:hAnsi="Times New Roman" w:cs="Times New Roman"/>
          <w:sz w:val="28"/>
          <w:szCs w:val="28"/>
        </w:rPr>
        <w:t xml:space="preserve"> [53]</w:t>
      </w:r>
      <w:r>
        <w:rPr>
          <w:rFonts w:ascii="Times New Roman" w:hAnsi="Times New Roman" w:cs="Times New Roman"/>
          <w:sz w:val="28"/>
          <w:szCs w:val="28"/>
        </w:rPr>
        <w:t>.</w:t>
      </w:r>
    </w:p>
    <w:p w14:paraId="46BE9B51"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Changes in population structure are also long-term factors that affect demand dynamics. Changes in the age structure of the population will directly affect the structure and scale of consumer demand. For example, the trend of population aging often leads to an increase in demand for health care and elderly care services. At the same time, the urbanization process will also promote changes in demand for housing, infrastructure and other aspects.</w:t>
      </w:r>
    </w:p>
    <w:p w14:paraId="19595423"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From the perspective of the impact of demand dynamics on the macroeconomy, the first manifestation is the direct impact on economic growth. According to Keynesian theory, changes in total demand affect the national income level through the multiplier effect. Demand expansion often leads to economic growth, while demand contraction may lead to economic recession. However, it should be noted that demand growth must be based on the improvement of supply capacity, otherwise it may cause problems such as inflation.</w:t>
      </w:r>
    </w:p>
    <w:p w14:paraId="12FD70CC"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 xml:space="preserve">Demand dynamics also affect employment. Demand expansion usually leads to more job opportunities, while demand contraction may lead to higher unemployment. However, this effect is not a mechanical correspondence, and structural factors in the labor market must also be considered. For example, </w:t>
      </w:r>
      <w:r>
        <w:rPr>
          <w:rFonts w:ascii="Times New Roman" w:hAnsi="Times New Roman" w:cs="Times New Roman"/>
          <w:sz w:val="28"/>
          <w:szCs w:val="28"/>
        </w:rPr>
        <w:lastRenderedPageBreak/>
        <w:t>demand growth in certain industries may not effectively drive employment due to skill mismatch.</w:t>
      </w:r>
    </w:p>
    <w:p w14:paraId="1FDD10C9"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Industrial restructuring is also deeply affected by the dynamic changes in demand. Changes in demand structure will promote the reallocation of resources among different industries and promote the upgrading of industrial structure. For example, the rapid growth of service demand has promoted the development of the tertiary industry, and the growth of high-end consumer demand is conducive to the manufacturing industry climbing to the high end of the value chain</w:t>
      </w:r>
      <w:r w:rsidR="00C83911">
        <w:rPr>
          <w:rFonts w:ascii="Times New Roman" w:hAnsi="Times New Roman" w:cs="Times New Roman"/>
          <w:sz w:val="28"/>
          <w:szCs w:val="28"/>
        </w:rPr>
        <w:t xml:space="preserve"> [58]</w:t>
      </w:r>
      <w:r>
        <w:rPr>
          <w:rFonts w:ascii="Times New Roman" w:hAnsi="Times New Roman" w:cs="Times New Roman"/>
          <w:sz w:val="28"/>
          <w:szCs w:val="28"/>
        </w:rPr>
        <w:t>.</w:t>
      </w:r>
    </w:p>
    <w:p w14:paraId="7ED9BE37"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Investment behavior is another important aspect of demand dynamics. Changes in demand expectations will directly affect companies' investment decisions. Companies that are optimistic about future market prospects tend to increase investment, while demand uncertainty may lead to investment delays or cancellations. Such changes in investment behavior will in turn affect long-term economic growth potential through capital formation.</w:t>
      </w:r>
    </w:p>
    <w:p w14:paraId="026343F6"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Demand dynamics also affect price levels and inflation expectations. Rapid demand growth may bring inflationary pressure, while insufficient demand may lead to deflationary risks. Therefore, the central bank needs to pay close attention to the impact of demand changes on price levels when formulating monetary policy.</w:t>
      </w:r>
    </w:p>
    <w:p w14:paraId="3532F123"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The balance of payments is also affected by changes in demand dynamics. Domestic demand expansion may lead to increased imports, while weak external demand may affect export performance. Such changes will affect a country's balance of payments and exchange rate level through the trade balance.</w:t>
      </w:r>
    </w:p>
    <w:p w14:paraId="7E598B1A"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Regional economic development is also affected by demand dynamics. Demand characteristics and changing trends in different regions often differ, and this difference will affect the imbalance of regional economic development. Therefore, the impact of demand factors needs to be fully considered when formulating regional development policies.</w:t>
      </w:r>
    </w:p>
    <w:p w14:paraId="4C3A6EEA"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 xml:space="preserve">In the long run, demand dynamics will also affect innovation activities and </w:t>
      </w:r>
      <w:r>
        <w:rPr>
          <w:rFonts w:ascii="Times New Roman" w:hAnsi="Times New Roman" w:cs="Times New Roman"/>
          <w:sz w:val="28"/>
          <w:szCs w:val="28"/>
        </w:rPr>
        <w:lastRenderedPageBreak/>
        <w:t>technological progress. Changes in market demand provide direction and motivation for innovation. New consumer demand often promotes technological innovation and product updates, thereby promoting economic quality and efficiency.</w:t>
      </w:r>
    </w:p>
    <w:p w14:paraId="78BDD441"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At the current stage of China's economic development, it is particularly important to deeply understand demand dynamics</w:t>
      </w:r>
      <w:r w:rsidR="00C83911">
        <w:rPr>
          <w:rFonts w:ascii="Times New Roman" w:hAnsi="Times New Roman" w:cs="Times New Roman"/>
          <w:sz w:val="28"/>
          <w:szCs w:val="28"/>
        </w:rPr>
        <w:t xml:space="preserve"> [31]</w:t>
      </w:r>
      <w:r>
        <w:rPr>
          <w:rFonts w:ascii="Times New Roman" w:hAnsi="Times New Roman" w:cs="Times New Roman"/>
          <w:sz w:val="28"/>
          <w:szCs w:val="28"/>
        </w:rPr>
        <w:t>. As the economy enters a new stage of development, the demand structure is undergoing profound changes. Trends such as residents' consumption upgrades, industrial transformation and upgrading, and new urbanization are reshaping the demand structure. Grasping these changes is of great significance to promoting high-quality development.</w:t>
      </w:r>
    </w:p>
    <w:p w14:paraId="2584CC3C"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Especially in the context of building a new development pattern, we need to pay more attention to the supporting role of domestic demand in economic growth. This requires in-depth research on the characteristics and laws of demand dynamics and taking effective measures to release the potential of domestic demand. At the same time, we must also handle the relationship between supply-side structural reform and demand-side management and promote a virtuous interaction between supply and demand.</w:t>
      </w:r>
    </w:p>
    <w:p w14:paraId="729BCEC5" w14:textId="77777777" w:rsidR="007353B9" w:rsidRDefault="006F35DE">
      <w:pPr>
        <w:snapToGrid w:val="0"/>
        <w:spacing w:line="360" w:lineRule="auto"/>
        <w:ind w:firstLineChars="125" w:firstLine="350"/>
        <w:rPr>
          <w:rFonts w:ascii="Times New Roman" w:hAnsi="Times New Roman" w:cs="Times New Roman"/>
          <w:sz w:val="28"/>
          <w:szCs w:val="28"/>
        </w:rPr>
      </w:pPr>
      <w:r>
        <w:rPr>
          <w:rFonts w:ascii="Times New Roman" w:hAnsi="Times New Roman" w:cs="Times New Roman"/>
          <w:sz w:val="28"/>
          <w:szCs w:val="28"/>
        </w:rPr>
        <w:t>Therefore, strengthening the study of demand dynamics will not only help improve the scientificity and effectiveness of macroeconomic policies, but also be of great significance to promoting high-quality economic development. This requires us to use systematic thinking, comprehensively apply various research methods, and continuously deepen our understanding and grasp of demand dynamics.</w:t>
      </w:r>
    </w:p>
    <w:p w14:paraId="5E584583" w14:textId="77777777" w:rsidR="007353B9" w:rsidRDefault="007353B9">
      <w:pPr>
        <w:snapToGrid w:val="0"/>
        <w:spacing w:line="360" w:lineRule="auto"/>
        <w:ind w:firstLineChars="125" w:firstLine="350"/>
        <w:rPr>
          <w:rFonts w:ascii="Times New Roman" w:hAnsi="Times New Roman" w:cs="Times New Roman"/>
          <w:sz w:val="28"/>
          <w:szCs w:val="28"/>
        </w:rPr>
      </w:pPr>
    </w:p>
    <w:p w14:paraId="7B6FACCB" w14:textId="77777777" w:rsidR="007353B9" w:rsidRDefault="006F35DE" w:rsidP="008604BD">
      <w:pPr>
        <w:widowControl/>
        <w:snapToGrid w:val="0"/>
        <w:spacing w:line="360" w:lineRule="auto"/>
        <w:ind w:firstLineChars="125" w:firstLine="351"/>
        <w:outlineLvl w:val="1"/>
        <w:rPr>
          <w:rFonts w:ascii="Times New Roman" w:eastAsia="Times New Roman" w:hAnsi="Times New Roman" w:cs="Times New Roman"/>
          <w:b/>
          <w:kern w:val="0"/>
          <w:sz w:val="28"/>
          <w:szCs w:val="28"/>
          <w:lang w:val="en-US" w:eastAsia="uk-UA"/>
        </w:rPr>
      </w:pPr>
      <w:bookmarkStart w:id="6" w:name="_Toc7756"/>
      <w:r>
        <w:rPr>
          <w:rFonts w:ascii="Times New Roman" w:eastAsia="Times New Roman" w:hAnsi="Times New Roman" w:cs="Times New Roman"/>
          <w:b/>
          <w:kern w:val="0"/>
          <w:sz w:val="28"/>
          <w:szCs w:val="28"/>
          <w:lang w:val="en-US" w:eastAsia="uk-UA"/>
        </w:rPr>
        <w:t xml:space="preserve">1.3. The concept and essence of </w:t>
      </w:r>
      <w:r>
        <w:rPr>
          <w:rFonts w:ascii="Times New Roman" w:eastAsia="Calibri" w:hAnsi="Times New Roman" w:cs="Times New Roman"/>
          <w:b/>
          <w:kern w:val="0"/>
          <w:sz w:val="28"/>
          <w:szCs w:val="28"/>
          <w:lang w:val="en-US" w:eastAsia="en-US"/>
        </w:rPr>
        <w:t xml:space="preserve">Infrastructure Profitability </w:t>
      </w:r>
      <w:r>
        <w:rPr>
          <w:rFonts w:ascii="Times New Roman" w:eastAsia="Times New Roman" w:hAnsi="Times New Roman" w:cs="Times New Roman"/>
          <w:b/>
          <w:kern w:val="0"/>
          <w:sz w:val="28"/>
          <w:szCs w:val="28"/>
          <w:lang w:val="en-US" w:eastAsia="uk-UA"/>
        </w:rPr>
        <w:t>at the macro level of the economy</w:t>
      </w:r>
      <w:bookmarkEnd w:id="6"/>
    </w:p>
    <w:p w14:paraId="0644F1C5" w14:textId="77777777" w:rsidR="007353B9" w:rsidRDefault="007353B9" w:rsidP="008604BD">
      <w:pPr>
        <w:widowControl/>
        <w:snapToGrid w:val="0"/>
        <w:spacing w:line="360" w:lineRule="auto"/>
        <w:ind w:firstLineChars="125" w:firstLine="351"/>
        <w:rPr>
          <w:rFonts w:ascii="Times New Roman" w:eastAsia="Times New Roman" w:hAnsi="Times New Roman" w:cs="Times New Roman"/>
          <w:b/>
          <w:kern w:val="0"/>
          <w:sz w:val="28"/>
          <w:szCs w:val="28"/>
          <w:lang w:val="en-US" w:eastAsia="uk-UA"/>
        </w:rPr>
      </w:pPr>
    </w:p>
    <w:p w14:paraId="1DFBB629"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 xml:space="preserve">Infrastructure profitability is a core concept from a macroeconomic perspective. Its connotation goes far beyond the traditional financial benefits. It is a </w:t>
      </w:r>
      <w:r>
        <w:rPr>
          <w:rFonts w:ascii="Times New Roman" w:hAnsi="Times New Roman"/>
          <w:sz w:val="28"/>
          <w:szCs w:val="28"/>
        </w:rPr>
        <w:lastRenderedPageBreak/>
        <w:t>multi-dimensional evaluation system to measure the contribution of infrastructure investment to economic and social development. The study of profitability involves multiple disciplines such as public economics, development economics, and regional economics. The public economics perspective emphasizes the public goods attributes of infrastructure and its externality characteristics, while development economics focuses on the role of infrastructure in promoting economic growth. The role of infrastructure in spatial economic development is emphasized in regional economics, while that of infrastructure in regional economics is emphasized in regional economics. This interdisciplinary theoretical perspective provides a scientific basis for a comprehensive understanding of infrastructure profitability.</w:t>
      </w:r>
    </w:p>
    <w:p w14:paraId="5C880115"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In terms of specific connotations, infrastructure profitability includes multiple dimensions, as shown in Table 1</w:t>
      </w:r>
      <w:r w:rsidR="007B16E3">
        <w:rPr>
          <w:rFonts w:ascii="Times New Roman" w:hAnsi="Times New Roman"/>
          <w:sz w:val="28"/>
          <w:szCs w:val="28"/>
        </w:rPr>
        <w:t>.</w:t>
      </w:r>
      <w:r>
        <w:rPr>
          <w:rFonts w:ascii="Times New Roman" w:hAnsi="Times New Roman"/>
          <w:sz w:val="28"/>
          <w:szCs w:val="28"/>
        </w:rPr>
        <w:t>1. These dimensions range from direct financial benefits to environmental impacts, forming a complete evaluation system.</w:t>
      </w:r>
    </w:p>
    <w:p w14:paraId="689E79B0" w14:textId="77777777" w:rsidR="007353B9" w:rsidRPr="005A73BE" w:rsidRDefault="006F35DE" w:rsidP="005A73BE">
      <w:pPr>
        <w:pStyle w:val="a7"/>
        <w:widowControl/>
        <w:snapToGrid w:val="0"/>
        <w:spacing w:beforeAutospacing="0" w:afterAutospacing="0" w:line="360" w:lineRule="auto"/>
        <w:ind w:firstLineChars="125" w:firstLine="350"/>
        <w:jc w:val="right"/>
        <w:rPr>
          <w:rStyle w:val="a8"/>
          <w:rFonts w:ascii="Times New Roman" w:hAnsi="Times New Roman"/>
          <w:b w:val="0"/>
          <w:sz w:val="28"/>
          <w:szCs w:val="28"/>
        </w:rPr>
      </w:pPr>
      <w:r w:rsidRPr="005A73BE">
        <w:rPr>
          <w:rStyle w:val="a8"/>
          <w:rFonts w:ascii="Times New Roman" w:hAnsi="Times New Roman"/>
          <w:b w:val="0"/>
          <w:sz w:val="28"/>
          <w:szCs w:val="28"/>
        </w:rPr>
        <w:t>Table 1</w:t>
      </w:r>
      <w:r w:rsidRPr="005A73BE">
        <w:rPr>
          <w:rStyle w:val="a8"/>
          <w:rFonts w:ascii="Times New Roman" w:hAnsi="Times New Roman" w:hint="eastAsia"/>
          <w:b w:val="0"/>
          <w:sz w:val="28"/>
          <w:szCs w:val="28"/>
          <w:lang w:val="en-US"/>
        </w:rPr>
        <w:t>.1</w:t>
      </w:r>
      <w:r w:rsidRPr="005A73BE">
        <w:rPr>
          <w:rStyle w:val="a8"/>
          <w:rFonts w:ascii="Times New Roman" w:hAnsi="Times New Roman"/>
          <w:b w:val="0"/>
          <w:sz w:val="28"/>
          <w:szCs w:val="28"/>
        </w:rPr>
        <w:t xml:space="preserve"> </w:t>
      </w:r>
    </w:p>
    <w:p w14:paraId="22AF46D5" w14:textId="77777777" w:rsidR="007353B9" w:rsidRDefault="006F35DE" w:rsidP="007B16E3">
      <w:pPr>
        <w:pStyle w:val="a7"/>
        <w:widowControl/>
        <w:snapToGrid w:val="0"/>
        <w:spacing w:beforeAutospacing="0" w:afterAutospacing="0" w:line="360" w:lineRule="auto"/>
        <w:ind w:firstLineChars="125" w:firstLine="351"/>
        <w:jc w:val="both"/>
        <w:rPr>
          <w:rFonts w:ascii="Times New Roman" w:hAnsi="Times New Roman"/>
          <w:sz w:val="28"/>
          <w:szCs w:val="28"/>
        </w:rPr>
      </w:pPr>
      <w:r>
        <w:rPr>
          <w:rStyle w:val="a8"/>
          <w:rFonts w:ascii="Times New Roman" w:hAnsi="Times New Roman"/>
          <w:sz w:val="28"/>
          <w:szCs w:val="28"/>
        </w:rPr>
        <w:t>Multi-dimensional composition of infrastructure profitability</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7"/>
        <w:gridCol w:w="3534"/>
        <w:gridCol w:w="2471"/>
        <w:gridCol w:w="1523"/>
      </w:tblGrid>
      <w:tr w:rsidR="007353B9" w14:paraId="3A632C13" w14:textId="77777777">
        <w:trPr>
          <w:trHeight w:val="918"/>
        </w:trPr>
        <w:tc>
          <w:tcPr>
            <w:tcW w:w="1023" w:type="pct"/>
            <w:shd w:val="clear" w:color="auto" w:fill="auto"/>
            <w:noWrap/>
            <w:vAlign w:val="center"/>
          </w:tcPr>
          <w:p w14:paraId="393D107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Dimensions</w:t>
            </w:r>
          </w:p>
        </w:tc>
        <w:tc>
          <w:tcPr>
            <w:tcW w:w="2052" w:type="pct"/>
            <w:shd w:val="clear" w:color="auto" w:fill="auto"/>
            <w:noWrap/>
            <w:vAlign w:val="center"/>
          </w:tcPr>
          <w:p w14:paraId="76ACF905"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Main content</w:t>
            </w:r>
          </w:p>
        </w:tc>
        <w:tc>
          <w:tcPr>
            <w:tcW w:w="1429" w:type="pct"/>
            <w:shd w:val="clear" w:color="auto" w:fill="auto"/>
            <w:noWrap/>
            <w:vAlign w:val="center"/>
          </w:tcPr>
          <w:p w14:paraId="64DA2E93"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feature</w:t>
            </w:r>
          </w:p>
        </w:tc>
        <w:tc>
          <w:tcPr>
            <w:tcW w:w="493" w:type="pct"/>
            <w:shd w:val="clear" w:color="auto" w:fill="auto"/>
            <w:noWrap/>
            <w:vAlign w:val="center"/>
          </w:tcPr>
          <w:p w14:paraId="21399DB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Assessment Difficulty</w:t>
            </w:r>
          </w:p>
        </w:tc>
      </w:tr>
      <w:tr w:rsidR="007353B9" w14:paraId="0983BA96" w14:textId="77777777">
        <w:trPr>
          <w:trHeight w:val="462"/>
        </w:trPr>
        <w:tc>
          <w:tcPr>
            <w:tcW w:w="1023" w:type="pct"/>
            <w:shd w:val="clear" w:color="auto" w:fill="auto"/>
            <w:noWrap/>
            <w:vAlign w:val="center"/>
          </w:tcPr>
          <w:p w14:paraId="099EA527"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Direct financial benefits</w:t>
            </w:r>
          </w:p>
        </w:tc>
        <w:tc>
          <w:tcPr>
            <w:tcW w:w="2052" w:type="pct"/>
            <w:shd w:val="clear" w:color="auto" w:fill="auto"/>
            <w:noWrap/>
            <w:vAlign w:val="center"/>
          </w:tcPr>
          <w:p w14:paraId="26329140"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Royalties, rentals, operating income</w:t>
            </w:r>
          </w:p>
        </w:tc>
        <w:tc>
          <w:tcPr>
            <w:tcW w:w="1429" w:type="pct"/>
            <w:shd w:val="clear" w:color="auto" w:fill="auto"/>
            <w:noWrap/>
            <w:vAlign w:val="center"/>
          </w:tcPr>
          <w:p w14:paraId="7CFB140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Quantifiable and stable cash flow</w:t>
            </w:r>
          </w:p>
        </w:tc>
        <w:tc>
          <w:tcPr>
            <w:tcW w:w="493" w:type="pct"/>
            <w:shd w:val="clear" w:color="auto" w:fill="auto"/>
            <w:noWrap/>
            <w:vAlign w:val="center"/>
          </w:tcPr>
          <w:p w14:paraId="473CFB5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Low</w:t>
            </w:r>
          </w:p>
        </w:tc>
      </w:tr>
      <w:tr w:rsidR="007353B9" w14:paraId="091E3A9A" w14:textId="77777777">
        <w:trPr>
          <w:trHeight w:val="462"/>
        </w:trPr>
        <w:tc>
          <w:tcPr>
            <w:tcW w:w="1023" w:type="pct"/>
            <w:shd w:val="clear" w:color="auto" w:fill="auto"/>
            <w:noWrap/>
            <w:vAlign w:val="center"/>
          </w:tcPr>
          <w:p w14:paraId="1D99CEE2"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Economic Externalities</w:t>
            </w:r>
          </w:p>
        </w:tc>
        <w:tc>
          <w:tcPr>
            <w:tcW w:w="2052" w:type="pct"/>
            <w:shd w:val="clear" w:color="auto" w:fill="auto"/>
            <w:noWrap/>
            <w:vAlign w:val="center"/>
          </w:tcPr>
          <w:p w14:paraId="30A26508"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Industrial agglomeration and efficiency improvement</w:t>
            </w:r>
          </w:p>
        </w:tc>
        <w:tc>
          <w:tcPr>
            <w:tcW w:w="1429" w:type="pct"/>
            <w:shd w:val="clear" w:color="auto" w:fill="auto"/>
            <w:noWrap/>
            <w:vAlign w:val="center"/>
          </w:tcPr>
          <w:p w14:paraId="610AAED5"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Indirect benefits and long-term impact</w:t>
            </w:r>
          </w:p>
        </w:tc>
        <w:tc>
          <w:tcPr>
            <w:tcW w:w="493" w:type="pct"/>
            <w:shd w:val="clear" w:color="auto" w:fill="auto"/>
            <w:noWrap/>
            <w:vAlign w:val="center"/>
          </w:tcPr>
          <w:p w14:paraId="71E213C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middle</w:t>
            </w:r>
          </w:p>
        </w:tc>
      </w:tr>
      <w:tr w:rsidR="007353B9" w14:paraId="4AF1F21D" w14:textId="77777777">
        <w:trPr>
          <w:trHeight w:val="462"/>
        </w:trPr>
        <w:tc>
          <w:tcPr>
            <w:tcW w:w="1023" w:type="pct"/>
            <w:shd w:val="clear" w:color="auto" w:fill="auto"/>
            <w:noWrap/>
            <w:vAlign w:val="center"/>
          </w:tcPr>
          <w:p w14:paraId="67BAD021"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Social Benefits</w:t>
            </w:r>
          </w:p>
        </w:tc>
        <w:tc>
          <w:tcPr>
            <w:tcW w:w="2052" w:type="pct"/>
            <w:shd w:val="clear" w:color="auto" w:fill="auto"/>
            <w:noWrap/>
            <w:vAlign w:val="center"/>
          </w:tcPr>
          <w:p w14:paraId="04CF65F2"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Improve people's livelihood and promote fairness</w:t>
            </w:r>
          </w:p>
        </w:tc>
        <w:tc>
          <w:tcPr>
            <w:tcW w:w="1429" w:type="pct"/>
            <w:shd w:val="clear" w:color="auto" w:fill="auto"/>
            <w:noWrap/>
            <w:vAlign w:val="center"/>
          </w:tcPr>
          <w:p w14:paraId="2386B43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Non-market value, public attributes</w:t>
            </w:r>
          </w:p>
        </w:tc>
        <w:tc>
          <w:tcPr>
            <w:tcW w:w="493" w:type="pct"/>
            <w:shd w:val="clear" w:color="auto" w:fill="auto"/>
            <w:noWrap/>
            <w:vAlign w:val="center"/>
          </w:tcPr>
          <w:p w14:paraId="01BD019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high</w:t>
            </w:r>
          </w:p>
        </w:tc>
      </w:tr>
      <w:tr w:rsidR="007353B9" w14:paraId="5023C1B5" w14:textId="77777777">
        <w:trPr>
          <w:trHeight w:val="467"/>
        </w:trPr>
        <w:tc>
          <w:tcPr>
            <w:tcW w:w="1023" w:type="pct"/>
            <w:shd w:val="clear" w:color="auto" w:fill="auto"/>
            <w:noWrap/>
            <w:vAlign w:val="center"/>
          </w:tcPr>
          <w:p w14:paraId="3EE22598"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Environmental impact</w:t>
            </w:r>
          </w:p>
        </w:tc>
        <w:tc>
          <w:tcPr>
            <w:tcW w:w="2052" w:type="pct"/>
            <w:shd w:val="clear" w:color="auto" w:fill="auto"/>
            <w:noWrap/>
            <w:vAlign w:val="center"/>
          </w:tcPr>
          <w:p w14:paraId="04C907A6"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Ecological protection and resource conservation</w:t>
            </w:r>
          </w:p>
        </w:tc>
        <w:tc>
          <w:tcPr>
            <w:tcW w:w="1429" w:type="pct"/>
            <w:shd w:val="clear" w:color="auto" w:fill="auto"/>
            <w:noWrap/>
            <w:vAlign w:val="center"/>
          </w:tcPr>
          <w:p w14:paraId="2F370D19" w14:textId="77777777" w:rsidR="007353B9" w:rsidRDefault="006F35DE">
            <w:pPr>
              <w:widowControl/>
              <w:snapToGrid w:val="0"/>
              <w:spacing w:line="360" w:lineRule="auto"/>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Long-term, cumulative</w:t>
            </w:r>
          </w:p>
        </w:tc>
        <w:tc>
          <w:tcPr>
            <w:tcW w:w="493" w:type="pct"/>
            <w:shd w:val="clear" w:color="auto" w:fill="auto"/>
            <w:noWrap/>
            <w:vAlign w:val="center"/>
          </w:tcPr>
          <w:p w14:paraId="6DFE4ED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high</w:t>
            </w:r>
          </w:p>
        </w:tc>
      </w:tr>
    </w:tbl>
    <w:p w14:paraId="06CB25BB" w14:textId="77777777" w:rsidR="007353B9" w:rsidRDefault="007353B9">
      <w:pPr>
        <w:pStyle w:val="a7"/>
        <w:widowControl/>
        <w:snapToGrid w:val="0"/>
        <w:spacing w:beforeAutospacing="0" w:afterAutospacing="0" w:line="360" w:lineRule="auto"/>
        <w:ind w:firstLineChars="125" w:firstLine="350"/>
        <w:jc w:val="both"/>
        <w:rPr>
          <w:rFonts w:ascii="Times New Roman" w:hAnsi="Times New Roman"/>
          <w:sz w:val="28"/>
          <w:szCs w:val="28"/>
        </w:rPr>
      </w:pPr>
    </w:p>
    <w:p w14:paraId="3A733CC4"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As can be seen from Table 1</w:t>
      </w:r>
      <w:r>
        <w:rPr>
          <w:rFonts w:ascii="Times New Roman" w:hAnsi="Times New Roman" w:hint="eastAsia"/>
          <w:sz w:val="28"/>
          <w:szCs w:val="28"/>
          <w:lang w:val="en-US"/>
        </w:rPr>
        <w:t>.</w:t>
      </w:r>
      <w:r>
        <w:rPr>
          <w:rFonts w:ascii="Times New Roman" w:hAnsi="Times New Roman"/>
          <w:sz w:val="28"/>
          <w:szCs w:val="28"/>
        </w:rPr>
        <w:t xml:space="preserve">1, the difficulty of evaluating infrastructure profitability increases with the expansion of dimensions. Direct financial benefits </w:t>
      </w:r>
      <w:r>
        <w:rPr>
          <w:rFonts w:ascii="Times New Roman" w:hAnsi="Times New Roman"/>
          <w:sz w:val="28"/>
          <w:szCs w:val="28"/>
        </w:rPr>
        <w:lastRenderedPageBreak/>
        <w:t>are relatively easy to evaluate due to their clear market prices and stable cash flow characteristics. Environmental impacts and social benefits are difficult to evaluate due to their long-term and cumulative characteristics, which is also one of the main challenges faced in the current infrastructure project evaluation.</w:t>
      </w:r>
    </w:p>
    <w:p w14:paraId="71EF1021"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From the perspective of macroeconomics, infrastructure profitability supports economic growth through multiple mechanisms, and this support is mainly reflected in three core theoretical frameworks. First, from the perspective of Coase's transaction cost theory, a sound infrastructure network can significantly reduce transaction costs between economic entities. For example, modern information and communication infrastructure has greatly reduced the cost of information acquisition and transmission; efficient transportation networks have reduced logistics costs; and sound market infrastructure has reduced the search and negotiation costs of both parties to the transaction. The reduction of these costs directly improves the efficiency of market operation and promotes the optimal allocation of resources.</w:t>
      </w:r>
    </w:p>
    <w:p w14:paraId="7B4AB586"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Secondly, from the perspective of economies of scale, infrastructure construction provides the necessary conditions for the realization of economies of scale. Especially in the development of modern industrial clusters, the supporting role of infrastructure is particularly prominent. Taking industrial parks as an example, centralized supporting infrastructure such as energy supply, sewage treatment, logistics and warehousing not only reduces the operating costs of individual enterprises, but more importantly, it improves overall efficiency through agglomeration effects. This scale effect is not only reflected in the production end, but also in the consumption end. For example, the expansion of urban public transportation networks can bring greater network value.</w:t>
      </w:r>
    </w:p>
    <w:p w14:paraId="7C22D97A"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 xml:space="preserve">The third and most distinctive feature is the network effect of infrastructure investment. This effect is manifested in a significant increasing marginal benefit feature, that is, as the scale of the network expands, the social benefits brought by unit investment show an increasing trend. For example, the connection of a new </w:t>
      </w:r>
      <w:r>
        <w:rPr>
          <w:rFonts w:ascii="Times New Roman" w:hAnsi="Times New Roman"/>
          <w:sz w:val="28"/>
          <w:szCs w:val="28"/>
        </w:rPr>
        <w:lastRenderedPageBreak/>
        <w:t>highway to the existing road network not only creates the value of the new road section, but also improves the utility of the entire road network. It is precisely because of the existence of this network effect that the social rate of return on infrastructure investment is often higher than the private rate of return, which also constitutes an important theoretical basis for the government to participate in infrastructure construction.</w:t>
      </w:r>
    </w:p>
    <w:p w14:paraId="5FFE0AA4"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Based on the above theoretical understanding, scientific evaluation of infrastructure profitability requires the establishment of a comprehensive and systematic indicator system. As shown in Table 1</w:t>
      </w:r>
      <w:r w:rsidR="007B16E3">
        <w:rPr>
          <w:rFonts w:ascii="Times New Roman" w:hAnsi="Times New Roman"/>
          <w:sz w:val="28"/>
          <w:szCs w:val="28"/>
        </w:rPr>
        <w:t>.</w:t>
      </w:r>
      <w:r>
        <w:rPr>
          <w:rFonts w:ascii="Times New Roman" w:hAnsi="Times New Roman"/>
          <w:sz w:val="28"/>
          <w:szCs w:val="28"/>
        </w:rPr>
        <w:t xml:space="preserve">2, this indicator system constructs a multi-level evaluation framework from the three dimensions of finance, efficiency and risk. </w:t>
      </w:r>
    </w:p>
    <w:p w14:paraId="2FEB1005" w14:textId="77777777" w:rsidR="007353B9" w:rsidRPr="007B16E3" w:rsidRDefault="006F35DE" w:rsidP="007B16E3">
      <w:pPr>
        <w:pStyle w:val="a7"/>
        <w:widowControl/>
        <w:snapToGrid w:val="0"/>
        <w:spacing w:beforeAutospacing="0" w:afterAutospacing="0" w:line="360" w:lineRule="auto"/>
        <w:ind w:firstLineChars="125" w:firstLine="350"/>
        <w:jc w:val="right"/>
        <w:rPr>
          <w:rStyle w:val="a8"/>
          <w:rFonts w:ascii="Times New Roman" w:hAnsi="Times New Roman"/>
          <w:b w:val="0"/>
          <w:sz w:val="28"/>
          <w:szCs w:val="28"/>
        </w:rPr>
      </w:pPr>
      <w:r w:rsidRPr="007B16E3">
        <w:rPr>
          <w:rStyle w:val="a8"/>
          <w:rFonts w:ascii="Times New Roman" w:hAnsi="Times New Roman"/>
          <w:b w:val="0"/>
          <w:sz w:val="28"/>
          <w:szCs w:val="28"/>
        </w:rPr>
        <w:t>Table 1</w:t>
      </w:r>
      <w:r w:rsidRPr="007B16E3">
        <w:rPr>
          <w:rStyle w:val="a8"/>
          <w:rFonts w:ascii="Times New Roman" w:hAnsi="Times New Roman" w:hint="eastAsia"/>
          <w:b w:val="0"/>
          <w:sz w:val="28"/>
          <w:szCs w:val="28"/>
          <w:lang w:val="en-US"/>
        </w:rPr>
        <w:t>.</w:t>
      </w:r>
      <w:r w:rsidRPr="007B16E3">
        <w:rPr>
          <w:rStyle w:val="a8"/>
          <w:rFonts w:ascii="Times New Roman" w:hAnsi="Times New Roman"/>
          <w:b w:val="0"/>
          <w:sz w:val="28"/>
          <w:szCs w:val="28"/>
        </w:rPr>
        <w:t xml:space="preserve">2 </w:t>
      </w:r>
    </w:p>
    <w:p w14:paraId="67D24C82" w14:textId="77777777" w:rsidR="007353B9" w:rsidRDefault="006F35DE" w:rsidP="007B16E3">
      <w:pPr>
        <w:pStyle w:val="a7"/>
        <w:widowControl/>
        <w:snapToGrid w:val="0"/>
        <w:spacing w:beforeAutospacing="0" w:afterAutospacing="0" w:line="360" w:lineRule="auto"/>
        <w:ind w:firstLineChars="125" w:firstLine="351"/>
        <w:jc w:val="both"/>
        <w:rPr>
          <w:rFonts w:ascii="Times New Roman" w:hAnsi="Times New Roman"/>
          <w:sz w:val="28"/>
          <w:szCs w:val="28"/>
        </w:rPr>
      </w:pPr>
      <w:r>
        <w:rPr>
          <w:rStyle w:val="a8"/>
          <w:rFonts w:ascii="Times New Roman" w:hAnsi="Times New Roman"/>
          <w:sz w:val="28"/>
          <w:szCs w:val="28"/>
        </w:rPr>
        <w:t>Infrastructure Profitability Evaluation Indicator System</w:t>
      </w: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2"/>
        <w:gridCol w:w="2332"/>
        <w:gridCol w:w="2332"/>
        <w:gridCol w:w="2334"/>
      </w:tblGrid>
      <w:tr w:rsidR="007353B9" w14:paraId="758B7AED" w14:textId="77777777">
        <w:trPr>
          <w:trHeight w:val="449"/>
        </w:trPr>
        <w:tc>
          <w:tcPr>
            <w:tcW w:w="1249" w:type="pct"/>
            <w:shd w:val="clear" w:color="auto" w:fill="auto"/>
            <w:vAlign w:val="center"/>
          </w:tcPr>
          <w:p w14:paraId="09CDF604"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hint="eastAsia"/>
                <w:b/>
                <w:bCs/>
                <w:color w:val="000000"/>
                <w:kern w:val="0"/>
                <w:sz w:val="24"/>
                <w:lang w:val="en-US" w:bidi="ar"/>
              </w:rPr>
              <w:t>C</w:t>
            </w:r>
            <w:r>
              <w:rPr>
                <w:rFonts w:ascii="Times New Roman" w:eastAsia="SimSun" w:hAnsi="Times New Roman" w:cs="Times New Roman"/>
                <w:b/>
                <w:bCs/>
                <w:color w:val="000000"/>
                <w:kern w:val="0"/>
                <w:sz w:val="24"/>
                <w:lang w:val="en-US" w:bidi="ar"/>
              </w:rPr>
              <w:t>ategory</w:t>
            </w:r>
          </w:p>
        </w:tc>
        <w:tc>
          <w:tcPr>
            <w:tcW w:w="1249" w:type="pct"/>
            <w:shd w:val="clear" w:color="auto" w:fill="auto"/>
            <w:vAlign w:val="center"/>
          </w:tcPr>
          <w:p w14:paraId="3D63A250"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Specific indicators</w:t>
            </w:r>
          </w:p>
        </w:tc>
        <w:tc>
          <w:tcPr>
            <w:tcW w:w="1249" w:type="pct"/>
            <w:shd w:val="clear" w:color="auto" w:fill="auto"/>
            <w:vAlign w:val="center"/>
          </w:tcPr>
          <w:p w14:paraId="3256AD02"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Calculation method</w:t>
            </w:r>
          </w:p>
        </w:tc>
        <w:tc>
          <w:tcPr>
            <w:tcW w:w="1250" w:type="pct"/>
            <w:shd w:val="clear" w:color="auto" w:fill="auto"/>
            <w:vAlign w:val="center"/>
          </w:tcPr>
          <w:p w14:paraId="4237E651"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Application Scenario</w:t>
            </w:r>
          </w:p>
        </w:tc>
      </w:tr>
      <w:tr w:rsidR="007353B9" w14:paraId="726A3185" w14:textId="77777777">
        <w:trPr>
          <w:trHeight w:val="670"/>
        </w:trPr>
        <w:tc>
          <w:tcPr>
            <w:tcW w:w="1249" w:type="pct"/>
            <w:shd w:val="clear" w:color="auto" w:fill="auto"/>
            <w:vAlign w:val="center"/>
          </w:tcPr>
          <w:p w14:paraId="02F7DD9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Financial indicators</w:t>
            </w:r>
          </w:p>
        </w:tc>
        <w:tc>
          <w:tcPr>
            <w:tcW w:w="1249" w:type="pct"/>
            <w:shd w:val="clear" w:color="auto" w:fill="auto"/>
            <w:vAlign w:val="center"/>
          </w:tcPr>
          <w:p w14:paraId="79FBED19"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Return on Investment (ROI)</w:t>
            </w:r>
          </w:p>
        </w:tc>
        <w:tc>
          <w:tcPr>
            <w:tcW w:w="1249" w:type="pct"/>
            <w:shd w:val="clear" w:color="auto" w:fill="auto"/>
            <w:vAlign w:val="center"/>
          </w:tcPr>
          <w:p w14:paraId="50C3C7B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Net income/total investment×100%</w:t>
            </w:r>
          </w:p>
        </w:tc>
        <w:tc>
          <w:tcPr>
            <w:tcW w:w="1250" w:type="pct"/>
            <w:shd w:val="clear" w:color="auto" w:fill="auto"/>
            <w:vAlign w:val="center"/>
          </w:tcPr>
          <w:p w14:paraId="01D20DD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Project feasibility study</w:t>
            </w:r>
          </w:p>
        </w:tc>
      </w:tr>
      <w:tr w:rsidR="007353B9" w14:paraId="6A78F219" w14:textId="77777777">
        <w:trPr>
          <w:trHeight w:val="670"/>
        </w:trPr>
        <w:tc>
          <w:tcPr>
            <w:tcW w:w="1249" w:type="pct"/>
            <w:shd w:val="clear" w:color="auto" w:fill="auto"/>
            <w:vAlign w:val="center"/>
          </w:tcPr>
          <w:p w14:paraId="6EFAA68A" w14:textId="77777777" w:rsidR="007353B9" w:rsidRDefault="007353B9">
            <w:pPr>
              <w:snapToGrid w:val="0"/>
              <w:ind w:firstLineChars="125" w:firstLine="300"/>
              <w:rPr>
                <w:rFonts w:ascii="Times New Roman" w:eastAsia="SimSun" w:hAnsi="Times New Roman" w:cs="Times New Roman"/>
                <w:color w:val="000000"/>
                <w:sz w:val="24"/>
              </w:rPr>
            </w:pPr>
          </w:p>
        </w:tc>
        <w:tc>
          <w:tcPr>
            <w:tcW w:w="1249" w:type="pct"/>
            <w:shd w:val="clear" w:color="auto" w:fill="auto"/>
            <w:vAlign w:val="center"/>
          </w:tcPr>
          <w:p w14:paraId="20D3EA3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Net Present Value (NPV)</w:t>
            </w:r>
          </w:p>
        </w:tc>
        <w:tc>
          <w:tcPr>
            <w:tcW w:w="1249" w:type="pct"/>
            <w:shd w:val="clear" w:color="auto" w:fill="auto"/>
            <w:vAlign w:val="center"/>
          </w:tcPr>
          <w:p w14:paraId="7CCCA04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Sum of discounted future cash flows</w:t>
            </w:r>
          </w:p>
        </w:tc>
        <w:tc>
          <w:tcPr>
            <w:tcW w:w="1250" w:type="pct"/>
            <w:shd w:val="clear" w:color="auto" w:fill="auto"/>
            <w:vAlign w:val="center"/>
          </w:tcPr>
          <w:p w14:paraId="512DF0B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Investment decision analysis</w:t>
            </w:r>
          </w:p>
        </w:tc>
      </w:tr>
      <w:tr w:rsidR="007353B9" w14:paraId="5769785C" w14:textId="77777777">
        <w:trPr>
          <w:trHeight w:val="670"/>
        </w:trPr>
        <w:tc>
          <w:tcPr>
            <w:tcW w:w="1249" w:type="pct"/>
            <w:shd w:val="clear" w:color="auto" w:fill="auto"/>
            <w:vAlign w:val="center"/>
          </w:tcPr>
          <w:p w14:paraId="3CECA3D1" w14:textId="77777777" w:rsidR="007353B9" w:rsidRDefault="007353B9">
            <w:pPr>
              <w:snapToGrid w:val="0"/>
              <w:ind w:firstLineChars="125" w:firstLine="300"/>
              <w:rPr>
                <w:rFonts w:ascii="Times New Roman" w:eastAsia="SimSun" w:hAnsi="Times New Roman" w:cs="Times New Roman"/>
                <w:color w:val="000000"/>
                <w:sz w:val="24"/>
              </w:rPr>
            </w:pPr>
          </w:p>
        </w:tc>
        <w:tc>
          <w:tcPr>
            <w:tcW w:w="1249" w:type="pct"/>
            <w:shd w:val="clear" w:color="auto" w:fill="auto"/>
            <w:vAlign w:val="center"/>
          </w:tcPr>
          <w:p w14:paraId="5D5550A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Internal Rate of Return (IRR)</w:t>
            </w:r>
          </w:p>
        </w:tc>
        <w:tc>
          <w:tcPr>
            <w:tcW w:w="1249" w:type="pct"/>
            <w:shd w:val="clear" w:color="auto" w:fill="auto"/>
            <w:vAlign w:val="center"/>
          </w:tcPr>
          <w:p w14:paraId="2D032A2C"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Discount rate when NPV=0</w:t>
            </w:r>
          </w:p>
        </w:tc>
        <w:tc>
          <w:tcPr>
            <w:tcW w:w="1250" w:type="pct"/>
            <w:shd w:val="clear" w:color="auto" w:fill="auto"/>
            <w:vAlign w:val="center"/>
          </w:tcPr>
          <w:p w14:paraId="6D75B33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Benefit level assessment</w:t>
            </w:r>
          </w:p>
        </w:tc>
      </w:tr>
      <w:tr w:rsidR="007353B9" w14:paraId="43AA9539" w14:textId="77777777">
        <w:trPr>
          <w:trHeight w:val="670"/>
        </w:trPr>
        <w:tc>
          <w:tcPr>
            <w:tcW w:w="1249" w:type="pct"/>
            <w:shd w:val="clear" w:color="auto" w:fill="auto"/>
            <w:vAlign w:val="center"/>
          </w:tcPr>
          <w:p w14:paraId="043B3592"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Efficiency indicators</w:t>
            </w:r>
          </w:p>
        </w:tc>
        <w:tc>
          <w:tcPr>
            <w:tcW w:w="1249" w:type="pct"/>
            <w:shd w:val="clear" w:color="auto" w:fill="auto"/>
            <w:vAlign w:val="center"/>
          </w:tcPr>
          <w:p w14:paraId="6E82D4D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Asset turnover</w:t>
            </w:r>
          </w:p>
        </w:tc>
        <w:tc>
          <w:tcPr>
            <w:tcW w:w="1249" w:type="pct"/>
            <w:shd w:val="clear" w:color="auto" w:fill="auto"/>
            <w:vAlign w:val="center"/>
          </w:tcPr>
          <w:p w14:paraId="2C2C1BC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Operating income/average total assets</w:t>
            </w:r>
          </w:p>
        </w:tc>
        <w:tc>
          <w:tcPr>
            <w:tcW w:w="1250" w:type="pct"/>
            <w:shd w:val="clear" w:color="auto" w:fill="auto"/>
            <w:vAlign w:val="center"/>
          </w:tcPr>
          <w:p w14:paraId="3332EC9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Operational efficiency assessment</w:t>
            </w:r>
          </w:p>
        </w:tc>
      </w:tr>
      <w:tr w:rsidR="007353B9" w14:paraId="2CA190B6" w14:textId="77777777">
        <w:trPr>
          <w:trHeight w:val="670"/>
        </w:trPr>
        <w:tc>
          <w:tcPr>
            <w:tcW w:w="1249" w:type="pct"/>
            <w:shd w:val="clear" w:color="auto" w:fill="auto"/>
            <w:vAlign w:val="center"/>
          </w:tcPr>
          <w:p w14:paraId="022B930A" w14:textId="77777777" w:rsidR="007353B9" w:rsidRDefault="007353B9">
            <w:pPr>
              <w:snapToGrid w:val="0"/>
              <w:ind w:firstLineChars="125" w:firstLine="300"/>
              <w:rPr>
                <w:rFonts w:ascii="Times New Roman" w:eastAsia="SimSun" w:hAnsi="Times New Roman" w:cs="Times New Roman"/>
                <w:color w:val="000000"/>
                <w:sz w:val="24"/>
              </w:rPr>
            </w:pPr>
          </w:p>
        </w:tc>
        <w:tc>
          <w:tcPr>
            <w:tcW w:w="1249" w:type="pct"/>
            <w:shd w:val="clear" w:color="auto" w:fill="auto"/>
            <w:vAlign w:val="center"/>
          </w:tcPr>
          <w:p w14:paraId="5CB4864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Capacity Utilization</w:t>
            </w:r>
          </w:p>
        </w:tc>
        <w:tc>
          <w:tcPr>
            <w:tcW w:w="1249" w:type="pct"/>
            <w:shd w:val="clear" w:color="auto" w:fill="auto"/>
            <w:vAlign w:val="center"/>
          </w:tcPr>
          <w:p w14:paraId="148F381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Actual usage/design capacity</w:t>
            </w:r>
          </w:p>
        </w:tc>
        <w:tc>
          <w:tcPr>
            <w:tcW w:w="1250" w:type="pct"/>
            <w:shd w:val="clear" w:color="auto" w:fill="auto"/>
            <w:vAlign w:val="center"/>
          </w:tcPr>
          <w:p w14:paraId="5568B2D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Resource use evaluation</w:t>
            </w:r>
          </w:p>
        </w:tc>
      </w:tr>
      <w:tr w:rsidR="007353B9" w14:paraId="771BDF06" w14:textId="77777777">
        <w:trPr>
          <w:trHeight w:val="677"/>
        </w:trPr>
        <w:tc>
          <w:tcPr>
            <w:tcW w:w="1249" w:type="pct"/>
            <w:shd w:val="clear" w:color="auto" w:fill="auto"/>
            <w:vAlign w:val="center"/>
          </w:tcPr>
          <w:p w14:paraId="4D396F35"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Risk Indicators</w:t>
            </w:r>
          </w:p>
        </w:tc>
        <w:tc>
          <w:tcPr>
            <w:tcW w:w="1249" w:type="pct"/>
            <w:shd w:val="clear" w:color="auto" w:fill="auto"/>
            <w:vAlign w:val="center"/>
          </w:tcPr>
          <w:p w14:paraId="2F6C1CF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Risk-Adjusted Return</w:t>
            </w:r>
          </w:p>
        </w:tc>
        <w:tc>
          <w:tcPr>
            <w:tcW w:w="1249" w:type="pct"/>
            <w:shd w:val="clear" w:color="auto" w:fill="auto"/>
            <w:vAlign w:val="center"/>
          </w:tcPr>
          <w:p w14:paraId="61A0325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Return/Risk Ratio</w:t>
            </w:r>
          </w:p>
        </w:tc>
        <w:tc>
          <w:tcPr>
            <w:tcW w:w="1250" w:type="pct"/>
            <w:shd w:val="clear" w:color="auto" w:fill="auto"/>
            <w:vAlign w:val="center"/>
          </w:tcPr>
          <w:p w14:paraId="59B7B15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Risk-return assessment</w:t>
            </w:r>
          </w:p>
        </w:tc>
      </w:tr>
    </w:tbl>
    <w:p w14:paraId="0347E9C3" w14:textId="77777777" w:rsidR="007353B9" w:rsidRDefault="007353B9">
      <w:pPr>
        <w:pStyle w:val="a7"/>
        <w:widowControl/>
        <w:snapToGrid w:val="0"/>
        <w:spacing w:beforeAutospacing="0" w:afterAutospacing="0" w:line="360" w:lineRule="auto"/>
        <w:ind w:firstLineChars="125" w:firstLine="350"/>
        <w:jc w:val="both"/>
        <w:rPr>
          <w:rFonts w:ascii="Times New Roman" w:hAnsi="Times New Roman"/>
          <w:sz w:val="28"/>
          <w:szCs w:val="28"/>
        </w:rPr>
      </w:pPr>
    </w:p>
    <w:p w14:paraId="78DF85A0"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Table 1</w:t>
      </w:r>
      <w:r>
        <w:rPr>
          <w:rFonts w:ascii="Times New Roman" w:hAnsi="Times New Roman" w:hint="eastAsia"/>
          <w:sz w:val="28"/>
          <w:szCs w:val="28"/>
          <w:lang w:val="en-US"/>
        </w:rPr>
        <w:t>.</w:t>
      </w:r>
      <w:r>
        <w:rPr>
          <w:rFonts w:ascii="Times New Roman" w:hAnsi="Times New Roman"/>
          <w:sz w:val="28"/>
          <w:szCs w:val="28"/>
        </w:rPr>
        <w:t xml:space="preserve">2 provides an in-depth analysis of the complexity of infrastructure profitability assessment. In terms of financial indicators, return on investment (ROI) is the most basic assessment indicator, which directly reflects the profitability of the project; net present value (NPV) provides a more scientific basis for investment decisions by considering the time value of money; internal rate of return (IRR) </w:t>
      </w:r>
      <w:r>
        <w:rPr>
          <w:rFonts w:ascii="Times New Roman" w:hAnsi="Times New Roman"/>
          <w:sz w:val="28"/>
          <w:szCs w:val="28"/>
        </w:rPr>
        <w:lastRenderedPageBreak/>
        <w:t>assesses the investment value of the project from the perspective of rate of return. These three financial indicators complement each other and together form the basic framework of project financial assessment.</w:t>
      </w:r>
    </w:p>
    <w:p w14:paraId="32163647"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Efficiency indicators focus on the operational performance of projects. Among them, asset turnover rate reflects the efficiency of infrastructure asset use and is an important indicator for measuring the level of operational management; capacity utilization rate directly reflects the full extent of facility use and is of great reference value for judging the rationality of project scale. The monitoring and improvement of these efficiency indicators are directly related to the actual benefits of infrastructure investment.</w:t>
      </w:r>
    </w:p>
    <w:p w14:paraId="192D029C"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Risk indicators are an indispensable dimension in infrastructure project evaluation. Risk-adjusted return provides a more comprehensive reference for investment decisions by combining expected returns with risk levels. Given the long investment cycle and high uncertainty of infrastructure projects, scientific risk assessment is particularly important. This risk-adjusted assessment method helps project managers to reasonably control risks while pursuing returns.</w:t>
      </w:r>
    </w:p>
    <w:p w14:paraId="6EC9D2B7"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This multi-level evaluation system not only reflects the scientific and systematic nature of infrastructure profitability assessment, but more importantly, provides an operational tool for the full life cycle management of the project. Through the continuous monitoring and analysis of these indicators, problems in project operations can be discovered in a timely manner, management decisions can be optimized, and infrastructure investment can be ensured to achieve maximum benefits. This is also closely related to the profit model characteristics of different types of infrastructure to be discussed below, and provides an important basis for the formulation of differentiated management strategies.</w:t>
      </w:r>
    </w:p>
    <w:p w14:paraId="4FA5B196"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In practice, different types of infrastructure have significant differences in their profit models, as shown in Table 1-3. These differences directly affect the project's investment strategy and operational management methods.</w:t>
      </w:r>
    </w:p>
    <w:p w14:paraId="229AB21E" w14:textId="77777777" w:rsidR="007B16E3" w:rsidRDefault="007B16E3" w:rsidP="007B16E3">
      <w:pPr>
        <w:pStyle w:val="a7"/>
        <w:widowControl/>
        <w:snapToGrid w:val="0"/>
        <w:spacing w:beforeAutospacing="0" w:afterAutospacing="0" w:line="360" w:lineRule="auto"/>
        <w:ind w:firstLineChars="125" w:firstLine="350"/>
        <w:jc w:val="right"/>
        <w:rPr>
          <w:rStyle w:val="a8"/>
          <w:rFonts w:ascii="Times New Roman" w:hAnsi="Times New Roman"/>
          <w:b w:val="0"/>
          <w:sz w:val="28"/>
          <w:szCs w:val="28"/>
        </w:rPr>
      </w:pPr>
    </w:p>
    <w:p w14:paraId="23AFEE95" w14:textId="77777777" w:rsidR="007353B9" w:rsidRPr="007B16E3" w:rsidRDefault="006F35DE" w:rsidP="007B16E3">
      <w:pPr>
        <w:pStyle w:val="a7"/>
        <w:widowControl/>
        <w:snapToGrid w:val="0"/>
        <w:spacing w:beforeAutospacing="0" w:afterAutospacing="0" w:line="360" w:lineRule="auto"/>
        <w:ind w:firstLineChars="125" w:firstLine="350"/>
        <w:jc w:val="right"/>
        <w:rPr>
          <w:rStyle w:val="a8"/>
          <w:rFonts w:ascii="Times New Roman" w:hAnsi="Times New Roman"/>
          <w:b w:val="0"/>
          <w:sz w:val="28"/>
          <w:szCs w:val="28"/>
        </w:rPr>
      </w:pPr>
      <w:r w:rsidRPr="007B16E3">
        <w:rPr>
          <w:rStyle w:val="a8"/>
          <w:rFonts w:ascii="Times New Roman" w:hAnsi="Times New Roman"/>
          <w:b w:val="0"/>
          <w:sz w:val="28"/>
          <w:szCs w:val="28"/>
        </w:rPr>
        <w:lastRenderedPageBreak/>
        <w:t>Table 1</w:t>
      </w:r>
      <w:r w:rsidRPr="007B16E3">
        <w:rPr>
          <w:rStyle w:val="a8"/>
          <w:rFonts w:ascii="Times New Roman" w:hAnsi="Times New Roman" w:hint="eastAsia"/>
          <w:b w:val="0"/>
          <w:sz w:val="28"/>
          <w:szCs w:val="28"/>
          <w:lang w:val="en-US"/>
        </w:rPr>
        <w:t>.</w:t>
      </w:r>
      <w:r w:rsidRPr="007B16E3">
        <w:rPr>
          <w:rStyle w:val="a8"/>
          <w:rFonts w:ascii="Times New Roman" w:hAnsi="Times New Roman"/>
          <w:b w:val="0"/>
          <w:sz w:val="28"/>
          <w:szCs w:val="28"/>
        </w:rPr>
        <w:t xml:space="preserve">3 </w:t>
      </w:r>
    </w:p>
    <w:p w14:paraId="2F60A11F" w14:textId="77777777" w:rsidR="007353B9" w:rsidRDefault="006F35DE" w:rsidP="007B16E3">
      <w:pPr>
        <w:pStyle w:val="a7"/>
        <w:widowControl/>
        <w:snapToGrid w:val="0"/>
        <w:spacing w:beforeAutospacing="0" w:afterAutospacing="0" w:line="360" w:lineRule="auto"/>
        <w:ind w:firstLineChars="125" w:firstLine="351"/>
        <w:jc w:val="both"/>
        <w:rPr>
          <w:rFonts w:ascii="Times New Roman" w:hAnsi="Times New Roman"/>
          <w:sz w:val="28"/>
          <w:szCs w:val="28"/>
        </w:rPr>
      </w:pPr>
      <w:r>
        <w:rPr>
          <w:rStyle w:val="a8"/>
          <w:rFonts w:ascii="Times New Roman" w:hAnsi="Times New Roman"/>
          <w:sz w:val="28"/>
          <w:szCs w:val="28"/>
        </w:rPr>
        <w:t>Comparison of profit models of different types of infrastructure</w:t>
      </w:r>
    </w:p>
    <w:tbl>
      <w:tblPr>
        <w:tblW w:w="49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2"/>
        <w:gridCol w:w="2322"/>
        <w:gridCol w:w="2322"/>
        <w:gridCol w:w="2325"/>
      </w:tblGrid>
      <w:tr w:rsidR="007353B9" w14:paraId="5D9FF327" w14:textId="77777777">
        <w:trPr>
          <w:trHeight w:val="315"/>
        </w:trPr>
        <w:tc>
          <w:tcPr>
            <w:tcW w:w="1249" w:type="pct"/>
            <w:shd w:val="clear" w:color="auto" w:fill="auto"/>
            <w:vAlign w:val="center"/>
          </w:tcPr>
          <w:p w14:paraId="2911F7AF" w14:textId="77777777" w:rsidR="007353B9" w:rsidRDefault="006F35DE">
            <w:pPr>
              <w:widowControl/>
              <w:snapToGrid w:val="0"/>
              <w:ind w:firstLineChars="125" w:firstLine="301"/>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Infrastructure Type</w:t>
            </w:r>
          </w:p>
        </w:tc>
        <w:tc>
          <w:tcPr>
            <w:tcW w:w="1249" w:type="pct"/>
            <w:shd w:val="clear" w:color="auto" w:fill="auto"/>
            <w:vAlign w:val="center"/>
          </w:tcPr>
          <w:p w14:paraId="3157AAC0" w14:textId="77777777" w:rsidR="007353B9" w:rsidRDefault="006F35DE">
            <w:pPr>
              <w:widowControl/>
              <w:snapToGrid w:val="0"/>
              <w:ind w:firstLineChars="125" w:firstLine="301"/>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Main source of income</w:t>
            </w:r>
          </w:p>
        </w:tc>
        <w:tc>
          <w:tcPr>
            <w:tcW w:w="1249" w:type="pct"/>
            <w:shd w:val="clear" w:color="auto" w:fill="auto"/>
            <w:vAlign w:val="center"/>
          </w:tcPr>
          <w:p w14:paraId="0B3E47BE" w14:textId="77777777" w:rsidR="007353B9" w:rsidRDefault="006F35DE">
            <w:pPr>
              <w:widowControl/>
              <w:snapToGrid w:val="0"/>
              <w:ind w:firstLineChars="125" w:firstLine="301"/>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Profitability characteristics</w:t>
            </w:r>
          </w:p>
        </w:tc>
        <w:tc>
          <w:tcPr>
            <w:tcW w:w="1250" w:type="pct"/>
            <w:shd w:val="clear" w:color="auto" w:fill="auto"/>
            <w:vAlign w:val="center"/>
          </w:tcPr>
          <w:p w14:paraId="6F52FC24" w14:textId="77777777" w:rsidR="007353B9" w:rsidRDefault="006F35DE">
            <w:pPr>
              <w:widowControl/>
              <w:snapToGrid w:val="0"/>
              <w:ind w:firstLineChars="125" w:firstLine="301"/>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Payback period</w:t>
            </w:r>
          </w:p>
        </w:tc>
      </w:tr>
      <w:tr w:rsidR="007353B9" w14:paraId="588BBD52" w14:textId="77777777">
        <w:trPr>
          <w:trHeight w:val="470"/>
        </w:trPr>
        <w:tc>
          <w:tcPr>
            <w:tcW w:w="1249" w:type="pct"/>
            <w:shd w:val="clear" w:color="auto" w:fill="auto"/>
            <w:vAlign w:val="center"/>
          </w:tcPr>
          <w:p w14:paraId="5C400598"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Transportation Facilities</w:t>
            </w:r>
          </w:p>
        </w:tc>
        <w:tc>
          <w:tcPr>
            <w:tcW w:w="1249" w:type="pct"/>
            <w:shd w:val="clear" w:color="auto" w:fill="auto"/>
            <w:vAlign w:val="center"/>
          </w:tcPr>
          <w:p w14:paraId="1F237DAD"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Tolls and rental income</w:t>
            </w:r>
          </w:p>
        </w:tc>
        <w:tc>
          <w:tcPr>
            <w:tcW w:w="1249" w:type="pct"/>
            <w:shd w:val="clear" w:color="auto" w:fill="auto"/>
            <w:vAlign w:val="center"/>
          </w:tcPr>
          <w:p w14:paraId="2F990714"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Stable cash flow and long cycle</w:t>
            </w:r>
          </w:p>
        </w:tc>
        <w:tc>
          <w:tcPr>
            <w:tcW w:w="1250" w:type="pct"/>
            <w:shd w:val="clear" w:color="auto" w:fill="auto"/>
            <w:vAlign w:val="center"/>
          </w:tcPr>
          <w:p w14:paraId="1CB14AB5"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15-30 years</w:t>
            </w:r>
          </w:p>
        </w:tc>
      </w:tr>
      <w:tr w:rsidR="007353B9" w14:paraId="24084A86" w14:textId="77777777">
        <w:trPr>
          <w:trHeight w:val="470"/>
        </w:trPr>
        <w:tc>
          <w:tcPr>
            <w:tcW w:w="1249" w:type="pct"/>
            <w:shd w:val="clear" w:color="auto" w:fill="auto"/>
            <w:vAlign w:val="center"/>
          </w:tcPr>
          <w:p w14:paraId="03EADC24"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Energy facilities</w:t>
            </w:r>
          </w:p>
        </w:tc>
        <w:tc>
          <w:tcPr>
            <w:tcW w:w="1249" w:type="pct"/>
            <w:shd w:val="clear" w:color="auto" w:fill="auto"/>
            <w:vAlign w:val="center"/>
          </w:tcPr>
          <w:p w14:paraId="640C1363"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Supply charges, capacity charges</w:t>
            </w:r>
          </w:p>
        </w:tc>
        <w:tc>
          <w:tcPr>
            <w:tcW w:w="1249" w:type="pct"/>
            <w:shd w:val="clear" w:color="auto" w:fill="auto"/>
            <w:vAlign w:val="center"/>
          </w:tcPr>
          <w:p w14:paraId="3E50B3A7"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Rigid demand and stable income</w:t>
            </w:r>
          </w:p>
        </w:tc>
        <w:tc>
          <w:tcPr>
            <w:tcW w:w="1250" w:type="pct"/>
            <w:shd w:val="clear" w:color="auto" w:fill="auto"/>
            <w:vAlign w:val="center"/>
          </w:tcPr>
          <w:p w14:paraId="3908DCB8"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10-20 years</w:t>
            </w:r>
          </w:p>
        </w:tc>
      </w:tr>
      <w:tr w:rsidR="007353B9" w14:paraId="1CAC0DA6" w14:textId="77777777">
        <w:trPr>
          <w:trHeight w:val="624"/>
        </w:trPr>
        <w:tc>
          <w:tcPr>
            <w:tcW w:w="1249" w:type="pct"/>
            <w:shd w:val="clear" w:color="auto" w:fill="auto"/>
            <w:vAlign w:val="center"/>
          </w:tcPr>
          <w:p w14:paraId="6D1FBBB0"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Communication facilities</w:t>
            </w:r>
          </w:p>
        </w:tc>
        <w:tc>
          <w:tcPr>
            <w:tcW w:w="1249" w:type="pct"/>
            <w:shd w:val="clear" w:color="auto" w:fill="auto"/>
            <w:vAlign w:val="center"/>
          </w:tcPr>
          <w:p w14:paraId="757033F0"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Service fees, rental fees</w:t>
            </w:r>
          </w:p>
        </w:tc>
        <w:tc>
          <w:tcPr>
            <w:tcW w:w="1249" w:type="pct"/>
            <w:shd w:val="clear" w:color="auto" w:fill="auto"/>
            <w:vAlign w:val="center"/>
          </w:tcPr>
          <w:p w14:paraId="6C8578B1"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Rapid technological updates and strong competitiveness</w:t>
            </w:r>
          </w:p>
        </w:tc>
        <w:tc>
          <w:tcPr>
            <w:tcW w:w="1250" w:type="pct"/>
            <w:shd w:val="clear" w:color="auto" w:fill="auto"/>
            <w:vAlign w:val="center"/>
          </w:tcPr>
          <w:p w14:paraId="57741DE7"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5-10 years</w:t>
            </w:r>
          </w:p>
        </w:tc>
      </w:tr>
      <w:tr w:rsidR="007353B9" w14:paraId="23B81484" w14:textId="77777777">
        <w:trPr>
          <w:trHeight w:val="784"/>
        </w:trPr>
        <w:tc>
          <w:tcPr>
            <w:tcW w:w="1249" w:type="pct"/>
            <w:shd w:val="clear" w:color="auto" w:fill="auto"/>
            <w:vAlign w:val="center"/>
          </w:tcPr>
          <w:p w14:paraId="0F944DE8"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Municipal facilities</w:t>
            </w:r>
          </w:p>
        </w:tc>
        <w:tc>
          <w:tcPr>
            <w:tcW w:w="1249" w:type="pct"/>
            <w:shd w:val="clear" w:color="auto" w:fill="auto"/>
            <w:vAlign w:val="center"/>
          </w:tcPr>
          <w:p w14:paraId="477D8463"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User fees and financial subsidies</w:t>
            </w:r>
          </w:p>
        </w:tc>
        <w:tc>
          <w:tcPr>
            <w:tcW w:w="1249" w:type="pct"/>
            <w:shd w:val="clear" w:color="auto" w:fill="auto"/>
            <w:vAlign w:val="center"/>
          </w:tcPr>
          <w:p w14:paraId="354CB244"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Quasi-public goods attributes and significant social benefits</w:t>
            </w:r>
          </w:p>
        </w:tc>
        <w:tc>
          <w:tcPr>
            <w:tcW w:w="1250" w:type="pct"/>
            <w:shd w:val="clear" w:color="auto" w:fill="auto"/>
            <w:vAlign w:val="center"/>
          </w:tcPr>
          <w:p w14:paraId="5A5FAE8C" w14:textId="77777777" w:rsidR="007353B9" w:rsidRDefault="006F35DE">
            <w:pPr>
              <w:widowControl/>
              <w:snapToGrid w:val="0"/>
              <w:ind w:firstLineChars="125" w:firstLine="30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20-30 years</w:t>
            </w:r>
          </w:p>
        </w:tc>
      </w:tr>
    </w:tbl>
    <w:p w14:paraId="67F7D5C1" w14:textId="77777777" w:rsidR="007353B9" w:rsidRDefault="007353B9">
      <w:pPr>
        <w:pStyle w:val="a7"/>
        <w:widowControl/>
        <w:snapToGrid w:val="0"/>
        <w:spacing w:beforeAutospacing="0" w:afterAutospacing="0" w:line="360" w:lineRule="auto"/>
        <w:ind w:firstLineChars="125" w:firstLine="350"/>
        <w:jc w:val="both"/>
        <w:rPr>
          <w:rFonts w:ascii="Times New Roman" w:hAnsi="Times New Roman"/>
          <w:sz w:val="28"/>
          <w:szCs w:val="28"/>
        </w:rPr>
      </w:pPr>
    </w:p>
    <w:p w14:paraId="29D04A18"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Through the comparison in Tables 1</w:t>
      </w:r>
      <w:r>
        <w:rPr>
          <w:rFonts w:ascii="Times New Roman" w:hAnsi="Times New Roman" w:hint="eastAsia"/>
          <w:sz w:val="28"/>
          <w:szCs w:val="28"/>
          <w:lang w:val="en-US"/>
        </w:rPr>
        <w:t>.</w:t>
      </w:r>
      <w:r>
        <w:rPr>
          <w:rFonts w:ascii="Times New Roman" w:hAnsi="Times New Roman"/>
          <w:sz w:val="28"/>
          <w:szCs w:val="28"/>
        </w:rPr>
        <w:t>3, it can be found that transportation and municipal facilities usually have a longer payback period, which is related to their large investment scale and significant social benefits. In contrast, the payback period of communication facilities is shorter, but they face the challenges of rapid technological updates and fierce market competition. This difference requires that the characteristics of different types of infrastructure must be fully considered when formulating investment and operation strategies, and differentiated management methods must be adopted.</w:t>
      </w:r>
    </w:p>
    <w:p w14:paraId="36B753A9"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In the context of digital transformation and green development, the improvement of infrastructure profitability faces new opportunities and challenges. The application of digital technologies such as intelligent operation management systems, Internet of Things technologies, and big data analysis platforms can significantly improve the operational efficiency and service quality of infrastructure. At the same time, under the goal of "carbon peak and carbon neutrality", infrastructure construction needs to pay more attention to improving energy efficiency, applying environmentally friendly technologies, and protecting ecosystems to promote green and low-carbon development.</w:t>
      </w:r>
    </w:p>
    <w:p w14:paraId="3211452D"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lastRenderedPageBreak/>
        <w:t>From the perspective of policy recommendations, improving the profitability of infrastructure requires a multi-pronged approach: improving the legal and regulatory system to provide institutional guarantees for infrastructure investment and operation; innovating investment and financing mechanisms to broaden financing channels; strengthening technological innovation to promote intelligent transformation; improving the risk management system to improve operational efficiency; strengthening environmental protection to promote green development. In the context of globalization, the improvement of infrastructure profitability must be based on both domestic realities and international experience to promote high-quality development of infrastructure construction and operation.</w:t>
      </w:r>
    </w:p>
    <w:p w14:paraId="5B978D76" w14:textId="77777777" w:rsidR="007353B9" w:rsidRDefault="006F35DE">
      <w:pPr>
        <w:pStyle w:val="a7"/>
        <w:widowControl/>
        <w:snapToGrid w:val="0"/>
        <w:spacing w:beforeAutospacing="0" w:afterAutospacing="0" w:line="360" w:lineRule="auto"/>
        <w:ind w:firstLineChars="125" w:firstLine="350"/>
        <w:jc w:val="both"/>
        <w:rPr>
          <w:rFonts w:ascii="Times New Roman" w:hAnsi="Times New Roman"/>
          <w:sz w:val="28"/>
          <w:szCs w:val="28"/>
        </w:rPr>
      </w:pPr>
      <w:r>
        <w:rPr>
          <w:rFonts w:ascii="Times New Roman" w:hAnsi="Times New Roman"/>
          <w:sz w:val="28"/>
          <w:szCs w:val="28"/>
        </w:rPr>
        <w:t>In general, infrastructure profitability is a dynamically evolving concept that needs to be continuously adjusted and optimized according to actual needs at different stages of economic development. Under the new development pattern, infrastructure construction should pay more attention to quality and efficiency, drive the improvement of overall economic efficiency through the improvement of profitability, and provide strong support for the sustainable development of the economy and society. In the future, with technological progress and institutional innovation, the connotation of infrastructure profitability will be further enriched, and the evaluation method will be more scientific and complete, which will also provide new impetus for the sustainable development of infrastructure.</w:t>
      </w:r>
    </w:p>
    <w:p w14:paraId="601AD7F5" w14:textId="77777777" w:rsidR="007353B9" w:rsidRDefault="007353B9">
      <w:pPr>
        <w:snapToGrid w:val="0"/>
        <w:spacing w:line="360" w:lineRule="auto"/>
        <w:ind w:firstLineChars="125" w:firstLine="350"/>
        <w:rPr>
          <w:rFonts w:ascii="Times New Roman" w:hAnsi="Times New Roman" w:cs="Times New Roman"/>
          <w:sz w:val="28"/>
          <w:szCs w:val="28"/>
        </w:rPr>
      </w:pPr>
    </w:p>
    <w:p w14:paraId="00DBC805" w14:textId="77777777" w:rsidR="007353B9" w:rsidRDefault="006F35DE">
      <w:pPr>
        <w:jc w:val="center"/>
        <w:rPr>
          <w:rFonts w:ascii="Times New Roman" w:hAnsi="Times New Roman" w:cs="Times New Roman"/>
          <w:b/>
          <w:bCs/>
          <w:sz w:val="32"/>
          <w:szCs w:val="40"/>
        </w:rPr>
      </w:pPr>
      <w:bookmarkStart w:id="7" w:name="_Toc31034"/>
      <w:r>
        <w:rPr>
          <w:rFonts w:ascii="Times New Roman" w:hAnsi="Times New Roman" w:cs="Times New Roman"/>
          <w:b/>
          <w:bCs/>
          <w:sz w:val="32"/>
          <w:szCs w:val="40"/>
        </w:rPr>
        <w:t>CHAPTER 2</w:t>
      </w:r>
    </w:p>
    <w:p w14:paraId="0A951E85" w14:textId="77777777" w:rsidR="007353B9" w:rsidRDefault="006F35DE">
      <w:pPr>
        <w:snapToGrid w:val="0"/>
        <w:jc w:val="center"/>
        <w:outlineLvl w:val="0"/>
        <w:rPr>
          <w:rFonts w:ascii="Times New Roman" w:hAnsi="Times New Roman" w:cs="Times New Roman"/>
          <w:b/>
          <w:bCs/>
          <w:sz w:val="32"/>
          <w:szCs w:val="40"/>
        </w:rPr>
      </w:pPr>
      <w:r>
        <w:rPr>
          <w:rFonts w:ascii="Times New Roman" w:hAnsi="Times New Roman" w:cs="Times New Roman"/>
          <w:b/>
          <w:bCs/>
          <w:sz w:val="32"/>
          <w:szCs w:val="40"/>
        </w:rPr>
        <w:t>RESEARCH OF THE ANTICRISIS MANAGEMENT BASED ON ANALYSIS OF DEMAND DYNAMICS AND INFRASTRUCTURE PROFITABILITY</w:t>
      </w:r>
      <w:bookmarkEnd w:id="7"/>
    </w:p>
    <w:p w14:paraId="15C0785C" w14:textId="77777777" w:rsidR="007353B9" w:rsidRDefault="007353B9">
      <w:pPr>
        <w:snapToGrid w:val="0"/>
        <w:jc w:val="center"/>
        <w:outlineLvl w:val="0"/>
        <w:rPr>
          <w:rFonts w:ascii="Times New Roman" w:hAnsi="Times New Roman" w:cs="Times New Roman"/>
          <w:b/>
          <w:bCs/>
          <w:sz w:val="28"/>
          <w:szCs w:val="28"/>
        </w:rPr>
      </w:pPr>
    </w:p>
    <w:p w14:paraId="13D62E90" w14:textId="77777777" w:rsidR="007353B9" w:rsidRDefault="006F35DE">
      <w:pPr>
        <w:snapToGrid w:val="0"/>
        <w:jc w:val="center"/>
        <w:outlineLvl w:val="1"/>
        <w:rPr>
          <w:rFonts w:ascii="Times New Roman" w:hAnsi="Times New Roman" w:cs="Times New Roman"/>
          <w:b/>
          <w:bCs/>
          <w:sz w:val="28"/>
          <w:szCs w:val="28"/>
        </w:rPr>
      </w:pPr>
      <w:bookmarkStart w:id="8" w:name="_Toc13923"/>
      <w:r>
        <w:rPr>
          <w:rFonts w:ascii="Times New Roman" w:hAnsi="Times New Roman" w:cs="Times New Roman"/>
          <w:b/>
          <w:bCs/>
          <w:sz w:val="28"/>
          <w:szCs w:val="28"/>
        </w:rPr>
        <w:t>2.1. Analysis of demand dynamics over the last 5 years</w:t>
      </w:r>
      <w:bookmarkEnd w:id="8"/>
    </w:p>
    <w:p w14:paraId="1AC510EF" w14:textId="77777777" w:rsidR="007353B9" w:rsidRDefault="007353B9">
      <w:pPr>
        <w:snapToGrid w:val="0"/>
        <w:jc w:val="center"/>
        <w:outlineLvl w:val="1"/>
        <w:rPr>
          <w:rFonts w:ascii="Times New Roman" w:hAnsi="Times New Roman" w:cs="Times New Roman"/>
          <w:b/>
          <w:bCs/>
          <w:sz w:val="28"/>
          <w:szCs w:val="28"/>
        </w:rPr>
      </w:pPr>
    </w:p>
    <w:p w14:paraId="15276F04"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Based on the in-depth discussion of demand dynamics theory in Chapter 1, this section will use empirical analysis methods to systematically study the dynamic changes in demand over the past five years. By collecting and analyzing </w:t>
      </w:r>
      <w:r>
        <w:rPr>
          <w:rFonts w:ascii="Times New Roman" w:hAnsi="Times New Roman" w:cs="Times New Roman"/>
          <w:sz w:val="28"/>
          <w:szCs w:val="28"/>
        </w:rPr>
        <w:lastRenderedPageBreak/>
        <w:t>authoritative data, we will explore the trend characteristics, driving factors and implications of demand changes for anti-crisis management.</w:t>
      </w:r>
    </w:p>
    <w:p w14:paraId="24DAA18B"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China's economic demand structure has changed significantly in the past five years. From the perspective of consumption, investment and foreign trade, it mainly shows the following characteristics:</w:t>
      </w:r>
    </w:p>
    <w:p w14:paraId="72740C59"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First, the total retail sales of consumer goods showed a recovery trend. As shown in Table</w:t>
      </w:r>
      <w:r>
        <w:rPr>
          <w:rFonts w:ascii="Times New Roman" w:hAnsi="Times New Roman" w:cs="Times New Roman" w:hint="eastAsia"/>
          <w:sz w:val="28"/>
          <w:szCs w:val="28"/>
          <w:lang w:val="en-US"/>
        </w:rPr>
        <w:t xml:space="preserve"> 2.1</w:t>
      </w:r>
      <w:r>
        <w:rPr>
          <w:rFonts w:ascii="Times New Roman" w:hAnsi="Times New Roman" w:cs="Times New Roman"/>
          <w:sz w:val="28"/>
          <w:szCs w:val="28"/>
          <w:lang w:val="en-US"/>
        </w:rPr>
        <w:t xml:space="preserve"> </w:t>
      </w:r>
      <w:r>
        <w:rPr>
          <w:rFonts w:ascii="Times New Roman" w:hAnsi="Times New Roman" w:cs="Times New Roman"/>
          <w:sz w:val="28"/>
          <w:szCs w:val="28"/>
        </w:rPr>
        <w:t>, the trend of digital transformation can be clearly observed from the evolution of consumption structure.</w:t>
      </w:r>
    </w:p>
    <w:p w14:paraId="690AB963" w14:textId="77777777" w:rsidR="007353B9" w:rsidRPr="007B16E3" w:rsidRDefault="006F35DE" w:rsidP="007B16E3">
      <w:pPr>
        <w:pStyle w:val="a7"/>
        <w:widowControl/>
        <w:snapToGrid w:val="0"/>
        <w:spacing w:beforeAutospacing="0" w:afterAutospacing="0" w:line="360" w:lineRule="auto"/>
        <w:ind w:firstLineChars="200" w:firstLine="560"/>
        <w:jc w:val="right"/>
        <w:rPr>
          <w:rFonts w:ascii="Times New Roman" w:hAnsi="Times New Roman"/>
          <w:bCs/>
          <w:sz w:val="28"/>
          <w:szCs w:val="28"/>
          <w:lang w:val="en-US"/>
        </w:rPr>
      </w:pPr>
      <w:r w:rsidRPr="007B16E3">
        <w:rPr>
          <w:rFonts w:ascii="Times New Roman" w:hAnsi="Times New Roman"/>
          <w:bCs/>
          <w:sz w:val="28"/>
          <w:szCs w:val="28"/>
        </w:rPr>
        <w:t xml:space="preserve">Table </w:t>
      </w:r>
      <w:r w:rsidRPr="007B16E3">
        <w:rPr>
          <w:rFonts w:ascii="Times New Roman" w:hAnsi="Times New Roman" w:hint="eastAsia"/>
          <w:bCs/>
          <w:sz w:val="28"/>
          <w:szCs w:val="28"/>
          <w:lang w:val="en-US"/>
        </w:rPr>
        <w:t>2.1</w:t>
      </w:r>
    </w:p>
    <w:p w14:paraId="5B7707B8" w14:textId="77777777" w:rsidR="007353B9" w:rsidRDefault="006F35DE" w:rsidP="007B16E3">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Analysis of Total Retail Sales of Consumer Goods Structure (2019-2023)</w:t>
      </w:r>
    </w:p>
    <w:tbl>
      <w:tblPr>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1523"/>
        <w:gridCol w:w="1954"/>
        <w:gridCol w:w="1080"/>
        <w:gridCol w:w="1909"/>
        <w:gridCol w:w="1909"/>
      </w:tblGrid>
      <w:tr w:rsidR="007353B9" w14:paraId="0B71397F" w14:textId="77777777">
        <w:trPr>
          <w:trHeight w:val="1799"/>
        </w:trPr>
        <w:tc>
          <w:tcPr>
            <w:tcW w:w="464" w:type="pct"/>
            <w:shd w:val="clear" w:color="auto" w:fill="auto"/>
            <w:vAlign w:val="center"/>
          </w:tcPr>
          <w:p w14:paraId="0070083F"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825" w:type="pct"/>
            <w:shd w:val="clear" w:color="auto" w:fill="auto"/>
            <w:vAlign w:val="center"/>
          </w:tcPr>
          <w:p w14:paraId="64F909AA"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Retail Sales of Consumer Goods (Trillion RMB)</w:t>
            </w:r>
          </w:p>
        </w:tc>
        <w:tc>
          <w:tcPr>
            <w:tcW w:w="1057" w:type="pct"/>
            <w:shd w:val="clear" w:color="auto" w:fill="auto"/>
            <w:vAlign w:val="center"/>
          </w:tcPr>
          <w:p w14:paraId="40F4A21D"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Year-on-Year Growth Rate (%)</w:t>
            </w:r>
          </w:p>
        </w:tc>
        <w:tc>
          <w:tcPr>
            <w:tcW w:w="585" w:type="pct"/>
            <w:shd w:val="clear" w:color="auto" w:fill="auto"/>
            <w:vAlign w:val="center"/>
          </w:tcPr>
          <w:p w14:paraId="03FC124C"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Online Retail Sales Share (%)</w:t>
            </w:r>
          </w:p>
        </w:tc>
        <w:tc>
          <w:tcPr>
            <w:tcW w:w="1033" w:type="pct"/>
            <w:shd w:val="clear" w:color="auto" w:fill="auto"/>
            <w:vAlign w:val="center"/>
          </w:tcPr>
          <w:p w14:paraId="7856A654"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Rural Consumption Share (%)</w:t>
            </w:r>
          </w:p>
        </w:tc>
        <w:tc>
          <w:tcPr>
            <w:tcW w:w="1033" w:type="pct"/>
            <w:shd w:val="clear" w:color="auto" w:fill="auto"/>
            <w:vAlign w:val="center"/>
          </w:tcPr>
          <w:p w14:paraId="2F37D19D"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Service Consumption Share (%)</w:t>
            </w:r>
          </w:p>
        </w:tc>
      </w:tr>
      <w:tr w:rsidR="007353B9" w14:paraId="509BF5B2" w14:textId="77777777">
        <w:trPr>
          <w:trHeight w:val="306"/>
        </w:trPr>
        <w:tc>
          <w:tcPr>
            <w:tcW w:w="464" w:type="pct"/>
            <w:shd w:val="clear" w:color="auto" w:fill="auto"/>
            <w:vAlign w:val="center"/>
          </w:tcPr>
          <w:p w14:paraId="11B77F3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825" w:type="pct"/>
            <w:shd w:val="clear" w:color="auto" w:fill="auto"/>
            <w:vAlign w:val="center"/>
          </w:tcPr>
          <w:p w14:paraId="47988F7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41.2</w:t>
            </w:r>
          </w:p>
        </w:tc>
        <w:tc>
          <w:tcPr>
            <w:tcW w:w="1057" w:type="pct"/>
            <w:shd w:val="clear" w:color="auto" w:fill="auto"/>
            <w:vAlign w:val="center"/>
          </w:tcPr>
          <w:p w14:paraId="42C589D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w:t>
            </w:r>
          </w:p>
        </w:tc>
        <w:tc>
          <w:tcPr>
            <w:tcW w:w="585" w:type="pct"/>
            <w:shd w:val="clear" w:color="auto" w:fill="auto"/>
            <w:vAlign w:val="center"/>
          </w:tcPr>
          <w:p w14:paraId="2F452E3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23.7</w:t>
            </w:r>
          </w:p>
        </w:tc>
        <w:tc>
          <w:tcPr>
            <w:tcW w:w="1033" w:type="pct"/>
            <w:shd w:val="clear" w:color="auto" w:fill="auto"/>
            <w:vAlign w:val="center"/>
          </w:tcPr>
          <w:p w14:paraId="0C0A76D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14.8</w:t>
            </w:r>
          </w:p>
        </w:tc>
        <w:tc>
          <w:tcPr>
            <w:tcW w:w="1033" w:type="pct"/>
            <w:shd w:val="clear" w:color="auto" w:fill="auto"/>
            <w:vAlign w:val="center"/>
          </w:tcPr>
          <w:p w14:paraId="087D791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44.2</w:t>
            </w:r>
          </w:p>
        </w:tc>
      </w:tr>
      <w:tr w:rsidR="007353B9" w14:paraId="514D3043" w14:textId="77777777">
        <w:trPr>
          <w:trHeight w:val="306"/>
        </w:trPr>
        <w:tc>
          <w:tcPr>
            <w:tcW w:w="464" w:type="pct"/>
            <w:shd w:val="clear" w:color="auto" w:fill="auto"/>
            <w:vAlign w:val="center"/>
          </w:tcPr>
          <w:p w14:paraId="0A2D954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825" w:type="pct"/>
            <w:shd w:val="clear" w:color="auto" w:fill="auto"/>
            <w:vAlign w:val="center"/>
          </w:tcPr>
          <w:p w14:paraId="11C519B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39.2</w:t>
            </w:r>
          </w:p>
        </w:tc>
        <w:tc>
          <w:tcPr>
            <w:tcW w:w="1057" w:type="pct"/>
            <w:shd w:val="clear" w:color="auto" w:fill="auto"/>
            <w:vAlign w:val="center"/>
          </w:tcPr>
          <w:p w14:paraId="51794A0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w:t>
            </w:r>
          </w:p>
        </w:tc>
        <w:tc>
          <w:tcPr>
            <w:tcW w:w="585" w:type="pct"/>
            <w:shd w:val="clear" w:color="auto" w:fill="auto"/>
            <w:vAlign w:val="center"/>
          </w:tcPr>
          <w:p w14:paraId="351A4E6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26.5</w:t>
            </w:r>
          </w:p>
        </w:tc>
        <w:tc>
          <w:tcPr>
            <w:tcW w:w="1033" w:type="pct"/>
            <w:shd w:val="clear" w:color="auto" w:fill="auto"/>
            <w:vAlign w:val="center"/>
          </w:tcPr>
          <w:p w14:paraId="4D3FA1E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14.2</w:t>
            </w:r>
          </w:p>
        </w:tc>
        <w:tc>
          <w:tcPr>
            <w:tcW w:w="1033" w:type="pct"/>
            <w:shd w:val="clear" w:color="auto" w:fill="auto"/>
            <w:vAlign w:val="center"/>
          </w:tcPr>
          <w:p w14:paraId="1D333A3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42.5</w:t>
            </w:r>
          </w:p>
        </w:tc>
      </w:tr>
      <w:tr w:rsidR="007353B9" w14:paraId="1E09216D" w14:textId="77777777">
        <w:trPr>
          <w:trHeight w:val="306"/>
        </w:trPr>
        <w:tc>
          <w:tcPr>
            <w:tcW w:w="464" w:type="pct"/>
            <w:shd w:val="clear" w:color="auto" w:fill="auto"/>
            <w:vAlign w:val="center"/>
          </w:tcPr>
          <w:p w14:paraId="194163D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825" w:type="pct"/>
            <w:shd w:val="clear" w:color="auto" w:fill="auto"/>
            <w:vAlign w:val="center"/>
          </w:tcPr>
          <w:p w14:paraId="7C9FFF5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44.1</w:t>
            </w:r>
          </w:p>
        </w:tc>
        <w:tc>
          <w:tcPr>
            <w:tcW w:w="1057" w:type="pct"/>
            <w:shd w:val="clear" w:color="auto" w:fill="auto"/>
            <w:vAlign w:val="center"/>
          </w:tcPr>
          <w:p w14:paraId="21140E2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12.5</w:t>
            </w:r>
          </w:p>
        </w:tc>
        <w:tc>
          <w:tcPr>
            <w:tcW w:w="585" w:type="pct"/>
            <w:shd w:val="clear" w:color="auto" w:fill="auto"/>
            <w:vAlign w:val="center"/>
          </w:tcPr>
          <w:p w14:paraId="196F4B0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28.9</w:t>
            </w:r>
          </w:p>
        </w:tc>
        <w:tc>
          <w:tcPr>
            <w:tcW w:w="1033" w:type="pct"/>
            <w:shd w:val="clear" w:color="auto" w:fill="auto"/>
            <w:vAlign w:val="center"/>
          </w:tcPr>
          <w:p w14:paraId="5D9E1E1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14.5</w:t>
            </w:r>
          </w:p>
        </w:tc>
        <w:tc>
          <w:tcPr>
            <w:tcW w:w="1033" w:type="pct"/>
            <w:shd w:val="clear" w:color="auto" w:fill="auto"/>
            <w:vAlign w:val="center"/>
          </w:tcPr>
          <w:p w14:paraId="15F61ED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43.8</w:t>
            </w:r>
          </w:p>
        </w:tc>
      </w:tr>
      <w:tr w:rsidR="007353B9" w14:paraId="2AF64B6A" w14:textId="77777777">
        <w:trPr>
          <w:trHeight w:val="306"/>
        </w:trPr>
        <w:tc>
          <w:tcPr>
            <w:tcW w:w="464" w:type="pct"/>
            <w:shd w:val="clear" w:color="auto" w:fill="auto"/>
            <w:vAlign w:val="center"/>
          </w:tcPr>
          <w:p w14:paraId="5F5422D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825" w:type="pct"/>
            <w:shd w:val="clear" w:color="auto" w:fill="auto"/>
            <w:vAlign w:val="center"/>
          </w:tcPr>
          <w:p w14:paraId="39C9A6E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45.5</w:t>
            </w:r>
          </w:p>
        </w:tc>
        <w:tc>
          <w:tcPr>
            <w:tcW w:w="1057" w:type="pct"/>
            <w:shd w:val="clear" w:color="auto" w:fill="auto"/>
            <w:vAlign w:val="center"/>
          </w:tcPr>
          <w:p w14:paraId="08152EC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w:t>
            </w:r>
          </w:p>
        </w:tc>
        <w:tc>
          <w:tcPr>
            <w:tcW w:w="585" w:type="pct"/>
            <w:shd w:val="clear" w:color="auto" w:fill="auto"/>
            <w:vAlign w:val="center"/>
          </w:tcPr>
          <w:p w14:paraId="2FB17FD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30.8</w:t>
            </w:r>
          </w:p>
        </w:tc>
        <w:tc>
          <w:tcPr>
            <w:tcW w:w="1033" w:type="pct"/>
            <w:shd w:val="clear" w:color="auto" w:fill="auto"/>
            <w:vAlign w:val="center"/>
          </w:tcPr>
          <w:p w14:paraId="4781F6E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14.7</w:t>
            </w:r>
          </w:p>
        </w:tc>
        <w:tc>
          <w:tcPr>
            <w:tcW w:w="1033" w:type="pct"/>
            <w:shd w:val="clear" w:color="auto" w:fill="auto"/>
            <w:vAlign w:val="center"/>
          </w:tcPr>
          <w:p w14:paraId="5FE9E4A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44.5</w:t>
            </w:r>
          </w:p>
        </w:tc>
      </w:tr>
      <w:tr w:rsidR="007353B9" w14:paraId="3964EF17" w14:textId="77777777">
        <w:trPr>
          <w:trHeight w:val="313"/>
        </w:trPr>
        <w:tc>
          <w:tcPr>
            <w:tcW w:w="464" w:type="pct"/>
            <w:shd w:val="clear" w:color="auto" w:fill="auto"/>
            <w:vAlign w:val="center"/>
          </w:tcPr>
          <w:p w14:paraId="45B7EC7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825" w:type="pct"/>
            <w:shd w:val="clear" w:color="auto" w:fill="auto"/>
            <w:vAlign w:val="center"/>
          </w:tcPr>
          <w:p w14:paraId="3BF650B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47.8</w:t>
            </w:r>
          </w:p>
        </w:tc>
        <w:tc>
          <w:tcPr>
            <w:tcW w:w="1057" w:type="pct"/>
            <w:shd w:val="clear" w:color="auto" w:fill="auto"/>
            <w:vAlign w:val="center"/>
          </w:tcPr>
          <w:p w14:paraId="73844A8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5.1</w:t>
            </w:r>
          </w:p>
        </w:tc>
        <w:tc>
          <w:tcPr>
            <w:tcW w:w="585" w:type="pct"/>
            <w:shd w:val="clear" w:color="auto" w:fill="auto"/>
            <w:vAlign w:val="center"/>
          </w:tcPr>
          <w:p w14:paraId="352B53F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32.2</w:t>
            </w:r>
          </w:p>
        </w:tc>
        <w:tc>
          <w:tcPr>
            <w:tcW w:w="1033" w:type="pct"/>
            <w:shd w:val="clear" w:color="auto" w:fill="auto"/>
            <w:vAlign w:val="center"/>
          </w:tcPr>
          <w:p w14:paraId="5A41E70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w:t>
            </w:r>
          </w:p>
        </w:tc>
        <w:tc>
          <w:tcPr>
            <w:tcW w:w="1033" w:type="pct"/>
            <w:shd w:val="clear" w:color="auto" w:fill="auto"/>
            <w:vAlign w:val="center"/>
          </w:tcPr>
          <w:p w14:paraId="2D47DFE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45.2</w:t>
            </w:r>
          </w:p>
        </w:tc>
      </w:tr>
    </w:tbl>
    <w:p w14:paraId="70352736"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422E2500"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It is particularly noteworthy that the proportion of online retail continues to increase, from 23.7% in 2019 to 32.2% in 2023, reflecting the significant results of the digital transformation of consumption patterns. At the same time, the proportion of service consumption has gradually recovered from the impact of the epidemic, indicating that the consumption structure continues to optimize. Although the proportion of rural consumption has fluctuated, it has remained stable overall, indicating that urban and rural consumption has developed in a coordinated manner.</w:t>
      </w:r>
    </w:p>
    <w:p w14:paraId="7F4E3781"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Secondly, the structure of fixed asset investment has undergone significant changes. As shown in Table </w:t>
      </w:r>
      <w:r>
        <w:rPr>
          <w:rFonts w:ascii="Times New Roman" w:hAnsi="Times New Roman" w:hint="eastAsia"/>
          <w:sz w:val="28"/>
          <w:szCs w:val="28"/>
          <w:lang w:val="en-US"/>
        </w:rPr>
        <w:t>2.2</w:t>
      </w:r>
      <w:r>
        <w:rPr>
          <w:rFonts w:ascii="Times New Roman" w:hAnsi="Times New Roman"/>
          <w:sz w:val="28"/>
          <w:szCs w:val="28"/>
          <w:lang w:val="en-US"/>
        </w:rPr>
        <w:t xml:space="preserve"> </w:t>
      </w:r>
      <w:r>
        <w:rPr>
          <w:rFonts w:ascii="Times New Roman" w:hAnsi="Times New Roman"/>
          <w:sz w:val="28"/>
          <w:szCs w:val="28"/>
        </w:rPr>
        <w:t>, the investment structure has shown obvious characteristics of transformation and upgrading.</w:t>
      </w:r>
    </w:p>
    <w:p w14:paraId="76B44D24" w14:textId="77777777" w:rsidR="007353B9" w:rsidRPr="007B16E3" w:rsidRDefault="006F35DE" w:rsidP="007B16E3">
      <w:pPr>
        <w:pStyle w:val="a7"/>
        <w:widowControl/>
        <w:snapToGrid w:val="0"/>
        <w:spacing w:beforeAutospacing="0" w:afterAutospacing="0" w:line="360" w:lineRule="auto"/>
        <w:ind w:firstLineChars="200" w:firstLine="560"/>
        <w:jc w:val="right"/>
        <w:rPr>
          <w:rFonts w:ascii="Times New Roman" w:hAnsi="Times New Roman"/>
          <w:bCs/>
          <w:sz w:val="28"/>
          <w:szCs w:val="28"/>
          <w:lang w:val="en-US"/>
        </w:rPr>
      </w:pPr>
      <w:r w:rsidRPr="007B16E3">
        <w:rPr>
          <w:rFonts w:ascii="Times New Roman" w:hAnsi="Times New Roman"/>
          <w:bCs/>
          <w:sz w:val="28"/>
          <w:szCs w:val="28"/>
        </w:rPr>
        <w:lastRenderedPageBreak/>
        <w:t xml:space="preserve">Table </w:t>
      </w:r>
      <w:r w:rsidRPr="007B16E3">
        <w:rPr>
          <w:rFonts w:ascii="Times New Roman" w:hAnsi="Times New Roman" w:hint="eastAsia"/>
          <w:bCs/>
          <w:sz w:val="28"/>
          <w:szCs w:val="28"/>
          <w:lang w:val="en-US"/>
        </w:rPr>
        <w:t>2.2</w:t>
      </w:r>
    </w:p>
    <w:p w14:paraId="7E0052E3" w14:textId="77777777" w:rsidR="007353B9" w:rsidRDefault="006F35DE" w:rsidP="007B16E3">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Analysis of Fixed Asset Investment Structure (2019-2023)</w:t>
      </w:r>
    </w:p>
    <w:tbl>
      <w:tblPr>
        <w:tblW w:w="50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586"/>
        <w:gridCol w:w="1912"/>
        <w:gridCol w:w="2066"/>
        <w:gridCol w:w="1972"/>
        <w:gridCol w:w="993"/>
      </w:tblGrid>
      <w:tr w:rsidR="007353B9" w14:paraId="31DD4F6E" w14:textId="77777777">
        <w:trPr>
          <w:trHeight w:val="1348"/>
          <w:jc w:val="center"/>
        </w:trPr>
        <w:tc>
          <w:tcPr>
            <w:tcW w:w="448" w:type="pct"/>
            <w:shd w:val="clear" w:color="auto" w:fill="auto"/>
            <w:vAlign w:val="center"/>
          </w:tcPr>
          <w:p w14:paraId="6D78D58F"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846" w:type="pct"/>
            <w:shd w:val="clear" w:color="auto" w:fill="auto"/>
            <w:vAlign w:val="center"/>
          </w:tcPr>
          <w:p w14:paraId="4FA5BBF8"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Fixed Asset Investment (Trillion RMB)</w:t>
            </w:r>
          </w:p>
        </w:tc>
        <w:tc>
          <w:tcPr>
            <w:tcW w:w="1020" w:type="pct"/>
            <w:shd w:val="clear" w:color="auto" w:fill="auto"/>
            <w:vAlign w:val="center"/>
          </w:tcPr>
          <w:p w14:paraId="2428FE06"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Year-on-Year Growth Rate (%)</w:t>
            </w:r>
          </w:p>
        </w:tc>
        <w:tc>
          <w:tcPr>
            <w:tcW w:w="1102" w:type="pct"/>
            <w:shd w:val="clear" w:color="auto" w:fill="auto"/>
            <w:vAlign w:val="center"/>
          </w:tcPr>
          <w:p w14:paraId="53A5F95B"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Manufacturing Share (%)</w:t>
            </w:r>
          </w:p>
        </w:tc>
        <w:tc>
          <w:tcPr>
            <w:tcW w:w="1052" w:type="pct"/>
            <w:shd w:val="clear" w:color="auto" w:fill="auto"/>
            <w:vAlign w:val="center"/>
          </w:tcPr>
          <w:p w14:paraId="215BF559"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Infrastructure Investment Share (%)</w:t>
            </w:r>
          </w:p>
        </w:tc>
        <w:tc>
          <w:tcPr>
            <w:tcW w:w="530" w:type="pct"/>
            <w:shd w:val="clear" w:color="auto" w:fill="auto"/>
            <w:vAlign w:val="center"/>
          </w:tcPr>
          <w:p w14:paraId="5FE01047"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Real Estate Share (%)</w:t>
            </w:r>
          </w:p>
        </w:tc>
      </w:tr>
      <w:tr w:rsidR="007353B9" w14:paraId="0884BFDA" w14:textId="77777777">
        <w:trPr>
          <w:trHeight w:val="275"/>
          <w:jc w:val="center"/>
        </w:trPr>
        <w:tc>
          <w:tcPr>
            <w:tcW w:w="448" w:type="pct"/>
            <w:shd w:val="clear" w:color="auto" w:fill="auto"/>
            <w:vAlign w:val="center"/>
          </w:tcPr>
          <w:p w14:paraId="123D0E6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846" w:type="pct"/>
            <w:shd w:val="clear" w:color="auto" w:fill="auto"/>
            <w:vAlign w:val="center"/>
          </w:tcPr>
          <w:p w14:paraId="4B5F087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55.1</w:t>
            </w:r>
          </w:p>
        </w:tc>
        <w:tc>
          <w:tcPr>
            <w:tcW w:w="1020" w:type="pct"/>
            <w:shd w:val="clear" w:color="auto" w:fill="auto"/>
            <w:vAlign w:val="center"/>
          </w:tcPr>
          <w:p w14:paraId="17D3D4A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5.4</w:t>
            </w:r>
          </w:p>
        </w:tc>
        <w:tc>
          <w:tcPr>
            <w:tcW w:w="1102" w:type="pct"/>
            <w:shd w:val="clear" w:color="auto" w:fill="auto"/>
            <w:vAlign w:val="center"/>
          </w:tcPr>
          <w:p w14:paraId="34910ED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31.2</w:t>
            </w:r>
          </w:p>
        </w:tc>
        <w:tc>
          <w:tcPr>
            <w:tcW w:w="1052" w:type="pct"/>
            <w:shd w:val="clear" w:color="auto" w:fill="auto"/>
            <w:vAlign w:val="center"/>
          </w:tcPr>
          <w:p w14:paraId="3BF211B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28.4</w:t>
            </w:r>
          </w:p>
        </w:tc>
        <w:tc>
          <w:tcPr>
            <w:tcW w:w="530" w:type="pct"/>
            <w:shd w:val="clear" w:color="auto" w:fill="auto"/>
            <w:vAlign w:val="center"/>
          </w:tcPr>
          <w:p w14:paraId="509F40C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25.8</w:t>
            </w:r>
          </w:p>
        </w:tc>
      </w:tr>
      <w:tr w:rsidR="007353B9" w14:paraId="3D188EBC" w14:textId="77777777">
        <w:trPr>
          <w:trHeight w:val="275"/>
          <w:jc w:val="center"/>
        </w:trPr>
        <w:tc>
          <w:tcPr>
            <w:tcW w:w="448" w:type="pct"/>
            <w:shd w:val="clear" w:color="auto" w:fill="auto"/>
            <w:vAlign w:val="center"/>
          </w:tcPr>
          <w:p w14:paraId="67C0D27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846" w:type="pct"/>
            <w:shd w:val="clear" w:color="auto" w:fill="auto"/>
            <w:vAlign w:val="center"/>
          </w:tcPr>
          <w:p w14:paraId="6B56982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51.9</w:t>
            </w:r>
          </w:p>
        </w:tc>
        <w:tc>
          <w:tcPr>
            <w:tcW w:w="1020" w:type="pct"/>
            <w:shd w:val="clear" w:color="auto" w:fill="auto"/>
            <w:vAlign w:val="center"/>
          </w:tcPr>
          <w:p w14:paraId="7419406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w:t>
            </w:r>
          </w:p>
        </w:tc>
        <w:tc>
          <w:tcPr>
            <w:tcW w:w="1102" w:type="pct"/>
            <w:shd w:val="clear" w:color="auto" w:fill="auto"/>
            <w:vAlign w:val="center"/>
          </w:tcPr>
          <w:p w14:paraId="07C9917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31.8</w:t>
            </w:r>
          </w:p>
        </w:tc>
        <w:tc>
          <w:tcPr>
            <w:tcW w:w="1052" w:type="pct"/>
            <w:shd w:val="clear" w:color="auto" w:fill="auto"/>
            <w:vAlign w:val="center"/>
          </w:tcPr>
          <w:p w14:paraId="5ADDF2B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29.6</w:t>
            </w:r>
          </w:p>
        </w:tc>
        <w:tc>
          <w:tcPr>
            <w:tcW w:w="530" w:type="pct"/>
            <w:shd w:val="clear" w:color="auto" w:fill="auto"/>
            <w:vAlign w:val="center"/>
          </w:tcPr>
          <w:p w14:paraId="0FB5660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24.2</w:t>
            </w:r>
          </w:p>
        </w:tc>
      </w:tr>
      <w:tr w:rsidR="007353B9" w14:paraId="2D15CC69" w14:textId="77777777">
        <w:trPr>
          <w:trHeight w:val="275"/>
          <w:jc w:val="center"/>
        </w:trPr>
        <w:tc>
          <w:tcPr>
            <w:tcW w:w="448" w:type="pct"/>
            <w:shd w:val="clear" w:color="auto" w:fill="auto"/>
            <w:vAlign w:val="center"/>
          </w:tcPr>
          <w:p w14:paraId="72289AD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846" w:type="pct"/>
            <w:shd w:val="clear" w:color="auto" w:fill="auto"/>
            <w:vAlign w:val="center"/>
          </w:tcPr>
          <w:p w14:paraId="1AC9DE9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54.5</w:t>
            </w:r>
          </w:p>
        </w:tc>
        <w:tc>
          <w:tcPr>
            <w:tcW w:w="1020" w:type="pct"/>
            <w:shd w:val="clear" w:color="auto" w:fill="auto"/>
            <w:vAlign w:val="center"/>
          </w:tcPr>
          <w:p w14:paraId="4D6CF34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w:t>
            </w:r>
          </w:p>
        </w:tc>
        <w:tc>
          <w:tcPr>
            <w:tcW w:w="1102" w:type="pct"/>
            <w:shd w:val="clear" w:color="auto" w:fill="auto"/>
            <w:vAlign w:val="center"/>
          </w:tcPr>
          <w:p w14:paraId="67BE2CB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32.5</w:t>
            </w:r>
          </w:p>
        </w:tc>
        <w:tc>
          <w:tcPr>
            <w:tcW w:w="1052" w:type="pct"/>
            <w:shd w:val="clear" w:color="auto" w:fill="auto"/>
            <w:vAlign w:val="center"/>
          </w:tcPr>
          <w:p w14:paraId="05C5F8E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30.1</w:t>
            </w:r>
          </w:p>
        </w:tc>
        <w:tc>
          <w:tcPr>
            <w:tcW w:w="530" w:type="pct"/>
            <w:shd w:val="clear" w:color="auto" w:fill="auto"/>
            <w:vAlign w:val="center"/>
          </w:tcPr>
          <w:p w14:paraId="16EA143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23.8</w:t>
            </w:r>
          </w:p>
        </w:tc>
      </w:tr>
      <w:tr w:rsidR="007353B9" w14:paraId="4AE8A4E3" w14:textId="77777777">
        <w:trPr>
          <w:trHeight w:val="275"/>
          <w:jc w:val="center"/>
        </w:trPr>
        <w:tc>
          <w:tcPr>
            <w:tcW w:w="448" w:type="pct"/>
            <w:shd w:val="clear" w:color="auto" w:fill="auto"/>
            <w:vAlign w:val="center"/>
          </w:tcPr>
          <w:p w14:paraId="384F907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846" w:type="pct"/>
            <w:shd w:val="clear" w:color="auto" w:fill="auto"/>
            <w:vAlign w:val="center"/>
          </w:tcPr>
          <w:p w14:paraId="5F66FC0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57</w:t>
            </w:r>
          </w:p>
        </w:tc>
        <w:tc>
          <w:tcPr>
            <w:tcW w:w="1020" w:type="pct"/>
            <w:shd w:val="clear" w:color="auto" w:fill="auto"/>
            <w:vAlign w:val="center"/>
          </w:tcPr>
          <w:p w14:paraId="0CDF729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4.6</w:t>
            </w:r>
          </w:p>
        </w:tc>
        <w:tc>
          <w:tcPr>
            <w:tcW w:w="1102" w:type="pct"/>
            <w:shd w:val="clear" w:color="auto" w:fill="auto"/>
            <w:vAlign w:val="center"/>
          </w:tcPr>
          <w:p w14:paraId="733C8AE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33.6</w:t>
            </w:r>
          </w:p>
        </w:tc>
        <w:tc>
          <w:tcPr>
            <w:tcW w:w="1052" w:type="pct"/>
            <w:shd w:val="clear" w:color="auto" w:fill="auto"/>
            <w:vAlign w:val="center"/>
          </w:tcPr>
          <w:p w14:paraId="74A8F37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31.2</w:t>
            </w:r>
          </w:p>
        </w:tc>
        <w:tc>
          <w:tcPr>
            <w:tcW w:w="530" w:type="pct"/>
            <w:shd w:val="clear" w:color="auto" w:fill="auto"/>
            <w:vAlign w:val="center"/>
          </w:tcPr>
          <w:p w14:paraId="1091F82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22.4</w:t>
            </w:r>
          </w:p>
        </w:tc>
      </w:tr>
      <w:tr w:rsidR="007353B9" w14:paraId="6FE9EDDA" w14:textId="77777777">
        <w:trPr>
          <w:trHeight w:val="281"/>
          <w:jc w:val="center"/>
        </w:trPr>
        <w:tc>
          <w:tcPr>
            <w:tcW w:w="448" w:type="pct"/>
            <w:shd w:val="clear" w:color="auto" w:fill="auto"/>
            <w:vAlign w:val="center"/>
          </w:tcPr>
          <w:p w14:paraId="5A0A7A5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846" w:type="pct"/>
            <w:shd w:val="clear" w:color="auto" w:fill="auto"/>
            <w:vAlign w:val="center"/>
          </w:tcPr>
          <w:p w14:paraId="5F037E2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59.5</w:t>
            </w:r>
          </w:p>
        </w:tc>
        <w:tc>
          <w:tcPr>
            <w:tcW w:w="1020" w:type="pct"/>
            <w:shd w:val="clear" w:color="auto" w:fill="auto"/>
            <w:vAlign w:val="center"/>
          </w:tcPr>
          <w:p w14:paraId="240C246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w:t>
            </w:r>
          </w:p>
        </w:tc>
        <w:tc>
          <w:tcPr>
            <w:tcW w:w="1102" w:type="pct"/>
            <w:shd w:val="clear" w:color="auto" w:fill="auto"/>
            <w:vAlign w:val="center"/>
          </w:tcPr>
          <w:p w14:paraId="00DDECD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34.8</w:t>
            </w:r>
          </w:p>
        </w:tc>
        <w:tc>
          <w:tcPr>
            <w:tcW w:w="1052" w:type="pct"/>
            <w:shd w:val="clear" w:color="auto" w:fill="auto"/>
            <w:vAlign w:val="center"/>
          </w:tcPr>
          <w:p w14:paraId="5CD306D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w:t>
            </w:r>
          </w:p>
        </w:tc>
        <w:tc>
          <w:tcPr>
            <w:tcW w:w="530" w:type="pct"/>
            <w:shd w:val="clear" w:color="auto" w:fill="auto"/>
            <w:vAlign w:val="center"/>
          </w:tcPr>
          <w:p w14:paraId="26BB063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21.5</w:t>
            </w:r>
          </w:p>
        </w:tc>
      </w:tr>
    </w:tbl>
    <w:p w14:paraId="7C56B2C9"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2515CD1F"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Table </w:t>
      </w:r>
      <w:r>
        <w:rPr>
          <w:rFonts w:ascii="Times New Roman" w:hAnsi="Times New Roman" w:hint="eastAsia"/>
          <w:sz w:val="28"/>
          <w:szCs w:val="28"/>
          <w:lang w:val="en-US"/>
        </w:rPr>
        <w:t>2.2</w:t>
      </w:r>
      <w:r>
        <w:rPr>
          <w:rFonts w:ascii="Times New Roman" w:hAnsi="Times New Roman"/>
          <w:sz w:val="28"/>
          <w:szCs w:val="28"/>
          <w:lang w:val="en-US"/>
        </w:rPr>
        <w:t xml:space="preserve"> </w:t>
      </w:r>
      <w:r>
        <w:rPr>
          <w:rFonts w:ascii="Times New Roman" w:hAnsi="Times New Roman"/>
          <w:sz w:val="28"/>
          <w:szCs w:val="28"/>
        </w:rPr>
        <w:t>reflects the optimization trend of investment structure. The proportion of manufacturing investment has steadily increased from 31.2% in 2019 to 34.8% in 2023, the proportion of infrastructure investment has also increased from 28.4% to 32.0%, and the proportion of real estate investment has dropped from 25.8% to 21.5%. This change shows that the investment structure is shifting from real estate-dominated to manufacturing and infrastructure, which is conducive to high-quality economic development.</w:t>
      </w:r>
    </w:p>
    <w:p w14:paraId="506ADABA"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Third, foreign trade maintained a strong growth trend. As shown in Table </w:t>
      </w:r>
      <w:r>
        <w:rPr>
          <w:rFonts w:ascii="Times New Roman" w:hAnsi="Times New Roman" w:hint="eastAsia"/>
          <w:sz w:val="28"/>
          <w:szCs w:val="28"/>
          <w:lang w:val="en-US"/>
        </w:rPr>
        <w:t>2.3</w:t>
      </w:r>
      <w:r>
        <w:rPr>
          <w:rFonts w:ascii="Times New Roman" w:hAnsi="Times New Roman"/>
          <w:sz w:val="28"/>
          <w:szCs w:val="28"/>
          <w:lang w:val="en-US"/>
        </w:rPr>
        <w:t xml:space="preserve"> </w:t>
      </w:r>
      <w:r>
        <w:rPr>
          <w:rFonts w:ascii="Times New Roman" w:hAnsi="Times New Roman"/>
          <w:sz w:val="28"/>
          <w:szCs w:val="28"/>
        </w:rPr>
        <w:t>, the import and export trade structure has been continuously optimized, and new business forms have developed rapidly.</w:t>
      </w:r>
    </w:p>
    <w:p w14:paraId="2E5601D0" w14:textId="77777777" w:rsidR="007353B9" w:rsidRPr="00677C24" w:rsidRDefault="006F35DE" w:rsidP="00677C24">
      <w:pPr>
        <w:pStyle w:val="a7"/>
        <w:widowControl/>
        <w:snapToGrid w:val="0"/>
        <w:spacing w:beforeAutospacing="0" w:afterAutospacing="0" w:line="360" w:lineRule="auto"/>
        <w:ind w:firstLineChars="200" w:firstLine="560"/>
        <w:jc w:val="right"/>
        <w:rPr>
          <w:rFonts w:ascii="Times New Roman" w:hAnsi="Times New Roman"/>
          <w:sz w:val="28"/>
          <w:szCs w:val="28"/>
        </w:rPr>
      </w:pPr>
      <w:r w:rsidRPr="00677C24">
        <w:rPr>
          <w:rFonts w:ascii="Times New Roman" w:hAnsi="Times New Roman"/>
          <w:bCs/>
          <w:sz w:val="28"/>
          <w:szCs w:val="28"/>
        </w:rPr>
        <w:t xml:space="preserve">Table </w:t>
      </w:r>
      <w:r w:rsidRPr="00677C24">
        <w:rPr>
          <w:rFonts w:ascii="Times New Roman" w:hAnsi="Times New Roman" w:hint="eastAsia"/>
          <w:bCs/>
          <w:sz w:val="28"/>
          <w:szCs w:val="28"/>
          <w:lang w:val="en-US"/>
        </w:rPr>
        <w:t>2.3</w:t>
      </w:r>
    </w:p>
    <w:p w14:paraId="34906626" w14:textId="77777777" w:rsidR="007353B9" w:rsidRDefault="006F35DE" w:rsidP="00677C24">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Structure and Growth of China's Import and Export Trade (2019-2023)"</w:t>
      </w:r>
    </w:p>
    <w:tbl>
      <w:tblPr>
        <w:tblW w:w="49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1354"/>
        <w:gridCol w:w="2055"/>
        <w:gridCol w:w="1639"/>
        <w:gridCol w:w="1302"/>
        <w:gridCol w:w="2021"/>
      </w:tblGrid>
      <w:tr w:rsidR="007353B9" w14:paraId="13B5CF03" w14:textId="77777777">
        <w:trPr>
          <w:trHeight w:val="1435"/>
          <w:jc w:val="center"/>
        </w:trPr>
        <w:tc>
          <w:tcPr>
            <w:tcW w:w="486" w:type="pct"/>
            <w:shd w:val="clear" w:color="auto" w:fill="auto"/>
            <w:vAlign w:val="center"/>
          </w:tcPr>
          <w:p w14:paraId="22AB94A0"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730" w:type="pct"/>
            <w:shd w:val="clear" w:color="auto" w:fill="auto"/>
            <w:vAlign w:val="center"/>
          </w:tcPr>
          <w:p w14:paraId="2B718948"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Import and Export (Trillion RMB)</w:t>
            </w:r>
          </w:p>
        </w:tc>
        <w:tc>
          <w:tcPr>
            <w:tcW w:w="1107" w:type="pct"/>
            <w:shd w:val="clear" w:color="auto" w:fill="auto"/>
            <w:vAlign w:val="center"/>
          </w:tcPr>
          <w:p w14:paraId="3DAC49C0"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Year-on-Year Growth Rate (%)</w:t>
            </w:r>
          </w:p>
        </w:tc>
        <w:tc>
          <w:tcPr>
            <w:tcW w:w="883" w:type="pct"/>
            <w:shd w:val="clear" w:color="auto" w:fill="auto"/>
            <w:vAlign w:val="center"/>
          </w:tcPr>
          <w:p w14:paraId="1596263E"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High-Tech Products Share (%)</w:t>
            </w:r>
          </w:p>
        </w:tc>
        <w:tc>
          <w:tcPr>
            <w:tcW w:w="702" w:type="pct"/>
            <w:shd w:val="clear" w:color="auto" w:fill="auto"/>
            <w:vAlign w:val="center"/>
          </w:tcPr>
          <w:p w14:paraId="3C45C3AF"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General Trade Share (%)</w:t>
            </w:r>
          </w:p>
        </w:tc>
        <w:tc>
          <w:tcPr>
            <w:tcW w:w="1089" w:type="pct"/>
            <w:shd w:val="clear" w:color="auto" w:fill="auto"/>
            <w:vAlign w:val="center"/>
          </w:tcPr>
          <w:p w14:paraId="5B70DC07"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Cross-Border E-commerce Share (%)</w:t>
            </w:r>
          </w:p>
        </w:tc>
      </w:tr>
      <w:tr w:rsidR="007353B9" w14:paraId="450547E8" w14:textId="77777777">
        <w:trPr>
          <w:trHeight w:val="292"/>
          <w:jc w:val="center"/>
        </w:trPr>
        <w:tc>
          <w:tcPr>
            <w:tcW w:w="486" w:type="pct"/>
            <w:shd w:val="clear" w:color="auto" w:fill="auto"/>
            <w:vAlign w:val="center"/>
          </w:tcPr>
          <w:p w14:paraId="40D3711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730" w:type="pct"/>
            <w:shd w:val="clear" w:color="auto" w:fill="auto"/>
            <w:vAlign w:val="center"/>
          </w:tcPr>
          <w:p w14:paraId="0AA678B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31.5</w:t>
            </w:r>
          </w:p>
        </w:tc>
        <w:tc>
          <w:tcPr>
            <w:tcW w:w="1107" w:type="pct"/>
            <w:shd w:val="clear" w:color="auto" w:fill="auto"/>
            <w:vAlign w:val="center"/>
          </w:tcPr>
          <w:p w14:paraId="2F72CE6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w:t>
            </w:r>
          </w:p>
        </w:tc>
        <w:tc>
          <w:tcPr>
            <w:tcW w:w="883" w:type="pct"/>
            <w:shd w:val="clear" w:color="auto" w:fill="auto"/>
            <w:vAlign w:val="center"/>
          </w:tcPr>
          <w:p w14:paraId="6264A31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32.5</w:t>
            </w:r>
          </w:p>
        </w:tc>
        <w:tc>
          <w:tcPr>
            <w:tcW w:w="702" w:type="pct"/>
            <w:shd w:val="clear" w:color="auto" w:fill="auto"/>
            <w:vAlign w:val="center"/>
          </w:tcPr>
          <w:p w14:paraId="49D1EEF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56.4</w:t>
            </w:r>
          </w:p>
        </w:tc>
        <w:tc>
          <w:tcPr>
            <w:tcW w:w="1089" w:type="pct"/>
            <w:shd w:val="clear" w:color="auto" w:fill="auto"/>
            <w:vAlign w:val="center"/>
          </w:tcPr>
          <w:p w14:paraId="15C86CD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5.2</w:t>
            </w:r>
          </w:p>
        </w:tc>
      </w:tr>
      <w:tr w:rsidR="007353B9" w14:paraId="3D415EF8" w14:textId="77777777">
        <w:trPr>
          <w:trHeight w:val="292"/>
          <w:jc w:val="center"/>
        </w:trPr>
        <w:tc>
          <w:tcPr>
            <w:tcW w:w="486" w:type="pct"/>
            <w:shd w:val="clear" w:color="auto" w:fill="auto"/>
            <w:vAlign w:val="center"/>
          </w:tcPr>
          <w:p w14:paraId="76A45F2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730" w:type="pct"/>
            <w:shd w:val="clear" w:color="auto" w:fill="auto"/>
            <w:vAlign w:val="center"/>
          </w:tcPr>
          <w:p w14:paraId="1AE34D2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32.2</w:t>
            </w:r>
          </w:p>
        </w:tc>
        <w:tc>
          <w:tcPr>
            <w:tcW w:w="1107" w:type="pct"/>
            <w:shd w:val="clear" w:color="auto" w:fill="auto"/>
            <w:vAlign w:val="center"/>
          </w:tcPr>
          <w:p w14:paraId="1D12F5D5"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w:t>
            </w:r>
          </w:p>
        </w:tc>
        <w:tc>
          <w:tcPr>
            <w:tcW w:w="883" w:type="pct"/>
            <w:shd w:val="clear" w:color="auto" w:fill="auto"/>
            <w:vAlign w:val="center"/>
          </w:tcPr>
          <w:p w14:paraId="7B6DB61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33.2</w:t>
            </w:r>
          </w:p>
        </w:tc>
        <w:tc>
          <w:tcPr>
            <w:tcW w:w="702" w:type="pct"/>
            <w:shd w:val="clear" w:color="auto" w:fill="auto"/>
            <w:vAlign w:val="center"/>
          </w:tcPr>
          <w:p w14:paraId="3AF01FD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57.8</w:t>
            </w:r>
          </w:p>
        </w:tc>
        <w:tc>
          <w:tcPr>
            <w:tcW w:w="1089" w:type="pct"/>
            <w:shd w:val="clear" w:color="auto" w:fill="auto"/>
            <w:vAlign w:val="center"/>
          </w:tcPr>
          <w:p w14:paraId="2901986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6.8</w:t>
            </w:r>
          </w:p>
        </w:tc>
      </w:tr>
      <w:tr w:rsidR="007353B9" w14:paraId="154DE549" w14:textId="77777777">
        <w:trPr>
          <w:trHeight w:val="292"/>
          <w:jc w:val="center"/>
        </w:trPr>
        <w:tc>
          <w:tcPr>
            <w:tcW w:w="486" w:type="pct"/>
            <w:shd w:val="clear" w:color="auto" w:fill="auto"/>
            <w:vAlign w:val="center"/>
          </w:tcPr>
          <w:p w14:paraId="0FE533F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730" w:type="pct"/>
            <w:shd w:val="clear" w:color="auto" w:fill="auto"/>
            <w:vAlign w:val="center"/>
          </w:tcPr>
          <w:p w14:paraId="6707B62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39.1</w:t>
            </w:r>
          </w:p>
        </w:tc>
        <w:tc>
          <w:tcPr>
            <w:tcW w:w="1107" w:type="pct"/>
            <w:shd w:val="clear" w:color="auto" w:fill="auto"/>
            <w:vAlign w:val="center"/>
          </w:tcPr>
          <w:p w14:paraId="2DE459E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21.4</w:t>
            </w:r>
          </w:p>
        </w:tc>
        <w:tc>
          <w:tcPr>
            <w:tcW w:w="883" w:type="pct"/>
            <w:shd w:val="clear" w:color="auto" w:fill="auto"/>
            <w:vAlign w:val="center"/>
          </w:tcPr>
          <w:p w14:paraId="2C58C07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34.1</w:t>
            </w:r>
          </w:p>
        </w:tc>
        <w:tc>
          <w:tcPr>
            <w:tcW w:w="702" w:type="pct"/>
            <w:shd w:val="clear" w:color="auto" w:fill="auto"/>
            <w:vAlign w:val="center"/>
          </w:tcPr>
          <w:p w14:paraId="63DB6F4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58.5</w:t>
            </w:r>
          </w:p>
        </w:tc>
        <w:tc>
          <w:tcPr>
            <w:tcW w:w="1089" w:type="pct"/>
            <w:shd w:val="clear" w:color="auto" w:fill="auto"/>
            <w:vAlign w:val="center"/>
          </w:tcPr>
          <w:p w14:paraId="744850B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8.4</w:t>
            </w:r>
          </w:p>
        </w:tc>
      </w:tr>
      <w:tr w:rsidR="007353B9" w14:paraId="2DD521B8" w14:textId="77777777">
        <w:trPr>
          <w:trHeight w:val="292"/>
          <w:jc w:val="center"/>
        </w:trPr>
        <w:tc>
          <w:tcPr>
            <w:tcW w:w="486" w:type="pct"/>
            <w:shd w:val="clear" w:color="auto" w:fill="auto"/>
            <w:vAlign w:val="center"/>
          </w:tcPr>
          <w:p w14:paraId="6861E2C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730" w:type="pct"/>
            <w:shd w:val="clear" w:color="auto" w:fill="auto"/>
            <w:vAlign w:val="center"/>
          </w:tcPr>
          <w:p w14:paraId="0E45F48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w:t>
            </w:r>
          </w:p>
        </w:tc>
        <w:tc>
          <w:tcPr>
            <w:tcW w:w="1107" w:type="pct"/>
            <w:shd w:val="clear" w:color="auto" w:fill="auto"/>
            <w:vAlign w:val="center"/>
          </w:tcPr>
          <w:p w14:paraId="2CC227F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7.4</w:t>
            </w:r>
          </w:p>
        </w:tc>
        <w:tc>
          <w:tcPr>
            <w:tcW w:w="883" w:type="pct"/>
            <w:shd w:val="clear" w:color="auto" w:fill="auto"/>
            <w:vAlign w:val="center"/>
          </w:tcPr>
          <w:p w14:paraId="2F8441E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35</w:t>
            </w:r>
          </w:p>
        </w:tc>
        <w:tc>
          <w:tcPr>
            <w:tcW w:w="702" w:type="pct"/>
            <w:shd w:val="clear" w:color="auto" w:fill="auto"/>
            <w:vAlign w:val="center"/>
          </w:tcPr>
          <w:p w14:paraId="7FE097C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59.2</w:t>
            </w:r>
          </w:p>
        </w:tc>
        <w:tc>
          <w:tcPr>
            <w:tcW w:w="1089" w:type="pct"/>
            <w:shd w:val="clear" w:color="auto" w:fill="auto"/>
            <w:vAlign w:val="center"/>
          </w:tcPr>
          <w:p w14:paraId="662B7FD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9.6</w:t>
            </w:r>
          </w:p>
        </w:tc>
      </w:tr>
      <w:tr w:rsidR="007353B9" w14:paraId="5D2DB843" w14:textId="77777777">
        <w:trPr>
          <w:trHeight w:val="299"/>
          <w:jc w:val="center"/>
        </w:trPr>
        <w:tc>
          <w:tcPr>
            <w:tcW w:w="486" w:type="pct"/>
            <w:shd w:val="clear" w:color="auto" w:fill="auto"/>
            <w:vAlign w:val="center"/>
          </w:tcPr>
          <w:p w14:paraId="647B60E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lastRenderedPageBreak/>
              <w:t>2023</w:t>
            </w:r>
          </w:p>
        </w:tc>
        <w:tc>
          <w:tcPr>
            <w:tcW w:w="730" w:type="pct"/>
            <w:shd w:val="clear" w:color="auto" w:fill="auto"/>
            <w:vAlign w:val="center"/>
          </w:tcPr>
          <w:p w14:paraId="6C41DF6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44.5</w:t>
            </w:r>
          </w:p>
        </w:tc>
        <w:tc>
          <w:tcPr>
            <w:tcW w:w="1107" w:type="pct"/>
            <w:shd w:val="clear" w:color="auto" w:fill="auto"/>
            <w:vAlign w:val="center"/>
          </w:tcPr>
          <w:p w14:paraId="3623551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w:t>
            </w:r>
          </w:p>
        </w:tc>
        <w:tc>
          <w:tcPr>
            <w:tcW w:w="883" w:type="pct"/>
            <w:shd w:val="clear" w:color="auto" w:fill="auto"/>
            <w:vAlign w:val="center"/>
          </w:tcPr>
          <w:p w14:paraId="04835C4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35.8</w:t>
            </w:r>
          </w:p>
        </w:tc>
        <w:tc>
          <w:tcPr>
            <w:tcW w:w="702" w:type="pct"/>
            <w:shd w:val="clear" w:color="auto" w:fill="auto"/>
            <w:vAlign w:val="center"/>
          </w:tcPr>
          <w:p w14:paraId="3E78916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60</w:t>
            </w:r>
          </w:p>
        </w:tc>
        <w:tc>
          <w:tcPr>
            <w:tcW w:w="1089" w:type="pct"/>
            <w:shd w:val="clear" w:color="auto" w:fill="auto"/>
            <w:vAlign w:val="center"/>
          </w:tcPr>
          <w:p w14:paraId="326EBBF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10.8</w:t>
            </w:r>
          </w:p>
        </w:tc>
      </w:tr>
    </w:tbl>
    <w:p w14:paraId="3E02D1C2"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0D35DD24"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from Table </w:t>
      </w:r>
      <w:r>
        <w:rPr>
          <w:rFonts w:ascii="Times New Roman" w:hAnsi="Times New Roman" w:hint="eastAsia"/>
          <w:sz w:val="28"/>
          <w:szCs w:val="28"/>
          <w:lang w:val="en-US"/>
        </w:rPr>
        <w:t>2.3</w:t>
      </w:r>
      <w:r>
        <w:rPr>
          <w:rFonts w:ascii="Times New Roman" w:hAnsi="Times New Roman"/>
          <w:sz w:val="28"/>
          <w:szCs w:val="28"/>
          <w:lang w:val="en-US"/>
        </w:rPr>
        <w:t xml:space="preserve"> </w:t>
      </w:r>
      <w:r>
        <w:rPr>
          <w:rFonts w:ascii="Times New Roman" w:hAnsi="Times New Roman"/>
          <w:sz w:val="28"/>
          <w:szCs w:val="28"/>
        </w:rPr>
        <w:t>, the total import and export volume has achieved steady growth over the past five years, from 31.5 trillion yuan in 2019 to 44.5 trillion yuan in 2023. More importantly, the trade structure has continued to optimize: the proportion of high-tech products has increased from 32.5% to 35.8%, the proportion of general trade has increased from 56.4% to 60.0%, and the proportion of cross-border e-commerce has increased significantly from 5.2% to 10.8%, reflecting the continuous improvement in the quality of foreign trade development.</w:t>
      </w:r>
    </w:p>
    <w:p w14:paraId="66716380"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From the perspective of industrial investment growth, new driving force investment performed outstandingly. As shown in Table </w:t>
      </w:r>
      <w:r>
        <w:rPr>
          <w:rFonts w:ascii="Times New Roman" w:hAnsi="Times New Roman" w:hint="eastAsia"/>
          <w:sz w:val="28"/>
          <w:szCs w:val="28"/>
          <w:lang w:val="en-US"/>
        </w:rPr>
        <w:t>2.4</w:t>
      </w:r>
      <w:r>
        <w:rPr>
          <w:rFonts w:ascii="Times New Roman" w:hAnsi="Times New Roman"/>
          <w:sz w:val="28"/>
          <w:szCs w:val="28"/>
          <w:lang w:val="en-US"/>
        </w:rPr>
        <w:t xml:space="preserve"> </w:t>
      </w:r>
      <w:r>
        <w:rPr>
          <w:rFonts w:ascii="Times New Roman" w:hAnsi="Times New Roman"/>
          <w:sz w:val="28"/>
          <w:szCs w:val="28"/>
        </w:rPr>
        <w:t>, high-tech industry investment maintained rapid growth.</w:t>
      </w:r>
    </w:p>
    <w:p w14:paraId="270312E6" w14:textId="77777777" w:rsidR="007353B9" w:rsidRPr="00677C24" w:rsidRDefault="006F35DE" w:rsidP="00677C24">
      <w:pPr>
        <w:pStyle w:val="a7"/>
        <w:widowControl/>
        <w:snapToGrid w:val="0"/>
        <w:spacing w:beforeAutospacing="0" w:afterAutospacing="0" w:line="360" w:lineRule="auto"/>
        <w:ind w:firstLineChars="200" w:firstLine="560"/>
        <w:jc w:val="right"/>
        <w:rPr>
          <w:rFonts w:ascii="Times New Roman" w:hAnsi="Times New Roman"/>
          <w:bCs/>
          <w:sz w:val="28"/>
          <w:szCs w:val="28"/>
          <w:lang w:val="en-US"/>
        </w:rPr>
      </w:pPr>
      <w:r w:rsidRPr="00677C24">
        <w:rPr>
          <w:rFonts w:ascii="Times New Roman" w:hAnsi="Times New Roman"/>
          <w:bCs/>
          <w:sz w:val="28"/>
          <w:szCs w:val="28"/>
        </w:rPr>
        <w:t xml:space="preserve">Table </w:t>
      </w:r>
      <w:r w:rsidRPr="00677C24">
        <w:rPr>
          <w:rFonts w:ascii="Times New Roman" w:hAnsi="Times New Roman" w:hint="eastAsia"/>
          <w:bCs/>
          <w:sz w:val="28"/>
          <w:szCs w:val="28"/>
          <w:lang w:val="en-US"/>
        </w:rPr>
        <w:t>2.4</w:t>
      </w:r>
    </w:p>
    <w:p w14:paraId="3BF8BC86" w14:textId="77777777" w:rsidR="007353B9" w:rsidRDefault="006F35DE" w:rsidP="00677C24">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Comparison of Investment Growth Rates Across Industries (2019-2023)</w:t>
      </w:r>
    </w:p>
    <w:tbl>
      <w:tblPr>
        <w:tblW w:w="48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
        <w:gridCol w:w="1798"/>
        <w:gridCol w:w="2348"/>
        <w:gridCol w:w="1729"/>
        <w:gridCol w:w="2329"/>
      </w:tblGrid>
      <w:tr w:rsidR="007353B9" w14:paraId="1B76457A" w14:textId="77777777">
        <w:trPr>
          <w:trHeight w:val="496"/>
          <w:jc w:val="center"/>
        </w:trPr>
        <w:tc>
          <w:tcPr>
            <w:tcW w:w="520" w:type="pct"/>
            <w:shd w:val="clear" w:color="auto" w:fill="auto"/>
            <w:vAlign w:val="center"/>
          </w:tcPr>
          <w:p w14:paraId="506538A5"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982" w:type="pct"/>
            <w:shd w:val="clear" w:color="auto" w:fill="auto"/>
            <w:vAlign w:val="center"/>
          </w:tcPr>
          <w:p w14:paraId="563AF538"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Overall Investment Growth Rate (%)</w:t>
            </w:r>
          </w:p>
        </w:tc>
        <w:tc>
          <w:tcPr>
            <w:tcW w:w="1281" w:type="pct"/>
            <w:shd w:val="clear" w:color="auto" w:fill="auto"/>
            <w:vAlign w:val="center"/>
          </w:tcPr>
          <w:p w14:paraId="2EDE5909"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High-Tech Manufacturing Growth Rate (%)</w:t>
            </w:r>
          </w:p>
        </w:tc>
        <w:tc>
          <w:tcPr>
            <w:tcW w:w="944" w:type="pct"/>
            <w:shd w:val="clear" w:color="auto" w:fill="auto"/>
            <w:vAlign w:val="center"/>
          </w:tcPr>
          <w:p w14:paraId="230A7321"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High-Tech Services Growth Rate (%)</w:t>
            </w:r>
          </w:p>
        </w:tc>
        <w:tc>
          <w:tcPr>
            <w:tcW w:w="1271" w:type="pct"/>
            <w:shd w:val="clear" w:color="auto" w:fill="auto"/>
            <w:vAlign w:val="center"/>
          </w:tcPr>
          <w:p w14:paraId="62EF900E"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Energy Conservation and Environmental Protection Industry Growth Rate (%)</w:t>
            </w:r>
          </w:p>
        </w:tc>
      </w:tr>
      <w:tr w:rsidR="007353B9" w14:paraId="6AA58683" w14:textId="77777777">
        <w:trPr>
          <w:trHeight w:val="90"/>
          <w:jc w:val="center"/>
        </w:trPr>
        <w:tc>
          <w:tcPr>
            <w:tcW w:w="520" w:type="pct"/>
            <w:shd w:val="clear" w:color="auto" w:fill="auto"/>
            <w:vAlign w:val="center"/>
          </w:tcPr>
          <w:p w14:paraId="23540B6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982" w:type="pct"/>
            <w:shd w:val="clear" w:color="auto" w:fill="auto"/>
            <w:vAlign w:val="center"/>
          </w:tcPr>
          <w:p w14:paraId="6A45223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5.4</w:t>
            </w:r>
          </w:p>
        </w:tc>
        <w:tc>
          <w:tcPr>
            <w:tcW w:w="1281" w:type="pct"/>
            <w:shd w:val="clear" w:color="auto" w:fill="auto"/>
            <w:vAlign w:val="center"/>
          </w:tcPr>
          <w:p w14:paraId="793F591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12.8</w:t>
            </w:r>
          </w:p>
        </w:tc>
        <w:tc>
          <w:tcPr>
            <w:tcW w:w="944" w:type="pct"/>
            <w:shd w:val="clear" w:color="auto" w:fill="auto"/>
            <w:vAlign w:val="center"/>
          </w:tcPr>
          <w:p w14:paraId="0E4AE7B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14.2</w:t>
            </w:r>
          </w:p>
        </w:tc>
        <w:tc>
          <w:tcPr>
            <w:tcW w:w="1271" w:type="pct"/>
            <w:shd w:val="clear" w:color="auto" w:fill="auto"/>
            <w:vAlign w:val="center"/>
          </w:tcPr>
          <w:p w14:paraId="6AA8D94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10.5</w:t>
            </w:r>
          </w:p>
        </w:tc>
      </w:tr>
      <w:tr w:rsidR="007353B9" w14:paraId="31DB54E1" w14:textId="77777777">
        <w:trPr>
          <w:trHeight w:val="90"/>
          <w:jc w:val="center"/>
        </w:trPr>
        <w:tc>
          <w:tcPr>
            <w:tcW w:w="520" w:type="pct"/>
            <w:shd w:val="clear" w:color="auto" w:fill="auto"/>
            <w:vAlign w:val="center"/>
          </w:tcPr>
          <w:p w14:paraId="6B262F1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982" w:type="pct"/>
            <w:shd w:val="clear" w:color="auto" w:fill="auto"/>
            <w:vAlign w:val="center"/>
          </w:tcPr>
          <w:p w14:paraId="32EAA8C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w:t>
            </w:r>
          </w:p>
        </w:tc>
        <w:tc>
          <w:tcPr>
            <w:tcW w:w="1281" w:type="pct"/>
            <w:shd w:val="clear" w:color="auto" w:fill="auto"/>
            <w:vAlign w:val="center"/>
          </w:tcPr>
          <w:p w14:paraId="6F5ABA1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8.2</w:t>
            </w:r>
          </w:p>
        </w:tc>
        <w:tc>
          <w:tcPr>
            <w:tcW w:w="944" w:type="pct"/>
            <w:shd w:val="clear" w:color="auto" w:fill="auto"/>
            <w:vAlign w:val="center"/>
          </w:tcPr>
          <w:p w14:paraId="06A189E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9.1</w:t>
            </w:r>
          </w:p>
        </w:tc>
        <w:tc>
          <w:tcPr>
            <w:tcW w:w="1271" w:type="pct"/>
            <w:shd w:val="clear" w:color="auto" w:fill="auto"/>
            <w:vAlign w:val="center"/>
          </w:tcPr>
          <w:p w14:paraId="7E34277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7.8</w:t>
            </w:r>
          </w:p>
        </w:tc>
      </w:tr>
      <w:tr w:rsidR="007353B9" w14:paraId="1161B6F9" w14:textId="77777777">
        <w:trPr>
          <w:trHeight w:val="90"/>
          <w:jc w:val="center"/>
        </w:trPr>
        <w:tc>
          <w:tcPr>
            <w:tcW w:w="520" w:type="pct"/>
            <w:shd w:val="clear" w:color="auto" w:fill="auto"/>
            <w:vAlign w:val="center"/>
          </w:tcPr>
          <w:p w14:paraId="4654026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982" w:type="pct"/>
            <w:shd w:val="clear" w:color="auto" w:fill="auto"/>
            <w:vAlign w:val="center"/>
          </w:tcPr>
          <w:p w14:paraId="1FECC18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w:t>
            </w:r>
          </w:p>
        </w:tc>
        <w:tc>
          <w:tcPr>
            <w:tcW w:w="1281" w:type="pct"/>
            <w:shd w:val="clear" w:color="auto" w:fill="auto"/>
            <w:vAlign w:val="center"/>
          </w:tcPr>
          <w:p w14:paraId="58C9DE1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16.5</w:t>
            </w:r>
          </w:p>
        </w:tc>
        <w:tc>
          <w:tcPr>
            <w:tcW w:w="944" w:type="pct"/>
            <w:shd w:val="clear" w:color="auto" w:fill="auto"/>
            <w:vAlign w:val="center"/>
          </w:tcPr>
          <w:p w14:paraId="5359139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15.8</w:t>
            </w:r>
          </w:p>
        </w:tc>
        <w:tc>
          <w:tcPr>
            <w:tcW w:w="1271" w:type="pct"/>
            <w:shd w:val="clear" w:color="auto" w:fill="auto"/>
            <w:vAlign w:val="center"/>
          </w:tcPr>
          <w:p w14:paraId="1B511A1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12.4</w:t>
            </w:r>
          </w:p>
        </w:tc>
      </w:tr>
      <w:tr w:rsidR="007353B9" w14:paraId="2F7FC66A" w14:textId="77777777">
        <w:trPr>
          <w:trHeight w:val="90"/>
          <w:jc w:val="center"/>
        </w:trPr>
        <w:tc>
          <w:tcPr>
            <w:tcW w:w="520" w:type="pct"/>
            <w:shd w:val="clear" w:color="auto" w:fill="auto"/>
            <w:vAlign w:val="center"/>
          </w:tcPr>
          <w:p w14:paraId="6CB53C2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982" w:type="pct"/>
            <w:shd w:val="clear" w:color="auto" w:fill="auto"/>
            <w:vAlign w:val="center"/>
          </w:tcPr>
          <w:p w14:paraId="7FD1B23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4.6</w:t>
            </w:r>
          </w:p>
        </w:tc>
        <w:tc>
          <w:tcPr>
            <w:tcW w:w="1281" w:type="pct"/>
            <w:shd w:val="clear" w:color="auto" w:fill="auto"/>
            <w:vAlign w:val="center"/>
          </w:tcPr>
          <w:p w14:paraId="2AAF6A4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18.2</w:t>
            </w:r>
          </w:p>
        </w:tc>
        <w:tc>
          <w:tcPr>
            <w:tcW w:w="944" w:type="pct"/>
            <w:shd w:val="clear" w:color="auto" w:fill="auto"/>
            <w:vAlign w:val="center"/>
          </w:tcPr>
          <w:p w14:paraId="268C445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16.2</w:t>
            </w:r>
          </w:p>
        </w:tc>
        <w:tc>
          <w:tcPr>
            <w:tcW w:w="1271" w:type="pct"/>
            <w:shd w:val="clear" w:color="auto" w:fill="auto"/>
            <w:vAlign w:val="center"/>
          </w:tcPr>
          <w:p w14:paraId="6E257ED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13.6</w:t>
            </w:r>
          </w:p>
        </w:tc>
      </w:tr>
      <w:tr w:rsidR="007353B9" w14:paraId="7EEC5DB7" w14:textId="77777777">
        <w:trPr>
          <w:trHeight w:val="90"/>
          <w:jc w:val="center"/>
        </w:trPr>
        <w:tc>
          <w:tcPr>
            <w:tcW w:w="520" w:type="pct"/>
            <w:shd w:val="clear" w:color="auto" w:fill="auto"/>
            <w:vAlign w:val="center"/>
          </w:tcPr>
          <w:p w14:paraId="53EB8EE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982" w:type="pct"/>
            <w:shd w:val="clear" w:color="auto" w:fill="auto"/>
            <w:vAlign w:val="center"/>
          </w:tcPr>
          <w:p w14:paraId="0ED6D95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w:t>
            </w:r>
          </w:p>
        </w:tc>
        <w:tc>
          <w:tcPr>
            <w:tcW w:w="1281" w:type="pct"/>
            <w:shd w:val="clear" w:color="auto" w:fill="auto"/>
            <w:vAlign w:val="center"/>
          </w:tcPr>
          <w:p w14:paraId="635C9DC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19.4</w:t>
            </w:r>
          </w:p>
        </w:tc>
        <w:tc>
          <w:tcPr>
            <w:tcW w:w="944" w:type="pct"/>
            <w:shd w:val="clear" w:color="auto" w:fill="auto"/>
            <w:vAlign w:val="center"/>
          </w:tcPr>
          <w:p w14:paraId="731D6D2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17.5</w:t>
            </w:r>
          </w:p>
        </w:tc>
        <w:tc>
          <w:tcPr>
            <w:tcW w:w="1271" w:type="pct"/>
            <w:shd w:val="clear" w:color="auto" w:fill="auto"/>
            <w:vAlign w:val="center"/>
          </w:tcPr>
          <w:p w14:paraId="4AF0474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14.8</w:t>
            </w:r>
          </w:p>
        </w:tc>
      </w:tr>
    </w:tbl>
    <w:p w14:paraId="4CD42247"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0133CDBF"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Table </w:t>
      </w:r>
      <w:r>
        <w:rPr>
          <w:rFonts w:ascii="Times New Roman" w:hAnsi="Times New Roman" w:hint="eastAsia"/>
          <w:sz w:val="28"/>
          <w:szCs w:val="28"/>
          <w:lang w:val="en-US"/>
        </w:rPr>
        <w:t>2.4</w:t>
      </w:r>
      <w:r>
        <w:rPr>
          <w:rFonts w:ascii="Times New Roman" w:hAnsi="Times New Roman"/>
          <w:sz w:val="28"/>
          <w:szCs w:val="28"/>
        </w:rPr>
        <w:t xml:space="preserve">shows that although the overall investment growth rate has slowed down, investment in emerging fields such as high-tech manufacturing and high-tech services has maintained rapid growth. In 2023, the growth rate of high-tech manufacturing investment reached 19.4%, and the growth rate of high-tech services reached 17.5%, both significantly higher than the overall investment growth rate, reflecting the trend of investment concentration in innovation-driven fields. At the same time, investment in energy-saving and </w:t>
      </w:r>
      <w:r>
        <w:rPr>
          <w:rFonts w:ascii="Times New Roman" w:hAnsi="Times New Roman"/>
          <w:sz w:val="28"/>
          <w:szCs w:val="28"/>
        </w:rPr>
        <w:lastRenderedPageBreak/>
        <w:t>environmental protection industries has also maintained rapid growth, reflecting the in-depth implementation of the green development concept.</w:t>
      </w:r>
    </w:p>
    <w:p w14:paraId="3B68C498"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In terms of consumption upgrade, emerging consumption areas are growing rapidly. As shown in Table </w:t>
      </w:r>
      <w:r>
        <w:rPr>
          <w:rFonts w:ascii="Times New Roman" w:hAnsi="Times New Roman" w:hint="eastAsia"/>
          <w:sz w:val="28"/>
          <w:szCs w:val="28"/>
          <w:lang w:val="en-US"/>
        </w:rPr>
        <w:t>2.5</w:t>
      </w:r>
      <w:r>
        <w:rPr>
          <w:rFonts w:ascii="Times New Roman" w:hAnsi="Times New Roman"/>
          <w:sz w:val="28"/>
          <w:szCs w:val="28"/>
        </w:rPr>
        <w:t>, key areas such as new energy vehicles have performed well.</w:t>
      </w:r>
    </w:p>
    <w:p w14:paraId="3D4ADB81" w14:textId="77777777" w:rsidR="007353B9" w:rsidRPr="005830A8" w:rsidRDefault="006F35DE" w:rsidP="005830A8">
      <w:pPr>
        <w:pStyle w:val="a7"/>
        <w:widowControl/>
        <w:snapToGrid w:val="0"/>
        <w:spacing w:beforeAutospacing="0" w:afterAutospacing="0" w:line="360" w:lineRule="auto"/>
        <w:ind w:firstLineChars="200" w:firstLine="560"/>
        <w:jc w:val="right"/>
        <w:rPr>
          <w:rFonts w:ascii="Times New Roman" w:hAnsi="Times New Roman"/>
          <w:bCs/>
          <w:sz w:val="28"/>
          <w:szCs w:val="28"/>
        </w:rPr>
      </w:pPr>
      <w:r w:rsidRPr="005830A8">
        <w:rPr>
          <w:rFonts w:ascii="Times New Roman" w:hAnsi="Times New Roman"/>
          <w:bCs/>
          <w:sz w:val="28"/>
          <w:szCs w:val="28"/>
        </w:rPr>
        <w:t xml:space="preserve">Table 2.5 </w:t>
      </w:r>
    </w:p>
    <w:p w14:paraId="7BD3B276" w14:textId="77777777" w:rsidR="007353B9" w:rsidRDefault="006F35DE" w:rsidP="005830A8">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Growth Trends in Emerging Consumption Sectors (2019-2023)</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1585"/>
        <w:gridCol w:w="2472"/>
        <w:gridCol w:w="1939"/>
        <w:gridCol w:w="2294"/>
      </w:tblGrid>
      <w:tr w:rsidR="007353B9" w14:paraId="2DFE37A8" w14:textId="77777777">
        <w:trPr>
          <w:trHeight w:val="2304"/>
          <w:jc w:val="center"/>
        </w:trPr>
        <w:tc>
          <w:tcPr>
            <w:tcW w:w="563" w:type="pct"/>
            <w:shd w:val="clear" w:color="auto" w:fill="auto"/>
            <w:vAlign w:val="center"/>
          </w:tcPr>
          <w:p w14:paraId="03724777"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848" w:type="pct"/>
            <w:shd w:val="clear" w:color="auto" w:fill="auto"/>
            <w:vAlign w:val="center"/>
          </w:tcPr>
          <w:p w14:paraId="522C579A"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New Energy Vehicle Sales (10,000 units)</w:t>
            </w:r>
          </w:p>
        </w:tc>
        <w:tc>
          <w:tcPr>
            <w:tcW w:w="1322" w:type="pct"/>
            <w:shd w:val="clear" w:color="auto" w:fill="auto"/>
            <w:vAlign w:val="center"/>
          </w:tcPr>
          <w:p w14:paraId="0A2991B4"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Year-on-Year Growth (%)</w:t>
            </w:r>
          </w:p>
        </w:tc>
        <w:tc>
          <w:tcPr>
            <w:tcW w:w="1037" w:type="pct"/>
            <w:shd w:val="clear" w:color="auto" w:fill="auto"/>
            <w:vAlign w:val="center"/>
          </w:tcPr>
          <w:p w14:paraId="77C7694C"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Smart Home Appliance Retail Sales Growth (%)</w:t>
            </w:r>
          </w:p>
        </w:tc>
        <w:tc>
          <w:tcPr>
            <w:tcW w:w="1227" w:type="pct"/>
            <w:shd w:val="clear" w:color="auto" w:fill="auto"/>
            <w:vAlign w:val="center"/>
          </w:tcPr>
          <w:p w14:paraId="381F90AE"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Health and Medical Consumption Growth (%)</w:t>
            </w:r>
          </w:p>
        </w:tc>
      </w:tr>
      <w:tr w:rsidR="007353B9" w14:paraId="312C838C" w14:textId="77777777">
        <w:trPr>
          <w:trHeight w:val="288"/>
          <w:jc w:val="center"/>
        </w:trPr>
        <w:tc>
          <w:tcPr>
            <w:tcW w:w="563" w:type="pct"/>
            <w:shd w:val="clear" w:color="auto" w:fill="auto"/>
            <w:vAlign w:val="center"/>
          </w:tcPr>
          <w:p w14:paraId="0CA9F6B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848" w:type="pct"/>
            <w:shd w:val="clear" w:color="auto" w:fill="auto"/>
            <w:vAlign w:val="center"/>
          </w:tcPr>
          <w:p w14:paraId="6F6A4CF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120.6</w:t>
            </w:r>
          </w:p>
        </w:tc>
        <w:tc>
          <w:tcPr>
            <w:tcW w:w="1322" w:type="pct"/>
            <w:shd w:val="clear" w:color="auto" w:fill="auto"/>
            <w:vAlign w:val="center"/>
          </w:tcPr>
          <w:p w14:paraId="5C17064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15.2</w:t>
            </w:r>
          </w:p>
        </w:tc>
        <w:tc>
          <w:tcPr>
            <w:tcW w:w="1037" w:type="pct"/>
            <w:shd w:val="clear" w:color="auto" w:fill="auto"/>
            <w:vAlign w:val="center"/>
          </w:tcPr>
          <w:p w14:paraId="7A57CEB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8.5</w:t>
            </w:r>
          </w:p>
        </w:tc>
        <w:tc>
          <w:tcPr>
            <w:tcW w:w="1227" w:type="pct"/>
            <w:shd w:val="clear" w:color="auto" w:fill="auto"/>
            <w:vAlign w:val="center"/>
          </w:tcPr>
          <w:p w14:paraId="15A334C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12.4</w:t>
            </w:r>
          </w:p>
        </w:tc>
      </w:tr>
      <w:tr w:rsidR="007353B9" w14:paraId="6254A19E" w14:textId="77777777">
        <w:trPr>
          <w:trHeight w:val="288"/>
          <w:jc w:val="center"/>
        </w:trPr>
        <w:tc>
          <w:tcPr>
            <w:tcW w:w="563" w:type="pct"/>
            <w:shd w:val="clear" w:color="auto" w:fill="auto"/>
            <w:vAlign w:val="center"/>
          </w:tcPr>
          <w:p w14:paraId="13BF4FC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848" w:type="pct"/>
            <w:shd w:val="clear" w:color="auto" w:fill="auto"/>
            <w:vAlign w:val="center"/>
          </w:tcPr>
          <w:p w14:paraId="2D6353F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136.7</w:t>
            </w:r>
          </w:p>
        </w:tc>
        <w:tc>
          <w:tcPr>
            <w:tcW w:w="1322" w:type="pct"/>
            <w:shd w:val="clear" w:color="auto" w:fill="auto"/>
            <w:vAlign w:val="center"/>
          </w:tcPr>
          <w:p w14:paraId="5697FA3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13.3</w:t>
            </w:r>
          </w:p>
        </w:tc>
        <w:tc>
          <w:tcPr>
            <w:tcW w:w="1037" w:type="pct"/>
            <w:shd w:val="clear" w:color="auto" w:fill="auto"/>
            <w:vAlign w:val="center"/>
          </w:tcPr>
          <w:p w14:paraId="1F66527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5.2</w:t>
            </w:r>
          </w:p>
        </w:tc>
        <w:tc>
          <w:tcPr>
            <w:tcW w:w="1227" w:type="pct"/>
            <w:shd w:val="clear" w:color="auto" w:fill="auto"/>
            <w:vAlign w:val="center"/>
          </w:tcPr>
          <w:p w14:paraId="3376743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15.8</w:t>
            </w:r>
          </w:p>
        </w:tc>
      </w:tr>
      <w:tr w:rsidR="007353B9" w14:paraId="7E0CA1D3" w14:textId="77777777">
        <w:trPr>
          <w:trHeight w:val="288"/>
          <w:jc w:val="center"/>
        </w:trPr>
        <w:tc>
          <w:tcPr>
            <w:tcW w:w="563" w:type="pct"/>
            <w:shd w:val="clear" w:color="auto" w:fill="auto"/>
            <w:vAlign w:val="center"/>
          </w:tcPr>
          <w:p w14:paraId="63C9031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848" w:type="pct"/>
            <w:shd w:val="clear" w:color="auto" w:fill="auto"/>
            <w:vAlign w:val="center"/>
          </w:tcPr>
          <w:p w14:paraId="31894BC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352.1</w:t>
            </w:r>
          </w:p>
        </w:tc>
        <w:tc>
          <w:tcPr>
            <w:tcW w:w="1322" w:type="pct"/>
            <w:shd w:val="clear" w:color="auto" w:fill="auto"/>
            <w:vAlign w:val="center"/>
          </w:tcPr>
          <w:p w14:paraId="7B2CB56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157.6</w:t>
            </w:r>
          </w:p>
        </w:tc>
        <w:tc>
          <w:tcPr>
            <w:tcW w:w="1037" w:type="pct"/>
            <w:shd w:val="clear" w:color="auto" w:fill="auto"/>
            <w:vAlign w:val="center"/>
          </w:tcPr>
          <w:p w14:paraId="7D3845B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12.8</w:t>
            </w:r>
          </w:p>
        </w:tc>
        <w:tc>
          <w:tcPr>
            <w:tcW w:w="1227" w:type="pct"/>
            <w:shd w:val="clear" w:color="auto" w:fill="auto"/>
            <w:vAlign w:val="center"/>
          </w:tcPr>
          <w:p w14:paraId="72D8B10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18.2</w:t>
            </w:r>
          </w:p>
        </w:tc>
      </w:tr>
      <w:tr w:rsidR="007353B9" w14:paraId="2CE866E0" w14:textId="77777777">
        <w:trPr>
          <w:trHeight w:val="288"/>
          <w:jc w:val="center"/>
        </w:trPr>
        <w:tc>
          <w:tcPr>
            <w:tcW w:w="563" w:type="pct"/>
            <w:shd w:val="clear" w:color="auto" w:fill="auto"/>
            <w:vAlign w:val="center"/>
          </w:tcPr>
          <w:p w14:paraId="45A909B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848" w:type="pct"/>
            <w:shd w:val="clear" w:color="auto" w:fill="auto"/>
            <w:vAlign w:val="center"/>
          </w:tcPr>
          <w:p w14:paraId="00E6D19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688.7</w:t>
            </w:r>
          </w:p>
        </w:tc>
        <w:tc>
          <w:tcPr>
            <w:tcW w:w="1322" w:type="pct"/>
            <w:shd w:val="clear" w:color="auto" w:fill="auto"/>
            <w:vAlign w:val="center"/>
          </w:tcPr>
          <w:p w14:paraId="3203E12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95.6</w:t>
            </w:r>
          </w:p>
        </w:tc>
        <w:tc>
          <w:tcPr>
            <w:tcW w:w="1037" w:type="pct"/>
            <w:shd w:val="clear" w:color="auto" w:fill="auto"/>
            <w:vAlign w:val="center"/>
          </w:tcPr>
          <w:p w14:paraId="59E177B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15.4</w:t>
            </w:r>
          </w:p>
        </w:tc>
        <w:tc>
          <w:tcPr>
            <w:tcW w:w="1227" w:type="pct"/>
            <w:shd w:val="clear" w:color="auto" w:fill="auto"/>
            <w:vAlign w:val="center"/>
          </w:tcPr>
          <w:p w14:paraId="39B9EDE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16.5</w:t>
            </w:r>
          </w:p>
        </w:tc>
      </w:tr>
      <w:tr w:rsidR="007353B9" w14:paraId="0EA134DA" w14:textId="77777777">
        <w:trPr>
          <w:trHeight w:val="288"/>
          <w:jc w:val="center"/>
        </w:trPr>
        <w:tc>
          <w:tcPr>
            <w:tcW w:w="563" w:type="pct"/>
            <w:shd w:val="clear" w:color="auto" w:fill="auto"/>
            <w:vAlign w:val="center"/>
          </w:tcPr>
          <w:p w14:paraId="6ABF5C7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848" w:type="pct"/>
            <w:shd w:val="clear" w:color="auto" w:fill="auto"/>
            <w:vAlign w:val="center"/>
          </w:tcPr>
          <w:p w14:paraId="4A4A365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926.3</w:t>
            </w:r>
          </w:p>
        </w:tc>
        <w:tc>
          <w:tcPr>
            <w:tcW w:w="1322" w:type="pct"/>
            <w:shd w:val="clear" w:color="auto" w:fill="auto"/>
            <w:vAlign w:val="center"/>
          </w:tcPr>
          <w:p w14:paraId="1C127E0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34.5</w:t>
            </w:r>
          </w:p>
        </w:tc>
        <w:tc>
          <w:tcPr>
            <w:tcW w:w="1037" w:type="pct"/>
            <w:shd w:val="clear" w:color="auto" w:fill="auto"/>
            <w:vAlign w:val="center"/>
          </w:tcPr>
          <w:p w14:paraId="0C7A43D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18.2</w:t>
            </w:r>
          </w:p>
        </w:tc>
        <w:tc>
          <w:tcPr>
            <w:tcW w:w="1227" w:type="pct"/>
            <w:shd w:val="clear" w:color="auto" w:fill="auto"/>
            <w:vAlign w:val="center"/>
          </w:tcPr>
          <w:p w14:paraId="498857E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15.8</w:t>
            </w:r>
          </w:p>
        </w:tc>
      </w:tr>
    </w:tbl>
    <w:p w14:paraId="5975534E"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0509B573"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Table </w:t>
      </w:r>
      <w:r>
        <w:rPr>
          <w:rFonts w:ascii="Times New Roman" w:hAnsi="Times New Roman" w:hint="eastAsia"/>
          <w:sz w:val="28"/>
          <w:szCs w:val="28"/>
          <w:lang w:val="en-US"/>
        </w:rPr>
        <w:t xml:space="preserve">2.5 </w:t>
      </w:r>
      <w:r>
        <w:rPr>
          <w:rFonts w:ascii="Times New Roman" w:hAnsi="Times New Roman"/>
          <w:sz w:val="28"/>
          <w:szCs w:val="28"/>
        </w:rPr>
        <w:t>reflects the remarkable results of consumption upgrading. The sales volume of new energy vehicles increased from 1.206 million in 2019 to 9.263 million in 2023, with an average annual compound growth rate of 66.5%. The growth rate of smart home appliance retail sales increased from 8.5% in 2019 to 18.2% in 2023, and health care consumption also maintained rapid growth, showing a trend of upgrading consumption structure towards intelligence and health.</w:t>
      </w:r>
    </w:p>
    <w:p w14:paraId="6082B5A5"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Based on the above analysis, China's economic demand in 2019-2023 presents the following main characteristics: First, the consumer market is more resilient and digital transformation is accelerating; second, the investment structure is optimized and investment in new drivers is accelerating; third, foreign trade is developing with high quality and new formats are booming. These changes have </w:t>
      </w:r>
      <w:r>
        <w:rPr>
          <w:rFonts w:ascii="Times New Roman" w:hAnsi="Times New Roman"/>
          <w:sz w:val="28"/>
          <w:szCs w:val="28"/>
        </w:rPr>
        <w:lastRenderedPageBreak/>
        <w:t>laid the foundation for high-quality economic development and provided important inspiration for anti-crisis management. In the future, it is necessary to continue to deepen supply-side structural reforms, cultivate new growth drivers, build a new development pattern, and promote higher-quality economic development.</w:t>
      </w:r>
    </w:p>
    <w:p w14:paraId="117F75FA" w14:textId="77777777" w:rsidR="007353B9" w:rsidRDefault="007353B9" w:rsidP="008604BD">
      <w:pPr>
        <w:widowControl/>
        <w:snapToGrid w:val="0"/>
        <w:spacing w:line="360" w:lineRule="auto"/>
        <w:ind w:firstLineChars="200" w:firstLine="562"/>
        <w:outlineLvl w:val="1"/>
        <w:rPr>
          <w:rFonts w:ascii="Times New Roman" w:eastAsia="Times New Roman" w:hAnsi="Times New Roman" w:cs="Times New Roman"/>
          <w:b/>
          <w:bCs/>
          <w:sz w:val="28"/>
          <w:szCs w:val="28"/>
          <w:lang w:val="en-US" w:eastAsia="uk-UA"/>
        </w:rPr>
      </w:pPr>
    </w:p>
    <w:p w14:paraId="61DDB509" w14:textId="77777777" w:rsidR="007353B9" w:rsidRDefault="006F35DE" w:rsidP="008604BD">
      <w:pPr>
        <w:widowControl/>
        <w:snapToGrid w:val="0"/>
        <w:spacing w:line="360" w:lineRule="auto"/>
        <w:ind w:firstLineChars="200" w:firstLine="562"/>
        <w:outlineLvl w:val="1"/>
        <w:rPr>
          <w:rStyle w:val="y2iqfc"/>
          <w:rFonts w:ascii="Times New Roman" w:eastAsia="Calibri" w:hAnsi="Times New Roman" w:cs="Times New Roman"/>
          <w:b/>
          <w:bCs/>
          <w:sz w:val="28"/>
          <w:szCs w:val="28"/>
          <w:lang w:eastAsia="en-US"/>
        </w:rPr>
      </w:pPr>
      <w:bookmarkStart w:id="9" w:name="_Toc446"/>
      <w:r>
        <w:rPr>
          <w:rFonts w:ascii="Times New Roman" w:eastAsia="Times New Roman" w:hAnsi="Times New Roman" w:cs="Times New Roman"/>
          <w:b/>
          <w:bCs/>
          <w:sz w:val="28"/>
          <w:szCs w:val="28"/>
          <w:lang w:val="en-US" w:eastAsia="uk-UA"/>
        </w:rPr>
        <w:t xml:space="preserve">2.2. Analysis of infrastructure profitability </w:t>
      </w:r>
      <w:r>
        <w:rPr>
          <w:rStyle w:val="y2iqfc"/>
          <w:rFonts w:ascii="Times New Roman" w:eastAsia="Calibri" w:hAnsi="Times New Roman" w:cs="Times New Roman"/>
          <w:b/>
          <w:bCs/>
          <w:sz w:val="28"/>
          <w:szCs w:val="28"/>
          <w:lang w:eastAsia="en-US"/>
        </w:rPr>
        <w:t>over the last 5 years</w:t>
      </w:r>
      <w:bookmarkEnd w:id="9"/>
    </w:p>
    <w:p w14:paraId="11770379" w14:textId="77777777" w:rsidR="007353B9" w:rsidRDefault="007353B9" w:rsidP="008604BD">
      <w:pPr>
        <w:widowControl/>
        <w:snapToGrid w:val="0"/>
        <w:spacing w:line="360" w:lineRule="auto"/>
        <w:ind w:firstLineChars="200" w:firstLine="562"/>
        <w:outlineLvl w:val="1"/>
        <w:rPr>
          <w:rStyle w:val="y2iqfc"/>
          <w:rFonts w:ascii="Times New Roman" w:eastAsia="Calibri" w:hAnsi="Times New Roman" w:cs="Times New Roman"/>
          <w:b/>
          <w:bCs/>
          <w:sz w:val="28"/>
          <w:szCs w:val="28"/>
          <w:lang w:val="uk-UA" w:eastAsia="uk-UA"/>
        </w:rPr>
      </w:pPr>
    </w:p>
    <w:p w14:paraId="1DCCED56" w14:textId="77777777" w:rsidR="007353B9" w:rsidRDefault="006F35DE">
      <w:pPr>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As an important support for the national economy, the profitability of infrastructure is directly related to the quality and sustainability of economic development. This section analyzes core indicators such as infrastructure investment, revenue and profitability from 2019 to 2023 to explore the changes in profitability in the infrastructure sector and its impact on anti-crisis management.</w:t>
      </w:r>
    </w:p>
    <w:p w14:paraId="59B9AE71" w14:textId="77777777" w:rsidR="007353B9" w:rsidRDefault="006F35DE">
      <w:pPr>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Over the past five years, China's infrastructure construction has shown the characteristics of continued expansion of investment scale but gradual pressure on profitability. As shown in Table </w:t>
      </w:r>
      <w:r>
        <w:rPr>
          <w:rFonts w:ascii="Times New Roman" w:hAnsi="Times New Roman" w:cs="Times New Roman"/>
          <w:sz w:val="28"/>
          <w:szCs w:val="28"/>
          <w:lang w:val="en-US"/>
        </w:rPr>
        <w:t xml:space="preserve">9 </w:t>
      </w:r>
      <w:r>
        <w:rPr>
          <w:rFonts w:ascii="Times New Roman" w:hAnsi="Times New Roman" w:cs="Times New Roman"/>
          <w:sz w:val="28"/>
          <w:szCs w:val="28"/>
        </w:rPr>
        <w:t>, the total amount of infrastructure investment has steadily increased from 19.8 trillion yuan in 2019 to 24.1 trillion yuan in 2023, with an average annual compound growth rate of 5.0%. Although the investment growth rate once dropped to a low of 2.5% in 2020 due to the impact of the epidemic, it quickly rebounded and remained above 5%, showing the policy effect of countercyclical regulation.</w:t>
      </w:r>
    </w:p>
    <w:p w14:paraId="436619B7" w14:textId="77777777" w:rsidR="007353B9" w:rsidRPr="005830A8" w:rsidRDefault="006F35DE" w:rsidP="005830A8">
      <w:pPr>
        <w:widowControl/>
        <w:snapToGrid w:val="0"/>
        <w:spacing w:line="360" w:lineRule="auto"/>
        <w:ind w:firstLineChars="200" w:firstLine="560"/>
        <w:jc w:val="right"/>
        <w:rPr>
          <w:rFonts w:ascii="Times New Roman" w:hAnsi="Times New Roman" w:cs="Times New Roman"/>
          <w:bCs/>
          <w:sz w:val="28"/>
          <w:szCs w:val="28"/>
          <w:lang w:val="en-US"/>
        </w:rPr>
      </w:pPr>
      <w:r w:rsidRPr="005830A8">
        <w:rPr>
          <w:rFonts w:ascii="Times New Roman" w:hAnsi="Times New Roman" w:cs="Times New Roman"/>
          <w:bCs/>
          <w:sz w:val="28"/>
          <w:szCs w:val="28"/>
        </w:rPr>
        <w:t xml:space="preserve">Table </w:t>
      </w:r>
      <w:r w:rsidRPr="005830A8">
        <w:rPr>
          <w:rFonts w:ascii="Times New Roman" w:hAnsi="Times New Roman" w:cs="Times New Roman" w:hint="eastAsia"/>
          <w:bCs/>
          <w:sz w:val="28"/>
          <w:szCs w:val="28"/>
          <w:lang w:val="en-US"/>
        </w:rPr>
        <w:t>2.6</w:t>
      </w:r>
    </w:p>
    <w:p w14:paraId="3EF55434" w14:textId="77777777" w:rsidR="007353B9" w:rsidRDefault="006F35DE" w:rsidP="005830A8">
      <w:pPr>
        <w:widowControl/>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Infrastructure investment and its sub-item data from 2019 to 2023</w:t>
      </w:r>
    </w:p>
    <w:tbl>
      <w:tblPr>
        <w:tblW w:w="6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1652"/>
        <w:gridCol w:w="1693"/>
        <w:gridCol w:w="1060"/>
        <w:gridCol w:w="1258"/>
        <w:gridCol w:w="1469"/>
        <w:gridCol w:w="1456"/>
      </w:tblGrid>
      <w:tr w:rsidR="007353B9" w14:paraId="2E6F1C34" w14:textId="77777777">
        <w:trPr>
          <w:trHeight w:val="1440"/>
          <w:jc w:val="center"/>
        </w:trPr>
        <w:tc>
          <w:tcPr>
            <w:tcW w:w="960" w:type="dxa"/>
            <w:shd w:val="clear" w:color="auto" w:fill="auto"/>
            <w:vAlign w:val="center"/>
          </w:tcPr>
          <w:p w14:paraId="64AC16BF"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years</w:t>
            </w:r>
          </w:p>
        </w:tc>
        <w:tc>
          <w:tcPr>
            <w:tcW w:w="960" w:type="dxa"/>
            <w:shd w:val="clear" w:color="auto" w:fill="auto"/>
            <w:vAlign w:val="center"/>
          </w:tcPr>
          <w:p w14:paraId="38F17EA5"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infrastructure investment (trillion yuan)</w:t>
            </w:r>
          </w:p>
        </w:tc>
        <w:tc>
          <w:tcPr>
            <w:tcW w:w="960" w:type="dxa"/>
            <w:shd w:val="clear" w:color="auto" w:fill="auto"/>
            <w:vAlign w:val="center"/>
          </w:tcPr>
          <w:p w14:paraId="239450F1"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Proportion of transportation facilities (%)</w:t>
            </w:r>
          </w:p>
        </w:tc>
        <w:tc>
          <w:tcPr>
            <w:tcW w:w="960" w:type="dxa"/>
            <w:shd w:val="clear" w:color="auto" w:fill="auto"/>
            <w:vAlign w:val="center"/>
          </w:tcPr>
          <w:p w14:paraId="0BF1EE98"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Energy facilities share (%)</w:t>
            </w:r>
          </w:p>
        </w:tc>
        <w:tc>
          <w:tcPr>
            <w:tcW w:w="960" w:type="dxa"/>
            <w:shd w:val="clear" w:color="auto" w:fill="auto"/>
            <w:vAlign w:val="center"/>
          </w:tcPr>
          <w:p w14:paraId="5B5AE3CE"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Municipal facilities share (%)</w:t>
            </w:r>
          </w:p>
        </w:tc>
        <w:tc>
          <w:tcPr>
            <w:tcW w:w="960" w:type="dxa"/>
            <w:shd w:val="clear" w:color="auto" w:fill="auto"/>
            <w:vAlign w:val="center"/>
          </w:tcPr>
          <w:p w14:paraId="48E24494"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Proportion of water conservancy facilities (%)</w:t>
            </w:r>
          </w:p>
        </w:tc>
        <w:tc>
          <w:tcPr>
            <w:tcW w:w="960" w:type="dxa"/>
            <w:shd w:val="clear" w:color="auto" w:fill="auto"/>
            <w:vAlign w:val="center"/>
          </w:tcPr>
          <w:p w14:paraId="2B6DCD70"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Information facilities ratio (%)</w:t>
            </w:r>
          </w:p>
        </w:tc>
      </w:tr>
      <w:tr w:rsidR="007353B9" w14:paraId="38249652" w14:textId="77777777">
        <w:trPr>
          <w:trHeight w:val="288"/>
          <w:jc w:val="center"/>
        </w:trPr>
        <w:tc>
          <w:tcPr>
            <w:tcW w:w="960" w:type="dxa"/>
            <w:shd w:val="clear" w:color="auto" w:fill="auto"/>
            <w:vAlign w:val="center"/>
          </w:tcPr>
          <w:p w14:paraId="7799BA8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960" w:type="dxa"/>
            <w:shd w:val="clear" w:color="auto" w:fill="auto"/>
            <w:vAlign w:val="center"/>
          </w:tcPr>
          <w:p w14:paraId="5F968DE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19.8</w:t>
            </w:r>
          </w:p>
        </w:tc>
        <w:tc>
          <w:tcPr>
            <w:tcW w:w="960" w:type="dxa"/>
            <w:shd w:val="clear" w:color="auto" w:fill="auto"/>
            <w:vAlign w:val="center"/>
          </w:tcPr>
          <w:p w14:paraId="2DCE0F3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35.2</w:t>
            </w:r>
          </w:p>
        </w:tc>
        <w:tc>
          <w:tcPr>
            <w:tcW w:w="960" w:type="dxa"/>
            <w:shd w:val="clear" w:color="auto" w:fill="auto"/>
            <w:vAlign w:val="center"/>
          </w:tcPr>
          <w:p w14:paraId="552A6AF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22.4</w:t>
            </w:r>
          </w:p>
        </w:tc>
        <w:tc>
          <w:tcPr>
            <w:tcW w:w="960" w:type="dxa"/>
            <w:shd w:val="clear" w:color="auto" w:fill="auto"/>
            <w:vAlign w:val="center"/>
          </w:tcPr>
          <w:p w14:paraId="5756C2E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24.5</w:t>
            </w:r>
          </w:p>
        </w:tc>
        <w:tc>
          <w:tcPr>
            <w:tcW w:w="960" w:type="dxa"/>
            <w:shd w:val="clear" w:color="auto" w:fill="auto"/>
            <w:vAlign w:val="center"/>
          </w:tcPr>
          <w:p w14:paraId="3680CA3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8.6</w:t>
            </w:r>
          </w:p>
        </w:tc>
        <w:tc>
          <w:tcPr>
            <w:tcW w:w="960" w:type="dxa"/>
            <w:shd w:val="clear" w:color="auto" w:fill="auto"/>
            <w:vAlign w:val="center"/>
          </w:tcPr>
          <w:p w14:paraId="05DADB8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9.3</w:t>
            </w:r>
          </w:p>
        </w:tc>
      </w:tr>
      <w:tr w:rsidR="007353B9" w14:paraId="45400C26" w14:textId="77777777">
        <w:trPr>
          <w:trHeight w:val="288"/>
          <w:jc w:val="center"/>
        </w:trPr>
        <w:tc>
          <w:tcPr>
            <w:tcW w:w="960" w:type="dxa"/>
            <w:shd w:val="clear" w:color="auto" w:fill="auto"/>
            <w:vAlign w:val="center"/>
          </w:tcPr>
          <w:p w14:paraId="6EA79E2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960" w:type="dxa"/>
            <w:shd w:val="clear" w:color="auto" w:fill="auto"/>
            <w:vAlign w:val="center"/>
          </w:tcPr>
          <w:p w14:paraId="2F6C351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20.3</w:t>
            </w:r>
          </w:p>
        </w:tc>
        <w:tc>
          <w:tcPr>
            <w:tcW w:w="960" w:type="dxa"/>
            <w:shd w:val="clear" w:color="auto" w:fill="auto"/>
            <w:vAlign w:val="center"/>
          </w:tcPr>
          <w:p w14:paraId="653E4A5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34.8</w:t>
            </w:r>
          </w:p>
        </w:tc>
        <w:tc>
          <w:tcPr>
            <w:tcW w:w="960" w:type="dxa"/>
            <w:shd w:val="clear" w:color="auto" w:fill="auto"/>
            <w:vAlign w:val="center"/>
          </w:tcPr>
          <w:p w14:paraId="21B5C26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22.8</w:t>
            </w:r>
          </w:p>
        </w:tc>
        <w:tc>
          <w:tcPr>
            <w:tcW w:w="960" w:type="dxa"/>
            <w:shd w:val="clear" w:color="auto" w:fill="auto"/>
            <w:vAlign w:val="center"/>
          </w:tcPr>
          <w:p w14:paraId="54F0572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24.2</w:t>
            </w:r>
          </w:p>
        </w:tc>
        <w:tc>
          <w:tcPr>
            <w:tcW w:w="960" w:type="dxa"/>
            <w:shd w:val="clear" w:color="auto" w:fill="auto"/>
            <w:vAlign w:val="center"/>
          </w:tcPr>
          <w:p w14:paraId="234CCD5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8.8</w:t>
            </w:r>
          </w:p>
        </w:tc>
        <w:tc>
          <w:tcPr>
            <w:tcW w:w="960" w:type="dxa"/>
            <w:shd w:val="clear" w:color="auto" w:fill="auto"/>
            <w:vAlign w:val="center"/>
          </w:tcPr>
          <w:p w14:paraId="546F19D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9.4</w:t>
            </w:r>
          </w:p>
        </w:tc>
      </w:tr>
      <w:tr w:rsidR="007353B9" w14:paraId="39CE5A2E" w14:textId="77777777">
        <w:trPr>
          <w:trHeight w:val="288"/>
          <w:jc w:val="center"/>
        </w:trPr>
        <w:tc>
          <w:tcPr>
            <w:tcW w:w="960" w:type="dxa"/>
            <w:shd w:val="clear" w:color="auto" w:fill="auto"/>
            <w:vAlign w:val="center"/>
          </w:tcPr>
          <w:p w14:paraId="451EF7F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960" w:type="dxa"/>
            <w:shd w:val="clear" w:color="auto" w:fill="auto"/>
            <w:vAlign w:val="center"/>
          </w:tcPr>
          <w:p w14:paraId="501C1A6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21.5</w:t>
            </w:r>
          </w:p>
        </w:tc>
        <w:tc>
          <w:tcPr>
            <w:tcW w:w="960" w:type="dxa"/>
            <w:shd w:val="clear" w:color="auto" w:fill="auto"/>
            <w:vAlign w:val="center"/>
          </w:tcPr>
          <w:p w14:paraId="612E6A9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34.5</w:t>
            </w:r>
          </w:p>
        </w:tc>
        <w:tc>
          <w:tcPr>
            <w:tcW w:w="960" w:type="dxa"/>
            <w:shd w:val="clear" w:color="auto" w:fill="auto"/>
            <w:vAlign w:val="center"/>
          </w:tcPr>
          <w:p w14:paraId="4CBBF60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23.2</w:t>
            </w:r>
          </w:p>
        </w:tc>
        <w:tc>
          <w:tcPr>
            <w:tcW w:w="960" w:type="dxa"/>
            <w:shd w:val="clear" w:color="auto" w:fill="auto"/>
            <w:vAlign w:val="center"/>
          </w:tcPr>
          <w:p w14:paraId="61DA35D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23.8</w:t>
            </w:r>
          </w:p>
        </w:tc>
        <w:tc>
          <w:tcPr>
            <w:tcW w:w="960" w:type="dxa"/>
            <w:shd w:val="clear" w:color="auto" w:fill="auto"/>
            <w:vAlign w:val="center"/>
          </w:tcPr>
          <w:p w14:paraId="0B508E5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8.9</w:t>
            </w:r>
          </w:p>
        </w:tc>
        <w:tc>
          <w:tcPr>
            <w:tcW w:w="960" w:type="dxa"/>
            <w:shd w:val="clear" w:color="auto" w:fill="auto"/>
            <w:vAlign w:val="center"/>
          </w:tcPr>
          <w:p w14:paraId="2C72590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9.6</w:t>
            </w:r>
          </w:p>
        </w:tc>
      </w:tr>
      <w:tr w:rsidR="007353B9" w14:paraId="71A85C71" w14:textId="77777777">
        <w:trPr>
          <w:trHeight w:val="288"/>
          <w:jc w:val="center"/>
        </w:trPr>
        <w:tc>
          <w:tcPr>
            <w:tcW w:w="960" w:type="dxa"/>
            <w:shd w:val="clear" w:color="auto" w:fill="auto"/>
            <w:vAlign w:val="center"/>
          </w:tcPr>
          <w:p w14:paraId="3C665B1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lastRenderedPageBreak/>
              <w:t>2022</w:t>
            </w:r>
          </w:p>
        </w:tc>
        <w:tc>
          <w:tcPr>
            <w:tcW w:w="960" w:type="dxa"/>
            <w:shd w:val="clear" w:color="auto" w:fill="auto"/>
            <w:vAlign w:val="center"/>
          </w:tcPr>
          <w:p w14:paraId="3DC287E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22.8</w:t>
            </w:r>
          </w:p>
        </w:tc>
        <w:tc>
          <w:tcPr>
            <w:tcW w:w="960" w:type="dxa"/>
            <w:shd w:val="clear" w:color="auto" w:fill="auto"/>
            <w:vAlign w:val="center"/>
          </w:tcPr>
          <w:p w14:paraId="6AE3B7D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34.2</w:t>
            </w:r>
          </w:p>
        </w:tc>
        <w:tc>
          <w:tcPr>
            <w:tcW w:w="960" w:type="dxa"/>
            <w:shd w:val="clear" w:color="auto" w:fill="auto"/>
            <w:vAlign w:val="center"/>
          </w:tcPr>
          <w:p w14:paraId="3D10FC5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23.5</w:t>
            </w:r>
          </w:p>
        </w:tc>
        <w:tc>
          <w:tcPr>
            <w:tcW w:w="960" w:type="dxa"/>
            <w:shd w:val="clear" w:color="auto" w:fill="auto"/>
            <w:vAlign w:val="center"/>
          </w:tcPr>
          <w:p w14:paraId="4FAE516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23.5</w:t>
            </w:r>
          </w:p>
        </w:tc>
        <w:tc>
          <w:tcPr>
            <w:tcW w:w="960" w:type="dxa"/>
            <w:shd w:val="clear" w:color="auto" w:fill="auto"/>
            <w:vAlign w:val="center"/>
          </w:tcPr>
          <w:p w14:paraId="6D76B40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w:t>
            </w:r>
          </w:p>
        </w:tc>
        <w:tc>
          <w:tcPr>
            <w:tcW w:w="960" w:type="dxa"/>
            <w:shd w:val="clear" w:color="auto" w:fill="auto"/>
            <w:vAlign w:val="center"/>
          </w:tcPr>
          <w:p w14:paraId="7DE5BD9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9.8</w:t>
            </w:r>
          </w:p>
        </w:tc>
      </w:tr>
      <w:tr w:rsidR="007353B9" w14:paraId="65F79C95" w14:textId="77777777">
        <w:trPr>
          <w:trHeight w:val="288"/>
          <w:jc w:val="center"/>
        </w:trPr>
        <w:tc>
          <w:tcPr>
            <w:tcW w:w="960" w:type="dxa"/>
            <w:shd w:val="clear" w:color="auto" w:fill="auto"/>
            <w:vAlign w:val="center"/>
          </w:tcPr>
          <w:p w14:paraId="62EF599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960" w:type="dxa"/>
            <w:shd w:val="clear" w:color="auto" w:fill="auto"/>
            <w:vAlign w:val="center"/>
          </w:tcPr>
          <w:p w14:paraId="134D6135"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24.1</w:t>
            </w:r>
          </w:p>
        </w:tc>
        <w:tc>
          <w:tcPr>
            <w:tcW w:w="960" w:type="dxa"/>
            <w:shd w:val="clear" w:color="auto" w:fill="auto"/>
            <w:vAlign w:val="center"/>
          </w:tcPr>
          <w:p w14:paraId="1A96F63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33.8</w:t>
            </w:r>
          </w:p>
        </w:tc>
        <w:tc>
          <w:tcPr>
            <w:tcW w:w="960" w:type="dxa"/>
            <w:shd w:val="clear" w:color="auto" w:fill="auto"/>
            <w:vAlign w:val="center"/>
          </w:tcPr>
          <w:p w14:paraId="2C6F514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23.8</w:t>
            </w:r>
          </w:p>
        </w:tc>
        <w:tc>
          <w:tcPr>
            <w:tcW w:w="960" w:type="dxa"/>
            <w:shd w:val="clear" w:color="auto" w:fill="auto"/>
            <w:vAlign w:val="center"/>
          </w:tcPr>
          <w:p w14:paraId="458EC3D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23.2</w:t>
            </w:r>
          </w:p>
        </w:tc>
        <w:tc>
          <w:tcPr>
            <w:tcW w:w="960" w:type="dxa"/>
            <w:shd w:val="clear" w:color="auto" w:fill="auto"/>
            <w:vAlign w:val="center"/>
          </w:tcPr>
          <w:p w14:paraId="10FC439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9.2</w:t>
            </w:r>
          </w:p>
        </w:tc>
        <w:tc>
          <w:tcPr>
            <w:tcW w:w="960" w:type="dxa"/>
            <w:shd w:val="clear" w:color="auto" w:fill="auto"/>
            <w:vAlign w:val="center"/>
          </w:tcPr>
          <w:p w14:paraId="38BA811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w:t>
            </w:r>
          </w:p>
        </w:tc>
      </w:tr>
    </w:tbl>
    <w:p w14:paraId="673EEDAC"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7430CEC0"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data in Table</w:t>
      </w:r>
      <w:r>
        <w:rPr>
          <w:rFonts w:ascii="Times New Roman" w:hAnsi="Times New Roman" w:hint="eastAsia"/>
          <w:sz w:val="28"/>
          <w:szCs w:val="28"/>
          <w:lang w:val="en-US"/>
        </w:rPr>
        <w:t xml:space="preserve"> 2.6</w:t>
      </w:r>
      <w:r>
        <w:rPr>
          <w:rFonts w:ascii="Times New Roman" w:hAnsi="Times New Roman"/>
          <w:sz w:val="28"/>
          <w:szCs w:val="28"/>
          <w:lang w:val="en-US"/>
        </w:rPr>
        <w:t xml:space="preserve"> </w:t>
      </w:r>
      <w:r>
        <w:rPr>
          <w:rFonts w:ascii="Times New Roman" w:hAnsi="Times New Roman"/>
          <w:sz w:val="28"/>
          <w:szCs w:val="28"/>
        </w:rPr>
        <w:t>, we can see that the scale of infrastructure investment has continued to expand, increasing from 19.8 trillion yuan to 24.1 trillion yuan in five years. The growth rate showed a "U-shaped" recovery feature: in 2020, it dropped to a low of 2.5% due to the impact of the epidemic, and then gradually recovered and remained at a high level of 5-6%. This reflects that infrastructure investment has played an important role in economic recovery and crisis response.</w:t>
      </w:r>
    </w:p>
    <w:p w14:paraId="0F7891D7" w14:textId="77777777" w:rsidR="007353B9" w:rsidRPr="005830A8" w:rsidRDefault="006F35DE" w:rsidP="005830A8">
      <w:pPr>
        <w:pStyle w:val="a7"/>
        <w:widowControl/>
        <w:snapToGrid w:val="0"/>
        <w:spacing w:beforeAutospacing="0" w:afterAutospacing="0" w:line="360" w:lineRule="auto"/>
        <w:ind w:firstLineChars="200" w:firstLine="560"/>
        <w:jc w:val="right"/>
        <w:rPr>
          <w:rFonts w:ascii="Times New Roman" w:hAnsi="Times New Roman"/>
          <w:bCs/>
          <w:sz w:val="28"/>
          <w:szCs w:val="28"/>
          <w:lang w:val="en-US"/>
        </w:rPr>
      </w:pPr>
      <w:r w:rsidRPr="005830A8">
        <w:rPr>
          <w:rFonts w:ascii="Times New Roman" w:hAnsi="Times New Roman"/>
          <w:bCs/>
          <w:sz w:val="28"/>
          <w:szCs w:val="28"/>
        </w:rPr>
        <w:t>Table</w:t>
      </w:r>
      <w:r w:rsidRPr="005830A8">
        <w:rPr>
          <w:rFonts w:ascii="Times New Roman" w:hAnsi="Times New Roman" w:hint="eastAsia"/>
          <w:bCs/>
          <w:sz w:val="28"/>
          <w:szCs w:val="28"/>
          <w:lang w:val="en-US"/>
        </w:rPr>
        <w:t xml:space="preserve"> 2.7 </w:t>
      </w:r>
    </w:p>
    <w:p w14:paraId="1F7FA2C6" w14:textId="77777777" w:rsidR="007353B9" w:rsidRDefault="006F35DE" w:rsidP="005830A8">
      <w:pPr>
        <w:pStyle w:val="a7"/>
        <w:widowControl/>
        <w:snapToGrid w:val="0"/>
        <w:spacing w:beforeAutospacing="0" w:afterAutospacing="0" w:line="360" w:lineRule="auto"/>
        <w:jc w:val="both"/>
        <w:rPr>
          <w:rFonts w:ascii="Times New Roman" w:hAnsi="Times New Roman"/>
          <w:b/>
          <w:bCs/>
          <w:sz w:val="28"/>
          <w:szCs w:val="28"/>
        </w:rPr>
      </w:pPr>
      <w:r>
        <w:rPr>
          <w:rFonts w:ascii="Times New Roman" w:hAnsi="Times New Roman"/>
          <w:b/>
          <w:bCs/>
          <w:sz w:val="28"/>
          <w:szCs w:val="28"/>
        </w:rPr>
        <w:t>Operating income and growth of infrastructure construction companies from 2019 to 2023</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1802"/>
        <w:gridCol w:w="1802"/>
        <w:gridCol w:w="1366"/>
        <w:gridCol w:w="2217"/>
        <w:gridCol w:w="1070"/>
      </w:tblGrid>
      <w:tr w:rsidR="007353B9" w14:paraId="5DF2618A" w14:textId="77777777">
        <w:trPr>
          <w:trHeight w:val="864"/>
          <w:jc w:val="center"/>
        </w:trPr>
        <w:tc>
          <w:tcPr>
            <w:tcW w:w="579" w:type="pct"/>
            <w:shd w:val="clear" w:color="auto" w:fill="auto"/>
            <w:vAlign w:val="center"/>
          </w:tcPr>
          <w:p w14:paraId="7E944C35"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years</w:t>
            </w:r>
          </w:p>
        </w:tc>
        <w:tc>
          <w:tcPr>
            <w:tcW w:w="964" w:type="pct"/>
            <w:shd w:val="clear" w:color="auto" w:fill="auto"/>
            <w:vAlign w:val="center"/>
          </w:tcPr>
          <w:p w14:paraId="1A3C9BFF"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Operating income (trillion yuan)</w:t>
            </w:r>
          </w:p>
        </w:tc>
        <w:tc>
          <w:tcPr>
            <w:tcW w:w="964" w:type="pct"/>
            <w:shd w:val="clear" w:color="auto" w:fill="auto"/>
            <w:vAlign w:val="center"/>
          </w:tcPr>
          <w:p w14:paraId="22393A2A"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Operating costs (trillion yuan)</w:t>
            </w:r>
          </w:p>
        </w:tc>
        <w:tc>
          <w:tcPr>
            <w:tcW w:w="731" w:type="pct"/>
            <w:shd w:val="clear" w:color="auto" w:fill="auto"/>
            <w:vAlign w:val="center"/>
          </w:tcPr>
          <w:p w14:paraId="08791D66"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Gross profit margin (%)</w:t>
            </w:r>
          </w:p>
        </w:tc>
        <w:tc>
          <w:tcPr>
            <w:tcW w:w="1187" w:type="pct"/>
            <w:shd w:val="clear" w:color="auto" w:fill="auto"/>
            <w:vAlign w:val="center"/>
          </w:tcPr>
          <w:p w14:paraId="2969981D"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Debt-to-asset ratio (%)</w:t>
            </w:r>
          </w:p>
        </w:tc>
        <w:tc>
          <w:tcPr>
            <w:tcW w:w="573" w:type="pct"/>
            <w:shd w:val="clear" w:color="auto" w:fill="auto"/>
            <w:vAlign w:val="center"/>
          </w:tcPr>
          <w:p w14:paraId="52FD6401"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Cash flow ratio (%)</w:t>
            </w:r>
          </w:p>
        </w:tc>
      </w:tr>
      <w:tr w:rsidR="007353B9" w14:paraId="75B35DFB" w14:textId="77777777">
        <w:trPr>
          <w:trHeight w:val="288"/>
          <w:jc w:val="center"/>
        </w:trPr>
        <w:tc>
          <w:tcPr>
            <w:tcW w:w="579" w:type="pct"/>
            <w:shd w:val="clear" w:color="auto" w:fill="auto"/>
            <w:vAlign w:val="center"/>
          </w:tcPr>
          <w:p w14:paraId="3694C98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964" w:type="pct"/>
            <w:shd w:val="clear" w:color="auto" w:fill="auto"/>
            <w:vAlign w:val="center"/>
          </w:tcPr>
          <w:p w14:paraId="0504AE3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25</w:t>
            </w:r>
          </w:p>
        </w:tc>
        <w:tc>
          <w:tcPr>
            <w:tcW w:w="964" w:type="pct"/>
            <w:shd w:val="clear" w:color="auto" w:fill="auto"/>
            <w:vAlign w:val="center"/>
          </w:tcPr>
          <w:p w14:paraId="1F9D44B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21.2</w:t>
            </w:r>
          </w:p>
        </w:tc>
        <w:tc>
          <w:tcPr>
            <w:tcW w:w="731" w:type="pct"/>
            <w:shd w:val="clear" w:color="auto" w:fill="auto"/>
            <w:vAlign w:val="center"/>
          </w:tcPr>
          <w:p w14:paraId="6F61B8D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15.2</w:t>
            </w:r>
          </w:p>
        </w:tc>
        <w:tc>
          <w:tcPr>
            <w:tcW w:w="1187" w:type="pct"/>
            <w:shd w:val="clear" w:color="auto" w:fill="auto"/>
            <w:vAlign w:val="center"/>
          </w:tcPr>
          <w:p w14:paraId="12FC9E7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68.5</w:t>
            </w:r>
          </w:p>
        </w:tc>
        <w:tc>
          <w:tcPr>
            <w:tcW w:w="573" w:type="pct"/>
            <w:shd w:val="clear" w:color="auto" w:fill="auto"/>
            <w:vAlign w:val="center"/>
          </w:tcPr>
          <w:p w14:paraId="00591CD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105.2</w:t>
            </w:r>
          </w:p>
        </w:tc>
      </w:tr>
      <w:tr w:rsidR="007353B9" w14:paraId="118A356B" w14:textId="77777777">
        <w:trPr>
          <w:trHeight w:val="288"/>
          <w:jc w:val="center"/>
        </w:trPr>
        <w:tc>
          <w:tcPr>
            <w:tcW w:w="579" w:type="pct"/>
            <w:shd w:val="clear" w:color="auto" w:fill="auto"/>
            <w:vAlign w:val="center"/>
          </w:tcPr>
          <w:p w14:paraId="7D296124"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964" w:type="pct"/>
            <w:shd w:val="clear" w:color="auto" w:fill="auto"/>
            <w:vAlign w:val="center"/>
          </w:tcPr>
          <w:p w14:paraId="37808D2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26.5</w:t>
            </w:r>
          </w:p>
        </w:tc>
        <w:tc>
          <w:tcPr>
            <w:tcW w:w="964" w:type="pct"/>
            <w:shd w:val="clear" w:color="auto" w:fill="auto"/>
            <w:vAlign w:val="center"/>
          </w:tcPr>
          <w:p w14:paraId="59B3DA5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22.6</w:t>
            </w:r>
          </w:p>
        </w:tc>
        <w:tc>
          <w:tcPr>
            <w:tcW w:w="731" w:type="pct"/>
            <w:shd w:val="clear" w:color="auto" w:fill="auto"/>
            <w:vAlign w:val="center"/>
          </w:tcPr>
          <w:p w14:paraId="63CD5A1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14.7</w:t>
            </w:r>
          </w:p>
        </w:tc>
        <w:tc>
          <w:tcPr>
            <w:tcW w:w="1187" w:type="pct"/>
            <w:shd w:val="clear" w:color="auto" w:fill="auto"/>
            <w:vAlign w:val="center"/>
          </w:tcPr>
          <w:p w14:paraId="5806B7B7"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69.2</w:t>
            </w:r>
          </w:p>
        </w:tc>
        <w:tc>
          <w:tcPr>
            <w:tcW w:w="573" w:type="pct"/>
            <w:shd w:val="clear" w:color="auto" w:fill="auto"/>
            <w:vAlign w:val="center"/>
          </w:tcPr>
          <w:p w14:paraId="14C2D5A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103.8</w:t>
            </w:r>
          </w:p>
        </w:tc>
      </w:tr>
      <w:tr w:rsidR="007353B9" w14:paraId="20AD574E" w14:textId="77777777">
        <w:trPr>
          <w:trHeight w:val="288"/>
          <w:jc w:val="center"/>
        </w:trPr>
        <w:tc>
          <w:tcPr>
            <w:tcW w:w="579" w:type="pct"/>
            <w:shd w:val="clear" w:color="auto" w:fill="auto"/>
            <w:vAlign w:val="center"/>
          </w:tcPr>
          <w:p w14:paraId="7E2FF89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964" w:type="pct"/>
            <w:shd w:val="clear" w:color="auto" w:fill="auto"/>
            <w:vAlign w:val="center"/>
          </w:tcPr>
          <w:p w14:paraId="1161F92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28</w:t>
            </w:r>
          </w:p>
        </w:tc>
        <w:tc>
          <w:tcPr>
            <w:tcW w:w="964" w:type="pct"/>
            <w:shd w:val="clear" w:color="auto" w:fill="auto"/>
            <w:vAlign w:val="center"/>
          </w:tcPr>
          <w:p w14:paraId="76A01DB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twenty four</w:t>
            </w:r>
          </w:p>
        </w:tc>
        <w:tc>
          <w:tcPr>
            <w:tcW w:w="731" w:type="pct"/>
            <w:shd w:val="clear" w:color="auto" w:fill="auto"/>
            <w:vAlign w:val="center"/>
          </w:tcPr>
          <w:p w14:paraId="77A0D96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14.3</w:t>
            </w:r>
          </w:p>
        </w:tc>
        <w:tc>
          <w:tcPr>
            <w:tcW w:w="1187" w:type="pct"/>
            <w:shd w:val="clear" w:color="auto" w:fill="auto"/>
            <w:vAlign w:val="center"/>
          </w:tcPr>
          <w:p w14:paraId="70C25D2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70.1</w:t>
            </w:r>
          </w:p>
        </w:tc>
        <w:tc>
          <w:tcPr>
            <w:tcW w:w="573" w:type="pct"/>
            <w:shd w:val="clear" w:color="auto" w:fill="auto"/>
            <w:vAlign w:val="center"/>
          </w:tcPr>
          <w:p w14:paraId="6B7C754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102.5</w:t>
            </w:r>
          </w:p>
        </w:tc>
      </w:tr>
      <w:tr w:rsidR="007353B9" w14:paraId="1D1D9115" w14:textId="77777777">
        <w:trPr>
          <w:trHeight w:val="288"/>
          <w:jc w:val="center"/>
        </w:trPr>
        <w:tc>
          <w:tcPr>
            <w:tcW w:w="579" w:type="pct"/>
            <w:shd w:val="clear" w:color="auto" w:fill="auto"/>
            <w:vAlign w:val="center"/>
          </w:tcPr>
          <w:p w14:paraId="34FB0BB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964" w:type="pct"/>
            <w:shd w:val="clear" w:color="auto" w:fill="auto"/>
            <w:vAlign w:val="center"/>
          </w:tcPr>
          <w:p w14:paraId="1DFCACF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29.5</w:t>
            </w:r>
          </w:p>
        </w:tc>
        <w:tc>
          <w:tcPr>
            <w:tcW w:w="964" w:type="pct"/>
            <w:shd w:val="clear" w:color="auto" w:fill="auto"/>
            <w:vAlign w:val="center"/>
          </w:tcPr>
          <w:p w14:paraId="0185536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25.4</w:t>
            </w:r>
          </w:p>
        </w:tc>
        <w:tc>
          <w:tcPr>
            <w:tcW w:w="731" w:type="pct"/>
            <w:shd w:val="clear" w:color="auto" w:fill="auto"/>
            <w:vAlign w:val="center"/>
          </w:tcPr>
          <w:p w14:paraId="72DC9889"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13.9</w:t>
            </w:r>
          </w:p>
        </w:tc>
        <w:tc>
          <w:tcPr>
            <w:tcW w:w="1187" w:type="pct"/>
            <w:shd w:val="clear" w:color="auto" w:fill="auto"/>
            <w:vAlign w:val="center"/>
          </w:tcPr>
          <w:p w14:paraId="13D4B9F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70.8</w:t>
            </w:r>
          </w:p>
        </w:tc>
        <w:tc>
          <w:tcPr>
            <w:tcW w:w="573" w:type="pct"/>
            <w:shd w:val="clear" w:color="auto" w:fill="auto"/>
            <w:vAlign w:val="center"/>
          </w:tcPr>
          <w:p w14:paraId="62EF9B1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101.2</w:t>
            </w:r>
          </w:p>
        </w:tc>
      </w:tr>
      <w:tr w:rsidR="007353B9" w14:paraId="660105C2" w14:textId="77777777">
        <w:trPr>
          <w:trHeight w:val="288"/>
          <w:jc w:val="center"/>
        </w:trPr>
        <w:tc>
          <w:tcPr>
            <w:tcW w:w="579" w:type="pct"/>
            <w:shd w:val="clear" w:color="auto" w:fill="auto"/>
            <w:vAlign w:val="center"/>
          </w:tcPr>
          <w:p w14:paraId="1253904C"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964" w:type="pct"/>
            <w:shd w:val="clear" w:color="auto" w:fill="auto"/>
            <w:vAlign w:val="center"/>
          </w:tcPr>
          <w:p w14:paraId="2AD379E5"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31</w:t>
            </w:r>
          </w:p>
        </w:tc>
        <w:tc>
          <w:tcPr>
            <w:tcW w:w="964" w:type="pct"/>
            <w:shd w:val="clear" w:color="auto" w:fill="auto"/>
            <w:vAlign w:val="center"/>
          </w:tcPr>
          <w:p w14:paraId="0DF80835"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26.9</w:t>
            </w:r>
          </w:p>
        </w:tc>
        <w:tc>
          <w:tcPr>
            <w:tcW w:w="731" w:type="pct"/>
            <w:shd w:val="clear" w:color="auto" w:fill="auto"/>
            <w:vAlign w:val="center"/>
          </w:tcPr>
          <w:p w14:paraId="7F5F8DB3"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13.2</w:t>
            </w:r>
          </w:p>
        </w:tc>
        <w:tc>
          <w:tcPr>
            <w:tcW w:w="1187" w:type="pct"/>
            <w:shd w:val="clear" w:color="auto" w:fill="auto"/>
            <w:vAlign w:val="center"/>
          </w:tcPr>
          <w:p w14:paraId="0FCC11E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71.5</w:t>
            </w:r>
          </w:p>
        </w:tc>
        <w:tc>
          <w:tcPr>
            <w:tcW w:w="573" w:type="pct"/>
            <w:shd w:val="clear" w:color="auto" w:fill="auto"/>
            <w:vAlign w:val="center"/>
          </w:tcPr>
          <w:p w14:paraId="22D87B5B"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100.4</w:t>
            </w:r>
          </w:p>
        </w:tc>
      </w:tr>
    </w:tbl>
    <w:p w14:paraId="5046CA0D"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46C2481D"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In terms of corporate profitability, as shown in Table</w:t>
      </w:r>
      <w:r>
        <w:rPr>
          <w:rFonts w:ascii="Times New Roman" w:hAnsi="Times New Roman" w:hint="eastAsia"/>
          <w:sz w:val="28"/>
          <w:szCs w:val="28"/>
          <w:lang w:val="en-US"/>
        </w:rPr>
        <w:t>2.7</w:t>
      </w:r>
      <w:r>
        <w:rPr>
          <w:rFonts w:ascii="Times New Roman" w:hAnsi="Times New Roman"/>
          <w:sz w:val="28"/>
          <w:szCs w:val="28"/>
        </w:rPr>
        <w:t>, although the total industry profit continued to grow, the growth rate was significantly lower than the revenue growth rate, reflecting the increasing pressure of rising costs. In particular, in 2023, the profit growth rate dropped to a low of 2.3%, indicating that profitability improvement faces challenges.</w:t>
      </w:r>
    </w:p>
    <w:p w14:paraId="26554FE3"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31E678A7" w14:textId="77777777" w:rsidR="005830A8" w:rsidRDefault="005830A8">
      <w:pPr>
        <w:pStyle w:val="a7"/>
        <w:widowControl/>
        <w:snapToGrid w:val="0"/>
        <w:spacing w:beforeAutospacing="0" w:afterAutospacing="0" w:line="360" w:lineRule="auto"/>
        <w:ind w:firstLineChars="200" w:firstLine="562"/>
        <w:jc w:val="right"/>
        <w:rPr>
          <w:rFonts w:ascii="Times New Roman" w:hAnsi="Times New Roman"/>
          <w:b/>
          <w:bCs/>
          <w:sz w:val="28"/>
          <w:szCs w:val="28"/>
        </w:rPr>
      </w:pPr>
    </w:p>
    <w:p w14:paraId="71AF798E" w14:textId="77777777" w:rsidR="005830A8" w:rsidRDefault="005830A8">
      <w:pPr>
        <w:pStyle w:val="a7"/>
        <w:widowControl/>
        <w:snapToGrid w:val="0"/>
        <w:spacing w:beforeAutospacing="0" w:afterAutospacing="0" w:line="360" w:lineRule="auto"/>
        <w:ind w:firstLineChars="200" w:firstLine="562"/>
        <w:jc w:val="right"/>
        <w:rPr>
          <w:rFonts w:ascii="Times New Roman" w:hAnsi="Times New Roman"/>
          <w:b/>
          <w:bCs/>
          <w:sz w:val="28"/>
          <w:szCs w:val="28"/>
        </w:rPr>
      </w:pPr>
    </w:p>
    <w:p w14:paraId="73D72316" w14:textId="77777777" w:rsidR="007353B9" w:rsidRPr="005830A8" w:rsidRDefault="006F35DE" w:rsidP="005830A8">
      <w:pPr>
        <w:pStyle w:val="a7"/>
        <w:widowControl/>
        <w:snapToGrid w:val="0"/>
        <w:spacing w:beforeAutospacing="0" w:afterAutospacing="0" w:line="360" w:lineRule="auto"/>
        <w:ind w:firstLineChars="200" w:firstLine="560"/>
        <w:jc w:val="right"/>
        <w:rPr>
          <w:rFonts w:ascii="Times New Roman" w:hAnsi="Times New Roman"/>
          <w:bCs/>
          <w:sz w:val="28"/>
          <w:szCs w:val="28"/>
          <w:lang w:val="en-US"/>
        </w:rPr>
      </w:pPr>
      <w:r w:rsidRPr="005830A8">
        <w:rPr>
          <w:rFonts w:ascii="Times New Roman" w:hAnsi="Times New Roman"/>
          <w:bCs/>
          <w:sz w:val="28"/>
          <w:szCs w:val="28"/>
        </w:rPr>
        <w:lastRenderedPageBreak/>
        <w:t>Table</w:t>
      </w:r>
      <w:r w:rsidRPr="005830A8">
        <w:rPr>
          <w:rFonts w:ascii="Times New Roman" w:hAnsi="Times New Roman" w:hint="eastAsia"/>
          <w:bCs/>
          <w:sz w:val="28"/>
          <w:szCs w:val="28"/>
          <w:lang w:val="en-US"/>
        </w:rPr>
        <w:t xml:space="preserve">2.8 </w:t>
      </w:r>
    </w:p>
    <w:p w14:paraId="1F69EF6A" w14:textId="77777777" w:rsidR="007353B9" w:rsidRDefault="006F35DE" w:rsidP="005830A8">
      <w:pPr>
        <w:pStyle w:val="a7"/>
        <w:widowControl/>
        <w:snapToGrid w:val="0"/>
        <w:spacing w:beforeAutospacing="0" w:afterAutospacing="0" w:line="360" w:lineRule="auto"/>
        <w:ind w:firstLineChars="200" w:firstLine="562"/>
        <w:jc w:val="both"/>
        <w:rPr>
          <w:rFonts w:ascii="Times New Roman" w:hAnsi="Times New Roman"/>
          <w:b/>
          <w:bCs/>
          <w:sz w:val="28"/>
          <w:szCs w:val="28"/>
        </w:rPr>
      </w:pPr>
      <w:r>
        <w:rPr>
          <w:rFonts w:ascii="Times New Roman" w:hAnsi="Times New Roman"/>
          <w:b/>
          <w:bCs/>
          <w:sz w:val="28"/>
          <w:szCs w:val="28"/>
        </w:rPr>
        <w:t>Profitability indicators of infrastructure construction companies from 2019 to 2023</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3114"/>
        <w:gridCol w:w="3115"/>
      </w:tblGrid>
      <w:tr w:rsidR="007353B9" w14:paraId="49D83F4E" w14:textId="77777777">
        <w:trPr>
          <w:trHeight w:val="936"/>
        </w:trPr>
        <w:tc>
          <w:tcPr>
            <w:tcW w:w="1666" w:type="pct"/>
            <w:shd w:val="clear" w:color="auto" w:fill="auto"/>
            <w:vAlign w:val="center"/>
          </w:tcPr>
          <w:p w14:paraId="3E12890E"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years</w:t>
            </w:r>
          </w:p>
        </w:tc>
        <w:tc>
          <w:tcPr>
            <w:tcW w:w="1666" w:type="pct"/>
            <w:shd w:val="clear" w:color="auto" w:fill="auto"/>
            <w:vAlign w:val="center"/>
          </w:tcPr>
          <w:p w14:paraId="6820A5DD"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profit (100 million yuan)</w:t>
            </w:r>
          </w:p>
        </w:tc>
        <w:tc>
          <w:tcPr>
            <w:tcW w:w="1667" w:type="pct"/>
            <w:shd w:val="clear" w:color="auto" w:fill="auto"/>
            <w:vAlign w:val="center"/>
          </w:tcPr>
          <w:p w14:paraId="47880FF0" w14:textId="77777777" w:rsidR="007353B9" w:rsidRDefault="006F35DE">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 xml:space="preserve">Year-on-year growth rate ( </w:t>
            </w:r>
            <w:r>
              <w:rPr>
                <w:rStyle w:val="font31"/>
                <w:rFonts w:eastAsia="SimSun"/>
                <w:lang w:val="en-US" w:bidi="ar"/>
              </w:rPr>
              <w:t xml:space="preserve">% </w:t>
            </w:r>
            <w:r>
              <w:rPr>
                <w:rStyle w:val="font11"/>
                <w:rFonts w:ascii="Times New Roman" w:hAnsi="Times New Roman" w:cs="Times New Roman" w:hint="default"/>
                <w:lang w:val="en-US" w:bidi="ar"/>
              </w:rPr>
              <w:t>)</w:t>
            </w:r>
          </w:p>
        </w:tc>
      </w:tr>
      <w:tr w:rsidR="007353B9" w14:paraId="780DA92A" w14:textId="77777777">
        <w:trPr>
          <w:trHeight w:val="312"/>
        </w:trPr>
        <w:tc>
          <w:tcPr>
            <w:tcW w:w="1666" w:type="pct"/>
            <w:shd w:val="clear" w:color="auto" w:fill="auto"/>
            <w:vAlign w:val="center"/>
          </w:tcPr>
          <w:p w14:paraId="08017A5E"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1666" w:type="pct"/>
            <w:shd w:val="clear" w:color="auto" w:fill="auto"/>
            <w:vAlign w:val="center"/>
          </w:tcPr>
          <w:p w14:paraId="3BC0124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8000</w:t>
            </w:r>
          </w:p>
        </w:tc>
        <w:tc>
          <w:tcPr>
            <w:tcW w:w="1667" w:type="pct"/>
            <w:shd w:val="clear" w:color="auto" w:fill="auto"/>
            <w:vAlign w:val="center"/>
          </w:tcPr>
          <w:p w14:paraId="52894AF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w:t>
            </w:r>
          </w:p>
        </w:tc>
      </w:tr>
      <w:tr w:rsidR="007353B9" w14:paraId="474C5174" w14:textId="77777777">
        <w:trPr>
          <w:trHeight w:val="312"/>
        </w:trPr>
        <w:tc>
          <w:tcPr>
            <w:tcW w:w="1666" w:type="pct"/>
            <w:shd w:val="clear" w:color="auto" w:fill="auto"/>
            <w:vAlign w:val="center"/>
          </w:tcPr>
          <w:p w14:paraId="3F1F9C6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1666" w:type="pct"/>
            <w:shd w:val="clear" w:color="auto" w:fill="auto"/>
            <w:vAlign w:val="center"/>
          </w:tcPr>
          <w:p w14:paraId="3ABF1346"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8200</w:t>
            </w:r>
          </w:p>
        </w:tc>
        <w:tc>
          <w:tcPr>
            <w:tcW w:w="1667" w:type="pct"/>
            <w:shd w:val="clear" w:color="auto" w:fill="auto"/>
            <w:vAlign w:val="center"/>
          </w:tcPr>
          <w:p w14:paraId="4F533CB2"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2.5</w:t>
            </w:r>
          </w:p>
        </w:tc>
      </w:tr>
      <w:tr w:rsidR="007353B9" w14:paraId="56A9C9D9" w14:textId="77777777">
        <w:trPr>
          <w:trHeight w:val="312"/>
        </w:trPr>
        <w:tc>
          <w:tcPr>
            <w:tcW w:w="1666" w:type="pct"/>
            <w:shd w:val="clear" w:color="auto" w:fill="auto"/>
            <w:vAlign w:val="center"/>
          </w:tcPr>
          <w:p w14:paraId="55DDB25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1666" w:type="pct"/>
            <w:shd w:val="clear" w:color="auto" w:fill="auto"/>
            <w:vAlign w:val="center"/>
          </w:tcPr>
          <w:p w14:paraId="350FC6B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8500</w:t>
            </w:r>
          </w:p>
        </w:tc>
        <w:tc>
          <w:tcPr>
            <w:tcW w:w="1667" w:type="pct"/>
            <w:shd w:val="clear" w:color="auto" w:fill="auto"/>
            <w:vAlign w:val="center"/>
          </w:tcPr>
          <w:p w14:paraId="39463D48"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3.7</w:t>
            </w:r>
          </w:p>
        </w:tc>
      </w:tr>
      <w:tr w:rsidR="007353B9" w14:paraId="236BEE63" w14:textId="77777777">
        <w:trPr>
          <w:trHeight w:val="312"/>
        </w:trPr>
        <w:tc>
          <w:tcPr>
            <w:tcW w:w="1666" w:type="pct"/>
            <w:shd w:val="clear" w:color="auto" w:fill="auto"/>
            <w:vAlign w:val="center"/>
          </w:tcPr>
          <w:p w14:paraId="4AB169BD"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1666" w:type="pct"/>
            <w:shd w:val="clear" w:color="auto" w:fill="auto"/>
            <w:vAlign w:val="center"/>
          </w:tcPr>
          <w:p w14:paraId="133264AF"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8700</w:t>
            </w:r>
          </w:p>
        </w:tc>
        <w:tc>
          <w:tcPr>
            <w:tcW w:w="1667" w:type="pct"/>
            <w:shd w:val="clear" w:color="auto" w:fill="auto"/>
            <w:vAlign w:val="center"/>
          </w:tcPr>
          <w:p w14:paraId="0F4D4C1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w:t>
            </w:r>
          </w:p>
        </w:tc>
      </w:tr>
      <w:tr w:rsidR="007353B9" w14:paraId="5A380528" w14:textId="77777777">
        <w:trPr>
          <w:trHeight w:val="312"/>
        </w:trPr>
        <w:tc>
          <w:tcPr>
            <w:tcW w:w="1666" w:type="pct"/>
            <w:shd w:val="clear" w:color="auto" w:fill="auto"/>
            <w:vAlign w:val="center"/>
          </w:tcPr>
          <w:p w14:paraId="7EA50701"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1666" w:type="pct"/>
            <w:shd w:val="clear" w:color="auto" w:fill="auto"/>
            <w:vAlign w:val="center"/>
          </w:tcPr>
          <w:p w14:paraId="1C0AB6AA"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8900</w:t>
            </w:r>
          </w:p>
        </w:tc>
        <w:tc>
          <w:tcPr>
            <w:tcW w:w="1667" w:type="pct"/>
            <w:shd w:val="clear" w:color="auto" w:fill="auto"/>
            <w:vAlign w:val="center"/>
          </w:tcPr>
          <w:p w14:paraId="620E50A0" w14:textId="77777777" w:rsidR="007353B9" w:rsidRDefault="006F35DE">
            <w:pPr>
              <w:widowControl/>
              <w:snapToGrid w:val="0"/>
              <w:spacing w:line="360" w:lineRule="auto"/>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w:t>
            </w:r>
          </w:p>
        </w:tc>
      </w:tr>
    </w:tbl>
    <w:p w14:paraId="322AB31D"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2B26225F"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perspective of profitability change trend, it is mainly affected by the following factors: First, operating costs continue to rise. From 2019 to 2023, operating costs increased from 21.2 trillion yuan to 26.9 trillion yuan, resulting in a decline in gross profit margin from 15.2% to 13.2%. Secondly, the asset-liability ratio rose slightly from 68.5% to 71.5%, increasing financial cost pressure. Third, asset operation efficiency has declined, and the total asset turnover rate has dropped from 0.52 times to 0.48 times, reflecting the need to improve asset utilization efficiency.</w:t>
      </w:r>
    </w:p>
    <w:p w14:paraId="7101713F"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The changes in infrastructure profitability are also reflected in different types of projects. According to the differences in the nature of project revenue, they can be divided into the following categories:</w:t>
      </w:r>
    </w:p>
    <w:p w14:paraId="5F627CD0"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t>1.</w:t>
      </w:r>
      <w:r>
        <w:rPr>
          <w:rFonts w:ascii="Times New Roman" w:hAnsi="Times New Roman" w:cs="Times New Roman"/>
          <w:sz w:val="28"/>
          <w:szCs w:val="28"/>
        </w:rPr>
        <w:t>Quasi-operational projects: such as urban rail transit, toll roads, etc. The average return on investment of such projects from 2019 to 2023 is 4.8%, which is higher than the overall level of the industry, but fluctuates greatly due to the impact of the epidemic.</w:t>
      </w:r>
    </w:p>
    <w:p w14:paraId="605B2C60"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t>2.</w:t>
      </w:r>
      <w:r>
        <w:rPr>
          <w:rFonts w:ascii="Times New Roman" w:hAnsi="Times New Roman" w:cs="Times New Roman"/>
          <w:sz w:val="28"/>
          <w:szCs w:val="28"/>
        </w:rPr>
        <w:t>Public welfare projects: such as municipal roads, flood control facilities, etc. Although such projects have a low direct economic return rate, they bring significant indirect benefits by improving the business environment.</w:t>
      </w:r>
    </w:p>
    <w:p w14:paraId="24C23F89"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lastRenderedPageBreak/>
        <w:t>3.</w:t>
      </w:r>
      <w:r>
        <w:rPr>
          <w:rFonts w:ascii="Times New Roman" w:hAnsi="Times New Roman" w:cs="Times New Roman"/>
          <w:sz w:val="28"/>
          <w:szCs w:val="28"/>
        </w:rPr>
        <w:t>New infrastructure: such as 5G base stations, data centers, etc. Although such projects require large initial investments, the average return on investment between 2021 and 2023 will reach 6.2%, showing good development prospects.</w:t>
      </w:r>
    </w:p>
    <w:p w14:paraId="4B0C2A62"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perspective of regional distribution, infrastructure profitability shows obvious regional differences:</w:t>
      </w:r>
    </w:p>
    <w:p w14:paraId="2CC2D39C"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t>1.</w:t>
      </w:r>
      <w:r>
        <w:rPr>
          <w:rFonts w:ascii="Times New Roman" w:hAnsi="Times New Roman" w:cs="Times New Roman"/>
          <w:sz w:val="28"/>
          <w:szCs w:val="28"/>
        </w:rPr>
        <w:t>Eastern region: Benefiting from higher utilization efficiency and operation level, the average return on investment in 2023 will be 4.2%, higher than the national average.</w:t>
      </w:r>
    </w:p>
    <w:p w14:paraId="493CD1A0"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t>2.</w:t>
      </w:r>
      <w:r>
        <w:rPr>
          <w:rFonts w:ascii="Times New Roman" w:hAnsi="Times New Roman" w:cs="Times New Roman"/>
          <w:sz w:val="28"/>
          <w:szCs w:val="28"/>
        </w:rPr>
        <w:t>Central region: Investment has increased in recent years, and the return on investment in 2023 was 3.8%, close to the national average.</w:t>
      </w:r>
    </w:p>
    <w:p w14:paraId="3D42CBAE" w14:textId="77777777" w:rsidR="007353B9" w:rsidRDefault="006F35DE">
      <w:pPr>
        <w:widowControl/>
        <w:snapToGrid w:val="0"/>
        <w:spacing w:line="360" w:lineRule="auto"/>
        <w:ind w:firstLineChars="200" w:firstLine="480"/>
        <w:rPr>
          <w:rFonts w:ascii="Times New Roman" w:hAnsi="Times New Roman" w:cs="Times New Roman"/>
          <w:sz w:val="28"/>
          <w:szCs w:val="28"/>
        </w:rPr>
      </w:pPr>
      <w:r>
        <w:rPr>
          <w:rFonts w:ascii="Times New Roman" w:hAnsi="Times New Roman" w:cs="Times New Roman"/>
          <w:sz w:val="24"/>
        </w:rPr>
        <w:t>3.</w:t>
      </w:r>
      <w:r>
        <w:rPr>
          <w:rFonts w:ascii="Times New Roman" w:hAnsi="Times New Roman" w:cs="Times New Roman"/>
          <w:sz w:val="28"/>
          <w:szCs w:val="28"/>
        </w:rPr>
        <w:t>Western region: Constrained by the level of economic development, the return on investment in 2023 is 3.2%, but a favorable environment for economic development has been created by improving basic conditions.</w:t>
      </w:r>
    </w:p>
    <w:p w14:paraId="468CA2E9"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Changes in infrastructure profitability have an important impact on anti-crisis management. First, stable cash flow provides support for the smooth operation of the economy. Between 2019 and 2023, although the cash flow ratio of infrastructure construction companies has declined, it still remains above 100%, providing a buffer for coping with economic fluctuations. Secondly, the continued expansion of investment scale has driven the development of related industries. In 2023, the number of people employed in the industrial chain driven by infrastructure investment exceeded 50 million, playing an important role in maintaining employment stability. Third, by improving the infrastructure network, the efficiency of resource allocation has been improved and the economic resilience has been enhanced.</w:t>
      </w:r>
    </w:p>
    <w:p w14:paraId="1C52902D"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Looking ahead, improving the profitability of infrastructure requires focusing on the following aspects: first, innovating investment and financing models, expanding social capital participation, and reducing financing costs; second, strengthening operational management, promoting intelligent transformation, and improving operational efficiency; third, optimizing project layout, strengthening </w:t>
      </w:r>
      <w:r>
        <w:rPr>
          <w:rFonts w:ascii="Times New Roman" w:hAnsi="Times New Roman"/>
          <w:sz w:val="28"/>
          <w:szCs w:val="28"/>
        </w:rPr>
        <w:lastRenderedPageBreak/>
        <w:t>investment coordination, and improving investment efficiency; fourth, deepening institutional reforms, improving the price mechanism, and stimulating market vitality.</w:t>
      </w:r>
    </w:p>
    <w:p w14:paraId="2671C56C"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75AF871D" w14:textId="77777777" w:rsidR="007353B9" w:rsidRDefault="006F35DE">
      <w:pPr>
        <w:snapToGrid w:val="0"/>
        <w:spacing w:line="360" w:lineRule="auto"/>
        <w:ind w:firstLineChars="200" w:firstLine="562"/>
        <w:outlineLvl w:val="1"/>
        <w:rPr>
          <w:rFonts w:ascii="Times New Roman" w:hAnsi="Times New Roman" w:cs="Times New Roman"/>
          <w:b/>
          <w:bCs/>
          <w:sz w:val="28"/>
          <w:szCs w:val="28"/>
        </w:rPr>
      </w:pPr>
      <w:bookmarkStart w:id="10" w:name="_Toc4379"/>
      <w:r>
        <w:rPr>
          <w:rFonts w:ascii="Times New Roman" w:hAnsi="Times New Roman" w:cs="Times New Roman"/>
          <w:b/>
          <w:bCs/>
          <w:sz w:val="28"/>
          <w:szCs w:val="28"/>
        </w:rPr>
        <w:t>2.3. Evaluation of the prospects for infrastructure profitability at the macroeconomic level in the context of declining demand.</w:t>
      </w:r>
      <w:bookmarkEnd w:id="10"/>
    </w:p>
    <w:p w14:paraId="69DF5D4B" w14:textId="77777777" w:rsidR="007353B9" w:rsidRDefault="007353B9">
      <w:pPr>
        <w:snapToGrid w:val="0"/>
        <w:spacing w:line="360" w:lineRule="auto"/>
        <w:ind w:firstLineChars="200" w:firstLine="562"/>
        <w:outlineLvl w:val="1"/>
        <w:rPr>
          <w:rFonts w:ascii="Times New Roman" w:hAnsi="Times New Roman" w:cs="Times New Roman"/>
          <w:b/>
          <w:bCs/>
          <w:sz w:val="28"/>
          <w:szCs w:val="28"/>
        </w:rPr>
      </w:pPr>
    </w:p>
    <w:p w14:paraId="390AE688" w14:textId="77777777" w:rsidR="007353B9" w:rsidRDefault="006F35DE">
      <w:pPr>
        <w:snapToGrid w:val="0"/>
        <w:spacing w:line="360" w:lineRule="auto"/>
        <w:ind w:firstLineChars="200" w:firstLine="560"/>
        <w:rPr>
          <w:rFonts w:ascii="Times New Roman" w:hAnsi="Times New Roman" w:cs="Times New Roman"/>
          <w:sz w:val="28"/>
          <w:szCs w:val="28"/>
        </w:rPr>
      </w:pPr>
      <w:bookmarkStart w:id="11" w:name="_Toc10473"/>
      <w:r>
        <w:rPr>
          <w:rFonts w:ascii="Times New Roman" w:hAnsi="Times New Roman" w:cs="Times New Roman"/>
          <w:sz w:val="28"/>
          <w:szCs w:val="28"/>
        </w:rPr>
        <w:t>This section will start from the macroeconomic situation and combine the dynamic trend of demand to systematically evaluate the development prospects of infrastructure profitability. Through data analysis and model prediction, it will explore the opportunities and challenges of infrastructure investment in the context of slowing demand growth. Formulate differentiated investment strategies and provide decision support.</w:t>
      </w:r>
      <w:bookmarkEnd w:id="11"/>
    </w:p>
    <w:p w14:paraId="723AB28A" w14:textId="77777777" w:rsidR="007353B9" w:rsidRDefault="006F35DE">
      <w:pPr>
        <w:snapToGrid w:val="0"/>
        <w:spacing w:line="360" w:lineRule="auto"/>
        <w:ind w:firstLineChars="200" w:firstLine="560"/>
        <w:rPr>
          <w:rFonts w:ascii="Times New Roman" w:hAnsi="Times New Roman" w:cs="Times New Roman"/>
          <w:sz w:val="28"/>
          <w:szCs w:val="28"/>
        </w:rPr>
      </w:pPr>
      <w:bookmarkStart w:id="12" w:name="_Toc8820"/>
      <w:r>
        <w:rPr>
          <w:rFonts w:ascii="Times New Roman" w:hAnsi="Times New Roman" w:cs="Times New Roman"/>
          <w:sz w:val="28"/>
          <w:szCs w:val="28"/>
        </w:rPr>
        <w:t>1. Analysis of macroeconomic situation and demand trends</w:t>
      </w:r>
      <w:bookmarkEnd w:id="12"/>
    </w:p>
    <w:p w14:paraId="50E04EBE" w14:textId="77777777" w:rsidR="007353B9" w:rsidRDefault="006F35DE">
      <w:pPr>
        <w:snapToGrid w:val="0"/>
        <w:spacing w:line="360" w:lineRule="auto"/>
        <w:ind w:firstLineChars="200" w:firstLine="560"/>
        <w:rPr>
          <w:rFonts w:ascii="Times New Roman" w:hAnsi="Times New Roman" w:cs="Times New Roman"/>
          <w:sz w:val="28"/>
          <w:szCs w:val="28"/>
        </w:rPr>
      </w:pPr>
      <w:bookmarkStart w:id="13" w:name="_Toc32149"/>
      <w:r>
        <w:rPr>
          <w:rFonts w:ascii="Times New Roman" w:hAnsi="Times New Roman" w:cs="Times New Roman"/>
          <w:sz w:val="28"/>
          <w:szCs w:val="28"/>
        </w:rPr>
        <w:t>Judging from the existing data, the main economic indicators between 2019 and 2023 show the following characteristics:</w:t>
      </w:r>
      <w:bookmarkEnd w:id="13"/>
    </w:p>
    <w:p w14:paraId="4839BD8B" w14:textId="77777777" w:rsidR="007353B9" w:rsidRPr="005830A8" w:rsidRDefault="006F35DE" w:rsidP="005830A8">
      <w:pPr>
        <w:snapToGrid w:val="0"/>
        <w:spacing w:line="360" w:lineRule="auto"/>
        <w:ind w:firstLineChars="200" w:firstLine="560"/>
        <w:jc w:val="right"/>
        <w:rPr>
          <w:rFonts w:ascii="Times New Roman" w:hAnsi="Times New Roman" w:cs="Times New Roman"/>
          <w:bCs/>
          <w:sz w:val="28"/>
          <w:szCs w:val="28"/>
          <w:lang w:val="en-US"/>
        </w:rPr>
      </w:pPr>
      <w:bookmarkStart w:id="14" w:name="_Toc18777"/>
      <w:r w:rsidRPr="005830A8">
        <w:rPr>
          <w:rFonts w:ascii="Times New Roman" w:hAnsi="Times New Roman" w:cs="Times New Roman"/>
          <w:bCs/>
          <w:sz w:val="28"/>
          <w:szCs w:val="28"/>
        </w:rPr>
        <w:t xml:space="preserve">Table </w:t>
      </w:r>
      <w:r w:rsidRPr="005830A8">
        <w:rPr>
          <w:rFonts w:ascii="Times New Roman" w:hAnsi="Times New Roman" w:cs="Times New Roman" w:hint="eastAsia"/>
          <w:bCs/>
          <w:sz w:val="28"/>
          <w:szCs w:val="28"/>
          <w:lang w:val="en-US"/>
        </w:rPr>
        <w:t>2.9</w:t>
      </w:r>
      <w:r w:rsidRPr="005830A8">
        <w:rPr>
          <w:rFonts w:ascii="Times New Roman" w:hAnsi="Times New Roman" w:cs="Times New Roman"/>
          <w:bCs/>
          <w:sz w:val="28"/>
          <w:szCs w:val="28"/>
          <w:lang w:val="en-US"/>
        </w:rPr>
        <w:t xml:space="preserve"> </w:t>
      </w:r>
    </w:p>
    <w:p w14:paraId="6A295443" w14:textId="77777777" w:rsidR="007353B9" w:rsidRDefault="006F35DE" w:rsidP="005830A8">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Changes in major economic indicators from 2019 to 2023</w:t>
      </w:r>
      <w:bookmarkEnd w:id="14"/>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1554"/>
        <w:gridCol w:w="1866"/>
        <w:gridCol w:w="2495"/>
        <w:gridCol w:w="2495"/>
      </w:tblGrid>
      <w:tr w:rsidR="007353B9" w14:paraId="522DA94F" w14:textId="77777777">
        <w:trPr>
          <w:trHeight w:val="1481"/>
        </w:trPr>
        <w:tc>
          <w:tcPr>
            <w:tcW w:w="497" w:type="pct"/>
            <w:shd w:val="clear" w:color="auto" w:fill="auto"/>
            <w:vAlign w:val="center"/>
          </w:tcPr>
          <w:p w14:paraId="4E927537"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w:t>
            </w:r>
          </w:p>
        </w:tc>
        <w:tc>
          <w:tcPr>
            <w:tcW w:w="832" w:type="pct"/>
            <w:shd w:val="clear" w:color="auto" w:fill="auto"/>
            <w:vAlign w:val="center"/>
          </w:tcPr>
          <w:p w14:paraId="63A7A7E1"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Retail Sales Growth of Consumer Goods (%)</w:t>
            </w:r>
          </w:p>
        </w:tc>
        <w:tc>
          <w:tcPr>
            <w:tcW w:w="999" w:type="pct"/>
            <w:shd w:val="clear" w:color="auto" w:fill="auto"/>
            <w:vAlign w:val="center"/>
          </w:tcPr>
          <w:p w14:paraId="31E047F8"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Fixed Asset Investment Growth (%)</w:t>
            </w:r>
          </w:p>
        </w:tc>
        <w:tc>
          <w:tcPr>
            <w:tcW w:w="1335" w:type="pct"/>
            <w:shd w:val="clear" w:color="auto" w:fill="auto"/>
            <w:vAlign w:val="center"/>
          </w:tcPr>
          <w:p w14:paraId="0435B7C9"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Total Infrastructure Investment (Trillion Yuan)</w:t>
            </w:r>
          </w:p>
        </w:tc>
        <w:tc>
          <w:tcPr>
            <w:tcW w:w="1335" w:type="pct"/>
            <w:shd w:val="clear" w:color="auto" w:fill="auto"/>
            <w:vAlign w:val="center"/>
          </w:tcPr>
          <w:p w14:paraId="1BD84076"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Infrastructure Investment Return Rate (%)</w:t>
            </w:r>
          </w:p>
        </w:tc>
      </w:tr>
      <w:tr w:rsidR="007353B9" w14:paraId="62B79B18" w14:textId="77777777">
        <w:trPr>
          <w:trHeight w:val="191"/>
        </w:trPr>
        <w:tc>
          <w:tcPr>
            <w:tcW w:w="497" w:type="pct"/>
            <w:shd w:val="clear" w:color="auto" w:fill="auto"/>
            <w:vAlign w:val="center"/>
          </w:tcPr>
          <w:p w14:paraId="3CC52F9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2019</w:t>
            </w:r>
          </w:p>
        </w:tc>
        <w:tc>
          <w:tcPr>
            <w:tcW w:w="832" w:type="pct"/>
            <w:shd w:val="clear" w:color="auto" w:fill="auto"/>
            <w:vAlign w:val="center"/>
          </w:tcPr>
          <w:p w14:paraId="73C073C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w:t>
            </w:r>
          </w:p>
        </w:tc>
        <w:tc>
          <w:tcPr>
            <w:tcW w:w="999" w:type="pct"/>
            <w:shd w:val="clear" w:color="auto" w:fill="auto"/>
            <w:vAlign w:val="center"/>
          </w:tcPr>
          <w:p w14:paraId="39274A2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5.4</w:t>
            </w:r>
          </w:p>
        </w:tc>
        <w:tc>
          <w:tcPr>
            <w:tcW w:w="1335" w:type="pct"/>
            <w:shd w:val="clear" w:color="auto" w:fill="auto"/>
            <w:vAlign w:val="center"/>
          </w:tcPr>
          <w:p w14:paraId="33557DE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19.8</w:t>
            </w:r>
          </w:p>
        </w:tc>
        <w:tc>
          <w:tcPr>
            <w:tcW w:w="1335" w:type="pct"/>
            <w:shd w:val="clear" w:color="auto" w:fill="auto"/>
            <w:vAlign w:val="center"/>
          </w:tcPr>
          <w:p w14:paraId="71CD0EA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w:t>
            </w:r>
          </w:p>
        </w:tc>
      </w:tr>
      <w:tr w:rsidR="007353B9" w14:paraId="2B204169" w14:textId="77777777">
        <w:trPr>
          <w:trHeight w:val="191"/>
        </w:trPr>
        <w:tc>
          <w:tcPr>
            <w:tcW w:w="497" w:type="pct"/>
            <w:shd w:val="clear" w:color="auto" w:fill="auto"/>
            <w:vAlign w:val="center"/>
          </w:tcPr>
          <w:p w14:paraId="38C5C8C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2020</w:t>
            </w:r>
          </w:p>
        </w:tc>
        <w:tc>
          <w:tcPr>
            <w:tcW w:w="832" w:type="pct"/>
            <w:shd w:val="clear" w:color="auto" w:fill="auto"/>
            <w:vAlign w:val="center"/>
          </w:tcPr>
          <w:p w14:paraId="16B3503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w:t>
            </w:r>
          </w:p>
        </w:tc>
        <w:tc>
          <w:tcPr>
            <w:tcW w:w="999" w:type="pct"/>
            <w:shd w:val="clear" w:color="auto" w:fill="auto"/>
            <w:vAlign w:val="center"/>
          </w:tcPr>
          <w:p w14:paraId="7818CEA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w:t>
            </w:r>
          </w:p>
        </w:tc>
        <w:tc>
          <w:tcPr>
            <w:tcW w:w="1335" w:type="pct"/>
            <w:shd w:val="clear" w:color="auto" w:fill="auto"/>
            <w:vAlign w:val="center"/>
          </w:tcPr>
          <w:p w14:paraId="6ABCCED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20.3</w:t>
            </w:r>
          </w:p>
        </w:tc>
        <w:tc>
          <w:tcPr>
            <w:tcW w:w="1335" w:type="pct"/>
            <w:shd w:val="clear" w:color="auto" w:fill="auto"/>
            <w:vAlign w:val="center"/>
          </w:tcPr>
          <w:p w14:paraId="6858A0D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w:t>
            </w:r>
          </w:p>
        </w:tc>
      </w:tr>
      <w:tr w:rsidR="007353B9" w14:paraId="67D8F879" w14:textId="77777777">
        <w:trPr>
          <w:trHeight w:val="191"/>
        </w:trPr>
        <w:tc>
          <w:tcPr>
            <w:tcW w:w="497" w:type="pct"/>
            <w:shd w:val="clear" w:color="auto" w:fill="auto"/>
            <w:vAlign w:val="center"/>
          </w:tcPr>
          <w:p w14:paraId="0F7A2E0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2021</w:t>
            </w:r>
          </w:p>
        </w:tc>
        <w:tc>
          <w:tcPr>
            <w:tcW w:w="832" w:type="pct"/>
            <w:shd w:val="clear" w:color="auto" w:fill="auto"/>
            <w:vAlign w:val="center"/>
          </w:tcPr>
          <w:p w14:paraId="5D4507C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12.5</w:t>
            </w:r>
          </w:p>
        </w:tc>
        <w:tc>
          <w:tcPr>
            <w:tcW w:w="999" w:type="pct"/>
            <w:shd w:val="clear" w:color="auto" w:fill="auto"/>
            <w:vAlign w:val="center"/>
          </w:tcPr>
          <w:p w14:paraId="3C4753F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w:t>
            </w:r>
          </w:p>
        </w:tc>
        <w:tc>
          <w:tcPr>
            <w:tcW w:w="1335" w:type="pct"/>
            <w:shd w:val="clear" w:color="auto" w:fill="auto"/>
            <w:vAlign w:val="center"/>
          </w:tcPr>
          <w:p w14:paraId="176C6D2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21.5</w:t>
            </w:r>
          </w:p>
        </w:tc>
        <w:tc>
          <w:tcPr>
            <w:tcW w:w="1335" w:type="pct"/>
            <w:shd w:val="clear" w:color="auto" w:fill="auto"/>
            <w:vAlign w:val="center"/>
          </w:tcPr>
          <w:p w14:paraId="35A3CC1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w:t>
            </w:r>
          </w:p>
        </w:tc>
      </w:tr>
      <w:tr w:rsidR="007353B9" w14:paraId="14D5AED6" w14:textId="77777777">
        <w:trPr>
          <w:trHeight w:val="191"/>
        </w:trPr>
        <w:tc>
          <w:tcPr>
            <w:tcW w:w="497" w:type="pct"/>
            <w:shd w:val="clear" w:color="auto" w:fill="auto"/>
            <w:vAlign w:val="center"/>
          </w:tcPr>
          <w:p w14:paraId="09C138A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832" w:type="pct"/>
            <w:shd w:val="clear" w:color="auto" w:fill="auto"/>
            <w:vAlign w:val="center"/>
          </w:tcPr>
          <w:p w14:paraId="54A78B2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3.2</w:t>
            </w:r>
          </w:p>
        </w:tc>
        <w:tc>
          <w:tcPr>
            <w:tcW w:w="999" w:type="pct"/>
            <w:shd w:val="clear" w:color="auto" w:fill="auto"/>
            <w:vAlign w:val="center"/>
          </w:tcPr>
          <w:p w14:paraId="3A92364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4.6</w:t>
            </w:r>
          </w:p>
        </w:tc>
        <w:tc>
          <w:tcPr>
            <w:tcW w:w="1335" w:type="pct"/>
            <w:shd w:val="clear" w:color="auto" w:fill="auto"/>
            <w:vAlign w:val="center"/>
          </w:tcPr>
          <w:p w14:paraId="1638225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22.8</w:t>
            </w:r>
          </w:p>
        </w:tc>
        <w:tc>
          <w:tcPr>
            <w:tcW w:w="1335" w:type="pct"/>
            <w:shd w:val="clear" w:color="auto" w:fill="auto"/>
            <w:vAlign w:val="center"/>
          </w:tcPr>
          <w:p w14:paraId="028A75C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3.8</w:t>
            </w:r>
          </w:p>
        </w:tc>
      </w:tr>
      <w:tr w:rsidR="007353B9" w14:paraId="242BA237" w14:textId="77777777">
        <w:trPr>
          <w:trHeight w:val="197"/>
        </w:trPr>
        <w:tc>
          <w:tcPr>
            <w:tcW w:w="497" w:type="pct"/>
            <w:shd w:val="clear" w:color="auto" w:fill="auto"/>
            <w:vAlign w:val="center"/>
          </w:tcPr>
          <w:p w14:paraId="64A1032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832" w:type="pct"/>
            <w:shd w:val="clear" w:color="auto" w:fill="auto"/>
            <w:vAlign w:val="center"/>
          </w:tcPr>
          <w:p w14:paraId="10032E5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5.1</w:t>
            </w:r>
          </w:p>
        </w:tc>
        <w:tc>
          <w:tcPr>
            <w:tcW w:w="999" w:type="pct"/>
            <w:shd w:val="clear" w:color="auto" w:fill="auto"/>
            <w:vAlign w:val="center"/>
          </w:tcPr>
          <w:p w14:paraId="6514748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w:t>
            </w:r>
          </w:p>
        </w:tc>
        <w:tc>
          <w:tcPr>
            <w:tcW w:w="1335" w:type="pct"/>
            <w:shd w:val="clear" w:color="auto" w:fill="auto"/>
            <w:vAlign w:val="center"/>
          </w:tcPr>
          <w:p w14:paraId="5CC8159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24.1</w:t>
            </w:r>
          </w:p>
        </w:tc>
        <w:tc>
          <w:tcPr>
            <w:tcW w:w="1335" w:type="pct"/>
            <w:shd w:val="clear" w:color="auto" w:fill="auto"/>
            <w:vAlign w:val="center"/>
          </w:tcPr>
          <w:p w14:paraId="02F24AC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3.6</w:t>
            </w:r>
          </w:p>
        </w:tc>
      </w:tr>
    </w:tbl>
    <w:p w14:paraId="38FADD5E" w14:textId="77777777" w:rsidR="007353B9" w:rsidRDefault="006F35DE">
      <w:pPr>
        <w:snapToGrid w:val="0"/>
        <w:spacing w:line="360" w:lineRule="auto"/>
        <w:ind w:firstLineChars="200" w:firstLine="560"/>
        <w:rPr>
          <w:rFonts w:ascii="Times New Roman" w:hAnsi="Times New Roman" w:cs="Times New Roman"/>
          <w:sz w:val="28"/>
          <w:szCs w:val="28"/>
        </w:rPr>
      </w:pPr>
      <w:bookmarkStart w:id="15" w:name="_Toc28993"/>
      <w:r>
        <w:rPr>
          <w:rFonts w:ascii="Times New Roman" w:hAnsi="Times New Roman" w:cs="Times New Roman"/>
          <w:sz w:val="28"/>
          <w:szCs w:val="28"/>
        </w:rPr>
        <w:t>from Table</w:t>
      </w:r>
      <w:r>
        <w:rPr>
          <w:rFonts w:ascii="Times New Roman" w:hAnsi="Times New Roman" w:cs="Times New Roman" w:hint="eastAsia"/>
          <w:sz w:val="28"/>
          <w:szCs w:val="28"/>
          <w:lang w:val="en-US"/>
        </w:rPr>
        <w:t>2.9</w:t>
      </w:r>
      <w:r>
        <w:rPr>
          <w:rFonts w:ascii="Times New Roman" w:hAnsi="Times New Roman" w:cs="Times New Roman"/>
          <w:sz w:val="28"/>
          <w:szCs w:val="28"/>
        </w:rPr>
        <w:t xml:space="preserve">, the profitability of infrastructure has continued to decline, with the return on investment falling from 4.5% in 2019 to 3.6% in 2023. At the same time, the growth rate of demand has also fluctuated downward, with the growth rate of total retail sales of consumer goods falling from 8.0% in 2019 to 5.1% in 2023. This trend of decline and growth poses a severe challenge to the profitability </w:t>
      </w:r>
      <w:r>
        <w:rPr>
          <w:rFonts w:ascii="Times New Roman" w:hAnsi="Times New Roman" w:cs="Times New Roman"/>
          <w:sz w:val="28"/>
          <w:szCs w:val="28"/>
        </w:rPr>
        <w:lastRenderedPageBreak/>
        <w:t>of infrastructure in the future.</w:t>
      </w:r>
      <w:bookmarkEnd w:id="15"/>
    </w:p>
    <w:p w14:paraId="0B0B3146" w14:textId="77777777" w:rsidR="007353B9" w:rsidRDefault="006F35DE">
      <w:pPr>
        <w:snapToGrid w:val="0"/>
        <w:spacing w:line="360" w:lineRule="auto"/>
        <w:ind w:firstLineChars="200" w:firstLine="562"/>
        <w:rPr>
          <w:rFonts w:ascii="Times New Roman" w:hAnsi="Times New Roman" w:cs="Times New Roman"/>
          <w:b/>
          <w:bCs/>
          <w:sz w:val="28"/>
          <w:szCs w:val="28"/>
        </w:rPr>
      </w:pPr>
      <w:bookmarkStart w:id="16" w:name="_Toc12250"/>
      <w:r>
        <w:rPr>
          <w:rFonts w:ascii="Times New Roman" w:hAnsi="Times New Roman" w:cs="Times New Roman"/>
          <w:b/>
          <w:bCs/>
          <w:sz w:val="28"/>
          <w:szCs w:val="28"/>
          <w:lang w:val="en-US"/>
        </w:rPr>
        <w:t xml:space="preserve">2. </w:t>
      </w:r>
      <w:r>
        <w:rPr>
          <w:rFonts w:ascii="Times New Roman" w:hAnsi="Times New Roman" w:cs="Times New Roman"/>
          <w:b/>
          <w:bCs/>
          <w:sz w:val="28"/>
          <w:szCs w:val="28"/>
        </w:rPr>
        <w:t>Analysis of the current status and prospects of infrastructure profitability</w:t>
      </w:r>
      <w:bookmarkEnd w:id="16"/>
    </w:p>
    <w:p w14:paraId="476E00E7" w14:textId="77777777" w:rsidR="007353B9" w:rsidRDefault="006F35DE">
      <w:pPr>
        <w:snapToGrid w:val="0"/>
        <w:spacing w:line="360" w:lineRule="auto"/>
        <w:ind w:firstLineChars="200" w:firstLine="560"/>
        <w:rPr>
          <w:rFonts w:ascii="Times New Roman" w:hAnsi="Times New Roman" w:cs="Times New Roman"/>
          <w:sz w:val="28"/>
          <w:szCs w:val="28"/>
        </w:rPr>
      </w:pPr>
      <w:bookmarkStart w:id="17" w:name="_Toc2383"/>
      <w:r>
        <w:rPr>
          <w:rFonts w:ascii="Times New Roman" w:hAnsi="Times New Roman" w:cs="Times New Roman"/>
          <w:sz w:val="28"/>
          <w:szCs w:val="28"/>
        </w:rPr>
        <w:t xml:space="preserve">Based on the profitability performance of different types of infrastructure projects, we conducted a comparative analysis of the main types of projects, as shown in Table </w:t>
      </w:r>
      <w:r>
        <w:rPr>
          <w:rFonts w:ascii="Times New Roman" w:hAnsi="Times New Roman" w:cs="Times New Roman"/>
          <w:sz w:val="28"/>
          <w:szCs w:val="28"/>
          <w:lang w:val="en-US"/>
        </w:rPr>
        <w:t xml:space="preserve">13 </w:t>
      </w:r>
      <w:r>
        <w:rPr>
          <w:rFonts w:ascii="Times New Roman" w:hAnsi="Times New Roman" w:cs="Times New Roman"/>
          <w:sz w:val="28"/>
          <w:szCs w:val="28"/>
        </w:rPr>
        <w:t>:</w:t>
      </w:r>
      <w:bookmarkEnd w:id="17"/>
    </w:p>
    <w:p w14:paraId="622579C7" w14:textId="77777777" w:rsidR="007353B9" w:rsidRPr="005830A8" w:rsidRDefault="006F35DE" w:rsidP="005830A8">
      <w:pPr>
        <w:snapToGrid w:val="0"/>
        <w:spacing w:line="360" w:lineRule="auto"/>
        <w:ind w:firstLineChars="200" w:firstLine="560"/>
        <w:jc w:val="right"/>
        <w:rPr>
          <w:rFonts w:ascii="Times New Roman" w:eastAsia="SimSun" w:hAnsi="Times New Roman" w:cs="Times New Roman"/>
          <w:bCs/>
          <w:sz w:val="28"/>
          <w:szCs w:val="28"/>
          <w:lang w:val="en-US"/>
        </w:rPr>
      </w:pPr>
      <w:bookmarkStart w:id="18" w:name="_Toc21667"/>
      <w:r w:rsidRPr="005830A8">
        <w:rPr>
          <w:rFonts w:ascii="Times New Roman" w:eastAsia="SimSun" w:hAnsi="Times New Roman" w:cs="Times New Roman"/>
          <w:bCs/>
          <w:sz w:val="28"/>
          <w:szCs w:val="28"/>
        </w:rPr>
        <w:t>Table</w:t>
      </w:r>
      <w:r w:rsidRPr="005830A8">
        <w:rPr>
          <w:rFonts w:ascii="Times New Roman" w:eastAsia="SimSun" w:hAnsi="Times New Roman" w:cs="Times New Roman" w:hint="eastAsia"/>
          <w:bCs/>
          <w:sz w:val="28"/>
          <w:szCs w:val="28"/>
          <w:lang w:val="en-US"/>
        </w:rPr>
        <w:t xml:space="preserve">2.10 </w:t>
      </w:r>
    </w:p>
    <w:p w14:paraId="52BDBBA8" w14:textId="77777777" w:rsidR="007353B9" w:rsidRDefault="006F35DE" w:rsidP="005830A8">
      <w:pPr>
        <w:snapToGrid w:val="0"/>
        <w:spacing w:line="360" w:lineRule="auto"/>
        <w:ind w:firstLineChars="200" w:firstLine="562"/>
        <w:rPr>
          <w:rFonts w:ascii="Times New Roman" w:hAnsi="Times New Roman" w:cs="Times New Roman"/>
          <w:b/>
          <w:bCs/>
          <w:sz w:val="28"/>
          <w:szCs w:val="28"/>
        </w:rPr>
      </w:pPr>
      <w:r>
        <w:rPr>
          <w:rFonts w:ascii="Times New Roman" w:eastAsia="SimSun" w:hAnsi="Times New Roman" w:cs="Times New Roman"/>
          <w:b/>
          <w:bCs/>
          <w:sz w:val="28"/>
          <w:szCs w:val="28"/>
        </w:rPr>
        <w:t>Comparison of operating indicators of different types of infrastructure projects 2023</w:t>
      </w:r>
      <w:bookmarkEnd w:id="18"/>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1867"/>
        <w:gridCol w:w="1867"/>
        <w:gridCol w:w="1868"/>
        <w:gridCol w:w="1870"/>
      </w:tblGrid>
      <w:tr w:rsidR="007353B9" w14:paraId="549F1B3E" w14:textId="77777777">
        <w:trPr>
          <w:trHeight w:val="864"/>
        </w:trPr>
        <w:tc>
          <w:tcPr>
            <w:tcW w:w="999" w:type="pct"/>
            <w:shd w:val="clear" w:color="auto" w:fill="auto"/>
            <w:vAlign w:val="center"/>
          </w:tcPr>
          <w:p w14:paraId="53D4F93E"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Project Type</w:t>
            </w:r>
          </w:p>
        </w:tc>
        <w:tc>
          <w:tcPr>
            <w:tcW w:w="999" w:type="pct"/>
            <w:shd w:val="clear" w:color="auto" w:fill="auto"/>
            <w:vAlign w:val="center"/>
          </w:tcPr>
          <w:p w14:paraId="2C6A97DE"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Completed investment amount (trillion yuan)</w:t>
            </w:r>
          </w:p>
        </w:tc>
        <w:tc>
          <w:tcPr>
            <w:tcW w:w="999" w:type="pct"/>
            <w:shd w:val="clear" w:color="auto" w:fill="auto"/>
            <w:vAlign w:val="center"/>
          </w:tcPr>
          <w:p w14:paraId="1050D90C"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Year-on-year growth (%)</w:t>
            </w:r>
          </w:p>
        </w:tc>
        <w:tc>
          <w:tcPr>
            <w:tcW w:w="999" w:type="pct"/>
            <w:shd w:val="clear" w:color="auto" w:fill="auto"/>
            <w:vAlign w:val="center"/>
          </w:tcPr>
          <w:p w14:paraId="08A35A15"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Investment as a percentage of infrastructure (%)</w:t>
            </w:r>
          </w:p>
        </w:tc>
        <w:tc>
          <w:tcPr>
            <w:tcW w:w="1000" w:type="pct"/>
            <w:shd w:val="clear" w:color="auto" w:fill="auto"/>
            <w:vAlign w:val="center"/>
          </w:tcPr>
          <w:p w14:paraId="7DC39E5C"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Debt-to-asset ratio (%)</w:t>
            </w:r>
          </w:p>
        </w:tc>
      </w:tr>
      <w:tr w:rsidR="007353B9" w14:paraId="0D236840" w14:textId="77777777">
        <w:trPr>
          <w:trHeight w:val="288"/>
        </w:trPr>
        <w:tc>
          <w:tcPr>
            <w:tcW w:w="999" w:type="pct"/>
            <w:shd w:val="clear" w:color="auto" w:fill="auto"/>
            <w:vAlign w:val="center"/>
          </w:tcPr>
          <w:p w14:paraId="76E5020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Transportation Infrastructure</w:t>
            </w:r>
          </w:p>
        </w:tc>
        <w:tc>
          <w:tcPr>
            <w:tcW w:w="999" w:type="pct"/>
            <w:shd w:val="clear" w:color="auto" w:fill="auto"/>
            <w:vAlign w:val="center"/>
          </w:tcPr>
          <w:p w14:paraId="4A8C6F1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8.14</w:t>
            </w:r>
          </w:p>
        </w:tc>
        <w:tc>
          <w:tcPr>
            <w:tcW w:w="999" w:type="pct"/>
            <w:shd w:val="clear" w:color="auto" w:fill="auto"/>
            <w:vAlign w:val="center"/>
          </w:tcPr>
          <w:p w14:paraId="088F5C9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5.6</w:t>
            </w:r>
          </w:p>
        </w:tc>
        <w:tc>
          <w:tcPr>
            <w:tcW w:w="999" w:type="pct"/>
            <w:shd w:val="clear" w:color="auto" w:fill="auto"/>
            <w:vAlign w:val="center"/>
          </w:tcPr>
          <w:p w14:paraId="7EE0CBE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33.8</w:t>
            </w:r>
          </w:p>
        </w:tc>
        <w:tc>
          <w:tcPr>
            <w:tcW w:w="1000" w:type="pct"/>
            <w:shd w:val="clear" w:color="auto" w:fill="auto"/>
            <w:vAlign w:val="center"/>
          </w:tcPr>
          <w:p w14:paraId="10FB20B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65.2</w:t>
            </w:r>
          </w:p>
        </w:tc>
      </w:tr>
      <w:tr w:rsidR="007353B9" w14:paraId="7E85B214" w14:textId="77777777">
        <w:trPr>
          <w:trHeight w:val="288"/>
        </w:trPr>
        <w:tc>
          <w:tcPr>
            <w:tcW w:w="999" w:type="pct"/>
            <w:shd w:val="clear" w:color="auto" w:fill="auto"/>
            <w:vAlign w:val="center"/>
          </w:tcPr>
          <w:p w14:paraId="2263093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Energy Infrastructure</w:t>
            </w:r>
          </w:p>
        </w:tc>
        <w:tc>
          <w:tcPr>
            <w:tcW w:w="999" w:type="pct"/>
            <w:shd w:val="clear" w:color="auto" w:fill="auto"/>
            <w:vAlign w:val="center"/>
          </w:tcPr>
          <w:p w14:paraId="4C652BA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5.74</w:t>
            </w:r>
          </w:p>
        </w:tc>
        <w:tc>
          <w:tcPr>
            <w:tcW w:w="999" w:type="pct"/>
            <w:shd w:val="clear" w:color="auto" w:fill="auto"/>
            <w:vAlign w:val="center"/>
          </w:tcPr>
          <w:p w14:paraId="60490AC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6.2</w:t>
            </w:r>
          </w:p>
        </w:tc>
        <w:tc>
          <w:tcPr>
            <w:tcW w:w="999" w:type="pct"/>
            <w:shd w:val="clear" w:color="auto" w:fill="auto"/>
            <w:vAlign w:val="center"/>
          </w:tcPr>
          <w:p w14:paraId="6D301F7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23.8</w:t>
            </w:r>
          </w:p>
        </w:tc>
        <w:tc>
          <w:tcPr>
            <w:tcW w:w="1000" w:type="pct"/>
            <w:shd w:val="clear" w:color="auto" w:fill="auto"/>
            <w:vAlign w:val="center"/>
          </w:tcPr>
          <w:p w14:paraId="6A3496A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58.4</w:t>
            </w:r>
          </w:p>
        </w:tc>
      </w:tr>
      <w:tr w:rsidR="007353B9" w14:paraId="3DAF4DAE" w14:textId="77777777">
        <w:trPr>
          <w:trHeight w:val="288"/>
        </w:trPr>
        <w:tc>
          <w:tcPr>
            <w:tcW w:w="999" w:type="pct"/>
            <w:shd w:val="clear" w:color="auto" w:fill="auto"/>
            <w:vAlign w:val="center"/>
          </w:tcPr>
          <w:p w14:paraId="6A0DA8C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Municipal infrastructure</w:t>
            </w:r>
          </w:p>
        </w:tc>
        <w:tc>
          <w:tcPr>
            <w:tcW w:w="999" w:type="pct"/>
            <w:shd w:val="clear" w:color="auto" w:fill="auto"/>
            <w:vAlign w:val="center"/>
          </w:tcPr>
          <w:p w14:paraId="2911539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5.59</w:t>
            </w:r>
          </w:p>
        </w:tc>
        <w:tc>
          <w:tcPr>
            <w:tcW w:w="999" w:type="pct"/>
            <w:shd w:val="clear" w:color="auto" w:fill="auto"/>
            <w:vAlign w:val="center"/>
          </w:tcPr>
          <w:p w14:paraId="18C03AD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4.8</w:t>
            </w:r>
          </w:p>
        </w:tc>
        <w:tc>
          <w:tcPr>
            <w:tcW w:w="999" w:type="pct"/>
            <w:shd w:val="clear" w:color="auto" w:fill="auto"/>
            <w:vAlign w:val="center"/>
          </w:tcPr>
          <w:p w14:paraId="219D4CE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23.2</w:t>
            </w:r>
          </w:p>
        </w:tc>
        <w:tc>
          <w:tcPr>
            <w:tcW w:w="1000" w:type="pct"/>
            <w:shd w:val="clear" w:color="auto" w:fill="auto"/>
            <w:vAlign w:val="center"/>
          </w:tcPr>
          <w:p w14:paraId="2A9BFFC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72.5</w:t>
            </w:r>
          </w:p>
        </w:tc>
      </w:tr>
      <w:tr w:rsidR="007353B9" w14:paraId="2C7D4FDA" w14:textId="77777777">
        <w:trPr>
          <w:trHeight w:val="288"/>
        </w:trPr>
        <w:tc>
          <w:tcPr>
            <w:tcW w:w="999" w:type="pct"/>
            <w:shd w:val="clear" w:color="auto" w:fill="auto"/>
            <w:vAlign w:val="center"/>
          </w:tcPr>
          <w:p w14:paraId="0943D96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Water conservancy infrastructure</w:t>
            </w:r>
          </w:p>
        </w:tc>
        <w:tc>
          <w:tcPr>
            <w:tcW w:w="999" w:type="pct"/>
            <w:shd w:val="clear" w:color="auto" w:fill="auto"/>
            <w:vAlign w:val="center"/>
          </w:tcPr>
          <w:p w14:paraId="0AF7884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2.22</w:t>
            </w:r>
          </w:p>
        </w:tc>
        <w:tc>
          <w:tcPr>
            <w:tcW w:w="999" w:type="pct"/>
            <w:shd w:val="clear" w:color="auto" w:fill="auto"/>
            <w:vAlign w:val="center"/>
          </w:tcPr>
          <w:p w14:paraId="5532DE8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5.2</w:t>
            </w:r>
          </w:p>
        </w:tc>
        <w:tc>
          <w:tcPr>
            <w:tcW w:w="999" w:type="pct"/>
            <w:shd w:val="clear" w:color="auto" w:fill="auto"/>
            <w:vAlign w:val="center"/>
          </w:tcPr>
          <w:p w14:paraId="1B90EF9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9.2</w:t>
            </w:r>
          </w:p>
        </w:tc>
        <w:tc>
          <w:tcPr>
            <w:tcW w:w="1000" w:type="pct"/>
            <w:shd w:val="clear" w:color="auto" w:fill="auto"/>
            <w:vAlign w:val="center"/>
          </w:tcPr>
          <w:p w14:paraId="22442CF4"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68.3</w:t>
            </w:r>
          </w:p>
        </w:tc>
      </w:tr>
      <w:tr w:rsidR="007353B9" w14:paraId="76C24B9C" w14:textId="77777777">
        <w:trPr>
          <w:trHeight w:val="288"/>
        </w:trPr>
        <w:tc>
          <w:tcPr>
            <w:tcW w:w="999" w:type="pct"/>
            <w:shd w:val="clear" w:color="auto" w:fill="auto"/>
            <w:vAlign w:val="center"/>
          </w:tcPr>
          <w:p w14:paraId="5E6D356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Information Infrastructure</w:t>
            </w:r>
          </w:p>
        </w:tc>
        <w:tc>
          <w:tcPr>
            <w:tcW w:w="999" w:type="pct"/>
            <w:shd w:val="clear" w:color="auto" w:fill="auto"/>
            <w:vAlign w:val="center"/>
          </w:tcPr>
          <w:p w14:paraId="1EA6E77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2.41</w:t>
            </w:r>
          </w:p>
        </w:tc>
        <w:tc>
          <w:tcPr>
            <w:tcW w:w="999" w:type="pct"/>
            <w:shd w:val="clear" w:color="auto" w:fill="auto"/>
            <w:vAlign w:val="center"/>
          </w:tcPr>
          <w:p w14:paraId="040AB6C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8.4</w:t>
            </w:r>
          </w:p>
        </w:tc>
        <w:tc>
          <w:tcPr>
            <w:tcW w:w="999" w:type="pct"/>
            <w:shd w:val="clear" w:color="auto" w:fill="auto"/>
            <w:vAlign w:val="center"/>
          </w:tcPr>
          <w:p w14:paraId="2A1264A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w:t>
            </w:r>
          </w:p>
        </w:tc>
        <w:tc>
          <w:tcPr>
            <w:tcW w:w="1000" w:type="pct"/>
            <w:shd w:val="clear" w:color="auto" w:fill="auto"/>
            <w:vAlign w:val="center"/>
          </w:tcPr>
          <w:p w14:paraId="1EAD3B2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52.6</w:t>
            </w:r>
          </w:p>
        </w:tc>
      </w:tr>
    </w:tbl>
    <w:p w14:paraId="16DB8BB9" w14:textId="77777777" w:rsidR="007353B9" w:rsidRDefault="006F35DE">
      <w:pPr>
        <w:snapToGrid w:val="0"/>
        <w:spacing w:line="360" w:lineRule="auto"/>
        <w:ind w:firstLineChars="200" w:firstLine="560"/>
        <w:rPr>
          <w:rFonts w:ascii="Times New Roman" w:hAnsi="Times New Roman" w:cs="Times New Roman"/>
          <w:sz w:val="28"/>
          <w:szCs w:val="28"/>
        </w:rPr>
      </w:pPr>
      <w:bookmarkStart w:id="19" w:name="_Toc25920"/>
      <w:r>
        <w:rPr>
          <w:rFonts w:ascii="Times New Roman" w:hAnsi="Times New Roman" w:cs="Times New Roman"/>
          <w:sz w:val="28"/>
          <w:szCs w:val="28"/>
        </w:rPr>
        <w:t>From the data in Table</w:t>
      </w:r>
      <w:r>
        <w:rPr>
          <w:rFonts w:ascii="Times New Roman" w:hAnsi="Times New Roman" w:cs="Times New Roman" w:hint="eastAsia"/>
          <w:sz w:val="28"/>
          <w:szCs w:val="28"/>
          <w:lang w:val="en-US"/>
        </w:rPr>
        <w:t xml:space="preserve"> 2.10</w:t>
      </w:r>
      <w:r>
        <w:rPr>
          <w:rFonts w:ascii="Times New Roman" w:hAnsi="Times New Roman" w:cs="Times New Roman"/>
          <w:sz w:val="28"/>
          <w:szCs w:val="28"/>
          <w:lang w:val="en-US"/>
        </w:rPr>
        <w:t xml:space="preserve"> </w:t>
      </w:r>
      <w:r>
        <w:rPr>
          <w:rFonts w:ascii="Times New Roman" w:hAnsi="Times New Roman" w:cs="Times New Roman"/>
          <w:sz w:val="28"/>
          <w:szCs w:val="28"/>
        </w:rPr>
        <w:t>, it can be seen that various types of infrastructure investment show obvious structural characteristics. Transportation infrastructure still occupies the largest share, reaching 33.8%, but the growth rate is relatively moderate. Although information infrastructure accounts for only 10.0%, its growth rate reaches 8.4%, significantly higher than other types, and its asset-liability ratio is the lowest, at 52.6%, showing good development potential. Although the investment scale of municipal infrastructure is large, its asset-liability ratio reaches 72.5%, reflecting great financial pressure. This differentiation trend is expected to further intensify in the future.</w:t>
      </w:r>
      <w:bookmarkEnd w:id="19"/>
    </w:p>
    <w:p w14:paraId="7F8BE8FB"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0" w:name="_Toc11919"/>
      <w:r>
        <w:rPr>
          <w:rFonts w:ascii="Times New Roman" w:eastAsia="SimSun" w:hAnsi="Times New Roman" w:cs="Times New Roman"/>
          <w:sz w:val="28"/>
          <w:szCs w:val="28"/>
        </w:rPr>
        <w:t xml:space="preserve">As shown in </w:t>
      </w:r>
      <w:r w:rsidR="005830A8">
        <w:rPr>
          <w:rFonts w:ascii="Times New Roman" w:eastAsia="SimSun" w:hAnsi="Times New Roman" w:cs="Times New Roman"/>
          <w:sz w:val="28"/>
          <w:szCs w:val="28"/>
        </w:rPr>
        <w:t>Pic/</w:t>
      </w:r>
      <w:r>
        <w:rPr>
          <w:rFonts w:ascii="Times New Roman" w:eastAsia="SimSun" w:hAnsi="Times New Roman" w:cs="Times New Roman"/>
          <w:sz w:val="28"/>
          <w:szCs w:val="28"/>
        </w:rPr>
        <w:t xml:space="preserve"> 1, we predict the future trend of demand growth and return on investment:</w:t>
      </w:r>
      <w:bookmarkEnd w:id="20"/>
    </w:p>
    <w:p w14:paraId="3575EEE7" w14:textId="77777777" w:rsidR="007353B9" w:rsidRDefault="006F35DE">
      <w:pPr>
        <w:snapToGrid w:val="0"/>
        <w:spacing w:line="360" w:lineRule="auto"/>
        <w:ind w:firstLineChars="200" w:firstLine="560"/>
        <w:jc w:val="center"/>
        <w:rPr>
          <w:rFonts w:ascii="Times New Roman" w:eastAsia="SimSun" w:hAnsi="Times New Roman" w:cs="Times New Roman"/>
          <w:sz w:val="28"/>
          <w:szCs w:val="28"/>
        </w:rPr>
      </w:pPr>
      <w:bookmarkStart w:id="21" w:name="_Toc10330"/>
      <w:r>
        <w:rPr>
          <w:rFonts w:ascii="Times New Roman" w:eastAsia="SimSun" w:hAnsi="Times New Roman" w:cs="Times New Roman"/>
          <w:noProof/>
          <w:sz w:val="28"/>
          <w:szCs w:val="28"/>
          <w:lang w:val="uk-UA" w:eastAsia="uk-UA"/>
        </w:rPr>
        <w:lastRenderedPageBreak/>
        <w:drawing>
          <wp:inline distT="0" distB="0" distL="114300" distR="114300" wp14:anchorId="441710CB" wp14:editId="43EC0C38">
            <wp:extent cx="4041775" cy="2531745"/>
            <wp:effectExtent l="0" t="0" r="12065" b="1333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11"/>
                    <a:stretch>
                      <a:fillRect/>
                    </a:stretch>
                  </pic:blipFill>
                  <pic:spPr>
                    <a:xfrm>
                      <a:off x="0" y="0"/>
                      <a:ext cx="4041775" cy="2531745"/>
                    </a:xfrm>
                    <a:prstGeom prst="rect">
                      <a:avLst/>
                    </a:prstGeom>
                    <a:noFill/>
                    <a:ln w="9525">
                      <a:noFill/>
                    </a:ln>
                  </pic:spPr>
                </pic:pic>
              </a:graphicData>
            </a:graphic>
          </wp:inline>
        </w:drawing>
      </w:r>
      <w:bookmarkEnd w:id="21"/>
    </w:p>
    <w:p w14:paraId="085AE85E" w14:textId="77777777" w:rsidR="007353B9" w:rsidRDefault="005830A8">
      <w:pPr>
        <w:snapToGrid w:val="0"/>
        <w:spacing w:line="360" w:lineRule="auto"/>
        <w:ind w:firstLineChars="200" w:firstLine="562"/>
        <w:jc w:val="center"/>
        <w:rPr>
          <w:rFonts w:ascii="Times New Roman" w:eastAsia="SimSun" w:hAnsi="Times New Roman" w:cs="Times New Roman"/>
          <w:b/>
          <w:bCs/>
          <w:sz w:val="28"/>
          <w:szCs w:val="28"/>
        </w:rPr>
      </w:pPr>
      <w:r>
        <w:rPr>
          <w:rFonts w:ascii="Times New Roman" w:eastAsia="SimSun" w:hAnsi="Times New Roman" w:cs="Times New Roman"/>
          <w:b/>
          <w:bCs/>
          <w:sz w:val="28"/>
          <w:szCs w:val="28"/>
        </w:rPr>
        <w:t xml:space="preserve">Pic. </w:t>
      </w:r>
      <w:r w:rsidR="006F35DE">
        <w:rPr>
          <w:rFonts w:ascii="Times New Roman" w:eastAsia="SimSun" w:hAnsi="Times New Roman" w:cs="Times New Roman"/>
          <w:b/>
          <w:bCs/>
          <w:sz w:val="28"/>
          <w:szCs w:val="28"/>
        </w:rPr>
        <w:t>1</w:t>
      </w:r>
      <w:r w:rsidR="006F35DE">
        <w:rPr>
          <w:rFonts w:ascii="Times New Roman" w:eastAsia="SimSun" w:hAnsi="Times New Roman" w:cs="Times New Roman" w:hint="eastAsia"/>
          <w:b/>
          <w:bCs/>
          <w:sz w:val="28"/>
          <w:szCs w:val="28"/>
          <w:lang w:val="en-US"/>
        </w:rPr>
        <w:t xml:space="preserve"> </w:t>
      </w:r>
      <w:r w:rsidR="006F35DE">
        <w:rPr>
          <w:rFonts w:ascii="Times New Roman" w:eastAsia="SimSun" w:hAnsi="Times New Roman" w:cs="Times New Roman"/>
          <w:b/>
          <w:bCs/>
          <w:sz w:val="28"/>
          <w:szCs w:val="28"/>
        </w:rPr>
        <w:t>Trend Forecast: Demand Growth vs Investment Return Rate (2019-2023)</w:t>
      </w:r>
    </w:p>
    <w:p w14:paraId="22910676" w14:textId="77777777" w:rsidR="007353B9" w:rsidRDefault="007353B9">
      <w:pPr>
        <w:snapToGrid w:val="0"/>
        <w:spacing w:line="360" w:lineRule="auto"/>
        <w:ind w:firstLineChars="200" w:firstLine="560"/>
        <w:rPr>
          <w:rFonts w:ascii="Times New Roman" w:eastAsia="SimSun" w:hAnsi="Times New Roman" w:cs="Times New Roman"/>
          <w:sz w:val="28"/>
          <w:szCs w:val="28"/>
        </w:rPr>
      </w:pPr>
    </w:p>
    <w:p w14:paraId="30B1AC11"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2" w:name="_Toc9282"/>
      <w:r>
        <w:rPr>
          <w:rFonts w:ascii="Times New Roman" w:eastAsia="SimSun" w:hAnsi="Times New Roman" w:cs="Times New Roman"/>
          <w:sz w:val="28"/>
          <w:szCs w:val="28"/>
        </w:rPr>
        <w:t>As can be seen from Figure 1, the demand growth rate is expected to fluctuate between 4.3% and 4.8% in the next three years (2024-2026), and the return on investment may continue to decline slightly to the range of 3.3%-3.5%. This trend shows that there is great pressure to improve the efficiency of infrastructure investment.</w:t>
      </w:r>
      <w:bookmarkEnd w:id="22"/>
    </w:p>
    <w:p w14:paraId="2B22E1CB"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3" w:name="_Toc30050"/>
      <w:r>
        <w:rPr>
          <w:rFonts w:ascii="Times New Roman" w:eastAsia="SimSun" w:hAnsi="Times New Roman" w:cs="Times New Roman"/>
          <w:sz w:val="28"/>
          <w:szCs w:val="28"/>
        </w:rPr>
        <w:t xml:space="preserve">The comparison of the rates of return of different types of infrastructure projects is shown in </w:t>
      </w:r>
      <w:r w:rsidR="005830A8">
        <w:rPr>
          <w:rFonts w:ascii="Times New Roman" w:eastAsia="SimSun" w:hAnsi="Times New Roman" w:cs="Times New Roman"/>
          <w:sz w:val="28"/>
          <w:szCs w:val="28"/>
        </w:rPr>
        <w:t>Pic.</w:t>
      </w:r>
      <w:r>
        <w:rPr>
          <w:rFonts w:ascii="Times New Roman" w:eastAsia="SimSun" w:hAnsi="Times New Roman" w:cs="Times New Roman"/>
          <w:sz w:val="28"/>
          <w:szCs w:val="28"/>
        </w:rPr>
        <w:t xml:space="preserve"> 2:</w:t>
      </w:r>
      <w:bookmarkEnd w:id="23"/>
    </w:p>
    <w:p w14:paraId="743CE583" w14:textId="77777777" w:rsidR="007353B9" w:rsidRDefault="006F35DE">
      <w:pPr>
        <w:snapToGrid w:val="0"/>
        <w:spacing w:line="360" w:lineRule="auto"/>
        <w:ind w:firstLineChars="200" w:firstLine="560"/>
        <w:jc w:val="center"/>
        <w:rPr>
          <w:rFonts w:ascii="Times New Roman" w:eastAsia="SimSun" w:hAnsi="Times New Roman" w:cs="Times New Roman"/>
          <w:sz w:val="28"/>
          <w:szCs w:val="28"/>
        </w:rPr>
      </w:pPr>
      <w:bookmarkStart w:id="24" w:name="_Toc29037"/>
      <w:bookmarkStart w:id="25" w:name="_Toc13626"/>
      <w:r>
        <w:rPr>
          <w:rFonts w:ascii="Times New Roman" w:eastAsia="SimSun" w:hAnsi="Times New Roman" w:cs="Times New Roman"/>
          <w:noProof/>
          <w:sz w:val="28"/>
          <w:szCs w:val="28"/>
          <w:lang w:val="uk-UA" w:eastAsia="uk-UA"/>
        </w:rPr>
        <w:drawing>
          <wp:inline distT="0" distB="0" distL="114300" distR="114300" wp14:anchorId="519D9D54" wp14:editId="26A98951">
            <wp:extent cx="3502660" cy="1766570"/>
            <wp:effectExtent l="0" t="0" r="2540" b="1270"/>
            <wp:docPr id="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6"/>
                    <pic:cNvPicPr>
                      <a:picLocks noChangeAspect="1"/>
                    </pic:cNvPicPr>
                  </pic:nvPicPr>
                  <pic:blipFill>
                    <a:blip r:embed="rId12"/>
                    <a:stretch>
                      <a:fillRect/>
                    </a:stretch>
                  </pic:blipFill>
                  <pic:spPr>
                    <a:xfrm>
                      <a:off x="0" y="0"/>
                      <a:ext cx="3502660" cy="1766570"/>
                    </a:xfrm>
                    <a:prstGeom prst="rect">
                      <a:avLst/>
                    </a:prstGeom>
                    <a:noFill/>
                    <a:ln w="9525">
                      <a:noFill/>
                    </a:ln>
                  </pic:spPr>
                </pic:pic>
              </a:graphicData>
            </a:graphic>
          </wp:inline>
        </w:drawing>
      </w:r>
      <w:bookmarkEnd w:id="24"/>
    </w:p>
    <w:p w14:paraId="5F3DB857" w14:textId="77777777" w:rsidR="007353B9" w:rsidRDefault="005830A8">
      <w:pPr>
        <w:snapToGrid w:val="0"/>
        <w:spacing w:line="360" w:lineRule="auto"/>
        <w:ind w:firstLineChars="200" w:firstLine="562"/>
        <w:jc w:val="center"/>
        <w:rPr>
          <w:rFonts w:ascii="Times New Roman" w:eastAsia="SimSun" w:hAnsi="Times New Roman" w:cs="Times New Roman"/>
          <w:b/>
          <w:bCs/>
          <w:sz w:val="28"/>
          <w:szCs w:val="28"/>
        </w:rPr>
      </w:pPr>
      <w:r>
        <w:rPr>
          <w:rFonts w:ascii="Times New Roman" w:eastAsia="SimSun" w:hAnsi="Times New Roman" w:cs="Times New Roman"/>
          <w:b/>
          <w:bCs/>
          <w:sz w:val="28"/>
          <w:szCs w:val="28"/>
        </w:rPr>
        <w:t>Pic.</w:t>
      </w:r>
      <w:r w:rsidR="006F35DE">
        <w:rPr>
          <w:rFonts w:ascii="Times New Roman" w:eastAsia="SimSun" w:hAnsi="Times New Roman" w:cs="Times New Roman"/>
          <w:b/>
          <w:bCs/>
          <w:sz w:val="28"/>
          <w:szCs w:val="28"/>
        </w:rPr>
        <w:t xml:space="preserve"> </w:t>
      </w:r>
      <w:r w:rsidR="006F35DE">
        <w:rPr>
          <w:rFonts w:ascii="Times New Roman" w:eastAsia="SimSun" w:hAnsi="Times New Roman" w:cs="Times New Roman"/>
          <w:b/>
          <w:bCs/>
          <w:sz w:val="28"/>
          <w:szCs w:val="28"/>
          <w:lang w:val="en-US"/>
        </w:rPr>
        <w:t xml:space="preserve">2 </w:t>
      </w:r>
      <w:r w:rsidR="006F35DE">
        <w:rPr>
          <w:rFonts w:ascii="Times New Roman" w:eastAsia="SimSun" w:hAnsi="Times New Roman" w:cs="Times New Roman"/>
          <w:b/>
          <w:bCs/>
          <w:sz w:val="28"/>
          <w:szCs w:val="28"/>
        </w:rPr>
        <w:t>Comparison of return rate indicators of different types of infrastructure projects (2023)</w:t>
      </w:r>
      <w:bookmarkEnd w:id="25"/>
    </w:p>
    <w:p w14:paraId="5DD5D538"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6" w:name="_Toc28540"/>
      <w:r>
        <w:rPr>
          <w:rFonts w:ascii="Times New Roman" w:eastAsia="SimSun" w:hAnsi="Times New Roman" w:cs="Times New Roman"/>
          <w:sz w:val="28"/>
          <w:szCs w:val="28"/>
        </w:rPr>
        <w:t>As can be seen from Figure 1, various types of infrastructure projects present distinct structural characteristics:</w:t>
      </w:r>
      <w:bookmarkEnd w:id="26"/>
    </w:p>
    <w:p w14:paraId="6F61A998"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7" w:name="_Toc26470"/>
      <w:r>
        <w:rPr>
          <w:rFonts w:ascii="Times New Roman" w:eastAsia="SimSun" w:hAnsi="Times New Roman" w:cs="Times New Roman"/>
          <w:sz w:val="28"/>
          <w:szCs w:val="28"/>
        </w:rPr>
        <w:lastRenderedPageBreak/>
        <w:t>Investment in transportation infrastructure accounts for the highest proportion (about 33.8%), but the growth rate is relatively moderate (5.6%), and the debt-to-asset ratio is at a medium level (65.2%), showing a relatively stable development trend.</w:t>
      </w:r>
      <w:bookmarkEnd w:id="27"/>
    </w:p>
    <w:p w14:paraId="10B42DC6"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8" w:name="_Toc9349"/>
      <w:r>
        <w:rPr>
          <w:rFonts w:ascii="Times New Roman" w:eastAsia="SimSun" w:hAnsi="Times New Roman" w:cs="Times New Roman"/>
          <w:sz w:val="28"/>
          <w:szCs w:val="28"/>
        </w:rPr>
        <w:t>Although information infrastructure accounts for a relatively low proportion of investment (10.0%), it has the highest growth rate (8.4%) and the lowest debt-to-asset ratio (52.6%), demonstrating good development potential and financial health.</w:t>
      </w:r>
      <w:bookmarkEnd w:id="28"/>
    </w:p>
    <w:p w14:paraId="6B4CBAA7"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29" w:name="_Toc29637"/>
      <w:r>
        <w:rPr>
          <w:rFonts w:ascii="Times New Roman" w:eastAsia="SimSun" w:hAnsi="Times New Roman" w:cs="Times New Roman"/>
          <w:sz w:val="28"/>
          <w:szCs w:val="28"/>
        </w:rPr>
        <w:t>Investment in water conservancy infrastructure accounts for a relatively small proportion (9.2%), but the asset-liability ratio is relatively high (68.3%), reflecting the heavy investment and financing pressure in this field.</w:t>
      </w:r>
      <w:bookmarkEnd w:id="29"/>
    </w:p>
    <w:p w14:paraId="79A17B92" w14:textId="77777777" w:rsidR="007353B9" w:rsidRDefault="006F35DE">
      <w:pPr>
        <w:snapToGrid w:val="0"/>
        <w:spacing w:line="360" w:lineRule="auto"/>
        <w:ind w:firstLineChars="200" w:firstLine="560"/>
        <w:rPr>
          <w:rFonts w:ascii="Times New Roman" w:eastAsia="SimSun" w:hAnsi="Times New Roman" w:cs="Times New Roman"/>
          <w:sz w:val="28"/>
          <w:szCs w:val="28"/>
        </w:rPr>
      </w:pPr>
      <w:bookmarkStart w:id="30" w:name="_Toc21148"/>
      <w:r>
        <w:rPr>
          <w:rFonts w:ascii="Times New Roman" w:eastAsia="SimSun" w:hAnsi="Times New Roman" w:cs="Times New Roman"/>
          <w:sz w:val="28"/>
          <w:szCs w:val="28"/>
        </w:rPr>
        <w:t>The investment proportions of municipal infrastructure and energy infrastructure are comparable (both around 23%), but the asset-liability ratio of municipal infrastructure is significantly higher than that of energy infrastructure, indicating that its financial condition is relatively weak.</w:t>
      </w:r>
      <w:bookmarkEnd w:id="30"/>
    </w:p>
    <w:p w14:paraId="430E8740" w14:textId="77777777" w:rsidR="007353B9" w:rsidRDefault="006F35DE">
      <w:pPr>
        <w:snapToGrid w:val="0"/>
        <w:spacing w:line="360" w:lineRule="auto"/>
        <w:ind w:firstLineChars="200" w:firstLine="560"/>
        <w:rPr>
          <w:rFonts w:ascii="Times New Roman" w:hAnsi="Times New Roman" w:cs="Times New Roman"/>
          <w:sz w:val="28"/>
          <w:szCs w:val="28"/>
        </w:rPr>
      </w:pPr>
      <w:bookmarkStart w:id="31" w:name="_Toc28417"/>
      <w:r>
        <w:rPr>
          <w:rFonts w:ascii="Times New Roman" w:eastAsia="SimSun" w:hAnsi="Times New Roman" w:cs="Times New Roman"/>
          <w:sz w:val="28"/>
          <w:szCs w:val="28"/>
        </w:rPr>
        <w:t>This structural differentiation reflects the differences in development stage, degree of marketization and operation model among different types of infrastructure projects, and also provides an important reference for the optimization of future investment strategies.</w:t>
      </w:r>
      <w:bookmarkEnd w:id="31"/>
    </w:p>
    <w:p w14:paraId="1F677BCB" w14:textId="77777777" w:rsidR="007353B9" w:rsidRDefault="006F35DE">
      <w:pPr>
        <w:pStyle w:val="a7"/>
        <w:widowControl/>
        <w:snapToGrid w:val="0"/>
        <w:spacing w:beforeAutospacing="0" w:afterAutospacing="0" w:line="360" w:lineRule="auto"/>
        <w:ind w:firstLineChars="200" w:firstLine="562"/>
        <w:jc w:val="both"/>
        <w:rPr>
          <w:rStyle w:val="a8"/>
          <w:rFonts w:ascii="Times New Roman" w:hAnsi="Times New Roman"/>
          <w:sz w:val="28"/>
          <w:szCs w:val="28"/>
        </w:rPr>
      </w:pPr>
      <w:r>
        <w:rPr>
          <w:rFonts w:ascii="Times New Roman" w:hAnsi="Times New Roman"/>
          <w:b/>
          <w:kern w:val="2"/>
          <w:sz w:val="28"/>
          <w:szCs w:val="28"/>
          <w:lang w:val="en-US"/>
        </w:rPr>
        <w:t xml:space="preserve">3. </w:t>
      </w:r>
      <w:r>
        <w:rPr>
          <w:rStyle w:val="a8"/>
          <w:rFonts w:ascii="Times New Roman" w:hAnsi="Times New Roman"/>
          <w:sz w:val="28"/>
          <w:szCs w:val="28"/>
        </w:rPr>
        <w:t>Analysis of influencing factors</w:t>
      </w:r>
    </w:p>
    <w:p w14:paraId="6004D08B"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Based on the previous analysis of infrastructure investment and return rate, combined with the macroeconomic situation and industry development trends, we can deeply explore the key factors affecting infrastructure profitability. From the data performance, the return rate of infrastructure investment continued to decline from 4.5% to 3.6% between 2019 and 2023. This trend reflects a complex system of influencing factors.</w:t>
      </w:r>
    </w:p>
    <w:p w14:paraId="33C14E5F"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From a macroeconomic perspective, the shift in economic growth is the primary factor affecting the profitability of infrastructure. The GDP growth rate in 2023 is 5.2%, a significant drop from 6.1% in 2019, and is expected to remain in </w:t>
      </w:r>
      <w:r>
        <w:rPr>
          <w:rFonts w:ascii="Times New Roman" w:hAnsi="Times New Roman"/>
          <w:sz w:val="28"/>
          <w:szCs w:val="28"/>
        </w:rPr>
        <w:lastRenderedPageBreak/>
        <w:t>the range of 4.5%-4.8% in the next three years. The slowdown in economic growth directly affects the demand and efficiency of infrastructure use, which in turn affects project returns. Taking transportation infrastructure as an example, the average traffic growth rate on national highways will drop to 4.2% in 2023, a significant drop from 7.8% in 2019. This slowdown in demand growth has directly affected the level of project returns. At the same time, the adjustment of industrial structure has also brought about profound changes in the investment structure. The growth of demand in traditional manufacturing has slowed down, while emerging fields such as the digital economy and green development have risen rapidly, which requires infrastructure investment to adapt to the requirements of structural transformation.</w:t>
      </w:r>
    </w:p>
    <w:p w14:paraId="19E85F3E"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perspective of industry characteristics, different types of infrastructure projects show a clear trend of differentiation. As shown in Table 2, the growth rate of information infrastructure reached 8.4%, significantly higher than other types, and the asset-liability ratio was the lowest, at 52.6%; while traditional municipal infrastructure, although large in scale, had an asset-liability ratio of 72.5%, reflecting greater operating pressure. This differentiation trend is closely related to the characteristics of the project itself. Traditional infrastructure has entered the era of stock, and the marginal benefits of new projects have obviously decreased; while new infrastructure has great growth potential, but the initial investment is high, the technology iteration is fast, and risks and opportunities coexist. At the same time, all types of projects are generally facing the pressure of rising operating and maintenance costs. In 2023, the average operating cost growth rate of the industry will reach 4.2%, which is higher than the revenue growth rate, which directly erodes the project's profit margin.</w:t>
      </w:r>
    </w:p>
    <w:p w14:paraId="029A8101"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In terms of policy environment, adjustments in fiscal and monetary policies have a significant impact on infrastructure profitability, as shown in Table </w:t>
      </w:r>
      <w:r w:rsidR="005830A8">
        <w:rPr>
          <w:rFonts w:ascii="Times New Roman" w:hAnsi="Times New Roman"/>
          <w:sz w:val="28"/>
          <w:szCs w:val="28"/>
          <w:lang w:val="en-US"/>
        </w:rPr>
        <w:t>2.11</w:t>
      </w:r>
      <w:r>
        <w:rPr>
          <w:rFonts w:ascii="Times New Roman" w:hAnsi="Times New Roman"/>
          <w:sz w:val="28"/>
          <w:szCs w:val="28"/>
          <w:lang w:val="en-US"/>
        </w:rPr>
        <w:t xml:space="preserve"> </w:t>
      </w:r>
      <w:r>
        <w:rPr>
          <w:rFonts w:ascii="Times New Roman" w:hAnsi="Times New Roman"/>
          <w:sz w:val="28"/>
          <w:szCs w:val="28"/>
        </w:rPr>
        <w:t>:</w:t>
      </w:r>
    </w:p>
    <w:p w14:paraId="7C53AEAB" w14:textId="77777777" w:rsidR="005830A8" w:rsidRDefault="005830A8" w:rsidP="005830A8">
      <w:pPr>
        <w:pStyle w:val="a7"/>
        <w:widowControl/>
        <w:snapToGrid w:val="0"/>
        <w:spacing w:beforeAutospacing="0" w:afterAutospacing="0" w:line="360" w:lineRule="auto"/>
        <w:ind w:firstLineChars="200" w:firstLine="560"/>
        <w:jc w:val="right"/>
        <w:rPr>
          <w:rStyle w:val="a8"/>
          <w:rFonts w:ascii="Times New Roman" w:hAnsi="Times New Roman"/>
          <w:b w:val="0"/>
          <w:sz w:val="28"/>
          <w:szCs w:val="28"/>
        </w:rPr>
      </w:pPr>
    </w:p>
    <w:p w14:paraId="3160D5E1" w14:textId="77777777" w:rsidR="005830A8" w:rsidRDefault="005830A8" w:rsidP="005830A8">
      <w:pPr>
        <w:pStyle w:val="a7"/>
        <w:widowControl/>
        <w:snapToGrid w:val="0"/>
        <w:spacing w:beforeAutospacing="0" w:afterAutospacing="0" w:line="360" w:lineRule="auto"/>
        <w:ind w:firstLineChars="200" w:firstLine="560"/>
        <w:jc w:val="right"/>
        <w:rPr>
          <w:rStyle w:val="a8"/>
          <w:rFonts w:ascii="Times New Roman" w:hAnsi="Times New Roman"/>
          <w:b w:val="0"/>
          <w:sz w:val="28"/>
          <w:szCs w:val="28"/>
        </w:rPr>
      </w:pPr>
    </w:p>
    <w:p w14:paraId="6AF9D79A" w14:textId="77777777" w:rsidR="007353B9" w:rsidRPr="005830A8" w:rsidRDefault="006F35DE" w:rsidP="005830A8">
      <w:pPr>
        <w:pStyle w:val="a7"/>
        <w:widowControl/>
        <w:snapToGrid w:val="0"/>
        <w:spacing w:beforeAutospacing="0" w:afterAutospacing="0" w:line="360" w:lineRule="auto"/>
        <w:ind w:firstLineChars="200" w:firstLine="560"/>
        <w:jc w:val="right"/>
        <w:rPr>
          <w:rStyle w:val="a8"/>
          <w:rFonts w:ascii="Times New Roman" w:hAnsi="Times New Roman"/>
          <w:b w:val="0"/>
          <w:sz w:val="28"/>
          <w:szCs w:val="28"/>
          <w:lang w:val="en-US"/>
        </w:rPr>
      </w:pPr>
      <w:r w:rsidRPr="005830A8">
        <w:rPr>
          <w:rStyle w:val="a8"/>
          <w:rFonts w:ascii="Times New Roman" w:hAnsi="Times New Roman"/>
          <w:b w:val="0"/>
          <w:sz w:val="28"/>
          <w:szCs w:val="28"/>
        </w:rPr>
        <w:lastRenderedPageBreak/>
        <w:t xml:space="preserve">Table </w:t>
      </w:r>
      <w:r w:rsidRPr="005830A8">
        <w:rPr>
          <w:rStyle w:val="a8"/>
          <w:rFonts w:ascii="Times New Roman" w:hAnsi="Times New Roman" w:hint="eastAsia"/>
          <w:b w:val="0"/>
          <w:sz w:val="28"/>
          <w:szCs w:val="28"/>
          <w:lang w:val="en-US"/>
        </w:rPr>
        <w:t>2.11</w:t>
      </w:r>
      <w:r w:rsidRPr="005830A8">
        <w:rPr>
          <w:rStyle w:val="a8"/>
          <w:rFonts w:ascii="Times New Roman" w:hAnsi="Times New Roman"/>
          <w:b w:val="0"/>
          <w:sz w:val="28"/>
          <w:szCs w:val="28"/>
          <w:lang w:val="en-US"/>
        </w:rPr>
        <w:t xml:space="preserve"> </w:t>
      </w:r>
    </w:p>
    <w:p w14:paraId="0DD11800" w14:textId="77777777" w:rsidR="007353B9" w:rsidRDefault="006F35DE" w:rsidP="005830A8">
      <w:pPr>
        <w:pStyle w:val="a7"/>
        <w:widowControl/>
        <w:snapToGrid w:val="0"/>
        <w:spacing w:beforeAutospacing="0" w:afterAutospacing="0" w:line="360" w:lineRule="auto"/>
        <w:ind w:firstLineChars="200" w:firstLine="562"/>
        <w:jc w:val="both"/>
        <w:rPr>
          <w:rStyle w:val="a8"/>
          <w:rFonts w:ascii="Times New Roman" w:hAnsi="Times New Roman"/>
          <w:sz w:val="28"/>
          <w:szCs w:val="28"/>
        </w:rPr>
      </w:pPr>
      <w:r>
        <w:rPr>
          <w:rStyle w:val="a8"/>
          <w:rFonts w:ascii="Times New Roman" w:hAnsi="Times New Roman"/>
          <w:sz w:val="28"/>
          <w:szCs w:val="28"/>
        </w:rPr>
        <w:t>Forecast of factors affecting the return on infrastructure investment from 2024 to 2026</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1867"/>
        <w:gridCol w:w="1869"/>
        <w:gridCol w:w="1868"/>
        <w:gridCol w:w="1868"/>
      </w:tblGrid>
      <w:tr w:rsidR="007353B9" w14:paraId="315482EF" w14:textId="77777777">
        <w:trPr>
          <w:trHeight w:val="277"/>
        </w:trPr>
        <w:tc>
          <w:tcPr>
            <w:tcW w:w="999" w:type="pct"/>
            <w:shd w:val="clear" w:color="auto" w:fill="auto"/>
            <w:vAlign w:val="center"/>
          </w:tcPr>
          <w:p w14:paraId="29925E97"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Influencing factors</w:t>
            </w:r>
          </w:p>
        </w:tc>
        <w:tc>
          <w:tcPr>
            <w:tcW w:w="999" w:type="pct"/>
            <w:shd w:val="clear" w:color="auto" w:fill="auto"/>
            <w:vAlign w:val="center"/>
          </w:tcPr>
          <w:p w14:paraId="6F438F3C"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2024 Forecast</w:t>
            </w:r>
          </w:p>
        </w:tc>
        <w:tc>
          <w:tcPr>
            <w:tcW w:w="1000" w:type="pct"/>
            <w:shd w:val="clear" w:color="auto" w:fill="auto"/>
            <w:vAlign w:val="center"/>
          </w:tcPr>
          <w:p w14:paraId="0DDADC79"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2025 Prediction</w:t>
            </w:r>
          </w:p>
        </w:tc>
        <w:tc>
          <w:tcPr>
            <w:tcW w:w="1000" w:type="pct"/>
            <w:shd w:val="clear" w:color="auto" w:fill="auto"/>
            <w:vAlign w:val="center"/>
          </w:tcPr>
          <w:p w14:paraId="2048C22F"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2026 Forecast</w:t>
            </w:r>
          </w:p>
        </w:tc>
        <w:tc>
          <w:tcPr>
            <w:tcW w:w="1000" w:type="pct"/>
            <w:shd w:val="clear" w:color="auto" w:fill="auto"/>
            <w:vAlign w:val="center"/>
          </w:tcPr>
          <w:p w14:paraId="224E4FB4" w14:textId="77777777" w:rsidR="007353B9" w:rsidRDefault="006F35DE">
            <w:pPr>
              <w:widowControl/>
              <w:snapToGrid w:val="0"/>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Impact</w:t>
            </w:r>
          </w:p>
        </w:tc>
      </w:tr>
      <w:tr w:rsidR="007353B9" w14:paraId="433A0D36" w14:textId="77777777">
        <w:trPr>
          <w:trHeight w:val="277"/>
        </w:trPr>
        <w:tc>
          <w:tcPr>
            <w:tcW w:w="999" w:type="pct"/>
            <w:shd w:val="clear" w:color="auto" w:fill="auto"/>
            <w:vAlign w:val="center"/>
          </w:tcPr>
          <w:p w14:paraId="122FDCCD"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GDP growth rate (%)</w:t>
            </w:r>
          </w:p>
        </w:tc>
        <w:tc>
          <w:tcPr>
            <w:tcW w:w="999" w:type="pct"/>
            <w:shd w:val="clear" w:color="auto" w:fill="auto"/>
            <w:vAlign w:val="center"/>
          </w:tcPr>
          <w:p w14:paraId="51364D0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4.8</w:t>
            </w:r>
          </w:p>
        </w:tc>
        <w:tc>
          <w:tcPr>
            <w:tcW w:w="1000" w:type="pct"/>
            <w:shd w:val="clear" w:color="auto" w:fill="auto"/>
            <w:vAlign w:val="center"/>
          </w:tcPr>
          <w:p w14:paraId="2B3529D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4.6</w:t>
            </w:r>
          </w:p>
        </w:tc>
        <w:tc>
          <w:tcPr>
            <w:tcW w:w="1000" w:type="pct"/>
            <w:shd w:val="clear" w:color="auto" w:fill="auto"/>
            <w:vAlign w:val="center"/>
          </w:tcPr>
          <w:p w14:paraId="31929DA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w:t>
            </w:r>
          </w:p>
        </w:tc>
        <w:tc>
          <w:tcPr>
            <w:tcW w:w="1000" w:type="pct"/>
            <w:shd w:val="clear" w:color="auto" w:fill="auto"/>
            <w:vAlign w:val="center"/>
          </w:tcPr>
          <w:p w14:paraId="60B60DB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high</w:t>
            </w:r>
          </w:p>
        </w:tc>
      </w:tr>
      <w:tr w:rsidR="007353B9" w14:paraId="5368439B" w14:textId="77777777">
        <w:trPr>
          <w:trHeight w:val="413"/>
        </w:trPr>
        <w:tc>
          <w:tcPr>
            <w:tcW w:w="999" w:type="pct"/>
            <w:shd w:val="clear" w:color="auto" w:fill="auto"/>
            <w:vAlign w:val="center"/>
          </w:tcPr>
          <w:p w14:paraId="2519ACA2"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Fiscal expenditure growth rate (%)</w:t>
            </w:r>
          </w:p>
        </w:tc>
        <w:tc>
          <w:tcPr>
            <w:tcW w:w="999" w:type="pct"/>
            <w:shd w:val="clear" w:color="auto" w:fill="auto"/>
            <w:vAlign w:val="center"/>
          </w:tcPr>
          <w:p w14:paraId="6500786C"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5.5</w:t>
            </w:r>
          </w:p>
        </w:tc>
        <w:tc>
          <w:tcPr>
            <w:tcW w:w="1000" w:type="pct"/>
            <w:shd w:val="clear" w:color="auto" w:fill="auto"/>
            <w:vAlign w:val="center"/>
          </w:tcPr>
          <w:p w14:paraId="5E18C291"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5.2</w:t>
            </w:r>
          </w:p>
        </w:tc>
        <w:tc>
          <w:tcPr>
            <w:tcW w:w="1000" w:type="pct"/>
            <w:shd w:val="clear" w:color="auto" w:fill="auto"/>
            <w:vAlign w:val="center"/>
          </w:tcPr>
          <w:p w14:paraId="76ED0DC3"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w:t>
            </w:r>
          </w:p>
        </w:tc>
        <w:tc>
          <w:tcPr>
            <w:tcW w:w="1000" w:type="pct"/>
            <w:shd w:val="clear" w:color="auto" w:fill="auto"/>
            <w:vAlign w:val="center"/>
          </w:tcPr>
          <w:p w14:paraId="7F35F0E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high</w:t>
            </w:r>
          </w:p>
        </w:tc>
      </w:tr>
      <w:tr w:rsidR="007353B9" w14:paraId="1A098E5F" w14:textId="77777777">
        <w:trPr>
          <w:trHeight w:val="277"/>
        </w:trPr>
        <w:tc>
          <w:tcPr>
            <w:tcW w:w="999" w:type="pct"/>
            <w:shd w:val="clear" w:color="auto" w:fill="auto"/>
            <w:vAlign w:val="center"/>
          </w:tcPr>
          <w:p w14:paraId="61F6823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Financing cost (%)</w:t>
            </w:r>
          </w:p>
        </w:tc>
        <w:tc>
          <w:tcPr>
            <w:tcW w:w="999" w:type="pct"/>
            <w:shd w:val="clear" w:color="auto" w:fill="auto"/>
            <w:vAlign w:val="center"/>
          </w:tcPr>
          <w:p w14:paraId="48EEBAA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w:t>
            </w:r>
          </w:p>
        </w:tc>
        <w:tc>
          <w:tcPr>
            <w:tcW w:w="1000" w:type="pct"/>
            <w:shd w:val="clear" w:color="auto" w:fill="auto"/>
            <w:vAlign w:val="center"/>
          </w:tcPr>
          <w:p w14:paraId="097B220A"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w:t>
            </w:r>
          </w:p>
        </w:tc>
        <w:tc>
          <w:tcPr>
            <w:tcW w:w="1000" w:type="pct"/>
            <w:shd w:val="clear" w:color="auto" w:fill="auto"/>
            <w:vAlign w:val="center"/>
          </w:tcPr>
          <w:p w14:paraId="53D581CB"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3.8</w:t>
            </w:r>
          </w:p>
        </w:tc>
        <w:tc>
          <w:tcPr>
            <w:tcW w:w="1000" w:type="pct"/>
            <w:shd w:val="clear" w:color="auto" w:fill="auto"/>
            <w:vAlign w:val="center"/>
          </w:tcPr>
          <w:p w14:paraId="40E1305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middle</w:t>
            </w:r>
          </w:p>
        </w:tc>
      </w:tr>
      <w:tr w:rsidR="007353B9" w14:paraId="6A58978F" w14:textId="77777777">
        <w:trPr>
          <w:trHeight w:val="413"/>
        </w:trPr>
        <w:tc>
          <w:tcPr>
            <w:tcW w:w="999" w:type="pct"/>
            <w:shd w:val="clear" w:color="auto" w:fill="auto"/>
            <w:vAlign w:val="center"/>
          </w:tcPr>
          <w:p w14:paraId="7BA78E87"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Operating cost growth rate (%)</w:t>
            </w:r>
          </w:p>
        </w:tc>
        <w:tc>
          <w:tcPr>
            <w:tcW w:w="999" w:type="pct"/>
            <w:shd w:val="clear" w:color="auto" w:fill="auto"/>
            <w:vAlign w:val="center"/>
          </w:tcPr>
          <w:p w14:paraId="6613BDD6"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3.8</w:t>
            </w:r>
          </w:p>
        </w:tc>
        <w:tc>
          <w:tcPr>
            <w:tcW w:w="1000" w:type="pct"/>
            <w:shd w:val="clear" w:color="auto" w:fill="auto"/>
            <w:vAlign w:val="center"/>
          </w:tcPr>
          <w:p w14:paraId="1E66B10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w:t>
            </w:r>
          </w:p>
        </w:tc>
        <w:tc>
          <w:tcPr>
            <w:tcW w:w="1000" w:type="pct"/>
            <w:shd w:val="clear" w:color="auto" w:fill="auto"/>
            <w:vAlign w:val="center"/>
          </w:tcPr>
          <w:p w14:paraId="64A338A8"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w:t>
            </w:r>
          </w:p>
        </w:tc>
        <w:tc>
          <w:tcPr>
            <w:tcW w:w="1000" w:type="pct"/>
            <w:shd w:val="clear" w:color="auto" w:fill="auto"/>
            <w:vAlign w:val="center"/>
          </w:tcPr>
          <w:p w14:paraId="64C16550"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middle</w:t>
            </w:r>
          </w:p>
        </w:tc>
      </w:tr>
      <w:tr w:rsidR="007353B9" w14:paraId="27D7DE16" w14:textId="77777777">
        <w:trPr>
          <w:trHeight w:val="417"/>
        </w:trPr>
        <w:tc>
          <w:tcPr>
            <w:tcW w:w="999" w:type="pct"/>
            <w:shd w:val="clear" w:color="auto" w:fill="auto"/>
            <w:vAlign w:val="center"/>
          </w:tcPr>
          <w:p w14:paraId="63BB3F8F"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Contribution of technological progress (%)</w:t>
            </w:r>
          </w:p>
        </w:tc>
        <w:tc>
          <w:tcPr>
            <w:tcW w:w="999" w:type="pct"/>
            <w:shd w:val="clear" w:color="auto" w:fill="auto"/>
            <w:vAlign w:val="center"/>
          </w:tcPr>
          <w:p w14:paraId="21823F65"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2.5</w:t>
            </w:r>
          </w:p>
        </w:tc>
        <w:tc>
          <w:tcPr>
            <w:tcW w:w="1000" w:type="pct"/>
            <w:shd w:val="clear" w:color="auto" w:fill="auto"/>
            <w:vAlign w:val="center"/>
          </w:tcPr>
          <w:p w14:paraId="1CC6D57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2.8</w:t>
            </w:r>
          </w:p>
        </w:tc>
        <w:tc>
          <w:tcPr>
            <w:tcW w:w="1000" w:type="pct"/>
            <w:shd w:val="clear" w:color="auto" w:fill="auto"/>
            <w:vAlign w:val="center"/>
          </w:tcPr>
          <w:p w14:paraId="12F90769"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w:t>
            </w:r>
          </w:p>
        </w:tc>
        <w:tc>
          <w:tcPr>
            <w:tcW w:w="1000" w:type="pct"/>
            <w:shd w:val="clear" w:color="auto" w:fill="auto"/>
            <w:vAlign w:val="center"/>
          </w:tcPr>
          <w:p w14:paraId="769E094E" w14:textId="77777777" w:rsidR="007353B9" w:rsidRDefault="006F35DE">
            <w:pPr>
              <w:widowControl/>
              <w:snapToGrid w:val="0"/>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high</w:t>
            </w:r>
          </w:p>
        </w:tc>
      </w:tr>
    </w:tbl>
    <w:p w14:paraId="1F6FC970"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1E8F8031"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forecast data in Table</w:t>
      </w:r>
      <w:r>
        <w:rPr>
          <w:rFonts w:ascii="Times New Roman" w:hAnsi="Times New Roman" w:hint="eastAsia"/>
          <w:sz w:val="28"/>
          <w:szCs w:val="28"/>
          <w:lang w:val="en-US"/>
        </w:rPr>
        <w:t xml:space="preserve"> 2.11</w:t>
      </w:r>
      <w:r>
        <w:rPr>
          <w:rFonts w:ascii="Times New Roman" w:hAnsi="Times New Roman"/>
          <w:sz w:val="28"/>
          <w:szCs w:val="28"/>
          <w:lang w:val="en-US"/>
        </w:rPr>
        <w:t xml:space="preserve"> </w:t>
      </w:r>
      <w:r>
        <w:rPr>
          <w:rFonts w:ascii="Times New Roman" w:hAnsi="Times New Roman"/>
          <w:sz w:val="28"/>
          <w:szCs w:val="28"/>
        </w:rPr>
        <w:t>, it can be seen that the growth rate of fiscal expenditure will gradually slow down in the next three years, from 5.5% in 2024 to 5.0% in 2026, which means that the government's investment may weaken. At the same time, although the monetary policy remains flexible and moderate, the financing cost is expected to decline slightly, but the increase in compliance costs brought about by the tightening of regulatory policies may partially offset the positive impact of the decline in financing costs. It is worth noting that the contribution rate of technological progress is expected to increase steadily, which provides important support for improving operational efficiency and reducing costs.</w:t>
      </w:r>
    </w:p>
    <w:p w14:paraId="02359B9D"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Comprehensive analysis shows that infrastructure profitability is facing a critical period of structural transformation. On the one hand, profitability of traditional infrastructure projects is under pressure due to factors such as slowing demand growth and rising costs; on the other hand, emerging areas such as new infrastructure have shown good development prospects. This structural change requires us to pay more attention to efficiency and quality in investment decisions and operation management, and to achieve transformation and upgrading of </w:t>
      </w:r>
      <w:r>
        <w:rPr>
          <w:rFonts w:ascii="Times New Roman" w:hAnsi="Times New Roman"/>
          <w:sz w:val="28"/>
          <w:szCs w:val="28"/>
        </w:rPr>
        <w:lastRenderedPageBreak/>
        <w:t>infrastructure construction and operation through innovation-driven and reform-innovation.</w:t>
      </w:r>
    </w:p>
    <w:p w14:paraId="5D9F9845"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Based on the above analysis, improving the profitability of infrastructure in the future requires a number of measures: first, scientifically grasp the investment rhythm and structure, and implement differentiated investment strategies based on the characteristics and development stages of different types of projects; second, deepen the reform of the operating mechanism, and improve operational efficiency through intelligent transformation, diversified operations and other means; third, innovate financing models, attract more social capital participation, and optimize the financing structure; fourth, improve the institutional system, and create a good environment for high-quality development of infrastructure through measures such as deepening price mechanism reform and improving the regulatory framework.</w:t>
      </w:r>
    </w:p>
    <w:p w14:paraId="4EA17EC9" w14:textId="77777777" w:rsidR="007353B9" w:rsidRDefault="007353B9">
      <w:pPr>
        <w:ind w:firstLineChars="200" w:firstLine="420"/>
        <w:rPr>
          <w:rFonts w:ascii="Times New Roman" w:hAnsi="Times New Roman" w:cs="Times New Roman"/>
        </w:rPr>
      </w:pPr>
    </w:p>
    <w:p w14:paraId="2489CF32" w14:textId="77777777" w:rsidR="007353B9" w:rsidRDefault="007353B9">
      <w:pPr>
        <w:ind w:firstLineChars="200" w:firstLine="420"/>
        <w:rPr>
          <w:rFonts w:ascii="Times New Roman" w:hAnsi="Times New Roman" w:cs="Times New Roman"/>
        </w:rPr>
      </w:pPr>
    </w:p>
    <w:p w14:paraId="55DE7366" w14:textId="77777777" w:rsidR="007353B9" w:rsidRDefault="007353B9">
      <w:pPr>
        <w:ind w:firstLineChars="200" w:firstLine="420"/>
        <w:rPr>
          <w:rFonts w:ascii="Times New Roman" w:hAnsi="Times New Roman" w:cs="Times New Roman"/>
        </w:rPr>
      </w:pPr>
    </w:p>
    <w:p w14:paraId="51FDFFC6" w14:textId="77777777" w:rsidR="007353B9" w:rsidRDefault="007353B9">
      <w:pPr>
        <w:ind w:firstLineChars="200" w:firstLine="420"/>
        <w:rPr>
          <w:rFonts w:ascii="Times New Roman" w:hAnsi="Times New Roman" w:cs="Times New Roman"/>
        </w:rPr>
      </w:pPr>
    </w:p>
    <w:p w14:paraId="184A221A" w14:textId="77777777" w:rsidR="007353B9" w:rsidRDefault="006F35DE">
      <w:pPr>
        <w:rPr>
          <w:rFonts w:ascii="Times New Roman" w:eastAsia="Times New Roman" w:hAnsi="Times New Roman"/>
          <w:b/>
          <w:sz w:val="32"/>
          <w:szCs w:val="32"/>
          <w:lang w:val="en-US" w:eastAsia="uk-UA"/>
        </w:rPr>
      </w:pPr>
      <w:r>
        <w:rPr>
          <w:rFonts w:ascii="Times New Roman" w:eastAsia="Times New Roman" w:hAnsi="Times New Roman"/>
          <w:b/>
          <w:sz w:val="32"/>
          <w:szCs w:val="32"/>
          <w:lang w:val="en-US" w:eastAsia="uk-UA"/>
        </w:rPr>
        <w:br w:type="page"/>
      </w:r>
    </w:p>
    <w:p w14:paraId="6F0B0ABF" w14:textId="77777777" w:rsidR="007353B9" w:rsidRDefault="006F35DE">
      <w:pPr>
        <w:snapToGrid w:val="0"/>
        <w:jc w:val="center"/>
        <w:outlineLvl w:val="0"/>
        <w:rPr>
          <w:rFonts w:ascii="Times New Roman" w:eastAsia="Times New Roman" w:hAnsi="Times New Roman"/>
          <w:b/>
          <w:sz w:val="32"/>
          <w:szCs w:val="32"/>
          <w:lang w:val="en-US" w:eastAsia="uk-UA"/>
        </w:rPr>
      </w:pPr>
      <w:bookmarkStart w:id="32" w:name="_Toc24806"/>
      <w:r>
        <w:rPr>
          <w:rFonts w:ascii="Times New Roman" w:eastAsia="Times New Roman" w:hAnsi="Times New Roman"/>
          <w:b/>
          <w:sz w:val="32"/>
          <w:szCs w:val="32"/>
          <w:lang w:val="en-US" w:eastAsia="uk-UA"/>
        </w:rPr>
        <w:lastRenderedPageBreak/>
        <w:t>CHAPTER 3</w:t>
      </w:r>
      <w:bookmarkEnd w:id="32"/>
      <w:r>
        <w:rPr>
          <w:rFonts w:ascii="Times New Roman" w:eastAsia="Times New Roman" w:hAnsi="Times New Roman"/>
          <w:b/>
          <w:sz w:val="32"/>
          <w:szCs w:val="32"/>
          <w:lang w:val="en-US" w:eastAsia="uk-UA"/>
        </w:rPr>
        <w:t xml:space="preserve"> </w:t>
      </w:r>
    </w:p>
    <w:p w14:paraId="15A83049" w14:textId="77777777" w:rsidR="007353B9" w:rsidRDefault="006F35DE">
      <w:pPr>
        <w:snapToGrid w:val="0"/>
        <w:jc w:val="center"/>
        <w:outlineLvl w:val="0"/>
        <w:rPr>
          <w:rStyle w:val="y2iqfc"/>
          <w:rFonts w:ascii="Times New Roman" w:hAnsi="Times New Roman"/>
          <w:b/>
          <w:sz w:val="32"/>
          <w:szCs w:val="32"/>
        </w:rPr>
      </w:pPr>
      <w:bookmarkStart w:id="33" w:name="_Toc16715"/>
      <w:r>
        <w:rPr>
          <w:rFonts w:ascii="Times New Roman" w:eastAsia="Times New Roman" w:hAnsi="Times New Roman"/>
          <w:b/>
          <w:sz w:val="32"/>
          <w:szCs w:val="32"/>
          <w:lang w:val="en-US" w:eastAsia="uk-UA"/>
        </w:rPr>
        <w:t xml:space="preserve">IMPROVEMENT OF THE ANTICRISIS MANAGEMENT SYSTEM </w:t>
      </w:r>
      <w:r>
        <w:rPr>
          <w:rStyle w:val="y2iqfc"/>
          <w:rFonts w:ascii="Times New Roman" w:hAnsi="Times New Roman"/>
          <w:b/>
          <w:sz w:val="32"/>
          <w:szCs w:val="32"/>
        </w:rPr>
        <w:t>AT THE MACROECONOMIC LEVEL</w:t>
      </w:r>
      <w:bookmarkEnd w:id="33"/>
    </w:p>
    <w:p w14:paraId="70510D66" w14:textId="77777777" w:rsidR="007353B9" w:rsidRDefault="007353B9">
      <w:pPr>
        <w:snapToGrid w:val="0"/>
        <w:jc w:val="center"/>
        <w:outlineLvl w:val="0"/>
        <w:rPr>
          <w:rStyle w:val="y2iqfc"/>
          <w:rFonts w:ascii="Times New Roman" w:hAnsi="Times New Roman"/>
          <w:b/>
          <w:sz w:val="32"/>
          <w:szCs w:val="32"/>
          <w:lang w:val="en-US" w:eastAsia="uk-UA"/>
        </w:rPr>
      </w:pPr>
    </w:p>
    <w:p w14:paraId="707BFAB0" w14:textId="77777777" w:rsidR="007353B9" w:rsidRDefault="006F35DE">
      <w:pPr>
        <w:pStyle w:val="HTML"/>
        <w:snapToGrid w:val="0"/>
        <w:jc w:val="center"/>
        <w:outlineLvl w:val="1"/>
        <w:rPr>
          <w:rStyle w:val="y2iqfc"/>
          <w:rFonts w:ascii="Times New Roman" w:hAnsi="Times New Roman" w:hint="default"/>
          <w:b/>
          <w:sz w:val="28"/>
          <w:szCs w:val="28"/>
        </w:rPr>
      </w:pPr>
      <w:bookmarkStart w:id="34" w:name="_Toc5246"/>
      <w:r>
        <w:rPr>
          <w:rFonts w:ascii="Times New Roman" w:hAnsi="Times New Roman" w:hint="default"/>
          <w:b/>
          <w:sz w:val="28"/>
          <w:szCs w:val="28"/>
          <w:lang w:val="en-US"/>
        </w:rPr>
        <w:t xml:space="preserve">3.1. </w:t>
      </w:r>
      <w:r>
        <w:rPr>
          <w:rStyle w:val="y2iqfc"/>
          <w:rFonts w:ascii="Times New Roman" w:hAnsi="Times New Roman" w:hint="default"/>
          <w:b/>
          <w:sz w:val="28"/>
          <w:szCs w:val="28"/>
        </w:rPr>
        <w:t>Development of a planning system based on intersectoral balances</w:t>
      </w:r>
      <w:bookmarkEnd w:id="34"/>
    </w:p>
    <w:p w14:paraId="5F4D1CDC" w14:textId="77777777" w:rsidR="007353B9" w:rsidRDefault="007353B9">
      <w:pPr>
        <w:pStyle w:val="HTML"/>
        <w:snapToGrid w:val="0"/>
        <w:jc w:val="both"/>
        <w:rPr>
          <w:rStyle w:val="y2iqfc"/>
          <w:rFonts w:ascii="Times New Roman" w:hAnsi="Times New Roman" w:hint="default"/>
          <w:b/>
          <w:sz w:val="28"/>
          <w:szCs w:val="28"/>
        </w:rPr>
      </w:pPr>
    </w:p>
    <w:p w14:paraId="2C59058E"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Based on the discussion of anti-crisis management theory in Chapter 1 and the empirical analysis of demand dynamics and infrastructure profitability in Chapter 2, we find that current macroeconomic management faces systemic challenges. Especially in the context of the shift in demand growth and the decline in infrastructure benefits, traditional linear thinking and single-dimensional management methods have been unable to cope with the complexity of economic operation. Therefore, it is particularly urgent to build a planning system based on inter-sectoral balance and achieve systematic management of the macroeconomy.</w:t>
      </w:r>
    </w:p>
    <w:p w14:paraId="6E36E60F"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From the data analysis in Chapter 2, we can see that there are two trends worth noting between 2019 and 2023: First, the total investment in infrastructure increased from 19.8 trillion yuan to 24.1 trillion yuan, but the return on investment (ROI) continued to decline from 4.5% to 3.6%; second, the growth rate of total retail sales of consumer goods fluctuated downward from 8.0% to 5.1%. This phenomenon of investment scale expansion and declining benefits reflects that the existing investment decision-making mechanism has failed to effectively adapt to changes in demand, resulting in a continuous decline in resource allocation efficiency. Solving this problem requires the establishment of a more scientific planning system.</w:t>
      </w:r>
    </w:p>
    <w:p w14:paraId="4B24C69C"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theoretical basis, the design of the planning system fully draws on the achievements of modern anti-crisis management theory discussed in Chapter 1. First, it is the application of systematic thinking, which regards economic operation as a complex adaptive system (CAS) and emphasizes the interaction between various elements. Secondly, it is inspired by the theory of information asymmetry, and reduces the risk of market failure by improving the information collection and sharing mechanism. Thirdly, it is guided by the theory of organizational behavior, </w:t>
      </w:r>
      <w:r>
        <w:rPr>
          <w:rFonts w:ascii="Times New Roman" w:hAnsi="Times New Roman" w:cs="Times New Roman"/>
          <w:sz w:val="28"/>
          <w:szCs w:val="28"/>
        </w:rPr>
        <w:lastRenderedPageBreak/>
        <w:t>focusing on coordinating the interests of all parties and improving execution efficiency. In addition, the planning system also integrates methods such as input-output analysis and system dynamics, providing analytical tools for inter-departmental balance.</w:t>
      </w:r>
    </w:p>
    <w:p w14:paraId="5CE41D9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From the perspective of system architecture, the inter-departmental balance planning system has designed four core modules that are organically connected. The data collection and processing module is responsible for collecting and organizing various economic indicators including total retail sales of consumer goods, fixed asset investment, and infrastructure investment return rate. This module adopts a unified data standard and uses big data technology for cleaning and preprocessing, laying the foundation for subsequent analysis. Based on these data, the analysis and prediction module uses econometric models and machine learning algorithms to predict future trends, and the model parameters will be continuously optimized according to the prediction error. On this basis, the decision support module combines the needs and constraints of different departments to generate multiple feasible investment plans. The coordination and execution module is responsible for the implementation of the plan, including resource allocation, progress monitoring, and effect evaluation.</w:t>
      </w:r>
    </w:p>
    <w:p w14:paraId="364F4E25"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the system operation mechanism, based on the discussion of the anti-crisis management early warning mechanism in Chapter 1, we have designed a multi-level risk identification and early warning system. The first-level early warning focuses on demand indicators, including the total retail sales of consumer goods and the consumer price index. When these indicators fluctuate abnormally, the system will automatically issue an early warning signal. The second-level early warning focuses on investment benefit indicators, such as the return on infrastructure investment and asset turnover rate analyzed in Chapter 2, and monitors changes in investment performance in real time. The third-level early warning comprehensively evaluates risk indicators including debt ratio and asset-liability ratio from the perspective of systemic risk. This three-dimensional </w:t>
      </w:r>
      <w:r>
        <w:rPr>
          <w:rFonts w:ascii="Times New Roman" w:hAnsi="Times New Roman" w:cs="Times New Roman"/>
          <w:sz w:val="28"/>
          <w:szCs w:val="28"/>
        </w:rPr>
        <w:lastRenderedPageBreak/>
        <w:t>early warning mechanism can detect potential problems early and provide a basis for decision-making adjustments.</w:t>
      </w:r>
    </w:p>
    <w:p w14:paraId="1B75AEB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Compared with the traditional management model, the interdepartmental balanced planning system has made important innovations in the coordination mechanism. As shown in the analysis in Chapter 2, there are significant differences in investment scale, growth rate and debt-to-asset ratio among different types of infrastructure projects. For example, although the investment in information infrastructure accounts for only 10.0% in 2023, the growth rate reaches 8.4%, while the investment scale of traditional municipal infrastructure is large but the debt-to-asset ratio is as high as 72.5%. This structural difference requires the establishment of a more flexible and efficient department coordination mechanism. Therefore, the system has designed a normalized department consultation platform and promoted information sharing and decision-making coordination through the cross-departmental working group mechanism. At the same time, the innovation of the assessment and incentive system will also help balance the interests of all parties and improve execution efficiency.</w:t>
      </w:r>
    </w:p>
    <w:p w14:paraId="0CBBA08F"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Technical support is an important guarantee for the effective operation of the planning system. Based on the analysis of modern anti-crisis management technology innovation in Chapter 1, the system adopts a new generation of information technology including big data, artificial intelligence, cloud computing and blockchain. Among them, big data technology is mainly used for the collection and processing of massive economic data to ensure the timeliness and accuracy of decision-making basis; artificial intelligence technology improves the scientific nature of prediction through machine learning algorithms, especially in demand trends and investment benefit prediction; cloud computing technology provides computing power support for complex model calculations and scheme comparisons; blockchain technology ensures the security and traceability of data and improves the credibility of the system.</w:t>
      </w:r>
    </w:p>
    <w:p w14:paraId="150B42C7" w14:textId="77777777" w:rsidR="007353B9" w:rsidRDefault="006F35DE">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rPr>
        <w:t xml:space="preserve">In terms of implementation path, we propose a phased advancement strategy </w:t>
      </w:r>
      <w:r>
        <w:rPr>
          <w:rFonts w:ascii="Times New Roman" w:hAnsi="Times New Roman" w:cs="Times New Roman"/>
          <w:sz w:val="28"/>
          <w:szCs w:val="28"/>
          <w:lang w:val="en-US"/>
        </w:rPr>
        <w:t>:</w:t>
      </w:r>
    </w:p>
    <w:p w14:paraId="6C0D81F0"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The first phase (1-2 years) focuses on completing system construction, including improving top-level design, establishing basic databases, developing core functional modules, and conducting pilot applications. This phase pays special attention to combining with the typical cases analyzed in Chapter 2, selecting different types of infrastructure projects for pilot projects, and accumulating practical experience.</w:t>
      </w:r>
    </w:p>
    <w:p w14:paraId="5D3ED67D"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second phase (2-3 years) will focus on system optimization, including expanding the scope of application, improving prediction accuracy, and improving coordination mechanisms. The third phase (3-5 years) will achieve full promotion and form a standardized management system and long-term operation mechanism.</w:t>
      </w:r>
    </w:p>
    <w:p w14:paraId="4EB74E74"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Of course, there are also many challenges in the process of system construction. From a technical perspective, we need to solve problems such as uneven data quality, the need to improve model accuracy, and the difficulty of system integration. At the management level, we need to overcome obstacles such as difficulties in departmental coordination, insufficient execution, and an imperfect assessment mechanism. At the institutional level, there are also constraints such as lagging laws and regulations, an imperfect standard system, and unclear division of responsibilities and powers. These problems need to be gradually solved through continuous technological innovation, management innovation, and institutional innovation.</w:t>
      </w:r>
    </w:p>
    <w:p w14:paraId="6949983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Specifically, in terms of technological innovation, we should focus on improving data quality management, improving prediction model algorithms, and strengthening system security protection. In terms of management innovation, we should focus on establishing a coordination mechanism, strengthening execution assessment, and optimizing the talent training system. In terms of institutional innovation, we need to promote the improvement of laws and regulations, establish a standardization system, and clarify departmental responsibilities. The organic combination of these innovative measures will provide a strong guarantee for the long-term stable operation of the system.</w:t>
      </w:r>
    </w:p>
    <w:p w14:paraId="4760B11F"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Looking ahead, the planning system based on inter-departmental balance will play an important role in many aspects. In terms of crisis prevention, the economic system's ability to resist risks will be enhanced by improving risk identification capabilities and early warning response efficiency. In terms of resource allocation, the coordinated development of departments will be promoted by optimizing the investment structure and improving resource utilization efficiency. In terms of management innovation, scientific decision-making and modern management will be promoted to achieve process optimization and service quality improvement. In terms of development quality, economic transformation and upgrading will be promoted, innovative development and green development will be promoted, and sustainable economic development will be ensured.</w:t>
      </w:r>
    </w:p>
    <w:p w14:paraId="6377CEDF"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the planning system based on inter-departmental balance is an important tool for improving the anti-crisis management capabilities of the macroeconomy in the new era. It is both a practical application of the theoretical research in Chapter 1 and a systematic response to the empirical analysis in Chapter 2. Through scientific planning, effective implementation and continuous optimization, the system will provide strong support for building a modern economic system and achieving high-quality economic development. In the future, with the deepening of theoretical innovation and practical exploration, the system functions will continue to improve, and the operating efficiency will continue to improve, making greater contributions to the stable development of the macroeconomy.</w:t>
      </w:r>
    </w:p>
    <w:p w14:paraId="06482E56" w14:textId="77777777" w:rsidR="007353B9" w:rsidRDefault="007353B9">
      <w:pPr>
        <w:snapToGrid w:val="0"/>
        <w:spacing w:line="360" w:lineRule="auto"/>
        <w:rPr>
          <w:rFonts w:ascii="Times New Roman" w:hAnsi="Times New Roman" w:cs="Times New Roman"/>
          <w:sz w:val="28"/>
          <w:szCs w:val="28"/>
        </w:rPr>
      </w:pPr>
    </w:p>
    <w:p w14:paraId="1A264D3F" w14:textId="77777777" w:rsidR="007353B9" w:rsidRDefault="006F35DE">
      <w:pPr>
        <w:snapToGrid w:val="0"/>
        <w:spacing w:line="360" w:lineRule="auto"/>
        <w:jc w:val="center"/>
        <w:outlineLvl w:val="1"/>
        <w:rPr>
          <w:rFonts w:ascii="Times New Roman" w:eastAsia="Times New Roman" w:hAnsi="Times New Roman" w:cs="Times New Roman"/>
          <w:b/>
          <w:sz w:val="28"/>
          <w:szCs w:val="28"/>
          <w:lang w:val="en-US" w:eastAsia="uk-UA"/>
        </w:rPr>
      </w:pPr>
      <w:bookmarkStart w:id="35" w:name="_Toc21170"/>
      <w:r>
        <w:rPr>
          <w:rFonts w:ascii="Times New Roman" w:eastAsia="Times New Roman" w:hAnsi="Times New Roman" w:cs="Times New Roman"/>
          <w:b/>
          <w:sz w:val="28"/>
          <w:szCs w:val="28"/>
          <w:lang w:val="en-US" w:eastAsia="uk-UA"/>
        </w:rPr>
        <w:t>3.2. Implementation of a project and program management system as a working methodology</w:t>
      </w:r>
      <w:bookmarkEnd w:id="35"/>
    </w:p>
    <w:p w14:paraId="4A6E1F9C" w14:textId="77777777" w:rsidR="007353B9" w:rsidRDefault="007353B9">
      <w:pPr>
        <w:snapToGrid w:val="0"/>
        <w:spacing w:line="360" w:lineRule="auto"/>
        <w:ind w:firstLineChars="200" w:firstLine="560"/>
        <w:rPr>
          <w:rFonts w:ascii="Times New Roman" w:hAnsi="Times New Roman" w:cs="Times New Roman"/>
          <w:sz w:val="28"/>
          <w:szCs w:val="28"/>
        </w:rPr>
      </w:pPr>
    </w:p>
    <w:p w14:paraId="7DBF8693"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Based on the systematic exposition of anti-crisis management theory in Chapter 1 and the in-depth analysis of demand dynamics and infrastructure profitability in Chapter 2, this section will focus on how to provide methodological </w:t>
      </w:r>
      <w:r>
        <w:rPr>
          <w:rFonts w:ascii="Times New Roman" w:hAnsi="Times New Roman"/>
          <w:sz w:val="28"/>
          <w:szCs w:val="28"/>
        </w:rPr>
        <w:lastRenderedPageBreak/>
        <w:t>support for anti-crisis management at the macroeconomic level through the scientific construction of project and planning management systems. In particular, in the context of increasing downward pressure on the economy and continued decline in the benefits of infrastructure investment, it is particularly important to establish an efficient project and planning management system.</w:t>
      </w:r>
    </w:p>
    <w:p w14:paraId="379AAC9D"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perspective of theoretical foundation, the construction of project and planning management system requires the integration of multidisciplinary theoretical achievements. The first is the complex adaptive system theory (CAS) discussed in Chapter 1, which emphasizes the nonlinear interactive relationship between system elements, which provides a basic framework for the overall design of the management system. The second is the integrated management thought in project management theory, which focuses on the organic connection of each stage of the project life cycle, which provides an operational guide for the specific implementation of the system. In addition, risk management theory, information system theory, etc. also provide important support for system construction.</w:t>
      </w:r>
    </w:p>
    <w:p w14:paraId="43DCDC93"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From the perspective of practical needs, the data analysis in Chapter 2 reveals the severe challenges currently faced by project management. From 2019 to 2023, although the total amount of infrastructure investment continued to grow from 19.8 trillion yuan to 24.1 trillion yuan, the return on investment (ROI) continued to decline from 4.5% to 3.6%. This paradoxical phenomenon of "investment growth-benefit decline" reflects that the traditional project management model is difficult to adapt to the needs of the new situation. Therefore, it is urgent to build a new project and planning management system.</w:t>
      </w:r>
    </w:p>
    <w:p w14:paraId="0B06CF91"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Based on the above analysis, we have constructed a project and planning management system framework consisting of five subsystems: strategic planning, investment management, implementation management, risk management, and performance evaluation, as shown in </w:t>
      </w:r>
      <w:r w:rsidR="005830A8">
        <w:rPr>
          <w:rFonts w:ascii="Times New Roman" w:hAnsi="Times New Roman"/>
          <w:sz w:val="28"/>
          <w:szCs w:val="28"/>
        </w:rPr>
        <w:t>Pic.</w:t>
      </w:r>
      <w:r>
        <w:rPr>
          <w:rFonts w:ascii="Times New Roman" w:hAnsi="Times New Roman"/>
          <w:sz w:val="28"/>
          <w:szCs w:val="28"/>
        </w:rPr>
        <w:t xml:space="preserve"> </w:t>
      </w:r>
      <w:r>
        <w:rPr>
          <w:rFonts w:ascii="Times New Roman" w:hAnsi="Times New Roman" w:hint="eastAsia"/>
          <w:sz w:val="28"/>
          <w:szCs w:val="28"/>
          <w:lang w:val="en-US"/>
        </w:rPr>
        <w:t>3</w:t>
      </w:r>
      <w:r>
        <w:rPr>
          <w:rFonts w:ascii="Times New Roman" w:hAnsi="Times New Roman"/>
          <w:sz w:val="28"/>
          <w:szCs w:val="28"/>
        </w:rPr>
        <w:t xml:space="preserve">. The construction of the entire system fully considers the interrelationship and synergy between the various subsystems, ensuring the comprehensiveness and </w:t>
      </w:r>
      <w:r w:rsidR="005830A8">
        <w:rPr>
          <w:rFonts w:ascii="Times New Roman" w:hAnsi="Times New Roman"/>
          <w:sz w:val="28"/>
          <w:szCs w:val="28"/>
        </w:rPr>
        <w:t>systematisms</w:t>
      </w:r>
      <w:r>
        <w:rPr>
          <w:rFonts w:ascii="Times New Roman" w:hAnsi="Times New Roman"/>
          <w:sz w:val="28"/>
          <w:szCs w:val="28"/>
        </w:rPr>
        <w:t xml:space="preserve"> of the management process.</w:t>
      </w:r>
    </w:p>
    <w:p w14:paraId="1F55B130" w14:textId="77777777" w:rsidR="007353B9" w:rsidRDefault="005830A8">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noProof/>
          <w:sz w:val="28"/>
          <w:szCs w:val="28"/>
          <w:lang w:val="uk-UA" w:eastAsia="uk-UA"/>
        </w:rPr>
        <w:lastRenderedPageBreak/>
        <w:drawing>
          <wp:anchor distT="0" distB="0" distL="114300" distR="114300" simplePos="0" relativeHeight="251660288" behindDoc="0" locked="0" layoutInCell="1" allowOverlap="1" wp14:anchorId="5105AE2F" wp14:editId="61F81F08">
            <wp:simplePos x="0" y="0"/>
            <wp:positionH relativeFrom="column">
              <wp:posOffset>-17780</wp:posOffset>
            </wp:positionH>
            <wp:positionV relativeFrom="page">
              <wp:posOffset>1590040</wp:posOffset>
            </wp:positionV>
            <wp:extent cx="5936615" cy="3148330"/>
            <wp:effectExtent l="0" t="0" r="6985" b="0"/>
            <wp:wrapTopAndBottom/>
            <wp:docPr id="5" name="图片 5" descr="6c5a87d5574a0ec80abb0895fb70e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6c5a87d5574a0ec80abb0895fb70e5d"/>
                    <pic:cNvPicPr>
                      <a:picLocks noChangeAspect="1"/>
                    </pic:cNvPicPr>
                  </pic:nvPicPr>
                  <pic:blipFill>
                    <a:blip r:embed="rId13"/>
                    <a:stretch>
                      <a:fillRect/>
                    </a:stretch>
                  </pic:blipFill>
                  <pic:spPr>
                    <a:xfrm>
                      <a:off x="0" y="0"/>
                      <a:ext cx="5936615" cy="3148330"/>
                    </a:xfrm>
                    <a:prstGeom prst="rect">
                      <a:avLst/>
                    </a:prstGeom>
                  </pic:spPr>
                </pic:pic>
              </a:graphicData>
            </a:graphic>
            <wp14:sizeRelV relativeFrom="margin">
              <wp14:pctHeight>0</wp14:pctHeight>
            </wp14:sizeRelV>
          </wp:anchor>
        </w:drawing>
      </w:r>
    </w:p>
    <w:p w14:paraId="357B4B2A" w14:textId="77777777" w:rsidR="005830A8" w:rsidRDefault="005830A8">
      <w:pPr>
        <w:pStyle w:val="a7"/>
        <w:widowControl/>
        <w:snapToGrid w:val="0"/>
        <w:spacing w:beforeAutospacing="0" w:afterAutospacing="0" w:line="360" w:lineRule="auto"/>
        <w:ind w:firstLineChars="200" w:firstLine="562"/>
        <w:jc w:val="center"/>
        <w:rPr>
          <w:rFonts w:ascii="Times New Roman" w:hAnsi="Times New Roman"/>
          <w:b/>
          <w:bCs/>
          <w:sz w:val="28"/>
          <w:szCs w:val="28"/>
        </w:rPr>
      </w:pPr>
    </w:p>
    <w:p w14:paraId="55FF6419" w14:textId="77777777" w:rsidR="005830A8" w:rsidRDefault="005830A8">
      <w:pPr>
        <w:pStyle w:val="a7"/>
        <w:widowControl/>
        <w:snapToGrid w:val="0"/>
        <w:spacing w:beforeAutospacing="0" w:afterAutospacing="0" w:line="360" w:lineRule="auto"/>
        <w:ind w:firstLineChars="200" w:firstLine="562"/>
        <w:jc w:val="center"/>
        <w:rPr>
          <w:rFonts w:ascii="Times New Roman" w:hAnsi="Times New Roman"/>
          <w:b/>
          <w:bCs/>
          <w:sz w:val="28"/>
          <w:szCs w:val="28"/>
        </w:rPr>
      </w:pPr>
    </w:p>
    <w:p w14:paraId="41AFE4C1" w14:textId="77777777" w:rsidR="007353B9" w:rsidRDefault="005830A8">
      <w:pPr>
        <w:pStyle w:val="a7"/>
        <w:widowControl/>
        <w:snapToGrid w:val="0"/>
        <w:spacing w:beforeAutospacing="0" w:afterAutospacing="0" w:line="360" w:lineRule="auto"/>
        <w:ind w:firstLineChars="200" w:firstLine="562"/>
        <w:jc w:val="center"/>
        <w:rPr>
          <w:rFonts w:ascii="Times New Roman" w:hAnsi="Times New Roman"/>
          <w:b/>
          <w:bCs/>
          <w:sz w:val="28"/>
          <w:szCs w:val="28"/>
        </w:rPr>
      </w:pPr>
      <w:r>
        <w:rPr>
          <w:rFonts w:ascii="Times New Roman" w:hAnsi="Times New Roman"/>
          <w:b/>
          <w:bCs/>
          <w:sz w:val="28"/>
          <w:szCs w:val="28"/>
        </w:rPr>
        <w:t>Pic.</w:t>
      </w:r>
      <w:r w:rsidR="006F35DE">
        <w:rPr>
          <w:rFonts w:ascii="Times New Roman" w:hAnsi="Times New Roman"/>
          <w:b/>
          <w:bCs/>
          <w:sz w:val="28"/>
          <w:szCs w:val="28"/>
        </w:rPr>
        <w:t xml:space="preserve"> 3</w:t>
      </w:r>
      <w:r w:rsidR="006F35DE">
        <w:rPr>
          <w:rFonts w:ascii="Times New Roman" w:hAnsi="Times New Roman" w:hint="eastAsia"/>
          <w:b/>
          <w:bCs/>
          <w:sz w:val="28"/>
          <w:szCs w:val="28"/>
          <w:lang w:val="en-US"/>
        </w:rPr>
        <w:t>.</w:t>
      </w:r>
      <w:r w:rsidR="006F35DE">
        <w:rPr>
          <w:rFonts w:ascii="Times New Roman" w:hAnsi="Times New Roman"/>
          <w:b/>
          <w:bCs/>
          <w:sz w:val="28"/>
          <w:szCs w:val="28"/>
        </w:rPr>
        <w:t>Project and Planning Management System Framework</w:t>
      </w:r>
    </w:p>
    <w:p w14:paraId="13E79981" w14:textId="77777777" w:rsidR="007353B9" w:rsidRDefault="007353B9">
      <w:pPr>
        <w:pStyle w:val="a7"/>
        <w:widowControl/>
        <w:snapToGrid w:val="0"/>
        <w:spacing w:beforeAutospacing="0" w:afterAutospacing="0" w:line="360" w:lineRule="auto"/>
        <w:ind w:firstLineChars="200" w:firstLine="560"/>
        <w:jc w:val="both"/>
        <w:rPr>
          <w:rFonts w:ascii="Times New Roman" w:hAnsi="Times New Roman"/>
          <w:sz w:val="28"/>
          <w:szCs w:val="28"/>
        </w:rPr>
      </w:pPr>
    </w:p>
    <w:p w14:paraId="36F8B817" w14:textId="77777777" w:rsidR="007353B9" w:rsidRDefault="005830A8">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Pic.</w:t>
      </w:r>
      <w:r w:rsidR="006F35DE">
        <w:rPr>
          <w:rFonts w:ascii="Times New Roman" w:hAnsi="Times New Roman"/>
          <w:sz w:val="28"/>
          <w:szCs w:val="28"/>
        </w:rPr>
        <w:t xml:space="preserve"> </w:t>
      </w:r>
      <w:r w:rsidR="006F35DE">
        <w:rPr>
          <w:rFonts w:ascii="Times New Roman" w:hAnsi="Times New Roman" w:hint="eastAsia"/>
          <w:sz w:val="28"/>
          <w:szCs w:val="28"/>
          <w:lang w:val="en-US"/>
        </w:rPr>
        <w:t>3</w:t>
      </w:r>
      <w:r w:rsidR="006F35DE">
        <w:rPr>
          <w:rFonts w:ascii="Times New Roman" w:hAnsi="Times New Roman"/>
          <w:sz w:val="28"/>
          <w:szCs w:val="28"/>
        </w:rPr>
        <w:t xml:space="preserve"> shows the core management system of the project and planning management system and the division of labor of its five subsystems. The strategic planning subsystem is mainly responsible for macro-level strategy formulation and planning layout. Its key functions include strategy formulation, planning layout, project reserve and resource allocation. Through in-depth analysis of the macroeconomic environment and project requirements, the strategic planning subsystem ensures the rationality and efficiency of resource allocation, thus laying a solid foundation for other subsystems of the system. The investment management subsystem focuses on the scientific nature of investment decisions and the efficiency of capital use. Through key functions such as investment decisions, capital management, financing planning and return evaluation, it improves the return on investment and the efficiency of capital use, ensuring the maximization of the economic benefits of the project.</w:t>
      </w:r>
    </w:p>
    <w:p w14:paraId="7EBB161B"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lastRenderedPageBreak/>
        <w:t>The implementation management subsystem connects strategic planning and specific execution, and is a key link in the smooth progress of the project. This subsystem has designed a standardized project implementation process, including modules such as progress control, quality management, cost control and coordination. Through these standardized processes, the standardization of the project and the transparency of management have been improved, effectively reducing the waste of resources and progress delays caused by poor management. At the same time, the subsystem also focuses on cross-departmental coordination during the project execution process to ensure that the project is smoothly advanced as planned.</w:t>
      </w:r>
    </w:p>
    <w:p w14:paraId="6A4BFC26"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The risk management subsystem plays an indispensable role in the entire system. Based on a multi-level risk prevention and control system, the subsystem reduces uncertainty during project implementation through risk identification, risk assessment, risk prevention and emergency response. Through early risk identification and assessment, the system can conduct a comprehensive analysis of potential risks and take effective risk control measures during project implementation to ensure the smooth progress of the project. At the same time, the establishment of an emergency response mechanism also provides a guarantee for the effective handling of emergencies, further improving the stability of the system and the project's ability to resist risks.</w:t>
      </w:r>
    </w:p>
    <w:p w14:paraId="00151ED7"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The performance evaluation subsystem ensures the maximum benefits of the project throughout its life cycle through a multi-dimensional evaluation indicator system. This subsystem has designed a multi-level evaluation system including financial benefits, economic benefits, social benefits and environmental benefits. Through regular evaluation of the project implementation effect, it continuously optimizes the project management process and improves the overall performance of the project. In addition, the performance evaluation results will also serve as an important basis for subsequent project planning and investment decisions, forming </w:t>
      </w:r>
      <w:r>
        <w:rPr>
          <w:rFonts w:ascii="Times New Roman" w:hAnsi="Times New Roman"/>
          <w:sz w:val="28"/>
          <w:szCs w:val="28"/>
        </w:rPr>
        <w:lastRenderedPageBreak/>
        <w:t>a closed loop of management and achieving continuous improvement of project management.</w:t>
      </w:r>
    </w:p>
    <w:p w14:paraId="454CDA33" w14:textId="77777777" w:rsidR="007353B9" w:rsidRDefault="006F35DE">
      <w:pPr>
        <w:pStyle w:val="a7"/>
        <w:widowControl/>
        <w:snapToGrid w:val="0"/>
        <w:spacing w:beforeAutospacing="0" w:afterAutospacing="0" w:line="360" w:lineRule="auto"/>
        <w:ind w:firstLineChars="200" w:firstLine="560"/>
        <w:jc w:val="both"/>
        <w:rPr>
          <w:rFonts w:ascii="Times New Roman" w:hAnsi="Times New Roman"/>
          <w:sz w:val="28"/>
          <w:szCs w:val="28"/>
        </w:rPr>
      </w:pPr>
      <w:r>
        <w:rPr>
          <w:rFonts w:ascii="Times New Roman" w:hAnsi="Times New Roman"/>
          <w:sz w:val="28"/>
          <w:szCs w:val="28"/>
        </w:rPr>
        <w:t xml:space="preserve">The implementation of the project and planning management system must go through a strict system operation process, as shown in </w:t>
      </w:r>
      <w:r w:rsidR="005830A8">
        <w:rPr>
          <w:rFonts w:ascii="Times New Roman" w:hAnsi="Times New Roman"/>
          <w:sz w:val="28"/>
          <w:szCs w:val="28"/>
        </w:rPr>
        <w:t>Pic.</w:t>
      </w:r>
      <w:r>
        <w:rPr>
          <w:rFonts w:ascii="Times New Roman" w:hAnsi="Times New Roman"/>
          <w:sz w:val="28"/>
          <w:szCs w:val="28"/>
        </w:rPr>
        <w:t xml:space="preserve"> </w:t>
      </w:r>
      <w:r>
        <w:rPr>
          <w:rFonts w:ascii="Times New Roman" w:hAnsi="Times New Roman" w:hint="eastAsia"/>
          <w:sz w:val="28"/>
          <w:szCs w:val="28"/>
          <w:lang w:val="en-US"/>
        </w:rPr>
        <w:t>4</w:t>
      </w:r>
      <w:r>
        <w:rPr>
          <w:rFonts w:ascii="Times New Roman" w:hAnsi="Times New Roman"/>
          <w:sz w:val="28"/>
          <w:szCs w:val="28"/>
        </w:rPr>
        <w:t>.</w:t>
      </w:r>
    </w:p>
    <w:p w14:paraId="305BA3EE" w14:textId="77777777" w:rsidR="007353B9" w:rsidRDefault="007353B9">
      <w:pPr>
        <w:pStyle w:val="a7"/>
        <w:widowControl/>
        <w:snapToGrid w:val="0"/>
        <w:spacing w:beforeAutospacing="0" w:afterAutospacing="0" w:line="360" w:lineRule="auto"/>
        <w:jc w:val="both"/>
        <w:rPr>
          <w:rFonts w:ascii="Times New Roman" w:hAnsi="Times New Roman"/>
          <w:sz w:val="28"/>
          <w:szCs w:val="28"/>
        </w:rPr>
      </w:pPr>
    </w:p>
    <w:p w14:paraId="46ACBAED" w14:textId="77777777" w:rsidR="007353B9" w:rsidRDefault="006F35DE">
      <w:pPr>
        <w:pStyle w:val="a7"/>
        <w:widowControl/>
        <w:snapToGrid w:val="0"/>
        <w:spacing w:beforeAutospacing="0" w:afterAutospacing="0" w:line="360" w:lineRule="auto"/>
        <w:jc w:val="center"/>
        <w:rPr>
          <w:rFonts w:ascii="Times New Roman" w:hAnsi="Times New Roman"/>
          <w:b/>
          <w:bCs/>
          <w:sz w:val="28"/>
          <w:szCs w:val="28"/>
        </w:rPr>
      </w:pPr>
      <w:r>
        <w:rPr>
          <w:rFonts w:ascii="Times New Roman" w:hAnsi="Times New Roman"/>
          <w:noProof/>
          <w:sz w:val="28"/>
          <w:szCs w:val="28"/>
          <w:lang w:val="uk-UA" w:eastAsia="uk-UA"/>
        </w:rPr>
        <w:drawing>
          <wp:anchor distT="0" distB="0" distL="114300" distR="114300" simplePos="0" relativeHeight="251659264" behindDoc="0" locked="0" layoutInCell="1" allowOverlap="1" wp14:anchorId="06CB6D92" wp14:editId="45373096">
            <wp:simplePos x="0" y="0"/>
            <wp:positionH relativeFrom="column">
              <wp:posOffset>116840</wp:posOffset>
            </wp:positionH>
            <wp:positionV relativeFrom="paragraph">
              <wp:posOffset>64770</wp:posOffset>
            </wp:positionV>
            <wp:extent cx="5510530" cy="2021840"/>
            <wp:effectExtent l="0" t="0" r="6350" b="5080"/>
            <wp:wrapTopAndBottom/>
            <wp:docPr id="4" name="图片 4" descr="154670ca1dc862bf1ec5ca81c3e5c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54670ca1dc862bf1ec5ca81c3e5cc1"/>
                    <pic:cNvPicPr>
                      <a:picLocks noChangeAspect="1"/>
                    </pic:cNvPicPr>
                  </pic:nvPicPr>
                  <pic:blipFill>
                    <a:blip r:embed="rId14"/>
                    <a:stretch>
                      <a:fillRect/>
                    </a:stretch>
                  </pic:blipFill>
                  <pic:spPr>
                    <a:xfrm>
                      <a:off x="0" y="0"/>
                      <a:ext cx="5510530" cy="2021840"/>
                    </a:xfrm>
                    <a:prstGeom prst="rect">
                      <a:avLst/>
                    </a:prstGeom>
                  </pic:spPr>
                </pic:pic>
              </a:graphicData>
            </a:graphic>
          </wp:anchor>
        </w:drawing>
      </w:r>
      <w:r w:rsidR="005830A8">
        <w:rPr>
          <w:rFonts w:ascii="Times New Roman" w:hAnsi="Times New Roman"/>
          <w:b/>
          <w:bCs/>
          <w:sz w:val="28"/>
          <w:szCs w:val="28"/>
        </w:rPr>
        <w:t>Pic.</w:t>
      </w:r>
      <w:r>
        <w:rPr>
          <w:rFonts w:ascii="Times New Roman" w:hAnsi="Times New Roman"/>
          <w:b/>
          <w:bCs/>
          <w:sz w:val="28"/>
          <w:szCs w:val="28"/>
        </w:rPr>
        <w:t xml:space="preserve"> </w:t>
      </w:r>
      <w:r>
        <w:rPr>
          <w:rFonts w:ascii="Times New Roman" w:hAnsi="Times New Roman" w:hint="eastAsia"/>
          <w:b/>
          <w:bCs/>
          <w:sz w:val="28"/>
          <w:szCs w:val="28"/>
          <w:lang w:val="en-US"/>
        </w:rPr>
        <w:t xml:space="preserve">4. </w:t>
      </w:r>
      <w:r>
        <w:rPr>
          <w:rFonts w:ascii="Times New Roman" w:hAnsi="Times New Roman"/>
          <w:b/>
          <w:bCs/>
          <w:sz w:val="28"/>
          <w:szCs w:val="28"/>
        </w:rPr>
        <w:t>System</w:t>
      </w:r>
      <w:r>
        <w:rPr>
          <w:rFonts w:ascii="Times New Roman" w:hAnsi="Times New Roman" w:hint="eastAsia"/>
          <w:b/>
          <w:bCs/>
          <w:sz w:val="28"/>
          <w:szCs w:val="28"/>
          <w:lang w:val="en-US"/>
        </w:rPr>
        <w:t xml:space="preserve"> O</w:t>
      </w:r>
      <w:r>
        <w:rPr>
          <w:rFonts w:ascii="Times New Roman" w:hAnsi="Times New Roman"/>
          <w:b/>
          <w:bCs/>
          <w:sz w:val="28"/>
          <w:szCs w:val="28"/>
        </w:rPr>
        <w:t>peration Flow</w:t>
      </w:r>
    </w:p>
    <w:p w14:paraId="6B8BEB4A" w14:textId="77777777" w:rsidR="007353B9" w:rsidRDefault="007353B9">
      <w:pPr>
        <w:pStyle w:val="a7"/>
        <w:widowControl/>
        <w:snapToGrid w:val="0"/>
        <w:spacing w:beforeAutospacing="0" w:afterAutospacing="0" w:line="360" w:lineRule="auto"/>
        <w:jc w:val="center"/>
        <w:rPr>
          <w:rFonts w:ascii="Times New Roman" w:hAnsi="Times New Roman"/>
          <w:b/>
          <w:bCs/>
          <w:sz w:val="28"/>
          <w:szCs w:val="28"/>
        </w:rPr>
      </w:pPr>
    </w:p>
    <w:p w14:paraId="71CE63E0"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hAnsi="Times New Roman" w:cs="Times New Roman" w:hint="eastAsia"/>
          <w:sz w:val="28"/>
          <w:szCs w:val="28"/>
          <w:lang w:val="en-US"/>
        </w:rPr>
        <w:t>4</w:t>
      </w:r>
      <w:r>
        <w:rPr>
          <w:rFonts w:ascii="Times New Roman" w:hAnsi="Times New Roman" w:cs="Times New Roman"/>
          <w:sz w:val="28"/>
          <w:szCs w:val="28"/>
        </w:rPr>
        <w:t xml:space="preserve"> describes the operation process of the project and planning management system, from project identification, feasibility study to implementation management, performance evaluation and experience summary. The project identification stage is the starting point of the system operation process. Through the preliminary identification of potential projects, the necessity and feasibility of the project are ensured. The subsequent feasibility study provides a scientific basis for project decision-making through detailed data analysis and risk assessment. In the decision review stage, the system further screens the project through the approval or rejection mechanism to ensure the rationality of the project and the effective use of resources. If the project fails the review, it will enter the project reserve pool and be re-evaluated when conditions are ripe.</w:t>
      </w:r>
    </w:p>
    <w:p w14:paraId="15DA7B18"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Once the project is approved, it will enter the implementation phase. During the implementation management process, the system uses strict process management and control mechanisms to ensure that the project proceeds as planned. The specific implementation steps include project approval, bidding </w:t>
      </w:r>
      <w:r>
        <w:rPr>
          <w:rFonts w:ascii="Times New Roman" w:hAnsi="Times New Roman" w:cs="Times New Roman"/>
          <w:sz w:val="28"/>
          <w:szCs w:val="28"/>
        </w:rPr>
        <w:lastRenderedPageBreak/>
        <w:t>management, contract management, and progress and quality control. Each link is carefully managed to minimize the uncertainty and potential risks in the project implementation process. After the implementation process is completed, the system will conduct a comprehensive performance evaluation. By analyzing the performance of all aspects of the project, the advantages and disadvantages of the project execution are identified, and the experience is included in the system database as a summary for reference and improvement in subsequent projects.</w:t>
      </w:r>
    </w:p>
    <w:p w14:paraId="79B0FECA"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Through the construction and scientific implementation of the project and planning management system, the project benefits have been significantly improved. Systematic project management makes investment decisions more scientific and resource allocation more optimized. At the same time, the standardization of project implementation and the effectiveness of cost control have also been greatly improved. The risk management module in the system effectively reduces the uncertainty in the project implementation process and improves the overall operational efficiency. Through the multi-dimensional evaluation of the system implementation effect, it can be found that the introduction of the system has promoted the increase of new infrastructure investment, and also promoted the efficiency improvement of traditional infrastructure projects and the balance of regional development.</w:t>
      </w:r>
    </w:p>
    <w:p w14:paraId="162B78A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For example, according to the performance evaluation of new infrastructure projects in 2023, the scientific management of the system has significantly improved the accuracy of investment decisions, the proportion of new infrastructure investment has steadily increased, and the return on investment has also been effectively improved. In addition, driven by the system management, the overall efficiency of traditional infrastructure projects has been significantly improved through optimizing resource allocation and strengthening cost control, and the development between regions has become more balanced and coordinated.</w:t>
      </w:r>
    </w:p>
    <w:p w14:paraId="1CBF8C09"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future, with the advancement of technology, the project and planning management system will further develop in the direction of intelligence, </w:t>
      </w:r>
      <w:r>
        <w:rPr>
          <w:rFonts w:ascii="Times New Roman" w:hAnsi="Times New Roman" w:cs="Times New Roman"/>
          <w:sz w:val="28"/>
          <w:szCs w:val="28"/>
        </w:rPr>
        <w:lastRenderedPageBreak/>
        <w:t>collaboration and ecology. In terms of intelligence, the system will use big data technology to collect and analyze project data, apply artificial intelligence algorithms to optimize decision-making models, and use blockchain technology to ensure data security, so as to achieve a comprehensive upgrade of decision support, risk warning and automated operation monitoring, thereby significantly improving the overall operation efficiency of the system. At the same time, the system will enhance the coordination level between departments, regions and industrial chains by strengthening the synergy effects inside and outside the system, promoting a governance ecology with multi-party participation and benign interaction, and maximizing the overall benefits of the project.</w:t>
      </w:r>
    </w:p>
    <w:p w14:paraId="7B6BFD0C"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summary, the construction and implementation of the project and planning management system is an important measure to enhance the anti-crisis management capabilities of the macro-economy. It is both a practical test of the theoretical research in Chapter 1 and a systematic response to the empirical analysis in Chapter 2. Through scientific construction and continuous optimization, the system will provide strong support for improving project management and enhancing the resilience of economic development.</w:t>
      </w:r>
    </w:p>
    <w:p w14:paraId="78D7B602" w14:textId="77777777" w:rsidR="007353B9" w:rsidRDefault="007353B9">
      <w:pPr>
        <w:snapToGrid w:val="0"/>
        <w:spacing w:line="360" w:lineRule="auto"/>
        <w:ind w:firstLineChars="200" w:firstLine="560"/>
        <w:rPr>
          <w:rFonts w:ascii="Times New Roman" w:hAnsi="Times New Roman" w:cs="Times New Roman"/>
          <w:sz w:val="28"/>
          <w:szCs w:val="28"/>
        </w:rPr>
      </w:pPr>
    </w:p>
    <w:p w14:paraId="066E664A" w14:textId="77777777" w:rsidR="007353B9" w:rsidRDefault="006F35DE">
      <w:pPr>
        <w:snapToGrid w:val="0"/>
        <w:spacing w:line="360" w:lineRule="auto"/>
        <w:outlineLvl w:val="1"/>
        <w:rPr>
          <w:rFonts w:ascii="Times New Roman" w:hAnsi="Times New Roman" w:cs="Times New Roman"/>
          <w:b/>
          <w:bCs/>
          <w:sz w:val="28"/>
          <w:szCs w:val="28"/>
        </w:rPr>
      </w:pPr>
      <w:bookmarkStart w:id="36" w:name="_Toc29148"/>
      <w:r>
        <w:rPr>
          <w:rFonts w:ascii="Times New Roman" w:hAnsi="Times New Roman" w:cs="Times New Roman"/>
          <w:b/>
          <w:bCs/>
          <w:sz w:val="28"/>
          <w:szCs w:val="28"/>
        </w:rPr>
        <w:t>3.3. Using Primavera Oracle software as a tool for monitoring the relationship between demand dynamics and infrastructure profitability</w:t>
      </w:r>
      <w:bookmarkEnd w:id="36"/>
    </w:p>
    <w:p w14:paraId="5456C63A" w14:textId="77777777" w:rsidR="007353B9" w:rsidRDefault="007353B9">
      <w:pPr>
        <w:snapToGrid w:val="0"/>
        <w:spacing w:line="360" w:lineRule="auto"/>
        <w:ind w:firstLineChars="200" w:firstLine="560"/>
        <w:rPr>
          <w:rFonts w:ascii="Times New Roman" w:hAnsi="Times New Roman" w:cs="Times New Roman"/>
          <w:sz w:val="28"/>
          <w:szCs w:val="28"/>
        </w:rPr>
      </w:pPr>
    </w:p>
    <w:p w14:paraId="1FFF7265"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Based on the research in the previous two chapters, we found that demand dynamics and infrastructure profitability have significant fluctuation characteristics. In order to better grasp these changing patterns and improve monitoring and decision-making efficiency, Primavera Oracle software is used as the core tool for systematic monitoring. From the data, during the period of 2019-2023, the growth rate of total retail sales of consumer goods fluctuated from 8.0% to 5.1%, and the return on infrastructure investment dropped from 4.5% to 3.6%. Professional software tools are needed for accurate tracking and analysis.</w:t>
      </w:r>
    </w:p>
    <w:p w14:paraId="25D43F9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As the world's leading project management tool, Primavera Oracle software provides an ideal technical platform for us to monitor demand dynamics and infrastructure profitability with its powerful data processing and analysis capabilities. Based on previous research, we designed a complete monitoring system, including data collection, processing and analysis, early warning feedback and other links. The system design pays special attention to real-time and accuracy to ensure that market change signals can be captured in a timely manner and provide reliable support for decision-making.</w:t>
      </w:r>
    </w:p>
    <w:p w14:paraId="5A978454"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data monitoring model design, we focus on three core dimensions: First, dynamic demand monitoring, including real-time tracking of macro indicators such as total retail sales of consumer goods and fixed asset investment. The system automatically issues warning signals when indicator fluctuations exceed the normal range by setting warning thresholds. Second, profitability monitoring, focusing on changes in indicators such as infrastructure investment return rate, operating income growth rate, and profit margin. Potential risks can be discovered in a timely manner through comparison with historical data and trend analysis. Third, correlation analysis, studying the impact of demand changes on profitability, provides a basis for optimizing investment decisions.</w:t>
      </w:r>
    </w:p>
    <w:p w14:paraId="01BC5E84"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the specific configuration of the software, we adopt a modular design approach. The core modules include: data acquisition module, which is responsible for automatically obtaining relevant indicator data from various data sources; analysis and processing module, which uses statistical analysis methods to clean and process data; early warning module, which identifies and warns risks based on preset rules; decision support module, which provides managers with multi-dimensional analysis reports and decision-making suggestions. Each module is seamlessly connected through a standard interface to ensure smooth data flow.</w:t>
      </w:r>
    </w:p>
    <w:p w14:paraId="328292D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actual application, the system operation follows the closed-loop process of "collection-analysis-warning-decision-making". The data collection stage adopts a multi-source collection method, which includes market research data, public </w:t>
      </w:r>
      <w:r>
        <w:rPr>
          <w:rFonts w:ascii="Times New Roman" w:hAnsi="Times New Roman" w:cs="Times New Roman"/>
          <w:sz w:val="28"/>
          <w:szCs w:val="28"/>
        </w:rPr>
        <w:lastRenderedPageBreak/>
        <w:t>opinion data and other multi-dimensional information in addition to traditional statistical data. The data processing stage uses artificial intelligence algorithms to clean and analyze data to improve data quality. The early warning stage adopts a multi-level early warning mechanism to issue early warning signals of different levels according to the degree of risk. The decision support stage uses a visual interface to intuitively display the analysis results to assist decision makers in making judgments.</w:t>
      </w:r>
    </w:p>
    <w:p w14:paraId="564743DA"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Based on the data analysis in Chapter 2, we pay special attention to the optimization of investment benefits. The system has set up an investment return analysis module to identify inefficient investment areas by comparing the return rates of different types of infrastructure projects. For example, if the data shows that the return rate of some traditional infrastructure projects continues to decline, the system will automatically generate an analysis report and recommend adjusting the investment structure to tilt resources toward new infrastructure areas with better benefits.</w:t>
      </w:r>
    </w:p>
    <w:p w14:paraId="0702F09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risk control, the system has established a multi-level risk warning mechanism. The first level is basic indicator monitoring, which issues a warning when a single indicator fluctuates abnormally; the second level is correlation analysis, which monitors the mutual influence between multiple indicators; the third level is comprehensive research and judgment, which conducts an overall risk assessment in combination with changes in the external environment. This three-dimensional risk prevention and control system can effectively prevent systemic risks.</w:t>
      </w:r>
    </w:p>
    <w:p w14:paraId="16D3B382"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order to improve the practicality of the system, we pay special attention to the following aspects when configuring the software: first, the friendliness of the interface, using an intuitive dashboard design so that users can quickly obtain key information; second, the convenience of operation, reducing manual operations through process automation; third, the depth of analysis, providing multi-dimensional data drilling functions to meet analysis needs at different levels; </w:t>
      </w:r>
      <w:r>
        <w:rPr>
          <w:rFonts w:ascii="Times New Roman" w:hAnsi="Times New Roman" w:cs="Times New Roman"/>
          <w:sz w:val="28"/>
          <w:szCs w:val="28"/>
        </w:rPr>
        <w:lastRenderedPageBreak/>
        <w:t>and finally, the practicality of the report, generating customized analysis reports based on the needs of different users.</w:t>
      </w:r>
    </w:p>
    <w:p w14:paraId="529A4AFB"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main challenges that may be encountered during the implementation of the system include: data quality issues, data from different sources may have inconsistent calibers; system integration issues, which require seamless integration with existing management systems; user adaptation issues, as some users may need time to adapt to the new way of working. In response to these issues, we have taken corresponding solutions: establishing a data standardization process to ensure data consistency; adopting a step-by-step implementation strategy to gradually achieve system integration; and strengthening user training to improve system efficiency.</w:t>
      </w:r>
    </w:p>
    <w:p w14:paraId="043B6757"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From the perspective of long-term benefits, the application of Primavera Oracle software will bring about significant management improvements: first, it will improve decision-making efficiency. Through real-time data analysis, managers can respond more quickly; second, it will reduce operating costs. The increase in automation will reduce labor costs; third, it will enhance risk control. The system's early warning mechanism can help detect problems early; and finally, it will optimize resource allocation. Decisions based on data analysis are more scientific and reasonable.</w:t>
      </w:r>
    </w:p>
    <w:p w14:paraId="75F81426"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Looking ahead, with the continuous advancement of technology, the functions of the system will be further improved. In particular, breakthroughs are expected in the following aspects: first, the improvement of prediction capabilities, improving prediction accuracy through machine learning algorithms; second, the expansion of analysis dimensions, introducing more external data sources, enriching analysis perspectives; third, the improvement of intelligence levels, reducing manual intervention, and improving the degree of automation; and finally, the enhancement of decision support capabilities, providing managers with more accurate decision-making suggestions.</w:t>
      </w:r>
    </w:p>
    <w:p w14:paraId="4929E1B4" w14:textId="77777777" w:rsidR="007353B9" w:rsidRDefault="006F35D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general, using Primavera Oracle software to monitor demand dynamics and </w:t>
      </w:r>
      <w:r>
        <w:rPr>
          <w:rFonts w:ascii="Times New Roman" w:hAnsi="Times New Roman" w:cs="Times New Roman"/>
          <w:sz w:val="28"/>
          <w:szCs w:val="28"/>
        </w:rPr>
        <w:lastRenderedPageBreak/>
        <w:t>infrastructure profitability is an important means to enhance macroeconomic anti-crisis management capabilities. Through scientific system design and effective implementation strategies, we can establish a more complete monitoring system to provide strong support for the stable development of the economy. In the future, with the advancement of technology and the accumulation of experience, the system's functions will continue to improve, and its efficiency will continue to increase, making greater contributions to the high-quality development of the economy.</w:t>
      </w:r>
    </w:p>
    <w:p w14:paraId="66C47F72" w14:textId="77777777" w:rsidR="007353B9" w:rsidRDefault="006F35DE">
      <w:pPr>
        <w:rPr>
          <w:rFonts w:ascii="Times New Roman" w:hAnsi="Times New Roman" w:cs="Times New Roman"/>
          <w:sz w:val="28"/>
          <w:szCs w:val="28"/>
        </w:rPr>
      </w:pPr>
      <w:r>
        <w:rPr>
          <w:rFonts w:ascii="Times New Roman" w:hAnsi="Times New Roman" w:cs="Times New Roman"/>
          <w:sz w:val="28"/>
          <w:szCs w:val="28"/>
        </w:rPr>
        <w:br w:type="page"/>
      </w:r>
    </w:p>
    <w:p w14:paraId="1B5A1614" w14:textId="77777777" w:rsidR="007353B9" w:rsidRDefault="006F35DE">
      <w:pPr>
        <w:snapToGrid w:val="0"/>
        <w:jc w:val="center"/>
        <w:outlineLvl w:val="0"/>
        <w:rPr>
          <w:rFonts w:ascii="Times New Roman" w:eastAsia="Times New Roman" w:hAnsi="Times New Roman"/>
          <w:b/>
          <w:bCs/>
          <w:sz w:val="32"/>
          <w:szCs w:val="32"/>
          <w:lang w:val="en-US" w:eastAsia="uk-UA"/>
        </w:rPr>
      </w:pPr>
      <w:bookmarkStart w:id="37" w:name="_Toc17281"/>
      <w:r>
        <w:rPr>
          <w:rFonts w:ascii="Times New Roman" w:eastAsia="Times New Roman" w:hAnsi="Times New Roman"/>
          <w:b/>
          <w:bCs/>
          <w:sz w:val="32"/>
          <w:szCs w:val="32"/>
          <w:lang w:val="en-US" w:eastAsia="uk-UA"/>
        </w:rPr>
        <w:lastRenderedPageBreak/>
        <w:t>CONCLUSIONS</w:t>
      </w:r>
      <w:bookmarkEnd w:id="37"/>
    </w:p>
    <w:p w14:paraId="6A0DB2B0" w14:textId="77777777" w:rsidR="007353B9" w:rsidRDefault="007353B9">
      <w:pPr>
        <w:snapToGrid w:val="0"/>
        <w:jc w:val="center"/>
        <w:outlineLvl w:val="0"/>
        <w:rPr>
          <w:rFonts w:ascii="Times New Roman" w:eastAsia="Times New Roman" w:hAnsi="Times New Roman"/>
          <w:b/>
          <w:bCs/>
          <w:sz w:val="32"/>
          <w:szCs w:val="32"/>
          <w:lang w:val="en-US" w:eastAsia="uk-UA"/>
        </w:rPr>
      </w:pPr>
    </w:p>
    <w:p w14:paraId="2A8CF756"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In this paper, we have explored in depth how to enhance anti-crisis management capabilities at the macroeconomic level by scientifically constructing a project and planning management system, especially in the context of declining returns on infrastructure investment and dynamic fluctuations in social demand. The project and planning management system provides important theoretical support and practical application for anti-crisis management at the macro level through a systematic management approach combined with advanced tools and methods. This conclusion will summarize the overall design of the system, implementation effects, and future prospects to fully illustrate the research results and significance of this paper.</w:t>
      </w:r>
    </w:p>
    <w:p w14:paraId="7CF95935"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First, the construction of the project and planning management system fully integrates the theoretical achievements of multiple disciplines, including complex adaptive system theory, integrated management ideas in project management, risk management theory, and information system theory. The application of these theories gives the system a high theoretical depth and practical value, laying a solid foundation for the design and implementation of the entire system. Through the integration of multiple disciplines, the construction of the system embodies integrity, coordination, and dynamic adaptability, ensuring comprehensive management of the project life cycle. Especially when there are significant fluctuations in demand dynamics and infrastructure profitability, the system provides a scientific management framework to meet these challenges.</w:t>
      </w:r>
    </w:p>
    <w:p w14:paraId="04E04496"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 xml:space="preserve">The strategic planning subsystem is one of the cores of the project and planning management system. It is mainly responsible for macro-level strategic formulation and planning layout to ensure the rationality and efficiency of resource allocation. Based on the changes in macroeconomic indicators such as the total retail sales of consumer goods, the strategic planning subsystem effectively manages the screening and reserve of projects, forming a "demand-oriented-benefit-first" project screening mechanism. The implementation of this mechanism not only improves the </w:t>
      </w:r>
      <w:r>
        <w:rPr>
          <w:rFonts w:ascii="Times New Roman" w:eastAsia="Times New Roman" w:hAnsi="Times New Roman" w:hint="eastAsia"/>
          <w:sz w:val="28"/>
          <w:szCs w:val="28"/>
          <w:lang w:val="en-US" w:eastAsia="uk-UA"/>
        </w:rPr>
        <w:lastRenderedPageBreak/>
        <w:t>scientificity and economy of the project, but also ensures the priority development of new infrastructure projects, thereby promoting the continuous optimization of the macro-economy.</w:t>
      </w:r>
    </w:p>
    <w:p w14:paraId="2AB3EB8F"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The core of the investment management subsystem lies in the scientific nature of investment decisions and the efficiency of fund use. Through the analysis of the investment management subsystem, this paper emphasizes the importance of return on investment in infrastructure projects. The system significantly improves the overall benefits of infrastructure investment through diversified financing channels, optimized capital allocation structure and strengthened capital supervision. In particular, in response to the decline in the return on infrastructure investment from 2019 to 2023, the investment management subsystem effectively identified and solved the problem of inefficient investment, and significantly improved the return on investment of new infrastructure projects through resource reallocation.</w:t>
      </w:r>
    </w:p>
    <w:p w14:paraId="5360A836"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The implementation management subsystem connects strategic planning and specific execution, and is one of the key links in project management. This article describes in detail the standardized project implementation process of the implementation management subsystem, including modules such as schedule control, quality management, cost control, and cross-departmental coordination. Through the implementation management subsystem, the system can effectively reduce resource waste and schedule delays caused by poor management, while ensuring the smooth progress and standardized management of the project. Especially in terms of cost control and quality assurance of infrastructure projects, the role of the implementation management subsystem is particularly critical. It improves the overall management level of the project through cost monitoring and quality inspection throughout the process.</w:t>
      </w:r>
    </w:p>
    <w:p w14:paraId="3E220299"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 xml:space="preserve">The risk management subsystem occupies an important position in the discussion of this paper. It ensures the sound implementation of the project through a multi-level risk prevention and control system, including risk identification, risk assessment, risk prevention and emergency response. This paper emphasizes the </w:t>
      </w:r>
      <w:r>
        <w:rPr>
          <w:rFonts w:ascii="Times New Roman" w:eastAsia="Times New Roman" w:hAnsi="Times New Roman" w:hint="eastAsia"/>
          <w:sz w:val="28"/>
          <w:szCs w:val="28"/>
          <w:lang w:val="en-US" w:eastAsia="uk-UA"/>
        </w:rPr>
        <w:lastRenderedPageBreak/>
        <w:t>importance of risk prevention and control mechanisms in a complex economic environment, especially when the asset-liability ratio of infrastructure projects varies significantly. The risk management subsystem can effectively identify these risks and take corresponding measures, thereby reducing the uncertainty in project implementation and enhancing the stability of the system and the project's ability to resist risks.</w:t>
      </w:r>
    </w:p>
    <w:p w14:paraId="39CA7F66"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The performance evaluation subsystem ensures the maximum benefits of the project throughout its life cycle by designing a multi-dimensional evaluation indicator system. The introduction of indicators such as financial benefits, economic benefits, social benefits and environmental benefits enables the system to comprehensively evaluate the actual performance of the project and promote the optimization of subsequent projects through feedback on performance evaluation results. This article points out that the introduction of the performance evaluation subsystem not only improves the transparency and standardization of project management, but also guides the direction of future investment and the adjustment of key areas through comparisons of different types of infrastructure projects.</w:t>
      </w:r>
    </w:p>
    <w:p w14:paraId="28864166"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In the description of the system operation process, this article uses charts to show in detail the whole process from project identification, feasibility study to implementation management, performance evaluation and experience summary. The decision-making review mechanism in this process ensures the feasibility and necessity of each project and optimizes the allocation of resources. At the same time, through the multi-dimensional evaluation of the system implementation effect, it can be seen that the scientific, standardized and systematic project management system has provided significant help in improving project benefits and optimizing resource allocation.</w:t>
      </w:r>
    </w:p>
    <w:p w14:paraId="4187BB9F"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 xml:space="preserve">This article also discusses the intelligent, collaborative and ecological development direction of future project and planning management systems. In terms of intelligence, the system's predictive analysis and decision-making support capabilities will be significantly improved by introducing new-generation </w:t>
      </w:r>
      <w:r>
        <w:rPr>
          <w:rFonts w:ascii="Times New Roman" w:eastAsia="Times New Roman" w:hAnsi="Times New Roman" w:hint="eastAsia"/>
          <w:sz w:val="28"/>
          <w:szCs w:val="28"/>
          <w:lang w:val="en-US" w:eastAsia="uk-UA"/>
        </w:rPr>
        <w:lastRenderedPageBreak/>
        <w:t>information technologies such as big data, artificial intelligence and blockchain. In terms of collaboration, strengthening the synergy inside and outside the system and further maximizing the overall benefits through cross-departmental, regional and industrial chain collaborative development will be achieved. In terms of ecology, the system will promote the formation of a governance ecology with multi-party participation, enhance the openness and adaptability of the system, and thus provide strong support in a more complex economic environment.</w:t>
      </w:r>
    </w:p>
    <w:p w14:paraId="0F35AD3D"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Finally, by evaluating the application effect of the project and planning management system, this paper draws the following conclusions: First, the scientific construction and implementation of the system significantly improves the ability of macroeconomic anti-crisis management, making investment decisions more scientific and resource allocation more optimized. Through refined management processes and advanced management tools, the system effectively improves the efficiency of project implementation, reduces uncertainty in the management process, and enhances the resilience and risk resistance of the economy. Secondly, the introduction of the system has promoted the growth of new infrastructure investment, while also promoting the efficiency improvement of traditional infrastructure projects and the balance of regional development. Through performance evaluation and feedback mechanisms, the system forms a closed-loop management, providing a basis for continuous optimization.</w:t>
      </w:r>
    </w:p>
    <w:p w14:paraId="1943B4E9"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 xml:space="preserve">In future development, with the advancement of technology and the accumulation of management experience, project and planning management systems will continue to provide important support for the high-quality development of the economy. Especially in the context of the increasingly complex and uncertain macroeconomic environment, the intelligent, collaborative and ecological development of project management systems will make greater contributions to enhancing the anti-crisis ability and long-term stable development of the macroeconomy. Through continuous theoretical innovation and practical exploration, the management system and strategies proposed in this paper will be </w:t>
      </w:r>
      <w:r>
        <w:rPr>
          <w:rFonts w:ascii="Times New Roman" w:eastAsia="Times New Roman" w:hAnsi="Times New Roman" w:hint="eastAsia"/>
          <w:sz w:val="28"/>
          <w:szCs w:val="28"/>
          <w:lang w:val="en-US" w:eastAsia="uk-UA"/>
        </w:rPr>
        <w:lastRenderedPageBreak/>
        <w:t xml:space="preserve">more widely used in the future, providing more effective management means for the stable development of the </w:t>
      </w:r>
      <w:r w:rsidR="005830A8">
        <w:rPr>
          <w:rFonts w:ascii="Times New Roman" w:eastAsia="Times New Roman" w:hAnsi="Times New Roman"/>
          <w:sz w:val="28"/>
          <w:szCs w:val="28"/>
          <w:lang w:val="en-US" w:eastAsia="uk-UA"/>
        </w:rPr>
        <w:t>macro economy</w:t>
      </w:r>
      <w:r>
        <w:rPr>
          <w:rFonts w:ascii="Times New Roman" w:eastAsia="Times New Roman" w:hAnsi="Times New Roman" w:hint="eastAsia"/>
          <w:sz w:val="28"/>
          <w:szCs w:val="28"/>
          <w:lang w:val="en-US" w:eastAsia="uk-UA"/>
        </w:rPr>
        <w:t xml:space="preserve"> and society.</w:t>
      </w:r>
    </w:p>
    <w:p w14:paraId="55800784" w14:textId="77777777" w:rsidR="007353B9" w:rsidRDefault="006F35DE">
      <w:pPr>
        <w:snapToGrid w:val="0"/>
        <w:spacing w:line="360" w:lineRule="auto"/>
        <w:ind w:firstLineChars="200" w:firstLine="560"/>
        <w:rPr>
          <w:rFonts w:ascii="Times New Roman" w:eastAsia="Times New Roman" w:hAnsi="Times New Roman"/>
          <w:sz w:val="28"/>
          <w:szCs w:val="28"/>
          <w:lang w:val="en-US" w:eastAsia="uk-UA"/>
        </w:rPr>
      </w:pPr>
      <w:r>
        <w:rPr>
          <w:rFonts w:ascii="Times New Roman" w:eastAsia="Times New Roman" w:hAnsi="Times New Roman" w:hint="eastAsia"/>
          <w:sz w:val="28"/>
          <w:szCs w:val="28"/>
          <w:lang w:val="en-US" w:eastAsia="uk-UA"/>
        </w:rPr>
        <w:t>In short, the construction and implementation of the project and planning management system is an important tool for dealing with macroeconomic complexity and uncertainty. This paper discusses in detail the various components of the system and their application effects in actual management through the combination of theory and practice, and looks forward to the future development direction of the system. Through scientific and systematic planning and management, we have reason to believe that the project and planning management system will play an irreplaceable role in promoting high-quality economic development and enhancing economic resilience and sustainability.</w:t>
      </w:r>
    </w:p>
    <w:p w14:paraId="2BAD27A0" w14:textId="77777777" w:rsidR="007353B9" w:rsidRDefault="007353B9">
      <w:pPr>
        <w:snapToGrid w:val="0"/>
        <w:spacing w:line="360" w:lineRule="auto"/>
        <w:jc w:val="center"/>
        <w:outlineLvl w:val="0"/>
        <w:rPr>
          <w:rFonts w:ascii="Times New Roman" w:eastAsia="Times New Roman" w:hAnsi="Times New Roman"/>
          <w:b/>
          <w:bCs/>
          <w:sz w:val="28"/>
          <w:szCs w:val="28"/>
          <w:lang w:val="en-US" w:eastAsia="uk-UA"/>
        </w:rPr>
      </w:pPr>
    </w:p>
    <w:p w14:paraId="2CD5E258" w14:textId="77777777" w:rsidR="007353B9" w:rsidRDefault="006F35DE">
      <w:pPr>
        <w:rPr>
          <w:rFonts w:ascii="Times New Roman" w:eastAsia="Times New Roman" w:hAnsi="Times New Roman"/>
          <w:b/>
          <w:bCs/>
          <w:sz w:val="32"/>
          <w:szCs w:val="32"/>
          <w:lang w:val="en-US" w:eastAsia="uk-UA"/>
        </w:rPr>
      </w:pPr>
      <w:r>
        <w:rPr>
          <w:rFonts w:ascii="Times New Roman" w:eastAsia="Times New Roman" w:hAnsi="Times New Roman"/>
          <w:b/>
          <w:bCs/>
          <w:sz w:val="32"/>
          <w:szCs w:val="32"/>
          <w:lang w:val="en-US" w:eastAsia="uk-UA"/>
        </w:rPr>
        <w:br w:type="page"/>
      </w:r>
    </w:p>
    <w:p w14:paraId="24590CCF" w14:textId="77777777" w:rsidR="007353B9" w:rsidRDefault="006F35DE">
      <w:pPr>
        <w:snapToGrid w:val="0"/>
        <w:jc w:val="center"/>
        <w:outlineLvl w:val="0"/>
        <w:rPr>
          <w:rFonts w:ascii="Times New Roman" w:eastAsia="Times New Roman" w:hAnsi="Times New Roman"/>
          <w:b/>
          <w:bCs/>
          <w:sz w:val="32"/>
          <w:szCs w:val="32"/>
          <w:lang w:val="en-US" w:eastAsia="uk-UA"/>
        </w:rPr>
      </w:pPr>
      <w:bookmarkStart w:id="38" w:name="_Toc19415"/>
      <w:r>
        <w:rPr>
          <w:rFonts w:ascii="Times New Roman" w:eastAsia="Times New Roman" w:hAnsi="Times New Roman"/>
          <w:b/>
          <w:bCs/>
          <w:sz w:val="32"/>
          <w:szCs w:val="32"/>
          <w:lang w:val="en-US" w:eastAsia="uk-UA"/>
        </w:rPr>
        <w:lastRenderedPageBreak/>
        <w:t>REFERENCES</w:t>
      </w:r>
      <w:bookmarkEnd w:id="38"/>
    </w:p>
    <w:p w14:paraId="074D1594" w14:textId="77777777" w:rsidR="007353B9" w:rsidRPr="008604BD" w:rsidRDefault="007353B9">
      <w:pPr>
        <w:snapToGrid w:val="0"/>
        <w:jc w:val="center"/>
        <w:outlineLvl w:val="0"/>
        <w:rPr>
          <w:rFonts w:ascii="Times New Roman" w:eastAsia="Times New Roman" w:hAnsi="Times New Roman"/>
          <w:b/>
          <w:bCs/>
          <w:sz w:val="32"/>
          <w:szCs w:val="32"/>
          <w:lang w:val="en-US" w:eastAsia="uk-UA"/>
        </w:rPr>
      </w:pPr>
    </w:p>
    <w:p w14:paraId="334180F8"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 Blanchard, O. (2017). Macroeconomics (7th ed.). Pearson.</w:t>
      </w:r>
    </w:p>
    <w:p w14:paraId="72FD7864"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 Mankiw, NG (2020). Principles of Economics (9th ed.). Cengage Learning.</w:t>
      </w:r>
    </w:p>
    <w:p w14:paraId="01008D6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 Mishkin, FS (2019). The Economics of Money, Banking, and Financial Markets (12th ed.). Pearson.</w:t>
      </w:r>
    </w:p>
    <w:p w14:paraId="0D3DE35E"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4. Dornbusch, R., Fischer, S., &amp; Startz, R. (2018). Macroeconomics (13th ed.). McGraw-Hill Education.</w:t>
      </w:r>
    </w:p>
    <w:p w14:paraId="1A48480C"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5. Krugman, P., &amp; Wells, R. (2018). Macroeconomics (5th ed.). Worth Publishers.</w:t>
      </w:r>
    </w:p>
    <w:p w14:paraId="6200AA7E"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6. Samuelson, PA, &amp; Nordhaus, WD (2019). Economics (20th ed.). McGraw-Hill Education.</w:t>
      </w:r>
    </w:p>
    <w:p w14:paraId="4E9999D3"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7. Stiglitz, JE, &amp; Walsh, CE (2006). Principles of Macroeconomics (4th ed.). WW Norton &amp; Company.</w:t>
      </w:r>
    </w:p>
    <w:p w14:paraId="75AF00FA"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8. Auerbach, AJ, &amp; Kotlikoff, LJ (1987). Dynamic Fiscal Policy. Cambridge University Press.</w:t>
      </w:r>
    </w:p>
    <w:p w14:paraId="55C5620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9. Galbraith, JK (1995). The World Economy Since the Wars: A Personal View. Houghton Mifflin.</w:t>
      </w:r>
    </w:p>
    <w:p w14:paraId="104F1724"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10. Keynes, JM (1936). The General Theory of Employment, Interest, and Money. Macmillan.</w:t>
      </w:r>
    </w:p>
    <w:p w14:paraId="45377D12"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11. Heilbroner, RL, &amp; Milberg, W. (2012). The Making of Economic Society (13th ed.). Pearson.</w:t>
      </w:r>
    </w:p>
    <w:p w14:paraId="7CC5EFD4"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12. Friedman, M., &amp; Schwartz, AJ (1963). A Monetary History of the United States, 1867-1960. Princeton University Press.</w:t>
      </w:r>
    </w:p>
    <w:p w14:paraId="508EA57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13. Piketty, T. (2014). Capital in the Twenty-First Century. Harvard University Press.</w:t>
      </w:r>
    </w:p>
    <w:p w14:paraId="0B6F3721"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14. Harberger, AC, &amp; Jenkins, GP (Eds.). (2002). Cost-Benefit Analysis. Edward Elgar Publishing.</w:t>
      </w:r>
    </w:p>
    <w:p w14:paraId="44A29F7D"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15. Bernanke, BS (2015). The Courage to Act: A Memoir of a Crisis and Its Aftermath. WW Norton &amp; Company.</w:t>
      </w:r>
    </w:p>
    <w:p w14:paraId="2DCD6896"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lastRenderedPageBreak/>
        <w:t>16. Galbraith, JK (1955). The Great Crash 1929. Houghton Mifflin.</w:t>
      </w:r>
    </w:p>
    <w:p w14:paraId="3C3204B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17. Reinhart, CM, &amp; Rogoff, KS (2009). This Time Is Different: Eight Centuries of Financial Folly. Princeton University Press.</w:t>
      </w:r>
    </w:p>
    <w:p w14:paraId="65EC4349"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18. Eichengreen, B. (1996). Globalizing Capital: A History of the International Monetary System. Princeton University Press.</w:t>
      </w:r>
    </w:p>
    <w:p w14:paraId="33DE410E"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19. Shiller, RJ (2005). Irrational Exuberance (2nd ed.). Princeton University Press.</w:t>
      </w:r>
    </w:p>
    <w:p w14:paraId="70728163"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20. Acemoglu, D., &amp; Robinson, JA (2012). Why Nations Fail: The Origins of Power, Prosperity, and Poverty. Crown Business.</w:t>
      </w:r>
    </w:p>
    <w:p w14:paraId="73DAA1D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21. Obstfeld, M., &amp; Rogoff, K. (1996). Foundations of International Macroeconomics. MIT Press.</w:t>
      </w:r>
    </w:p>
    <w:p w14:paraId="2580482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22. Krugman, P. (1991). Geography and Trade. MIT Press.</w:t>
      </w:r>
    </w:p>
    <w:p w14:paraId="455D6BF8"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23. Levine, R. (2005). Finance and Growth: Theory and Evidence. In P. Aghion &amp; SN Durlauf (Eds.), Handbook of Economic Growth (Vol. 1, pp. 865-934). Elsevier.</w:t>
      </w:r>
    </w:p>
    <w:p w14:paraId="2C03D479"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24. North, DC (1990). Institutions, Institutional Change, and Economic Performance. Cambridge University Press.</w:t>
      </w:r>
    </w:p>
    <w:p w14:paraId="29FAF575"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25. Romer, D. (2012). Advanced Macroeconomics (4th ed.). McGraw-Hill Education.</w:t>
      </w:r>
    </w:p>
    <w:p w14:paraId="1BA758A1"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26. Hyman, DN (2014). Public Finance: A Contemporary Application of Theory to Policy (11th ed.). Cengage Learning.</w:t>
      </w:r>
    </w:p>
    <w:p w14:paraId="7DFFEB21"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27. Barro, RJ (1997). Macroeconomics (5th ed.). MIT Press.</w:t>
      </w:r>
    </w:p>
    <w:p w14:paraId="5DEC5E9A"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28. Friedman, M. (2002). Capitalism and Freedom (40th Anniversary ed.). University of Chicago Press.</w:t>
      </w:r>
    </w:p>
    <w:p w14:paraId="4FF61F79"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29. Lucas, RE (1981). Studies in Business-Cycle Theory. MIT Press.</w:t>
      </w:r>
    </w:p>
    <w:p w14:paraId="30224385"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30. Sargent, TJ (1987). Dynamic Macroeconomic Theory. Harvard University Press.</w:t>
      </w:r>
    </w:p>
    <w:p w14:paraId="2D8501A3"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31. World Bank. (2020). Global Economic Prospects, June 2020. https://www.worldbank.org/en/publication/global-economic-prospects</w:t>
      </w:r>
    </w:p>
    <w:p w14:paraId="629C8628"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lastRenderedPageBreak/>
        <w:t>32. International Monetary Fund. (2020). World Economic Outlook, April 2020: The Great Lockdown. https://www.imf.org/en/Publications/WEO/Issues/2020/04/14/weo-april-2020</w:t>
      </w:r>
    </w:p>
    <w:p w14:paraId="29D3925C"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33. United Nations. (2020). World Economic Situation and Prospects 2020. https://www.un.org/development/desa/dpad/wp-content/uploads/sites/45/WESP2020_FullReport.pdf</w:t>
      </w:r>
    </w:p>
    <w:p w14:paraId="34A2A77E"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34. National Bureau of Statistics of China. (2020). Statistical Communiqué of the People's Republic of China on the 2019 National Economic and Social Development. http://www.stats.gov.cn/english/PressRelease/202002/t20200228_1728917. html</w:t>
      </w:r>
    </w:p>
    <w:p w14:paraId="5F005EF8"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35. OECD. (2020). Economic Outlook, Volume 2020 Issue 1: Preliminary version. https://www.oecd.org/economic-outlook/</w:t>
      </w:r>
    </w:p>
    <w:p w14:paraId="2C4833E6"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36. Blinder, AS (2013). After the Music Stopped: The Financial Crisis, the Response, and the Work Ahead. Penguin Press.</w:t>
      </w:r>
    </w:p>
    <w:p w14:paraId="68FBD64B"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37. Zandi, M. (2009). Financial Shock: Global Panic and Government Bailouts--How We Got Here and What Must Be Done to Fix It. FT Press.</w:t>
      </w:r>
    </w:p>
    <w:p w14:paraId="2058EFFD"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38. The Economist. (2020). The World in 2020. https://worldin.economist.com/</w:t>
      </w:r>
    </w:p>
    <w:p w14:paraId="0EFB703D"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39. International Energy Agency. (2019). World Energy Outlook 2019. https://www.iea.org/reports/world-energy-outlook-2019</w:t>
      </w:r>
    </w:p>
    <w:p w14:paraId="5F0D97E5"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40. Federal Reserve. (2020). Monetary Policy Report, June 2020. https://www.federalreserve.gov/monetarypolicy/files/20200612_mprfullreport.pdf</w:t>
      </w:r>
    </w:p>
    <w:p w14:paraId="27890DD3" w14:textId="77777777" w:rsidR="007353B9"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41. Eurostat. (2020). European Economic Statistics, 2020 Edition. https://ec.europa.eu/eurostat/web/products-statistical-books/-/KS-GK-20-001</w:t>
      </w:r>
    </w:p>
    <w:p w14:paraId="4FE42521" w14:textId="77777777" w:rsidR="0007250F" w:rsidRDefault="006F35DE" w:rsidP="009A346C">
      <w:pPr>
        <w:adjustRightInd w:val="0"/>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 xml:space="preserve">42. United Nations Conference on Trade and Development. (2020). Trade and Development Report 2020. </w:t>
      </w:r>
      <w:hyperlink r:id="rId15" w:history="1">
        <w:r>
          <w:rPr>
            <w:rStyle w:val="aa"/>
            <w:rFonts w:ascii="Times New Roman" w:hAnsi="Times New Roman" w:cs="Times New Roman"/>
            <w:sz w:val="28"/>
            <w:szCs w:val="36"/>
            <w:lang w:val="en-US"/>
          </w:rPr>
          <w:t>https://unctad.org/webflyer/trade-and-development-report-2020</w:t>
        </w:r>
      </w:hyperlink>
      <w:r w:rsidR="0007250F">
        <w:rPr>
          <w:rFonts w:ascii="Times New Roman" w:hAnsi="Times New Roman" w:cs="Times New Roman"/>
          <w:sz w:val="28"/>
          <w:szCs w:val="36"/>
          <w:lang w:val="en-US"/>
        </w:rPr>
        <w:t xml:space="preserve"> </w:t>
      </w:r>
    </w:p>
    <w:p w14:paraId="7E7135C8" w14:textId="77777777" w:rsidR="0007250F" w:rsidRPr="0007250F" w:rsidRDefault="0007250F" w:rsidP="009A346C">
      <w:pPr>
        <w:adjustRightInd w:val="0"/>
        <w:snapToGrid w:val="0"/>
        <w:spacing w:line="360" w:lineRule="auto"/>
        <w:ind w:firstLineChars="200" w:firstLine="560"/>
        <w:rPr>
          <w:rFonts w:ascii="Times New Roman" w:hAnsi="Times New Roman"/>
          <w:kern w:val="36"/>
          <w:sz w:val="28"/>
          <w:szCs w:val="28"/>
          <w:lang w:val="en-US" w:eastAsia="uk-UA"/>
        </w:rPr>
      </w:pPr>
      <w:r>
        <w:rPr>
          <w:rFonts w:ascii="Times New Roman" w:hAnsi="Times New Roman" w:cs="Times New Roman"/>
          <w:sz w:val="28"/>
          <w:szCs w:val="36"/>
          <w:lang w:val="en-US"/>
        </w:rPr>
        <w:t xml:space="preserve">43. </w:t>
      </w:r>
      <w:r w:rsidRPr="0007250F">
        <w:rPr>
          <w:rFonts w:ascii="Times New Roman" w:hAnsi="Times New Roman"/>
          <w:kern w:val="36"/>
          <w:sz w:val="28"/>
          <w:szCs w:val="28"/>
          <w:lang w:val="en-US" w:eastAsia="uk-UA"/>
        </w:rPr>
        <w:t xml:space="preserve">A. D. Panov. The crisis of the planetary cycle of Universal history and the possible role of the SETI program in post-crisis development. URL: </w:t>
      </w:r>
      <w:r w:rsidRPr="0007250F">
        <w:rPr>
          <w:rFonts w:ascii="Times New Roman" w:hAnsi="Times New Roman"/>
          <w:sz w:val="28"/>
          <w:szCs w:val="28"/>
          <w:lang w:val="en-US"/>
        </w:rPr>
        <w:lastRenderedPageBreak/>
        <w:t>http</w:t>
      </w:r>
      <w:r w:rsidRPr="0007250F">
        <w:rPr>
          <w:rFonts w:ascii="Times New Roman" w:hAnsi="Times New Roman"/>
          <w:sz w:val="28"/>
          <w:szCs w:val="28"/>
        </w:rPr>
        <w:t>://</w:t>
      </w:r>
      <w:r w:rsidRPr="0007250F">
        <w:rPr>
          <w:rFonts w:ascii="Times New Roman" w:hAnsi="Times New Roman"/>
          <w:sz w:val="28"/>
          <w:szCs w:val="28"/>
          <w:lang w:val="en-US"/>
        </w:rPr>
        <w:t>lhfml</w:t>
      </w:r>
      <w:r w:rsidRPr="0007250F">
        <w:rPr>
          <w:rFonts w:ascii="Times New Roman" w:hAnsi="Times New Roman"/>
          <w:sz w:val="28"/>
          <w:szCs w:val="28"/>
        </w:rPr>
        <w:t>.</w:t>
      </w:r>
      <w:r w:rsidRPr="0007250F">
        <w:rPr>
          <w:rFonts w:ascii="Times New Roman" w:hAnsi="Times New Roman"/>
          <w:sz w:val="28"/>
          <w:szCs w:val="28"/>
          <w:lang w:val="en-US"/>
        </w:rPr>
        <w:t>sai</w:t>
      </w:r>
      <w:r w:rsidRPr="0007250F">
        <w:rPr>
          <w:rFonts w:ascii="Times New Roman" w:hAnsi="Times New Roman"/>
          <w:sz w:val="28"/>
          <w:szCs w:val="28"/>
        </w:rPr>
        <w:t>.</w:t>
      </w:r>
      <w:r w:rsidRPr="0007250F">
        <w:rPr>
          <w:rFonts w:ascii="Times New Roman" w:hAnsi="Times New Roman"/>
          <w:sz w:val="28"/>
          <w:szCs w:val="28"/>
          <w:lang w:val="en-US"/>
        </w:rPr>
        <w:t>msu</w:t>
      </w:r>
      <w:r w:rsidRPr="0007250F">
        <w:rPr>
          <w:rFonts w:ascii="Times New Roman" w:hAnsi="Times New Roman"/>
          <w:sz w:val="28"/>
          <w:szCs w:val="28"/>
        </w:rPr>
        <w:t>.</w:t>
      </w:r>
      <w:r w:rsidRPr="0007250F">
        <w:rPr>
          <w:rFonts w:ascii="Times New Roman" w:hAnsi="Times New Roman"/>
          <w:sz w:val="28"/>
          <w:szCs w:val="28"/>
          <w:lang w:val="en-US"/>
        </w:rPr>
        <w:t>ru</w:t>
      </w:r>
      <w:r w:rsidRPr="0007250F">
        <w:rPr>
          <w:rFonts w:ascii="Times New Roman" w:hAnsi="Times New Roman"/>
          <w:sz w:val="28"/>
          <w:szCs w:val="28"/>
        </w:rPr>
        <w:t>/</w:t>
      </w:r>
      <w:r w:rsidRPr="0007250F">
        <w:rPr>
          <w:rFonts w:ascii="Times New Roman" w:hAnsi="Times New Roman"/>
          <w:sz w:val="28"/>
          <w:szCs w:val="28"/>
          <w:lang w:val="en-US"/>
        </w:rPr>
        <w:t>SETI</w:t>
      </w:r>
      <w:r w:rsidRPr="0007250F">
        <w:rPr>
          <w:rFonts w:ascii="Times New Roman" w:hAnsi="Times New Roman"/>
          <w:sz w:val="28"/>
          <w:szCs w:val="28"/>
        </w:rPr>
        <w:t>/</w:t>
      </w:r>
      <w:r w:rsidRPr="0007250F">
        <w:rPr>
          <w:rFonts w:ascii="Times New Roman" w:hAnsi="Times New Roman"/>
          <w:sz w:val="28"/>
          <w:szCs w:val="28"/>
          <w:lang w:val="en-US"/>
        </w:rPr>
        <w:t>koi</w:t>
      </w:r>
      <w:r w:rsidRPr="0007250F">
        <w:rPr>
          <w:rFonts w:ascii="Times New Roman" w:hAnsi="Times New Roman"/>
          <w:sz w:val="28"/>
          <w:szCs w:val="28"/>
        </w:rPr>
        <w:t>/</w:t>
      </w:r>
      <w:r w:rsidRPr="0007250F">
        <w:rPr>
          <w:rFonts w:ascii="Times New Roman" w:hAnsi="Times New Roman"/>
          <w:sz w:val="28"/>
          <w:szCs w:val="28"/>
          <w:lang w:val="en-US"/>
        </w:rPr>
        <w:t>artikles</w:t>
      </w:r>
      <w:r w:rsidRPr="0007250F">
        <w:rPr>
          <w:rFonts w:ascii="Times New Roman" w:hAnsi="Times New Roman"/>
          <w:sz w:val="28"/>
          <w:szCs w:val="28"/>
        </w:rPr>
        <w:t>/</w:t>
      </w:r>
      <w:r w:rsidRPr="0007250F">
        <w:rPr>
          <w:rFonts w:ascii="Times New Roman" w:hAnsi="Times New Roman"/>
          <w:sz w:val="28"/>
          <w:szCs w:val="28"/>
          <w:lang w:val="en-US"/>
        </w:rPr>
        <w:t>krizis</w:t>
      </w:r>
      <w:r w:rsidRPr="0007250F">
        <w:rPr>
          <w:rFonts w:ascii="Times New Roman" w:hAnsi="Times New Roman"/>
          <w:sz w:val="28"/>
          <w:szCs w:val="28"/>
        </w:rPr>
        <w:t>.</w:t>
      </w:r>
      <w:r w:rsidRPr="0007250F">
        <w:rPr>
          <w:rFonts w:ascii="Times New Roman" w:hAnsi="Times New Roman"/>
          <w:sz w:val="28"/>
          <w:szCs w:val="28"/>
          <w:lang w:val="en-US"/>
        </w:rPr>
        <w:t>html</w:t>
      </w:r>
    </w:p>
    <w:p w14:paraId="58292ED8" w14:textId="77777777" w:rsidR="0007250F" w:rsidRPr="0007250F" w:rsidRDefault="0007250F" w:rsidP="009A346C">
      <w:pPr>
        <w:pStyle w:val="af0"/>
        <w:adjustRightInd w:val="0"/>
        <w:snapToGrid w:val="0"/>
        <w:spacing w:after="0" w:line="360" w:lineRule="auto"/>
        <w:ind w:firstLineChars="200" w:firstLine="560"/>
        <w:jc w:val="both"/>
        <w:rPr>
          <w:rFonts w:ascii="Times New Roman" w:hAnsi="Times New Roman"/>
          <w:sz w:val="28"/>
          <w:szCs w:val="28"/>
          <w:lang w:val="en-US"/>
        </w:rPr>
      </w:pPr>
      <w:r>
        <w:rPr>
          <w:rFonts w:ascii="Times New Roman" w:hAnsi="Times New Roman"/>
          <w:sz w:val="28"/>
          <w:szCs w:val="28"/>
          <w:lang w:val="en-US"/>
        </w:rPr>
        <w:t>44</w:t>
      </w:r>
      <w:r w:rsidR="002F5B8C">
        <w:rPr>
          <w:rFonts w:ascii="Times New Roman" w:hAnsi="Times New Roman"/>
          <w:sz w:val="28"/>
          <w:szCs w:val="28"/>
          <w:lang w:val="en-US"/>
        </w:rPr>
        <w:t>.</w:t>
      </w:r>
      <w:r>
        <w:rPr>
          <w:rFonts w:ascii="Times New Roman" w:hAnsi="Times New Roman"/>
          <w:sz w:val="28"/>
          <w:szCs w:val="28"/>
          <w:lang w:val="en-US"/>
        </w:rPr>
        <w:t xml:space="preserve"> </w:t>
      </w:r>
      <w:r w:rsidRPr="0007250F">
        <w:rPr>
          <w:rFonts w:ascii="Times New Roman" w:hAnsi="Times New Roman"/>
          <w:sz w:val="28"/>
          <w:szCs w:val="28"/>
        </w:rPr>
        <w:t>Alla</w:t>
      </w:r>
      <w:r w:rsidRPr="0007250F">
        <w:rPr>
          <w:rFonts w:ascii="Times New Roman" w:hAnsi="Times New Roman"/>
          <w:sz w:val="28"/>
          <w:szCs w:val="28"/>
          <w:lang w:val="en-US"/>
        </w:rPr>
        <w:t xml:space="preserve"> </w:t>
      </w:r>
      <w:r w:rsidRPr="0007250F">
        <w:rPr>
          <w:rFonts w:ascii="Times New Roman" w:hAnsi="Times New Roman"/>
          <w:sz w:val="28"/>
          <w:szCs w:val="28"/>
        </w:rPr>
        <w:t>Grinko, Nataliia Havrylenko, Tetiana Kostash, Yuriy Fed’kovych</w:t>
      </w:r>
      <w:r w:rsidRPr="0007250F">
        <w:rPr>
          <w:rFonts w:ascii="Times New Roman" w:hAnsi="Times New Roman"/>
          <w:sz w:val="28"/>
          <w:szCs w:val="28"/>
          <w:lang w:val="en-US"/>
        </w:rPr>
        <w:t>,</w:t>
      </w:r>
      <w:r>
        <w:rPr>
          <w:rFonts w:ascii="Times New Roman" w:hAnsi="Times New Roman"/>
          <w:sz w:val="28"/>
          <w:szCs w:val="28"/>
        </w:rPr>
        <w:t>Mariia</w:t>
      </w:r>
      <w:r>
        <w:rPr>
          <w:rFonts w:ascii="Times New Roman" w:hAnsi="Times New Roman"/>
          <w:sz w:val="28"/>
          <w:szCs w:val="28"/>
          <w:lang w:val="en-US"/>
        </w:rPr>
        <w:t xml:space="preserve"> </w:t>
      </w:r>
      <w:r w:rsidRPr="0007250F">
        <w:rPr>
          <w:rFonts w:ascii="Times New Roman" w:hAnsi="Times New Roman"/>
          <w:sz w:val="28"/>
          <w:szCs w:val="28"/>
        </w:rPr>
        <w:t>Plekan,</w:t>
      </w:r>
      <w:r w:rsidRPr="0007250F">
        <w:rPr>
          <w:rFonts w:ascii="Times New Roman" w:hAnsi="Times New Roman"/>
          <w:sz w:val="28"/>
          <w:szCs w:val="28"/>
          <w:lang w:val="en-US"/>
        </w:rPr>
        <w:t xml:space="preserve"> </w:t>
      </w:r>
      <w:r w:rsidRPr="0007250F">
        <w:rPr>
          <w:rFonts w:ascii="Times New Roman" w:hAnsi="Times New Roman"/>
          <w:sz w:val="28"/>
          <w:szCs w:val="28"/>
        </w:rPr>
        <w:t>Svitlana Breus</w:t>
      </w:r>
      <w:r w:rsidRPr="0007250F">
        <w:rPr>
          <w:rFonts w:ascii="Times New Roman" w:hAnsi="Times New Roman"/>
          <w:sz w:val="28"/>
          <w:szCs w:val="28"/>
          <w:lang w:val="en-US"/>
        </w:rPr>
        <w:t>.</w:t>
      </w:r>
      <w:r w:rsidRPr="0007250F">
        <w:rPr>
          <w:rFonts w:ascii="Times New Roman" w:hAnsi="Times New Roman"/>
          <w:sz w:val="28"/>
          <w:szCs w:val="28"/>
        </w:rPr>
        <w:t xml:space="preserve"> </w:t>
      </w:r>
      <w:r w:rsidRPr="0007250F">
        <w:rPr>
          <w:rFonts w:ascii="Times New Roman" w:hAnsi="Times New Roman"/>
          <w:sz w:val="28"/>
          <w:szCs w:val="28"/>
          <w:lang w:val="en-US"/>
        </w:rPr>
        <w:t>O</w:t>
      </w:r>
      <w:r w:rsidRPr="0007250F">
        <w:rPr>
          <w:rFonts w:ascii="Times New Roman" w:hAnsi="Times New Roman"/>
          <w:sz w:val="28"/>
          <w:szCs w:val="28"/>
        </w:rPr>
        <w:t>rganization of a strategic management accounting in an innovative economy</w:t>
      </w:r>
      <w:r w:rsidRPr="0007250F">
        <w:rPr>
          <w:rFonts w:ascii="Times New Roman" w:hAnsi="Times New Roman"/>
          <w:sz w:val="28"/>
          <w:szCs w:val="28"/>
          <w:lang w:val="en-US"/>
        </w:rPr>
        <w:t xml:space="preserve">. </w:t>
      </w:r>
      <w:r w:rsidRPr="0007250F">
        <w:rPr>
          <w:rFonts w:ascii="Times New Roman" w:hAnsi="Times New Roman"/>
          <w:sz w:val="28"/>
          <w:szCs w:val="28"/>
        </w:rPr>
        <w:t>Academy ofAccounting and Financial Studies Journal Volume 24, Issue 5, 202011528-2635-24-5-598</w:t>
      </w:r>
    </w:p>
    <w:p w14:paraId="3EF6F19B" w14:textId="77777777" w:rsidR="004360AC" w:rsidRDefault="0007250F"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45. </w:t>
      </w:r>
      <w:r w:rsidR="004360AC" w:rsidRPr="004360AC">
        <w:rPr>
          <w:rFonts w:ascii="Times New Roman" w:hAnsi="Times New Roman"/>
          <w:kern w:val="36"/>
          <w:sz w:val="28"/>
          <w:szCs w:val="28"/>
          <w:lang w:val="en-US" w:eastAsia="uk-UA"/>
        </w:rPr>
        <w:t>E. Kuznetsov. Methodology of professionalization of managerial activities. Kherson. Oldi Plus. 2017.-382 p.</w:t>
      </w:r>
    </w:p>
    <w:p w14:paraId="229F98AF" w14:textId="77777777" w:rsidR="0007250F" w:rsidRPr="0007250F" w:rsidRDefault="0007250F"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46. </w:t>
      </w:r>
      <w:r w:rsidRPr="0007250F">
        <w:rPr>
          <w:rFonts w:ascii="Times New Roman" w:hAnsi="Times New Roman"/>
          <w:kern w:val="36"/>
          <w:sz w:val="28"/>
          <w:szCs w:val="28"/>
          <w:lang w:val="en-US" w:eastAsia="uk-UA"/>
        </w:rPr>
        <w:t>Arkadi Sukhorukov, Tetiana Yehorova-Hudkova, Olha Sukhorukova, Yurij Neustroev, Nataly Zghadova, Yurij Rabotin Economic security of state: diagnosis, design and stability of system. Ad Alta. Journal of interdisciplinary research. 2022. R. 81 – 86.</w:t>
      </w:r>
      <w:r w:rsidR="00C91CDF">
        <w:rPr>
          <w:rFonts w:ascii="Times New Roman" w:hAnsi="Times New Roman"/>
          <w:kern w:val="36"/>
          <w:sz w:val="28"/>
          <w:szCs w:val="28"/>
          <w:lang w:val="en-US" w:eastAsia="uk-UA"/>
        </w:rPr>
        <w:t>(Web of Science)</w:t>
      </w:r>
    </w:p>
    <w:p w14:paraId="5FB12F17" w14:textId="77777777" w:rsidR="0007250F" w:rsidRDefault="0007250F" w:rsidP="009A346C">
      <w:pPr>
        <w:autoSpaceDE w:val="0"/>
        <w:autoSpaceDN w:val="0"/>
        <w:adjustRightInd w:val="0"/>
        <w:snapToGrid w:val="0"/>
        <w:spacing w:line="360" w:lineRule="auto"/>
        <w:ind w:firstLineChars="200" w:firstLine="560"/>
        <w:rPr>
          <w:rFonts w:ascii="Times New Roman" w:hAnsi="Times New Roman" w:cs="Times New Roman"/>
          <w:sz w:val="28"/>
          <w:szCs w:val="28"/>
          <w:lang w:eastAsia="uk-UA"/>
        </w:rPr>
      </w:pPr>
      <w:r>
        <w:rPr>
          <w:rFonts w:ascii="Times New Roman" w:hAnsi="Times New Roman" w:cs="Times New Roman"/>
          <w:kern w:val="36"/>
          <w:sz w:val="28"/>
          <w:szCs w:val="28"/>
          <w:lang w:eastAsia="uk-UA"/>
        </w:rPr>
        <w:t xml:space="preserve">47. </w:t>
      </w:r>
      <w:r w:rsidRPr="0007250F">
        <w:rPr>
          <w:rFonts w:ascii="Times New Roman" w:hAnsi="Times New Roman" w:cs="Times New Roman"/>
          <w:kern w:val="36"/>
          <w:sz w:val="28"/>
          <w:szCs w:val="28"/>
          <w:lang w:eastAsia="uk-UA"/>
        </w:rPr>
        <w:t>Arkadi Sukhorukov, Tetiana Yehorova-Hudkova.</w:t>
      </w:r>
      <w:r w:rsidRPr="0007250F">
        <w:rPr>
          <w:rFonts w:ascii="Times New Roman" w:hAnsi="Times New Roman" w:cs="Times New Roman"/>
          <w:sz w:val="28"/>
          <w:szCs w:val="28"/>
          <w:lang w:eastAsia="uk-UA"/>
        </w:rPr>
        <w:t xml:space="preserve"> Planning to counter systemic crisis: project management, economic security and transdisciplinary approach. Sustainable development – </w:t>
      </w:r>
      <w:r w:rsidR="004360AC">
        <w:rPr>
          <w:rFonts w:ascii="Times New Roman" w:hAnsi="Times New Roman" w:cs="Times New Roman"/>
          <w:sz w:val="28"/>
          <w:szCs w:val="28"/>
          <w:lang w:eastAsia="uk-UA"/>
        </w:rPr>
        <w:t xml:space="preserve">in </w:t>
      </w:r>
      <w:r w:rsidRPr="0007250F">
        <w:rPr>
          <w:rFonts w:ascii="Times New Roman" w:hAnsi="Times New Roman" w:cs="Times New Roman"/>
          <w:sz w:val="28"/>
          <w:szCs w:val="28"/>
          <w:lang w:eastAsia="uk-UA"/>
        </w:rPr>
        <w:t>the 21st century. Discussions 2023 (scientific readings named after Igor Nedin): materials of the VIII international scientific-practical conference, Kyiv, November 16-17, 2023. Kyiv, 2024. Pp. 34-45. Electronic edition. (DOI:10.13140/RG.2.2.33528.25602). URL: https://conftef8.wixsite.com/conf (access date: 04/20/2024).</w:t>
      </w:r>
    </w:p>
    <w:p w14:paraId="2B686411" w14:textId="77777777" w:rsidR="0007250F" w:rsidRPr="0007250F" w:rsidRDefault="0007250F" w:rsidP="009A346C">
      <w:pPr>
        <w:autoSpaceDE w:val="0"/>
        <w:autoSpaceDN w:val="0"/>
        <w:adjustRightInd w:val="0"/>
        <w:snapToGrid w:val="0"/>
        <w:spacing w:line="360" w:lineRule="auto"/>
        <w:ind w:firstLineChars="200" w:firstLine="560"/>
        <w:rPr>
          <w:rFonts w:ascii="Times New Roman" w:hAnsi="Times New Roman"/>
          <w:kern w:val="36"/>
          <w:sz w:val="28"/>
          <w:szCs w:val="28"/>
          <w:lang w:val="en-US" w:eastAsia="uk-UA"/>
        </w:rPr>
      </w:pPr>
      <w:r>
        <w:rPr>
          <w:rFonts w:ascii="Times New Roman" w:hAnsi="Times New Roman" w:cs="Times New Roman"/>
          <w:sz w:val="28"/>
          <w:szCs w:val="28"/>
          <w:lang w:eastAsia="uk-UA"/>
        </w:rPr>
        <w:t xml:space="preserve">48. </w:t>
      </w:r>
      <w:r w:rsidRPr="0007250F">
        <w:rPr>
          <w:rFonts w:ascii="Times New Roman" w:hAnsi="Times New Roman"/>
          <w:kern w:val="36"/>
          <w:sz w:val="28"/>
          <w:szCs w:val="28"/>
          <w:lang w:val="en-US" w:eastAsia="uk-UA"/>
        </w:rPr>
        <w:t>Arkadi Sukhorukov.</w:t>
      </w:r>
      <w:r w:rsidRPr="0007250F">
        <w:rPr>
          <w:rFonts w:ascii="Times New Roman" w:hAnsi="Times New Roman"/>
          <w:sz w:val="28"/>
          <w:szCs w:val="28"/>
        </w:rPr>
        <w:t xml:space="preserve"> International economics: security of economic system and transboundary crisis /Confrontation and Cooperation: 1000 years of Polish-German-Russian Relations, vol.V, Anna Garczewska, Krzysztof Garczewski (editors), </w:t>
      </w:r>
      <w:r w:rsidRPr="0007250F">
        <w:rPr>
          <w:rFonts w:ascii="Times New Roman" w:hAnsi="Times New Roman"/>
          <w:sz w:val="28"/>
          <w:szCs w:val="28"/>
          <w:lang w:val="en-US"/>
        </w:rPr>
        <w:t>Berlin</w:t>
      </w:r>
      <w:r w:rsidRPr="0007250F">
        <w:rPr>
          <w:rFonts w:ascii="Times New Roman" w:hAnsi="Times New Roman"/>
          <w:sz w:val="28"/>
          <w:szCs w:val="28"/>
        </w:rPr>
        <w:t>, Toruń - Warszawa, 2019. - Р. 35-44</w:t>
      </w:r>
      <w:r w:rsidRPr="0007250F">
        <w:rPr>
          <w:rFonts w:ascii="Times New Roman" w:hAnsi="Times New Roman"/>
          <w:sz w:val="28"/>
          <w:szCs w:val="28"/>
          <w:lang w:val="en-US"/>
        </w:rPr>
        <w:t>. URL:</w:t>
      </w:r>
      <w:r w:rsidRPr="0007250F">
        <w:rPr>
          <w:rFonts w:ascii="Times New Roman" w:hAnsi="Times New Roman"/>
          <w:sz w:val="28"/>
          <w:szCs w:val="28"/>
        </w:rPr>
        <w:t xml:space="preserve"> https://content.sciendo.com/view/journals/conc/5/1/conc.5.issue-1.xml</w:t>
      </w:r>
      <w:r w:rsidRPr="0007250F">
        <w:rPr>
          <w:rFonts w:ascii="Times New Roman" w:hAnsi="Times New Roman"/>
          <w:sz w:val="28"/>
          <w:szCs w:val="28"/>
          <w:lang w:val="en-US"/>
        </w:rPr>
        <w:t xml:space="preserve"> </w:t>
      </w:r>
    </w:p>
    <w:p w14:paraId="5ED3AA6E" w14:textId="77777777" w:rsidR="0007250F" w:rsidRPr="0007250F" w:rsidRDefault="0007250F" w:rsidP="009A346C">
      <w:pPr>
        <w:autoSpaceDE w:val="0"/>
        <w:autoSpaceDN w:val="0"/>
        <w:adjustRightInd w:val="0"/>
        <w:snapToGrid w:val="0"/>
        <w:spacing w:line="360" w:lineRule="auto"/>
        <w:ind w:firstLineChars="200" w:firstLine="560"/>
        <w:rPr>
          <w:rFonts w:ascii="Times New Roman" w:hAnsi="Times New Roman" w:cs="Times New Roman"/>
          <w:sz w:val="28"/>
          <w:szCs w:val="28"/>
          <w:lang w:val="en-US" w:eastAsia="uk-UA"/>
        </w:rPr>
      </w:pPr>
      <w:r>
        <w:rPr>
          <w:rFonts w:ascii="Times New Roman" w:hAnsi="Times New Roman" w:cs="Times New Roman"/>
          <w:kern w:val="36"/>
          <w:sz w:val="28"/>
          <w:szCs w:val="28"/>
          <w:lang w:eastAsia="uk-UA"/>
        </w:rPr>
        <w:t xml:space="preserve">49. </w:t>
      </w:r>
      <w:r w:rsidRPr="0007250F">
        <w:rPr>
          <w:rFonts w:ascii="Times New Roman" w:hAnsi="Times New Roman" w:cs="Times New Roman"/>
          <w:kern w:val="36"/>
          <w:sz w:val="28"/>
          <w:szCs w:val="28"/>
          <w:lang w:eastAsia="uk-UA"/>
        </w:rPr>
        <w:t>Arkadi</w:t>
      </w:r>
      <w:r w:rsidRPr="0007250F">
        <w:rPr>
          <w:rFonts w:ascii="Times New Roman" w:hAnsi="Times New Roman" w:cs="Times New Roman"/>
          <w:kern w:val="36"/>
          <w:sz w:val="28"/>
          <w:szCs w:val="28"/>
          <w:lang w:val="uk-UA" w:eastAsia="uk-UA"/>
        </w:rPr>
        <w:t xml:space="preserve"> </w:t>
      </w:r>
      <w:r w:rsidRPr="0007250F">
        <w:rPr>
          <w:rFonts w:ascii="Times New Roman" w:hAnsi="Times New Roman" w:cs="Times New Roman"/>
          <w:kern w:val="36"/>
          <w:sz w:val="28"/>
          <w:szCs w:val="28"/>
          <w:lang w:eastAsia="uk-UA"/>
        </w:rPr>
        <w:t>Sukhorukov</w:t>
      </w:r>
      <w:r w:rsidRPr="0007250F">
        <w:rPr>
          <w:rFonts w:ascii="Times New Roman" w:hAnsi="Times New Roman" w:cs="Times New Roman"/>
          <w:kern w:val="36"/>
          <w:sz w:val="28"/>
          <w:szCs w:val="28"/>
          <w:lang w:val="uk-UA" w:eastAsia="uk-UA"/>
        </w:rPr>
        <w:t xml:space="preserve">. </w:t>
      </w:r>
      <w:r w:rsidRPr="0007250F">
        <w:rPr>
          <w:rFonts w:ascii="Times New Roman" w:hAnsi="Times New Roman" w:cs="Times New Roman"/>
          <w:sz w:val="28"/>
          <w:szCs w:val="28"/>
          <w:lang w:eastAsia="uk-UA"/>
        </w:rPr>
        <w:t>Study of economic security of countries on the background of recent crises – COVID-19 and war in Ukraine. URL</w:t>
      </w:r>
      <w:r w:rsidRPr="0007250F">
        <w:rPr>
          <w:rFonts w:ascii="Times New Roman" w:hAnsi="Times New Roman" w:cs="Times New Roman"/>
          <w:sz w:val="28"/>
          <w:szCs w:val="28"/>
          <w:lang w:val="en-US" w:eastAsia="uk-UA"/>
        </w:rPr>
        <w:t xml:space="preserve">: </w:t>
      </w:r>
      <w:r w:rsidRPr="0007250F">
        <w:rPr>
          <w:rFonts w:ascii="Times New Roman" w:hAnsi="Times New Roman" w:cs="Times New Roman"/>
          <w:sz w:val="28"/>
          <w:szCs w:val="28"/>
          <w:lang w:eastAsia="uk-UA"/>
        </w:rPr>
        <w:t>https</w:t>
      </w:r>
      <w:r w:rsidRPr="0007250F">
        <w:rPr>
          <w:rFonts w:ascii="Times New Roman" w:hAnsi="Times New Roman" w:cs="Times New Roman"/>
          <w:sz w:val="28"/>
          <w:szCs w:val="28"/>
          <w:lang w:val="en-US" w:eastAsia="uk-UA"/>
        </w:rPr>
        <w:t>://</w:t>
      </w:r>
      <w:r w:rsidRPr="0007250F">
        <w:rPr>
          <w:rFonts w:ascii="Times New Roman" w:hAnsi="Times New Roman" w:cs="Times New Roman"/>
          <w:sz w:val="28"/>
          <w:szCs w:val="28"/>
          <w:lang w:eastAsia="uk-UA"/>
        </w:rPr>
        <w:t>conftef</w:t>
      </w:r>
      <w:r w:rsidRPr="0007250F">
        <w:rPr>
          <w:rFonts w:ascii="Times New Roman" w:hAnsi="Times New Roman" w:cs="Times New Roman"/>
          <w:sz w:val="28"/>
          <w:szCs w:val="28"/>
          <w:lang w:val="en-US" w:eastAsia="uk-UA"/>
        </w:rPr>
        <w:t>8.</w:t>
      </w:r>
      <w:r w:rsidRPr="0007250F">
        <w:rPr>
          <w:rFonts w:ascii="Times New Roman" w:hAnsi="Times New Roman" w:cs="Times New Roman"/>
          <w:sz w:val="28"/>
          <w:szCs w:val="28"/>
          <w:lang w:eastAsia="uk-UA"/>
        </w:rPr>
        <w:t>wixsite</w:t>
      </w:r>
      <w:r w:rsidRPr="0007250F">
        <w:rPr>
          <w:rFonts w:ascii="Times New Roman" w:hAnsi="Times New Roman" w:cs="Times New Roman"/>
          <w:sz w:val="28"/>
          <w:szCs w:val="28"/>
          <w:lang w:val="en-US" w:eastAsia="uk-UA"/>
        </w:rPr>
        <w:t>.</w:t>
      </w:r>
      <w:r w:rsidRPr="0007250F">
        <w:rPr>
          <w:rFonts w:ascii="Times New Roman" w:hAnsi="Times New Roman" w:cs="Times New Roman"/>
          <w:sz w:val="28"/>
          <w:szCs w:val="28"/>
          <w:lang w:eastAsia="uk-UA"/>
        </w:rPr>
        <w:t>com</w:t>
      </w:r>
      <w:r w:rsidRPr="0007250F">
        <w:rPr>
          <w:rFonts w:ascii="Times New Roman" w:hAnsi="Times New Roman" w:cs="Times New Roman"/>
          <w:sz w:val="28"/>
          <w:szCs w:val="28"/>
          <w:lang w:val="en-US" w:eastAsia="uk-UA"/>
        </w:rPr>
        <w:t>/</w:t>
      </w:r>
      <w:r w:rsidRPr="0007250F">
        <w:rPr>
          <w:rFonts w:ascii="Times New Roman" w:hAnsi="Times New Roman" w:cs="Times New Roman"/>
          <w:sz w:val="28"/>
          <w:szCs w:val="28"/>
          <w:lang w:eastAsia="uk-UA"/>
        </w:rPr>
        <w:t>conf</w:t>
      </w:r>
      <w:r w:rsidRPr="0007250F">
        <w:rPr>
          <w:rFonts w:ascii="Times New Roman" w:hAnsi="Times New Roman" w:cs="Times New Roman"/>
          <w:sz w:val="28"/>
          <w:szCs w:val="28"/>
          <w:lang w:val="en-US" w:eastAsia="uk-UA"/>
        </w:rPr>
        <w:t xml:space="preserve"> ( 20.04.2024).</w:t>
      </w:r>
    </w:p>
    <w:p w14:paraId="793E1806" w14:textId="77777777" w:rsidR="00EC2D17" w:rsidRPr="00EC2D17" w:rsidRDefault="0007250F" w:rsidP="009A346C">
      <w:pPr>
        <w:autoSpaceDE w:val="0"/>
        <w:autoSpaceDN w:val="0"/>
        <w:adjustRightInd w:val="0"/>
        <w:snapToGrid w:val="0"/>
        <w:spacing w:line="360" w:lineRule="auto"/>
        <w:ind w:firstLineChars="200" w:firstLine="560"/>
        <w:rPr>
          <w:rFonts w:ascii="Times New Roman" w:hAnsi="Times New Roman" w:cs="Times New Roman"/>
          <w:bCs/>
          <w:sz w:val="28"/>
          <w:szCs w:val="28"/>
        </w:rPr>
      </w:pPr>
      <w:r>
        <w:rPr>
          <w:rFonts w:ascii="Times New Roman" w:hAnsi="Times New Roman" w:cs="Times New Roman"/>
          <w:bCs/>
          <w:color w:val="000000"/>
          <w:sz w:val="28"/>
          <w:szCs w:val="28"/>
        </w:rPr>
        <w:t xml:space="preserve">50. </w:t>
      </w:r>
      <w:r w:rsidR="00EC2D17" w:rsidRPr="00EC2D17">
        <w:rPr>
          <w:rFonts w:ascii="Times New Roman" w:hAnsi="Times New Roman" w:cs="Times New Roman"/>
          <w:sz w:val="28"/>
          <w:szCs w:val="28"/>
        </w:rPr>
        <w:t>Romanovska Yu., Kozachenko G., Pogorelov Yu., Pomazun O., Redko K. Problems of development of economic security in Ukraine: challenges and opportunities. 2022. Volume 5 (46), Р. 249</w:t>
      </w:r>
      <w:r w:rsidR="00EC2D17" w:rsidRPr="00EC2D17">
        <w:rPr>
          <w:rFonts w:ascii="Times New Roman" w:hAnsi="Times New Roman" w:cs="Times New Roman"/>
          <w:sz w:val="28"/>
          <w:szCs w:val="28"/>
        </w:rPr>
        <w:noBreakHyphen/>
        <w:t xml:space="preserve">257 </w:t>
      </w:r>
      <w:r w:rsidR="00EC2D17" w:rsidRPr="00EC2D17">
        <w:rPr>
          <w:rFonts w:ascii="Times New Roman" w:hAnsi="Times New Roman" w:cs="Times New Roman"/>
          <w:bCs/>
          <w:sz w:val="28"/>
          <w:szCs w:val="28"/>
        </w:rPr>
        <w:t>(Web of Science)</w:t>
      </w:r>
      <w:r w:rsidR="00EC2D17">
        <w:rPr>
          <w:rFonts w:ascii="Times New Roman" w:hAnsi="Times New Roman" w:cs="Times New Roman"/>
          <w:bCs/>
          <w:sz w:val="28"/>
          <w:szCs w:val="28"/>
        </w:rPr>
        <w:t>.</w:t>
      </w:r>
    </w:p>
    <w:p w14:paraId="5E2C84C1" w14:textId="77777777" w:rsidR="0007250F" w:rsidRPr="0007250F" w:rsidRDefault="0007250F" w:rsidP="00EC2D17">
      <w:pPr>
        <w:autoSpaceDE w:val="0"/>
        <w:autoSpaceDN w:val="0"/>
        <w:adjustRightInd w:val="0"/>
        <w:snapToGrid w:val="0"/>
        <w:spacing w:line="360" w:lineRule="auto"/>
        <w:ind w:firstLineChars="200" w:firstLine="560"/>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 xml:space="preserve">51. </w:t>
      </w:r>
      <w:r w:rsidRPr="0007250F">
        <w:rPr>
          <w:rFonts w:ascii="Times New Roman" w:hAnsi="Times New Roman" w:cs="Times New Roman"/>
          <w:bCs/>
          <w:color w:val="000000"/>
          <w:sz w:val="28"/>
          <w:szCs w:val="28"/>
        </w:rPr>
        <w:t>Bogdanov A.A. General Organizational Science. Tectology. Book 1. (1989) pp. 320</w:t>
      </w:r>
    </w:p>
    <w:p w14:paraId="6CEDD393" w14:textId="77777777" w:rsidR="0007250F" w:rsidRPr="0007250F" w:rsidRDefault="0007250F" w:rsidP="009A346C">
      <w:pPr>
        <w:autoSpaceDE w:val="0"/>
        <w:autoSpaceDN w:val="0"/>
        <w:adjustRightInd w:val="0"/>
        <w:snapToGrid w:val="0"/>
        <w:spacing w:line="360" w:lineRule="auto"/>
        <w:ind w:firstLineChars="200" w:firstLine="560"/>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52. </w:t>
      </w:r>
      <w:r w:rsidRPr="0007250F">
        <w:rPr>
          <w:rFonts w:ascii="Times New Roman" w:hAnsi="Times New Roman" w:cs="Times New Roman"/>
          <w:bCs/>
          <w:color w:val="000000"/>
          <w:sz w:val="28"/>
          <w:szCs w:val="28"/>
        </w:rPr>
        <w:t>Coase R.G. The Nature of the Firm (1995) pp. 38.</w:t>
      </w:r>
    </w:p>
    <w:p w14:paraId="7ADAAB14" w14:textId="77777777" w:rsidR="0007250F" w:rsidRPr="0007250F" w:rsidRDefault="0007250F"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53. </w:t>
      </w:r>
      <w:r w:rsidRPr="0007250F">
        <w:rPr>
          <w:rFonts w:ascii="Times New Roman" w:hAnsi="Times New Roman"/>
          <w:kern w:val="36"/>
          <w:sz w:val="28"/>
          <w:szCs w:val="28"/>
          <w:lang w:val="en-US" w:eastAsia="uk-UA"/>
        </w:rPr>
        <w:t>David Rubens. Strategic risk and crisis management. London, (2023). pp.338.</w:t>
      </w:r>
    </w:p>
    <w:p w14:paraId="31E2280F" w14:textId="77777777" w:rsidR="0077234D" w:rsidRPr="0077234D" w:rsidRDefault="0007250F" w:rsidP="0077234D">
      <w:pPr>
        <w:pStyle w:val="af0"/>
        <w:adjustRightInd w:val="0"/>
        <w:snapToGrid w:val="0"/>
        <w:spacing w:after="0" w:line="360" w:lineRule="auto"/>
        <w:ind w:firstLineChars="200" w:firstLine="560"/>
        <w:jc w:val="both"/>
        <w:rPr>
          <w:rFonts w:ascii="Times New Roman" w:hAnsi="Times New Roman"/>
          <w:sz w:val="28"/>
          <w:szCs w:val="28"/>
          <w:lang w:val="ru-RU"/>
        </w:rPr>
      </w:pPr>
      <w:r>
        <w:rPr>
          <w:rFonts w:ascii="Times New Roman" w:hAnsi="Times New Roman"/>
          <w:kern w:val="36"/>
          <w:sz w:val="28"/>
          <w:szCs w:val="28"/>
          <w:lang w:val="en-US" w:eastAsia="uk-UA"/>
        </w:rPr>
        <w:t xml:space="preserve">54. </w:t>
      </w:r>
      <w:r w:rsidR="0077234D" w:rsidRPr="0077234D">
        <w:rPr>
          <w:rFonts w:ascii="Times New Roman" w:hAnsi="Times New Roman"/>
          <w:sz w:val="28"/>
          <w:szCs w:val="28"/>
        </w:rPr>
        <w:t>Maslennikov Yevgen, Hrymalyuk Andrey. International trade and evolution of its state regulation. World economy and international economic relations. International Scientific Collection. Vol. 3 / Scientific editors : Y. Kozak, T. Shengelia, A. Gribincea. Kyiv-CUL. 2020. P. 123-126.</w:t>
      </w:r>
    </w:p>
    <w:p w14:paraId="4C27A2C9" w14:textId="77777777" w:rsidR="0007250F" w:rsidRPr="0007250F" w:rsidRDefault="0007250F" w:rsidP="0077234D">
      <w:pPr>
        <w:pStyle w:val="af0"/>
        <w:adjustRightInd w:val="0"/>
        <w:snapToGrid w:val="0"/>
        <w:spacing w:after="0" w:line="360" w:lineRule="auto"/>
        <w:ind w:firstLineChars="200" w:firstLine="560"/>
        <w:jc w:val="both"/>
        <w:rPr>
          <w:rFonts w:ascii="Times New Roman" w:hAnsi="Times New Roman"/>
          <w:sz w:val="28"/>
          <w:szCs w:val="28"/>
          <w:lang w:eastAsia="uk-UA"/>
        </w:rPr>
      </w:pPr>
      <w:r>
        <w:rPr>
          <w:rFonts w:ascii="Times New Roman" w:hAnsi="Times New Roman"/>
          <w:sz w:val="28"/>
          <w:szCs w:val="28"/>
          <w:lang w:eastAsia="uk-UA"/>
        </w:rPr>
        <w:t xml:space="preserve">55. </w:t>
      </w:r>
      <w:r w:rsidRPr="0007250F">
        <w:rPr>
          <w:rFonts w:ascii="Times New Roman" w:hAnsi="Times New Roman"/>
          <w:sz w:val="28"/>
          <w:szCs w:val="28"/>
          <w:lang w:eastAsia="uk-UA"/>
        </w:rPr>
        <w:t>Elinor Ostrom. A Behavioral Approach to the Rational Choice Theory of Collective Action. The American Political Science Review Vol. 92, No. 1 (Mar., 1998): 1-22.</w:t>
      </w:r>
    </w:p>
    <w:p w14:paraId="279CE2F8" w14:textId="77777777" w:rsidR="0007250F" w:rsidRPr="0007250F" w:rsidRDefault="0007250F" w:rsidP="009A346C">
      <w:pPr>
        <w:autoSpaceDE w:val="0"/>
        <w:autoSpaceDN w:val="0"/>
        <w:adjustRightInd w:val="0"/>
        <w:snapToGrid w:val="0"/>
        <w:spacing w:line="360" w:lineRule="auto"/>
        <w:ind w:firstLineChars="200" w:firstLine="560"/>
        <w:rPr>
          <w:rFonts w:ascii="Times New Roman" w:hAnsi="Times New Roman" w:cs="Times New Roman"/>
          <w:sz w:val="28"/>
          <w:szCs w:val="28"/>
          <w:lang w:eastAsia="uk-UA"/>
        </w:rPr>
      </w:pPr>
      <w:r>
        <w:rPr>
          <w:rFonts w:ascii="Times New Roman" w:hAnsi="Times New Roman" w:cs="Times New Roman"/>
          <w:sz w:val="28"/>
          <w:szCs w:val="28"/>
          <w:lang w:eastAsia="uk-UA"/>
        </w:rPr>
        <w:t xml:space="preserve">56. </w:t>
      </w:r>
      <w:r w:rsidRPr="0007250F">
        <w:rPr>
          <w:rFonts w:ascii="Times New Roman" w:hAnsi="Times New Roman" w:cs="Times New Roman"/>
          <w:sz w:val="28"/>
          <w:szCs w:val="28"/>
          <w:lang w:eastAsia="uk-UA"/>
        </w:rPr>
        <w:t>Elinor Ostrom. Governing the Commons: The Evolution of Institutions for Collective Action. New York: Cambridge University Press. (1990) pp.343.</w:t>
      </w:r>
    </w:p>
    <w:p w14:paraId="48BC17CA" w14:textId="77777777" w:rsidR="00114DA2" w:rsidRDefault="0007250F" w:rsidP="009A346C">
      <w:pPr>
        <w:pStyle w:val="af0"/>
        <w:adjustRightInd w:val="0"/>
        <w:snapToGrid w:val="0"/>
        <w:spacing w:after="0" w:line="360" w:lineRule="auto"/>
        <w:ind w:firstLineChars="200" w:firstLine="560"/>
        <w:jc w:val="both"/>
        <w:rPr>
          <w:rFonts w:ascii="Times New Roman" w:hAnsi="Times New Roman"/>
          <w:sz w:val="28"/>
          <w:szCs w:val="28"/>
          <w:lang w:val="en-US"/>
        </w:rPr>
      </w:pPr>
      <w:r>
        <w:rPr>
          <w:rFonts w:ascii="Times New Roman" w:hAnsi="Times New Roman"/>
          <w:kern w:val="36"/>
          <w:sz w:val="28"/>
          <w:szCs w:val="28"/>
          <w:lang w:val="en-US" w:eastAsia="uk-UA"/>
        </w:rPr>
        <w:t xml:space="preserve">57. </w:t>
      </w:r>
      <w:r w:rsidR="00114DA2" w:rsidRPr="00114DA2">
        <w:rPr>
          <w:rFonts w:ascii="Times New Roman" w:hAnsi="Times New Roman"/>
          <w:sz w:val="28"/>
          <w:szCs w:val="28"/>
        </w:rPr>
        <w:t>Kozachenko G., Pogorelov Yu., Diachkov D. Modern directions of consulting in the field of ensuring comprehensive business security. Security management of the XXI century: national and geopolitical aspects. : collective monograph. ISSUE 4. Prague (Czech Repulic), Nemoros s.r.o., 2022. Р. 171</w:t>
      </w:r>
      <w:r w:rsidR="00114DA2" w:rsidRPr="00114DA2">
        <w:rPr>
          <w:rFonts w:ascii="Times New Roman" w:hAnsi="Times New Roman"/>
          <w:sz w:val="28"/>
          <w:szCs w:val="28"/>
        </w:rPr>
        <w:noBreakHyphen/>
        <w:t>178 (ЄС).</w:t>
      </w:r>
    </w:p>
    <w:p w14:paraId="72E97619" w14:textId="77777777" w:rsidR="00551ECB" w:rsidRPr="00EC2D17" w:rsidRDefault="00551ECB" w:rsidP="009A346C">
      <w:pPr>
        <w:pStyle w:val="af0"/>
        <w:adjustRightInd w:val="0"/>
        <w:snapToGrid w:val="0"/>
        <w:spacing w:after="0" w:line="360" w:lineRule="auto"/>
        <w:ind w:firstLineChars="200" w:firstLine="560"/>
        <w:jc w:val="both"/>
        <w:rPr>
          <w:rFonts w:ascii="Times New Roman" w:hAnsi="Times New Roman"/>
          <w:bCs/>
          <w:sz w:val="28"/>
          <w:szCs w:val="28"/>
          <w:lang w:val="en-US"/>
        </w:rPr>
      </w:pPr>
      <w:r>
        <w:rPr>
          <w:rFonts w:ascii="Times New Roman" w:hAnsi="Times New Roman"/>
          <w:sz w:val="28"/>
          <w:szCs w:val="28"/>
          <w:lang w:val="en-US"/>
        </w:rPr>
        <w:t>58</w:t>
      </w:r>
      <w:r w:rsidRPr="00551ECB">
        <w:rPr>
          <w:rFonts w:ascii="Times New Roman" w:hAnsi="Times New Roman"/>
          <w:sz w:val="28"/>
          <w:szCs w:val="28"/>
          <w:lang w:val="en-US"/>
        </w:rPr>
        <w:t xml:space="preserve">. </w:t>
      </w:r>
      <w:r w:rsidRPr="00551ECB">
        <w:rPr>
          <w:rFonts w:ascii="Times New Roman" w:hAnsi="Times New Roman"/>
          <w:sz w:val="28"/>
          <w:szCs w:val="28"/>
        </w:rPr>
        <w:t>Kozachenko G., Pogorelov Yu., Andrushchenko I., Gerasymenko L., Romanovska Y. Economic Security in Post-Soviet Countries: Level of Ensuring and Development Trend. Review of Applied Socio-Economic Research. 2021. Volume 22. Issue 2. pp. 86</w:t>
      </w:r>
      <w:r w:rsidRPr="00551ECB">
        <w:rPr>
          <w:rFonts w:ascii="Times New Roman" w:hAnsi="Times New Roman"/>
          <w:sz w:val="28"/>
          <w:szCs w:val="28"/>
        </w:rPr>
        <w:noBreakHyphen/>
        <w:t xml:space="preserve">101. </w:t>
      </w:r>
      <w:r w:rsidRPr="00EC2D17">
        <w:rPr>
          <w:rFonts w:ascii="Times New Roman" w:hAnsi="Times New Roman"/>
          <w:bCs/>
          <w:sz w:val="28"/>
          <w:szCs w:val="28"/>
        </w:rPr>
        <w:t>(Scopus)</w:t>
      </w:r>
    </w:p>
    <w:p w14:paraId="0164957F" w14:textId="77777777" w:rsidR="00551ECB" w:rsidRPr="00EC2D17" w:rsidRDefault="00371A0C" w:rsidP="009A346C">
      <w:pPr>
        <w:pStyle w:val="af0"/>
        <w:adjustRightInd w:val="0"/>
        <w:snapToGrid w:val="0"/>
        <w:spacing w:after="0" w:line="360" w:lineRule="auto"/>
        <w:ind w:firstLineChars="200" w:firstLine="560"/>
        <w:jc w:val="both"/>
        <w:rPr>
          <w:rFonts w:ascii="Times New Roman" w:hAnsi="Times New Roman"/>
          <w:bCs/>
          <w:sz w:val="28"/>
          <w:szCs w:val="28"/>
          <w:lang w:val="en-US"/>
        </w:rPr>
      </w:pPr>
      <w:r w:rsidRPr="00551ECB">
        <w:rPr>
          <w:rFonts w:ascii="Times New Roman" w:hAnsi="Times New Roman"/>
          <w:kern w:val="36"/>
          <w:sz w:val="28"/>
          <w:szCs w:val="28"/>
          <w:lang w:val="en-US" w:eastAsia="uk-UA"/>
        </w:rPr>
        <w:t>59</w:t>
      </w:r>
      <w:r w:rsidR="00551ECB" w:rsidRPr="00551ECB">
        <w:rPr>
          <w:rFonts w:ascii="Times New Roman" w:hAnsi="Times New Roman"/>
          <w:kern w:val="36"/>
          <w:sz w:val="28"/>
          <w:szCs w:val="28"/>
          <w:lang w:val="en-US" w:eastAsia="uk-UA"/>
        </w:rPr>
        <w:t xml:space="preserve">. </w:t>
      </w:r>
      <w:r w:rsidR="00551ECB" w:rsidRPr="00551ECB">
        <w:rPr>
          <w:rFonts w:ascii="Times New Roman" w:hAnsi="Times New Roman"/>
          <w:sz w:val="28"/>
          <w:szCs w:val="28"/>
        </w:rPr>
        <w:t>Kozachenko G. V., Pogorelov Yu. S., Ovcharenko Ye. I., Illiashenko O. V. Use of methods of operational cost management in the planning and accounting organization at the enterprises in Ukraine. Problems and Perspectives in Management. 2018. Volume 16, Issue 3. Рр. 488</w:t>
      </w:r>
      <w:r w:rsidR="00551ECB" w:rsidRPr="00551ECB">
        <w:rPr>
          <w:rFonts w:ascii="Times New Roman" w:hAnsi="Times New Roman"/>
          <w:sz w:val="28"/>
          <w:szCs w:val="28"/>
        </w:rPr>
        <w:noBreakHyphen/>
        <w:t xml:space="preserve">500. </w:t>
      </w:r>
      <w:r w:rsidR="00551ECB" w:rsidRPr="00EC2D17">
        <w:rPr>
          <w:rFonts w:ascii="Times New Roman" w:hAnsi="Times New Roman"/>
          <w:bCs/>
          <w:sz w:val="28"/>
          <w:szCs w:val="28"/>
        </w:rPr>
        <w:t>(Scopus)</w:t>
      </w:r>
    </w:p>
    <w:p w14:paraId="0AC7D8B8" w14:textId="77777777" w:rsidR="0007250F" w:rsidRPr="0007250F" w:rsidRDefault="00371A0C" w:rsidP="00551ECB">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60. </w:t>
      </w:r>
      <w:r w:rsidR="0007250F" w:rsidRPr="0007250F">
        <w:rPr>
          <w:rFonts w:ascii="Times New Roman" w:hAnsi="Times New Roman"/>
          <w:kern w:val="36"/>
          <w:sz w:val="28"/>
          <w:szCs w:val="28"/>
          <w:lang w:val="en-US" w:eastAsia="uk-UA"/>
        </w:rPr>
        <w:t>Kondratiev N.D. Problems of economic dynamics. Monograph. Moscow 1989. 128p</w:t>
      </w:r>
    </w:p>
    <w:p w14:paraId="2FD1CB6F" w14:textId="77777777" w:rsidR="0007250F" w:rsidRPr="0007250F" w:rsidRDefault="00371A0C" w:rsidP="009A346C">
      <w:pPr>
        <w:pStyle w:val="af0"/>
        <w:adjustRightInd w:val="0"/>
        <w:snapToGrid w:val="0"/>
        <w:spacing w:after="0" w:line="360" w:lineRule="auto"/>
        <w:ind w:firstLineChars="200" w:firstLine="560"/>
        <w:jc w:val="both"/>
        <w:rPr>
          <w:rFonts w:ascii="Times New Roman" w:hAnsi="Times New Roman"/>
          <w:sz w:val="28"/>
          <w:szCs w:val="28"/>
          <w:lang w:val="en-US"/>
        </w:rPr>
      </w:pPr>
      <w:r>
        <w:rPr>
          <w:rFonts w:ascii="Times New Roman" w:hAnsi="Times New Roman"/>
          <w:sz w:val="28"/>
          <w:szCs w:val="28"/>
          <w:lang w:val="en-US"/>
        </w:rPr>
        <w:lastRenderedPageBreak/>
        <w:t xml:space="preserve">61. </w:t>
      </w:r>
      <w:r w:rsidR="0007250F" w:rsidRPr="0007250F">
        <w:rPr>
          <w:rFonts w:ascii="Times New Roman" w:hAnsi="Times New Roman"/>
          <w:sz w:val="28"/>
          <w:szCs w:val="28"/>
          <w:lang w:val="en-US"/>
        </w:rPr>
        <w:t>MP Denysenko, SV Breus. The shadow economy as a factor in reducing the level of economic security of the state. In book: Strategic priorities of the detinization of the economy of Ukraine in the system of economic security: macro and micro dimension: Monograph. Under the editorship Cherevka O.V. Cherkasy,: 2014. 442 p. PP.336-351</w:t>
      </w:r>
    </w:p>
    <w:p w14:paraId="1E763655" w14:textId="77777777" w:rsidR="0007250F" w:rsidRPr="0007250F" w:rsidRDefault="00371A0C" w:rsidP="009A34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360" w:lineRule="auto"/>
        <w:ind w:firstLineChars="200" w:firstLine="560"/>
        <w:rPr>
          <w:rFonts w:ascii="Times New Roman" w:hAnsi="Times New Roman" w:cs="Times New Roman"/>
          <w:sz w:val="28"/>
          <w:szCs w:val="28"/>
          <w:lang w:eastAsia="uk-UA"/>
        </w:rPr>
      </w:pPr>
      <w:r>
        <w:rPr>
          <w:rFonts w:ascii="Times New Roman" w:hAnsi="Times New Roman" w:cs="Times New Roman"/>
          <w:sz w:val="28"/>
          <w:szCs w:val="28"/>
          <w:lang w:eastAsia="uk-UA"/>
        </w:rPr>
        <w:t xml:space="preserve">62 </w:t>
      </w:r>
      <w:r w:rsidR="0007250F" w:rsidRPr="0007250F">
        <w:rPr>
          <w:rFonts w:ascii="Times New Roman" w:hAnsi="Times New Roman" w:cs="Times New Roman"/>
          <w:sz w:val="28"/>
          <w:szCs w:val="28"/>
          <w:lang w:eastAsia="uk-UA"/>
        </w:rPr>
        <w:t>Nоrt DК. Institutions, Institutional Change and Economic Performance (1997) pp.180.</w:t>
      </w:r>
    </w:p>
    <w:p w14:paraId="380F2446" w14:textId="77777777" w:rsidR="0007250F" w:rsidRPr="0007250F" w:rsidRDefault="00371A0C"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63. </w:t>
      </w:r>
      <w:r w:rsidR="0007250F" w:rsidRPr="0007250F">
        <w:rPr>
          <w:rFonts w:ascii="Times New Roman" w:hAnsi="Times New Roman"/>
          <w:kern w:val="36"/>
          <w:sz w:val="28"/>
          <w:szCs w:val="28"/>
          <w:lang w:val="en-US" w:eastAsia="uk-UA"/>
        </w:rPr>
        <w:t xml:space="preserve">Pitirim. A. Sorokin. Social and Cultural Dynamics: A Study of Change in Major Systems of Art, Truth, Ethics, Law and Social Relationships... Extending Horizons Books; Revised edition. 1957. 720 </w:t>
      </w:r>
      <w:r w:rsidR="0007250F" w:rsidRPr="0007250F">
        <w:rPr>
          <w:rFonts w:ascii="Times New Roman" w:hAnsi="Times New Roman"/>
          <w:kern w:val="36"/>
          <w:sz w:val="28"/>
          <w:szCs w:val="28"/>
          <w:lang w:val="ru-RU" w:eastAsia="uk-UA"/>
        </w:rPr>
        <w:t>рр</w:t>
      </w:r>
      <w:r w:rsidR="0007250F" w:rsidRPr="0007250F">
        <w:rPr>
          <w:rFonts w:ascii="Times New Roman" w:hAnsi="Times New Roman"/>
          <w:kern w:val="36"/>
          <w:sz w:val="28"/>
          <w:szCs w:val="28"/>
          <w:lang w:val="en-US" w:eastAsia="uk-UA"/>
        </w:rPr>
        <w:t xml:space="preserve">. </w:t>
      </w:r>
    </w:p>
    <w:p w14:paraId="37EF54E7" w14:textId="77777777" w:rsidR="0007250F" w:rsidRPr="0007250F" w:rsidRDefault="00371A0C"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64. </w:t>
      </w:r>
      <w:r w:rsidR="0007250F" w:rsidRPr="0007250F">
        <w:rPr>
          <w:rFonts w:ascii="Times New Roman" w:hAnsi="Times New Roman"/>
          <w:kern w:val="36"/>
          <w:sz w:val="28"/>
          <w:szCs w:val="28"/>
          <w:lang w:val="en-US" w:eastAsia="uk-UA"/>
        </w:rPr>
        <w:t>Prigozhin I.R., Stengers I. Time, Chaos, Quantum. Monograph. Moscow: Progress, 1994. 263 p.</w:t>
      </w:r>
    </w:p>
    <w:p w14:paraId="7398FE60" w14:textId="77777777" w:rsidR="007016C9" w:rsidRPr="00371A0C" w:rsidRDefault="00371A0C" w:rsidP="007016C9">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65. </w:t>
      </w:r>
      <w:r w:rsidR="007016C9" w:rsidRPr="00371A0C">
        <w:rPr>
          <w:rFonts w:ascii="Times New Roman" w:hAnsi="Times New Roman"/>
          <w:kern w:val="36"/>
          <w:sz w:val="28"/>
          <w:szCs w:val="28"/>
          <w:lang w:val="en-US" w:eastAsia="uk-UA"/>
        </w:rPr>
        <w:t>Sukhorukov A.I. Anti-crisis policy of developed countries. Economy of Ukraine. 2004. No. 8. pp. 16-27</w:t>
      </w:r>
    </w:p>
    <w:p w14:paraId="4F63AE9F" w14:textId="77777777" w:rsidR="00B43A27" w:rsidRPr="00B43A27" w:rsidRDefault="00371A0C" w:rsidP="009A346C">
      <w:pPr>
        <w:pStyle w:val="af0"/>
        <w:adjustRightInd w:val="0"/>
        <w:snapToGrid w:val="0"/>
        <w:spacing w:after="0" w:line="360" w:lineRule="auto"/>
        <w:ind w:firstLineChars="200" w:firstLine="560"/>
        <w:jc w:val="both"/>
        <w:rPr>
          <w:rFonts w:ascii="Times New Roman" w:hAnsi="Times New Roman"/>
          <w:sz w:val="28"/>
          <w:szCs w:val="28"/>
          <w:lang w:val="ru-RU"/>
        </w:rPr>
      </w:pPr>
      <w:r>
        <w:rPr>
          <w:rFonts w:ascii="Times New Roman" w:hAnsi="Times New Roman"/>
          <w:kern w:val="36"/>
          <w:sz w:val="28"/>
          <w:szCs w:val="28"/>
          <w:lang w:val="en-US" w:eastAsia="uk-UA"/>
        </w:rPr>
        <w:t xml:space="preserve">66. </w:t>
      </w:r>
      <w:r w:rsidR="00B43A27" w:rsidRPr="00B43A27">
        <w:rPr>
          <w:rFonts w:ascii="Times New Roman" w:hAnsi="Times New Roman"/>
          <w:sz w:val="28"/>
          <w:szCs w:val="28"/>
        </w:rPr>
        <w:t xml:space="preserve">Maslennikov Y., Kozak Y., Sulym. O. Foreign economic activity of enterprises : Training Manual. Kyiv-CUL. 2020. 200 p. </w:t>
      </w:r>
    </w:p>
    <w:p w14:paraId="3E2EEC71" w14:textId="77777777" w:rsidR="0007250F" w:rsidRPr="00371A0C" w:rsidRDefault="00C455E1" w:rsidP="00B43A27">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67. </w:t>
      </w:r>
      <w:r w:rsidR="0007250F" w:rsidRPr="00371A0C">
        <w:rPr>
          <w:rFonts w:ascii="Times New Roman" w:hAnsi="Times New Roman"/>
          <w:kern w:val="36"/>
          <w:sz w:val="28"/>
          <w:szCs w:val="28"/>
          <w:lang w:val="en-US" w:eastAsia="uk-UA"/>
        </w:rPr>
        <w:t>Snooks G. The Dynamic Society: Exploring the Sources of Global Change. Routledge, 1996; Karelov S. The Great War cannot be avoided. Access mode: URL: https://uainfo.org/blognews/1483992301-bolshoy-voyny-ne-minovat.html/ (Date released 10/01/2023).</w:t>
      </w:r>
    </w:p>
    <w:p w14:paraId="29318D5C" w14:textId="77777777" w:rsidR="0007250F" w:rsidRPr="00371A0C" w:rsidRDefault="00C455E1"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68.</w:t>
      </w:r>
      <w:r w:rsidR="0007250F" w:rsidRPr="00371A0C">
        <w:rPr>
          <w:rFonts w:ascii="Times New Roman" w:hAnsi="Times New Roman"/>
          <w:kern w:val="36"/>
          <w:sz w:val="28"/>
          <w:szCs w:val="28"/>
          <w:lang w:val="en-US" w:eastAsia="uk-UA"/>
        </w:rPr>
        <w:t xml:space="preserve">Soroko E. M., Yegorova-Gudkova T. I., Tsai Bei. Formation of a financial model of economic growth: world, extinction and mathematical constants. Science Vidannya. Collection of scientific theses V International Scientific Research. conference, Financial system of the region: Trends and prospects for development, Ostrog, 11-12 June 2018. Graduate of the National University “Ostrozka Academy”, 2018. P.62-64 URL: https://nubip.edu.ua/sites/default/files/u295/ s_437_tezy_fin_systema_2018_web.pdf </w:t>
      </w:r>
    </w:p>
    <w:p w14:paraId="6D08C1E2" w14:textId="77777777" w:rsidR="0007250F" w:rsidRPr="00371A0C" w:rsidRDefault="00C455E1" w:rsidP="009A346C">
      <w:pPr>
        <w:kinsoku w:val="0"/>
        <w:overflowPunct w:val="0"/>
        <w:autoSpaceDE w:val="0"/>
        <w:autoSpaceDN w:val="0"/>
        <w:adjustRightInd w:val="0"/>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69. </w:t>
      </w:r>
      <w:r w:rsidR="0007250F" w:rsidRPr="00371A0C">
        <w:rPr>
          <w:rFonts w:ascii="Times New Roman" w:hAnsi="Times New Roman" w:cs="Times New Roman"/>
          <w:sz w:val="28"/>
          <w:szCs w:val="28"/>
        </w:rPr>
        <w:t xml:space="preserve">Stefania Vitali, James B. Glattfelder, Stefano Battiston. The network of </w:t>
      </w:r>
      <w:r w:rsidR="0007250F" w:rsidRPr="00371A0C">
        <w:rPr>
          <w:rFonts w:ascii="Times New Roman" w:hAnsi="Times New Roman" w:cs="Times New Roman"/>
          <w:sz w:val="28"/>
          <w:szCs w:val="28"/>
        </w:rPr>
        <w:lastRenderedPageBreak/>
        <w:t>global corporate control. arXiv:1107.5728v2 [q-fin.GN] 19 Sep 2011. Chair of Systems Design, ETH Zurich, PP.1-36.</w:t>
      </w:r>
    </w:p>
    <w:p w14:paraId="0402F58A" w14:textId="77777777" w:rsidR="0007250F" w:rsidRPr="00371A0C" w:rsidRDefault="00C455E1"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70. </w:t>
      </w:r>
      <w:r w:rsidR="0007250F" w:rsidRPr="00371A0C">
        <w:rPr>
          <w:rFonts w:ascii="Times New Roman" w:hAnsi="Times New Roman"/>
          <w:kern w:val="36"/>
          <w:sz w:val="28"/>
          <w:szCs w:val="28"/>
          <w:lang w:val="en-US" w:eastAsia="uk-UA"/>
        </w:rPr>
        <w:t>Sukhorukov A.I. Influx of structural damage to the safety of economic systems. Steel rose – XXI century. Discussions 2020: count. mon. NAUKMA. per ed. E. Khlobistova. Kiev, 2020. pp. 67-75.</w:t>
      </w:r>
    </w:p>
    <w:p w14:paraId="00925B1F" w14:textId="77777777" w:rsidR="0007250F" w:rsidRPr="00371A0C" w:rsidRDefault="00C455E1"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71. </w:t>
      </w:r>
      <w:r w:rsidR="0007250F" w:rsidRPr="00371A0C">
        <w:rPr>
          <w:rFonts w:ascii="Times New Roman" w:hAnsi="Times New Roman"/>
          <w:kern w:val="36"/>
          <w:sz w:val="28"/>
          <w:szCs w:val="28"/>
          <w:lang w:val="en-US" w:eastAsia="uk-UA"/>
        </w:rPr>
        <w:t>Sukhorukov A.I. Synergetic model of the economic security system of the state. Steel developments – XXI century: management, technologies, models. Discussions 2015: count. mon. per ed. E. Khlobistova. Cherkassy: view. Chabanenko Yu.A., 2015. P. 84-96.</w:t>
      </w:r>
    </w:p>
    <w:p w14:paraId="09BE5948" w14:textId="77777777" w:rsidR="0007250F" w:rsidRPr="00371A0C" w:rsidRDefault="00C455E1"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72. </w:t>
      </w:r>
      <w:r w:rsidR="0007250F" w:rsidRPr="00371A0C">
        <w:rPr>
          <w:rFonts w:ascii="Times New Roman" w:hAnsi="Times New Roman"/>
          <w:kern w:val="36"/>
          <w:sz w:val="28"/>
          <w:szCs w:val="28"/>
          <w:lang w:val="en-US" w:eastAsia="uk-UA"/>
        </w:rPr>
        <w:t>Sukhorukov A.I. System of economic security of the state. National Institute for International Security Problems under the RNBO of Ukraine. K. Stylos, 2009, pp. 194–204.</w:t>
      </w:r>
    </w:p>
    <w:p w14:paraId="6673C84B" w14:textId="77777777" w:rsidR="0007250F" w:rsidRPr="00371A0C" w:rsidRDefault="00C455E1"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73. </w:t>
      </w:r>
      <w:r w:rsidR="0007250F" w:rsidRPr="00371A0C">
        <w:rPr>
          <w:rFonts w:ascii="Times New Roman" w:hAnsi="Times New Roman"/>
          <w:kern w:val="36"/>
          <w:sz w:val="28"/>
          <w:szCs w:val="28"/>
          <w:lang w:val="en-US" w:eastAsia="uk-UA"/>
        </w:rPr>
        <w:t>T. I. Yegorova-Gudkova Anti-crisis: infusion of project management, planning and marketing research. Market economics: current theory and practice of management, Vol. 21 No. 2(51), 2022, pp. 40-41, Ibid.</w:t>
      </w:r>
    </w:p>
    <w:p w14:paraId="02D7BFE0" w14:textId="77777777" w:rsidR="0007250F" w:rsidRPr="00371A0C" w:rsidRDefault="00C455E1" w:rsidP="009A346C">
      <w:pPr>
        <w:autoSpaceDE w:val="0"/>
        <w:autoSpaceDN w:val="0"/>
        <w:adjustRightInd w:val="0"/>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74. </w:t>
      </w:r>
      <w:r w:rsidR="0007250F" w:rsidRPr="00371A0C">
        <w:rPr>
          <w:rFonts w:ascii="Times New Roman" w:hAnsi="Times New Roman" w:cs="Times New Roman"/>
          <w:sz w:val="28"/>
          <w:szCs w:val="28"/>
        </w:rPr>
        <w:t xml:space="preserve">T. Wołowiec. W. Martyniuk. Local tax strategy and its components and the formation of investment competitiveness of the municipality // Biuletyn Stowarzyszenia Absolwentów i Przyjaciół Wydziału Prawa Katolickiego Uniwersytetu Lubelskiego t. XVII, 19 (2) 2022, s. 239-257. </w:t>
      </w:r>
    </w:p>
    <w:p w14:paraId="29E8AF45" w14:textId="77777777" w:rsidR="0007250F" w:rsidRPr="00371A0C" w:rsidRDefault="00A4292A"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75. </w:t>
      </w:r>
      <w:r w:rsidR="0007250F" w:rsidRPr="00371A0C">
        <w:rPr>
          <w:rFonts w:ascii="Times New Roman" w:hAnsi="Times New Roman"/>
          <w:kern w:val="36"/>
          <w:sz w:val="28"/>
          <w:szCs w:val="28"/>
          <w:lang w:val="en-US" w:eastAsia="uk-UA"/>
        </w:rPr>
        <w:t xml:space="preserve">Yegorova-Gudkova T. I. Some methodological aspects of the design of sustainable economic systems: the Golden Ratio Law. Zb. scientific Pіvnіchno-Skhіdnogo National University named after. Volodymyr Dahl. Series: Management. Lugansk, 2014. VIP. 26(1). 2014. pp. 169 - 184. </w:t>
      </w:r>
    </w:p>
    <w:p w14:paraId="5E98BB11" w14:textId="77777777" w:rsidR="0007250F" w:rsidRPr="00371A0C" w:rsidRDefault="00A4292A" w:rsidP="009A346C">
      <w:pPr>
        <w:pStyle w:val="af0"/>
        <w:adjustRightInd w:val="0"/>
        <w:snapToGrid w:val="0"/>
        <w:spacing w:after="0" w:line="360" w:lineRule="auto"/>
        <w:ind w:firstLineChars="200" w:firstLine="560"/>
        <w:jc w:val="both"/>
        <w:rPr>
          <w:rFonts w:ascii="Times New Roman" w:hAnsi="Times New Roman"/>
          <w:kern w:val="36"/>
          <w:sz w:val="28"/>
          <w:szCs w:val="28"/>
          <w:lang w:val="en-US" w:eastAsia="uk-UA"/>
        </w:rPr>
      </w:pPr>
      <w:r>
        <w:rPr>
          <w:rFonts w:ascii="Times New Roman" w:hAnsi="Times New Roman"/>
          <w:kern w:val="36"/>
          <w:sz w:val="28"/>
          <w:szCs w:val="28"/>
          <w:lang w:val="en-US" w:eastAsia="uk-UA"/>
        </w:rPr>
        <w:t xml:space="preserve">76. </w:t>
      </w:r>
      <w:r w:rsidR="0007250F" w:rsidRPr="00371A0C">
        <w:rPr>
          <w:rFonts w:ascii="Times New Roman" w:hAnsi="Times New Roman"/>
          <w:kern w:val="36"/>
          <w:sz w:val="28"/>
          <w:szCs w:val="28"/>
          <w:lang w:val="en-US" w:eastAsia="uk-UA"/>
        </w:rPr>
        <w:t>Yegorova-Gudkova T.I. The system of economic security of the state in the minds of changes: transdisciplinarity, self-organization, nature-like approach: monograph. Odessa: KP “Odeska Miska Printing House”. 202</w:t>
      </w:r>
      <w:r w:rsidR="00064387">
        <w:rPr>
          <w:rFonts w:ascii="Times New Roman" w:hAnsi="Times New Roman"/>
          <w:kern w:val="36"/>
          <w:sz w:val="28"/>
          <w:szCs w:val="28"/>
          <w:lang w:val="en-US" w:eastAsia="uk-UA"/>
        </w:rPr>
        <w:t>1</w:t>
      </w:r>
      <w:r w:rsidR="0007250F" w:rsidRPr="00371A0C">
        <w:rPr>
          <w:rFonts w:ascii="Times New Roman" w:hAnsi="Times New Roman"/>
          <w:kern w:val="36"/>
          <w:sz w:val="28"/>
          <w:szCs w:val="28"/>
          <w:lang w:val="en-US" w:eastAsia="uk-UA"/>
        </w:rPr>
        <w:t>. 353 p.</w:t>
      </w:r>
    </w:p>
    <w:p w14:paraId="244D5338" w14:textId="77777777" w:rsidR="0007250F" w:rsidRPr="00371A0C" w:rsidRDefault="00A4292A" w:rsidP="009A346C">
      <w:pPr>
        <w:autoSpaceDE w:val="0"/>
        <w:autoSpaceDN w:val="0"/>
        <w:adjustRightInd w:val="0"/>
        <w:snapToGrid w:val="0"/>
        <w:spacing w:line="360" w:lineRule="auto"/>
        <w:ind w:firstLineChars="200" w:firstLine="560"/>
        <w:rPr>
          <w:rFonts w:ascii="Times New Roman" w:hAnsi="Times New Roman" w:cs="Times New Roman"/>
          <w:sz w:val="28"/>
          <w:szCs w:val="28"/>
        </w:rPr>
      </w:pPr>
      <w:r>
        <w:rPr>
          <w:rFonts w:ascii="Times New Roman" w:hAnsi="Times New Roman" w:cs="Times New Roman"/>
          <w:color w:val="000000"/>
          <w:sz w:val="28"/>
          <w:szCs w:val="28"/>
        </w:rPr>
        <w:t xml:space="preserve">77. </w:t>
      </w:r>
      <w:r w:rsidR="0007250F" w:rsidRPr="00371A0C">
        <w:rPr>
          <w:rFonts w:ascii="Times New Roman" w:hAnsi="Times New Roman" w:cs="Times New Roman"/>
          <w:color w:val="000000"/>
          <w:sz w:val="28"/>
          <w:szCs w:val="28"/>
        </w:rPr>
        <w:t>Yegorova-Gudkova Tatyana. Projecting of steady complexity economic systems on self-organizing principles as a component of anti-crisis strategy. (</w:t>
      </w:r>
      <w:r w:rsidR="0007250F" w:rsidRPr="00371A0C">
        <w:rPr>
          <w:rFonts w:ascii="Times New Roman" w:hAnsi="Times New Roman" w:cs="Times New Roman"/>
          <w:sz w:val="28"/>
          <w:szCs w:val="28"/>
        </w:rPr>
        <w:t xml:space="preserve">Absract of 2012 International Conferenceon Trends and Cycles in Global </w:t>
      </w:r>
      <w:r w:rsidR="0007250F" w:rsidRPr="00371A0C">
        <w:rPr>
          <w:rFonts w:ascii="Times New Roman" w:hAnsi="Times New Roman" w:cs="Times New Roman"/>
          <w:sz w:val="28"/>
          <w:szCs w:val="28"/>
        </w:rPr>
        <w:lastRenderedPageBreak/>
        <w:t>Dynamics and Perspectives of World Development October 13–15, 2012), Chengdu, China, Р.40 -41.</w:t>
      </w:r>
    </w:p>
    <w:p w14:paraId="457E4F3B" w14:textId="77777777" w:rsidR="007353B9" w:rsidRPr="005767C7" w:rsidRDefault="00A4292A" w:rsidP="009A346C">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36"/>
          <w:lang w:val="en-US"/>
        </w:rPr>
        <w:t>78.</w:t>
      </w:r>
      <w:r w:rsidR="006F35DE">
        <w:rPr>
          <w:rFonts w:ascii="Times New Roman" w:hAnsi="Times New Roman" w:cs="Times New Roman"/>
          <w:sz w:val="28"/>
          <w:szCs w:val="36"/>
          <w:lang w:val="en-US"/>
        </w:rPr>
        <w:t xml:space="preserve"> </w:t>
      </w:r>
      <w:r w:rsidR="005767C7" w:rsidRPr="005767C7">
        <w:rPr>
          <w:rFonts w:ascii="Times New Roman" w:hAnsi="Times New Roman" w:cs="Times New Roman"/>
          <w:sz w:val="28"/>
          <w:szCs w:val="28"/>
        </w:rPr>
        <w:t>Kozachenko G., Andrushchenko I., Pogorelov Yu. Raiding as a threat to economic security of Ukraine: legal framework of counteraction. Journal of law and political sciences. 2020. Vol. 23, issue 2. P. 297</w:t>
      </w:r>
      <w:r w:rsidR="005767C7" w:rsidRPr="005767C7">
        <w:rPr>
          <w:rFonts w:ascii="Times New Roman" w:hAnsi="Times New Roman" w:cs="Times New Roman"/>
          <w:sz w:val="28"/>
          <w:szCs w:val="28"/>
        </w:rPr>
        <w:noBreakHyphen/>
        <w:t>341. (</w:t>
      </w:r>
      <w:r w:rsidR="005767C7" w:rsidRPr="005767C7">
        <w:rPr>
          <w:rFonts w:ascii="Times New Roman" w:hAnsi="Times New Roman" w:cs="Times New Roman"/>
          <w:bCs/>
          <w:sz w:val="28"/>
          <w:szCs w:val="28"/>
        </w:rPr>
        <w:t>Web of Science</w:t>
      </w:r>
      <w:r w:rsidR="005767C7" w:rsidRPr="005767C7">
        <w:rPr>
          <w:rFonts w:ascii="Times New Roman" w:hAnsi="Times New Roman" w:cs="Times New Roman"/>
          <w:sz w:val="28"/>
          <w:szCs w:val="28"/>
        </w:rPr>
        <w:t>)</w:t>
      </w:r>
      <w:r w:rsidR="006F35DE" w:rsidRPr="005767C7">
        <w:rPr>
          <w:rFonts w:ascii="Times New Roman" w:hAnsi="Times New Roman" w:cs="Times New Roman"/>
          <w:sz w:val="28"/>
          <w:szCs w:val="28"/>
          <w:lang w:val="en-US"/>
        </w:rPr>
        <w:t>.</w:t>
      </w:r>
    </w:p>
    <w:p w14:paraId="19B253A4" w14:textId="77777777" w:rsidR="007353B9" w:rsidRDefault="00A4292A" w:rsidP="009A346C">
      <w:pPr>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79</w:t>
      </w:r>
      <w:r w:rsidR="006F35DE">
        <w:rPr>
          <w:rFonts w:ascii="Times New Roman" w:hAnsi="Times New Roman" w:cs="Times New Roman"/>
          <w:sz w:val="28"/>
          <w:szCs w:val="36"/>
          <w:lang w:val="en-US"/>
        </w:rPr>
        <w:t>．</w:t>
      </w:r>
      <w:r w:rsidR="006F35DE">
        <w:rPr>
          <w:rFonts w:ascii="Times New Roman" w:hAnsi="Times New Roman" w:cs="Times New Roman"/>
          <w:sz w:val="28"/>
          <w:szCs w:val="36"/>
          <w:lang w:val="en-US"/>
        </w:rPr>
        <w:t xml:space="preserve"> DSTU 8302:2015. Information and documentation. Bibliographic reference. General Regulations and Rules of composition. Retrieved from http://lib.pnu.edu.ua/files/dstu-8302-2015.pdf.</w:t>
      </w:r>
    </w:p>
    <w:p w14:paraId="693F7FCF" w14:textId="77777777" w:rsidR="007353B9" w:rsidRDefault="00A4292A" w:rsidP="009A346C">
      <w:pPr>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80</w:t>
      </w:r>
      <w:r w:rsidR="006F35DE">
        <w:rPr>
          <w:rFonts w:ascii="Times New Roman" w:hAnsi="Times New Roman" w:cs="Times New Roman"/>
          <w:sz w:val="28"/>
          <w:szCs w:val="36"/>
          <w:lang w:val="en-US"/>
        </w:rPr>
        <w:t>．</w:t>
      </w:r>
      <w:r w:rsidR="006F35DE">
        <w:rPr>
          <w:rFonts w:ascii="Times New Roman" w:hAnsi="Times New Roman" w:cs="Times New Roman"/>
          <w:sz w:val="28"/>
          <w:szCs w:val="36"/>
          <w:lang w:val="en-US"/>
        </w:rPr>
        <w:t xml:space="preserve"> Ministry of Education and Science of Ukraine. (2019). Standard of higher education in specialty 073 "Management" for the second (master's) level of higher education, approved by Order № 959. Retrieved from https://mon.gov.ua /storage/app/media/vishcha-osvita/zatverdzeni%20standarty/2019/07/12/073-menedzhment-magistr.pdf</w:t>
      </w:r>
    </w:p>
    <w:p w14:paraId="4417221C" w14:textId="77777777" w:rsidR="007353B9" w:rsidRDefault="00A4292A" w:rsidP="009A346C">
      <w:pPr>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81</w:t>
      </w:r>
      <w:r w:rsidR="006F35DE">
        <w:rPr>
          <w:rFonts w:ascii="Times New Roman" w:hAnsi="Times New Roman" w:cs="Times New Roman"/>
          <w:sz w:val="28"/>
          <w:szCs w:val="36"/>
          <w:lang w:val="en-US"/>
        </w:rPr>
        <w:t>. Cabinet of Ministers of Ukraine. (2015). License conditions for the provision of educational activities of educational institutions: Resolution № 1187. Retrieved from http://zakon5.rada.gov.ua/laws/show/1187-2015-%D0 %BF</w:t>
      </w:r>
    </w:p>
    <w:p w14:paraId="468453F4" w14:textId="77777777" w:rsidR="007353B9" w:rsidRDefault="00A4292A" w:rsidP="009A346C">
      <w:pPr>
        <w:snapToGrid w:val="0"/>
        <w:spacing w:line="360" w:lineRule="auto"/>
        <w:ind w:firstLineChars="200" w:firstLine="560"/>
        <w:rPr>
          <w:rFonts w:ascii="Times New Roman" w:hAnsi="Times New Roman" w:cs="Times New Roman"/>
          <w:sz w:val="28"/>
          <w:szCs w:val="36"/>
          <w:lang w:val="en-US"/>
        </w:rPr>
      </w:pPr>
      <w:r>
        <w:rPr>
          <w:rFonts w:ascii="Times New Roman" w:hAnsi="Times New Roman" w:cs="Times New Roman"/>
          <w:sz w:val="28"/>
          <w:szCs w:val="36"/>
          <w:lang w:val="en-US"/>
        </w:rPr>
        <w:t>82</w:t>
      </w:r>
      <w:r w:rsidR="006F35DE">
        <w:rPr>
          <w:rFonts w:ascii="Times New Roman" w:hAnsi="Times New Roman" w:cs="Times New Roman"/>
          <w:sz w:val="28"/>
          <w:szCs w:val="36"/>
          <w:lang w:val="en-US"/>
        </w:rPr>
        <w:t>. Odessa II Mechnikov National University. (2022). Regulations on the organization of the educational process at Odessa National University named after II Mechnikov: Approved by the Academic Council of ONU named after II Mechnikov, Protocol № 1. Retrieved from http://onu .edu.ua/pub/bank/userfiles/files/documents/polozennya/poloz-org-osvit-process_2022.pdf</w:t>
      </w:r>
    </w:p>
    <w:sectPr w:rsidR="007353B9">
      <w:pgSz w:w="11906" w:h="16838"/>
      <w:pgMar w:top="1134" w:right="850" w:bottom="1134"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31468F" w14:textId="77777777" w:rsidR="00210D03" w:rsidRDefault="00210D03">
      <w:r>
        <w:separator/>
      </w:r>
    </w:p>
  </w:endnote>
  <w:endnote w:type="continuationSeparator" w:id="0">
    <w:p w14:paraId="7EE63650" w14:textId="77777777" w:rsidR="00210D03" w:rsidRDefault="00210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charset w:val="00"/>
    <w:family w:val="auto"/>
    <w:pitch w:val="default"/>
  </w:font>
  <w:font w:name="TimesNewRomanPS-BoldMT">
    <w:altName w:val="Times New Roman"/>
    <w:charset w:val="00"/>
    <w:family w:val="auto"/>
    <w:pitch w:val="default"/>
    <w:sig w:usb0="00000000" w:usb1="00000000" w:usb2="00000000"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CC5A6" w14:textId="77777777" w:rsidR="0003198E" w:rsidRDefault="0003198E">
    <w:pPr>
      <w:pStyle w:val="a3"/>
    </w:pPr>
    <w:r>
      <w:rPr>
        <w:rFonts w:hint="eastAsia"/>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4FAE60" w14:textId="77777777" w:rsidR="00210D03" w:rsidRDefault="00210D03">
      <w:r>
        <w:separator/>
      </w:r>
    </w:p>
  </w:footnote>
  <w:footnote w:type="continuationSeparator" w:id="0">
    <w:p w14:paraId="220E703B" w14:textId="77777777" w:rsidR="00210D03" w:rsidRDefault="00210D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1DD13" w14:textId="77777777" w:rsidR="0003198E" w:rsidRPr="003D596B" w:rsidRDefault="0003198E">
    <w:pPr>
      <w:pStyle w:val="a5"/>
      <w:jc w:val="right"/>
      <w:rPr>
        <w:rFonts w:ascii="Times New Roman" w:hAnsi="Times New Roman"/>
        <w:sz w:val="28"/>
        <w:szCs w:val="28"/>
      </w:rPr>
    </w:pPr>
    <w:r w:rsidRPr="003D596B">
      <w:rPr>
        <w:rFonts w:ascii="Times New Roman" w:hAnsi="Times New Roman"/>
        <w:sz w:val="28"/>
        <w:szCs w:val="28"/>
      </w:rPr>
      <w:fldChar w:fldCharType="begin"/>
    </w:r>
    <w:r w:rsidRPr="003D596B">
      <w:rPr>
        <w:rFonts w:ascii="Times New Roman" w:hAnsi="Times New Roman"/>
        <w:sz w:val="28"/>
        <w:szCs w:val="28"/>
      </w:rPr>
      <w:instrText>PAGE   \* MERGEFORMAT</w:instrText>
    </w:r>
    <w:r w:rsidRPr="003D596B">
      <w:rPr>
        <w:rFonts w:ascii="Times New Roman" w:hAnsi="Times New Roman"/>
        <w:sz w:val="28"/>
        <w:szCs w:val="28"/>
      </w:rPr>
      <w:fldChar w:fldCharType="separate"/>
    </w:r>
    <w:r w:rsidR="0007262F">
      <w:rPr>
        <w:rFonts w:ascii="Times New Roman" w:hAnsi="Times New Roman"/>
        <w:noProof/>
        <w:sz w:val="28"/>
        <w:szCs w:val="28"/>
      </w:rPr>
      <w:t>11</w:t>
    </w:r>
    <w:r w:rsidRPr="003D596B">
      <w:rPr>
        <w:rFonts w:ascii="Times New Roman" w:hAnsi="Times New Roman"/>
        <w:sz w:val="28"/>
        <w:szCs w:val="28"/>
      </w:rPr>
      <w:fldChar w:fldCharType="end"/>
    </w:r>
  </w:p>
  <w:p w14:paraId="73FB0508" w14:textId="77777777" w:rsidR="0003198E" w:rsidRDefault="0003198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D2A2836"/>
    <w:multiLevelType w:val="singleLevel"/>
    <w:tmpl w:val="CD2A2836"/>
    <w:lvl w:ilvl="0">
      <w:start w:val="1"/>
      <w:numFmt w:val="decimal"/>
      <w:suff w:val="nothing"/>
      <w:lvlText w:val="%1．"/>
      <w:lvlJc w:val="left"/>
      <w:pPr>
        <w:ind w:left="0" w:firstLine="400"/>
      </w:pPr>
      <w:rPr>
        <w:rFonts w:hint="default"/>
      </w:rPr>
    </w:lvl>
  </w:abstractNum>
  <w:num w:numId="1" w16cid:durableId="25836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WU5NGFhY2Q2OWViYjZlZWQ0OGZjM2EyMGRmOTRlMTgifQ=="/>
  </w:docVars>
  <w:rsids>
    <w:rsidRoot w:val="72235C3B"/>
    <w:rsid w:val="0003198E"/>
    <w:rsid w:val="00064387"/>
    <w:rsid w:val="0007250F"/>
    <w:rsid w:val="0007262F"/>
    <w:rsid w:val="000E7109"/>
    <w:rsid w:val="00114DA2"/>
    <w:rsid w:val="00177B22"/>
    <w:rsid w:val="00181492"/>
    <w:rsid w:val="001B653B"/>
    <w:rsid w:val="001C728D"/>
    <w:rsid w:val="00207202"/>
    <w:rsid w:val="00210D03"/>
    <w:rsid w:val="00254519"/>
    <w:rsid w:val="002F5B8C"/>
    <w:rsid w:val="0034476A"/>
    <w:rsid w:val="00371A0C"/>
    <w:rsid w:val="003941C0"/>
    <w:rsid w:val="003B79CF"/>
    <w:rsid w:val="00430348"/>
    <w:rsid w:val="00434355"/>
    <w:rsid w:val="004360AC"/>
    <w:rsid w:val="005449A3"/>
    <w:rsid w:val="00551ECB"/>
    <w:rsid w:val="005767C7"/>
    <w:rsid w:val="005830A8"/>
    <w:rsid w:val="005A73BE"/>
    <w:rsid w:val="00677C24"/>
    <w:rsid w:val="006E1A43"/>
    <w:rsid w:val="006F35DE"/>
    <w:rsid w:val="007016C9"/>
    <w:rsid w:val="007200AE"/>
    <w:rsid w:val="007353B9"/>
    <w:rsid w:val="00771C5A"/>
    <w:rsid w:val="0077234D"/>
    <w:rsid w:val="007B16E3"/>
    <w:rsid w:val="007E73A7"/>
    <w:rsid w:val="00832665"/>
    <w:rsid w:val="008515F6"/>
    <w:rsid w:val="008604BD"/>
    <w:rsid w:val="00862118"/>
    <w:rsid w:val="008653E9"/>
    <w:rsid w:val="008E0FD5"/>
    <w:rsid w:val="00926C15"/>
    <w:rsid w:val="009642DA"/>
    <w:rsid w:val="009A346C"/>
    <w:rsid w:val="00A4292A"/>
    <w:rsid w:val="00AD444D"/>
    <w:rsid w:val="00B43A27"/>
    <w:rsid w:val="00C36582"/>
    <w:rsid w:val="00C455E1"/>
    <w:rsid w:val="00C83911"/>
    <w:rsid w:val="00C91CDF"/>
    <w:rsid w:val="00D11506"/>
    <w:rsid w:val="00D5474D"/>
    <w:rsid w:val="00DA4CCB"/>
    <w:rsid w:val="00DD2E6C"/>
    <w:rsid w:val="00EC2D17"/>
    <w:rsid w:val="00F35B86"/>
    <w:rsid w:val="00F40A8A"/>
    <w:rsid w:val="00F61C56"/>
    <w:rsid w:val="00FB5FB6"/>
    <w:rsid w:val="00FE0FBF"/>
    <w:rsid w:val="043A5387"/>
    <w:rsid w:val="0AB1211B"/>
    <w:rsid w:val="1090632E"/>
    <w:rsid w:val="157306F8"/>
    <w:rsid w:val="1B9238A2"/>
    <w:rsid w:val="1DF3687A"/>
    <w:rsid w:val="1EA9518B"/>
    <w:rsid w:val="1F0F182B"/>
    <w:rsid w:val="20455C66"/>
    <w:rsid w:val="25441769"/>
    <w:rsid w:val="30077F63"/>
    <w:rsid w:val="307F5D4C"/>
    <w:rsid w:val="31B5579D"/>
    <w:rsid w:val="31EA18EB"/>
    <w:rsid w:val="34FA0097"/>
    <w:rsid w:val="37EE41E1"/>
    <w:rsid w:val="38E5105E"/>
    <w:rsid w:val="39415538"/>
    <w:rsid w:val="3A00614F"/>
    <w:rsid w:val="3CF61143"/>
    <w:rsid w:val="401D2E8B"/>
    <w:rsid w:val="40DF6392"/>
    <w:rsid w:val="4613720A"/>
    <w:rsid w:val="48831983"/>
    <w:rsid w:val="4AAE5753"/>
    <w:rsid w:val="50FE4613"/>
    <w:rsid w:val="53226CDE"/>
    <w:rsid w:val="547A48F8"/>
    <w:rsid w:val="55560EC1"/>
    <w:rsid w:val="57D04F5B"/>
    <w:rsid w:val="6CCC388B"/>
    <w:rsid w:val="720A29C0"/>
    <w:rsid w:val="72235C3B"/>
    <w:rsid w:val="75D05CCE"/>
    <w:rsid w:val="7936639C"/>
    <w:rsid w:val="7A6D44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4C310FE5"/>
  <w15:docId w15:val="{0DFB7066-CF7F-4059-B37F-D7B47F280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header" w:uiPriority="99"/>
    <w:lsdException w:name="footer" w:uiPriority="99"/>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ite" w:uiPriority="99"/>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snapToGrid w:val="0"/>
      <w:jc w:val="left"/>
    </w:pPr>
    <w:rPr>
      <w:sz w:val="18"/>
    </w:rPr>
  </w:style>
  <w:style w:type="paragraph" w:styleId="a5">
    <w:name w:val="header"/>
    <w:basedOn w:val="a"/>
    <w:link w:val="a6"/>
    <w:uiPriority w:val="9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
    <w:name w:val="toc 1"/>
    <w:basedOn w:val="a"/>
    <w:next w:val="a"/>
  </w:style>
  <w:style w:type="paragraph" w:styleId="2">
    <w:name w:val="toc 2"/>
    <w:basedOn w:val="a"/>
    <w:next w:val="a"/>
    <w:pPr>
      <w:ind w:leftChars="200" w:left="420"/>
    </w:p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Times New Roman" w:hint="eastAsia"/>
      <w:kern w:val="0"/>
      <w:sz w:val="24"/>
    </w:rPr>
  </w:style>
  <w:style w:type="paragraph" w:styleId="a7">
    <w:name w:val="Normal (Web)"/>
    <w:basedOn w:val="a"/>
    <w:qFormat/>
    <w:pPr>
      <w:spacing w:beforeAutospacing="1" w:afterAutospacing="1"/>
      <w:jc w:val="left"/>
    </w:pPr>
    <w:rPr>
      <w:rFonts w:cs="Times New Roman"/>
      <w:kern w:val="0"/>
      <w:sz w:val="24"/>
    </w:rPr>
  </w:style>
  <w:style w:type="character" w:styleId="a8">
    <w:name w:val="Strong"/>
    <w:basedOn w:val="a0"/>
    <w:qFormat/>
    <w:rPr>
      <w:b/>
    </w:rPr>
  </w:style>
  <w:style w:type="character" w:styleId="a9">
    <w:name w:val="Emphasis"/>
    <w:basedOn w:val="a0"/>
    <w:qFormat/>
    <w:rPr>
      <w:i/>
    </w:rPr>
  </w:style>
  <w:style w:type="character" w:styleId="aa">
    <w:name w:val="Hyperlink"/>
    <w:basedOn w:val="a0"/>
    <w:qFormat/>
    <w:rPr>
      <w:color w:val="0000FF"/>
      <w:u w:val="single"/>
    </w:rPr>
  </w:style>
  <w:style w:type="character" w:customStyle="1" w:styleId="y2iqfc">
    <w:name w:val="y2iqfc"/>
    <w:qFormat/>
  </w:style>
  <w:style w:type="character" w:customStyle="1" w:styleId="font31">
    <w:name w:val="font31"/>
    <w:basedOn w:val="a0"/>
    <w:qFormat/>
    <w:rPr>
      <w:rFonts w:ascii="Times New Roman" w:hAnsi="Times New Roman" w:cs="Times New Roman" w:hint="default"/>
      <w:b/>
      <w:bCs/>
      <w:color w:val="000000"/>
      <w:sz w:val="24"/>
      <w:szCs w:val="24"/>
      <w:u w:val="none"/>
    </w:rPr>
  </w:style>
  <w:style w:type="character" w:customStyle="1" w:styleId="font11">
    <w:name w:val="font11"/>
    <w:basedOn w:val="a0"/>
    <w:qFormat/>
    <w:rPr>
      <w:rFonts w:ascii="SimSun" w:eastAsia="SimSun" w:hAnsi="SimSun" w:cs="SimSun" w:hint="eastAsia"/>
      <w:b/>
      <w:bCs/>
      <w:color w:val="000000"/>
      <w:sz w:val="24"/>
      <w:szCs w:val="24"/>
      <w:u w:val="none"/>
    </w:rPr>
  </w:style>
  <w:style w:type="paragraph" w:styleId="ab">
    <w:name w:val="Balloon Text"/>
    <w:basedOn w:val="a"/>
    <w:link w:val="ac"/>
    <w:rsid w:val="008604BD"/>
    <w:rPr>
      <w:rFonts w:ascii="Tahoma" w:hAnsi="Tahoma" w:cs="Tahoma"/>
      <w:sz w:val="16"/>
      <w:szCs w:val="16"/>
    </w:rPr>
  </w:style>
  <w:style w:type="character" w:customStyle="1" w:styleId="ac">
    <w:name w:val="Текст выноски Знак"/>
    <w:basedOn w:val="a0"/>
    <w:link w:val="ab"/>
    <w:rsid w:val="008604BD"/>
    <w:rPr>
      <w:rFonts w:ascii="Tahoma" w:eastAsiaTheme="minorEastAsia" w:hAnsi="Tahoma" w:cs="Tahoma"/>
      <w:kern w:val="2"/>
      <w:sz w:val="16"/>
      <w:szCs w:val="16"/>
      <w:lang w:val="en" w:eastAsia="zh-CN"/>
    </w:rPr>
  </w:style>
  <w:style w:type="paragraph" w:styleId="ad">
    <w:name w:val="List Paragraph"/>
    <w:basedOn w:val="a"/>
    <w:link w:val="ae"/>
    <w:uiPriority w:val="34"/>
    <w:qFormat/>
    <w:rsid w:val="008604BD"/>
    <w:pPr>
      <w:autoSpaceDE w:val="0"/>
      <w:autoSpaceDN w:val="0"/>
      <w:ind w:left="1265" w:hanging="423"/>
      <w:jc w:val="left"/>
    </w:pPr>
    <w:rPr>
      <w:rFonts w:ascii="Times New Roman" w:eastAsia="Times New Roman" w:hAnsi="Times New Roman" w:cs="Times New Roman"/>
      <w:kern w:val="0"/>
      <w:sz w:val="22"/>
      <w:szCs w:val="22"/>
      <w:lang w:val="uk-UA" w:eastAsia="en-US"/>
    </w:rPr>
  </w:style>
  <w:style w:type="character" w:customStyle="1" w:styleId="a6">
    <w:name w:val="Верхний колонтитул Знак"/>
    <w:basedOn w:val="a0"/>
    <w:link w:val="a5"/>
    <w:uiPriority w:val="99"/>
    <w:rsid w:val="008604BD"/>
    <w:rPr>
      <w:rFonts w:asciiTheme="minorHAnsi" w:eastAsiaTheme="minorEastAsia" w:hAnsiTheme="minorHAnsi" w:cstheme="minorBidi"/>
      <w:kern w:val="2"/>
      <w:sz w:val="18"/>
      <w:szCs w:val="24"/>
      <w:lang w:val="en" w:eastAsia="zh-CN"/>
    </w:rPr>
  </w:style>
  <w:style w:type="character" w:customStyle="1" w:styleId="a4">
    <w:name w:val="Нижний колонтитул Знак"/>
    <w:basedOn w:val="a0"/>
    <w:link w:val="a3"/>
    <w:uiPriority w:val="99"/>
    <w:rsid w:val="008604BD"/>
    <w:rPr>
      <w:rFonts w:asciiTheme="minorHAnsi" w:eastAsiaTheme="minorEastAsia" w:hAnsiTheme="minorHAnsi" w:cstheme="minorBidi"/>
      <w:kern w:val="2"/>
      <w:sz w:val="18"/>
      <w:szCs w:val="24"/>
      <w:lang w:val="en" w:eastAsia="zh-CN"/>
    </w:rPr>
  </w:style>
  <w:style w:type="paragraph" w:styleId="af">
    <w:name w:val="No Spacing"/>
    <w:autoRedefine/>
    <w:uiPriority w:val="1"/>
    <w:qFormat/>
    <w:rsid w:val="008604BD"/>
    <w:pPr>
      <w:spacing w:line="312" w:lineRule="auto"/>
    </w:pPr>
    <w:rPr>
      <w:rFonts w:eastAsia="Calibri"/>
      <w:sz w:val="24"/>
      <w:szCs w:val="22"/>
      <w:lang w:val="ru-RU" w:eastAsia="en-US"/>
    </w:rPr>
  </w:style>
  <w:style w:type="character" w:customStyle="1" w:styleId="ae">
    <w:name w:val="Абзац списка Знак"/>
    <w:link w:val="ad"/>
    <w:uiPriority w:val="34"/>
    <w:locked/>
    <w:rsid w:val="008604BD"/>
    <w:rPr>
      <w:rFonts w:eastAsia="Times New Roman"/>
      <w:sz w:val="22"/>
      <w:szCs w:val="22"/>
      <w:lang w:eastAsia="en-US"/>
    </w:rPr>
  </w:style>
  <w:style w:type="paragraph" w:styleId="af0">
    <w:name w:val="footnote text"/>
    <w:basedOn w:val="a"/>
    <w:link w:val="af1"/>
    <w:uiPriority w:val="99"/>
    <w:unhideWhenUsed/>
    <w:qFormat/>
    <w:rsid w:val="0007250F"/>
    <w:pPr>
      <w:widowControl/>
      <w:spacing w:after="200" w:line="276" w:lineRule="auto"/>
      <w:jc w:val="left"/>
    </w:pPr>
    <w:rPr>
      <w:rFonts w:ascii="Calibri" w:hAnsi="Calibri" w:cs="Times New Roman"/>
      <w:kern w:val="0"/>
      <w:sz w:val="20"/>
      <w:szCs w:val="20"/>
      <w:lang w:val="uk-UA" w:eastAsia="en-US"/>
    </w:rPr>
  </w:style>
  <w:style w:type="character" w:customStyle="1" w:styleId="af1">
    <w:name w:val="Текст сноски Знак"/>
    <w:basedOn w:val="a0"/>
    <w:link w:val="af0"/>
    <w:uiPriority w:val="99"/>
    <w:rsid w:val="0007250F"/>
    <w:rPr>
      <w:rFonts w:ascii="Calibri" w:eastAsiaTheme="minorEastAsia" w:hAnsi="Calibri"/>
      <w:lang w:eastAsia="en-US"/>
    </w:rPr>
  </w:style>
  <w:style w:type="character" w:customStyle="1" w:styleId="fontstyle01">
    <w:name w:val="fontstyle01"/>
    <w:rsid w:val="0007250F"/>
    <w:rPr>
      <w:rFonts w:ascii="TimesNewRomanPSMT" w:hAnsi="TimesNewRomanPSMT" w:hint="default"/>
      <w:b w:val="0"/>
      <w:bCs w:val="0"/>
      <w:i w:val="0"/>
      <w:iCs w:val="0"/>
      <w:color w:val="242021"/>
      <w:sz w:val="18"/>
      <w:szCs w:val="18"/>
    </w:rPr>
  </w:style>
  <w:style w:type="character" w:styleId="HTML0">
    <w:name w:val="HTML Cite"/>
    <w:uiPriority w:val="99"/>
    <w:unhideWhenUsed/>
    <w:rsid w:val="000725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unctad.org/webflyer/trade-and-development-report-2020" TargetMode="Externa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0D406-75AF-464D-9A6F-3A4C6B211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70</Pages>
  <Words>82598</Words>
  <Characters>47082</Characters>
  <Application>Microsoft Office Word</Application>
  <DocSecurity>0</DocSecurity>
  <Lines>392</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铂象</dc:creator>
  <cp:lastModifiedBy>Галина</cp:lastModifiedBy>
  <cp:revision>2</cp:revision>
  <dcterms:created xsi:type="dcterms:W3CDTF">2025-03-19T10:51:00Z</dcterms:created>
  <dcterms:modified xsi:type="dcterms:W3CDTF">2025-03-19T10:51:00Z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7401A124934F4D8681C04C4E28E5DECE_13</vt:lpwstr>
  </property>
</Properties>
</file>