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02AC" w:rsidRDefault="00F202AC" w:rsidP="00F202AC">
      <w:pPr>
        <w:widowControl w:val="0"/>
        <w:autoSpaceDE w:val="0"/>
        <w:spacing w:after="0" w:line="360" w:lineRule="auto"/>
        <w:jc w:val="center"/>
        <w:rPr>
          <w:rFonts w:ascii="Times New Roman" w:hAnsi="Times New Roman"/>
          <w:kern w:val="2"/>
          <w:sz w:val="28"/>
          <w:szCs w:val="28"/>
          <w:lang w:val="uk-UA"/>
        </w:rPr>
      </w:pPr>
      <w:r>
        <w:rPr>
          <w:rFonts w:ascii="Times New Roman" w:hAnsi="Times New Roman"/>
          <w:kern w:val="2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F202AC" w:rsidRDefault="00F202AC" w:rsidP="00F202AC">
      <w:pPr>
        <w:widowControl w:val="0"/>
        <w:autoSpaceDE w:val="0"/>
        <w:spacing w:after="0" w:line="360" w:lineRule="auto"/>
        <w:ind w:firstLine="720"/>
        <w:jc w:val="center"/>
        <w:rPr>
          <w:rFonts w:ascii="Times New Roman" w:hAnsi="Times New Roman"/>
          <w:kern w:val="2"/>
          <w:sz w:val="28"/>
          <w:szCs w:val="28"/>
          <w:lang w:val="uk-UA"/>
        </w:rPr>
      </w:pPr>
      <w:r>
        <w:rPr>
          <w:rFonts w:ascii="Times New Roman" w:hAnsi="Times New Roman"/>
          <w:kern w:val="2"/>
          <w:sz w:val="28"/>
          <w:szCs w:val="28"/>
          <w:lang w:val="uk-UA"/>
        </w:rPr>
        <w:t>Біологічний факультет</w:t>
      </w:r>
    </w:p>
    <w:p w:rsidR="00F202AC" w:rsidRDefault="00F202AC" w:rsidP="00F202AC">
      <w:pPr>
        <w:widowControl w:val="0"/>
        <w:autoSpaceDE w:val="0"/>
        <w:spacing w:after="0" w:line="360" w:lineRule="auto"/>
        <w:ind w:firstLine="720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Кафедра фізіології людини і тварин</w:t>
      </w:r>
    </w:p>
    <w:p w:rsidR="00F202AC" w:rsidRDefault="00F202AC" w:rsidP="00F202AC">
      <w:pPr>
        <w:widowControl w:val="0"/>
        <w:autoSpaceDE w:val="0"/>
        <w:spacing w:after="0" w:line="360" w:lineRule="auto"/>
        <w:ind w:firstLine="720"/>
        <w:jc w:val="center"/>
        <w:rPr>
          <w:rFonts w:ascii="Times New Roman" w:hAnsi="Times New Roman"/>
          <w:kern w:val="2"/>
          <w:sz w:val="28"/>
          <w:szCs w:val="28"/>
          <w:lang w:val="uk-UA"/>
        </w:rPr>
      </w:pPr>
    </w:p>
    <w:p w:rsidR="00F202AC" w:rsidRDefault="00F202AC" w:rsidP="00F202AC">
      <w:pPr>
        <w:widowControl w:val="0"/>
        <w:autoSpaceDE w:val="0"/>
        <w:spacing w:after="0" w:line="360" w:lineRule="auto"/>
        <w:jc w:val="center"/>
        <w:rPr>
          <w:rFonts w:ascii="Times New Roman" w:hAnsi="Times New Roman"/>
          <w:b/>
          <w:kern w:val="2"/>
          <w:sz w:val="28"/>
          <w:szCs w:val="28"/>
          <w:lang w:val="uk-UA"/>
        </w:rPr>
      </w:pPr>
      <w:r>
        <w:rPr>
          <w:rFonts w:ascii="Times New Roman" w:hAnsi="Times New Roman"/>
          <w:b/>
          <w:kern w:val="2"/>
          <w:sz w:val="28"/>
          <w:szCs w:val="28"/>
          <w:lang w:val="uk-UA"/>
        </w:rPr>
        <w:t>Дипломна робота</w:t>
      </w:r>
    </w:p>
    <w:p w:rsidR="00F202AC" w:rsidRDefault="00F202AC" w:rsidP="00F202AC">
      <w:pPr>
        <w:spacing w:after="0" w:line="360" w:lineRule="auto"/>
        <w:jc w:val="center"/>
        <w:rPr>
          <w:rFonts w:ascii="Times New Roman" w:hAnsi="Times New Roman"/>
          <w:kern w:val="2"/>
          <w:sz w:val="28"/>
          <w:szCs w:val="28"/>
        </w:rPr>
      </w:pPr>
    </w:p>
    <w:p w:rsidR="00F202AC" w:rsidRDefault="00F202AC" w:rsidP="00F202AC">
      <w:pPr>
        <w:spacing w:after="0" w:line="360" w:lineRule="auto"/>
        <w:jc w:val="center"/>
        <w:rPr>
          <w:rFonts w:ascii="Times New Roman" w:hAnsi="Times New Roman"/>
          <w:kern w:val="2"/>
          <w:sz w:val="28"/>
          <w:szCs w:val="28"/>
          <w:lang w:val="uk-UA"/>
        </w:rPr>
      </w:pPr>
      <w:r>
        <w:rPr>
          <w:rFonts w:ascii="Times New Roman" w:hAnsi="Times New Roman"/>
          <w:kern w:val="2"/>
          <w:sz w:val="28"/>
          <w:szCs w:val="28"/>
        </w:rPr>
        <w:t>б</w:t>
      </w:r>
      <w:proofErr w:type="spellStart"/>
      <w:r>
        <w:rPr>
          <w:rFonts w:ascii="Times New Roman" w:hAnsi="Times New Roman"/>
          <w:kern w:val="2"/>
          <w:sz w:val="28"/>
          <w:szCs w:val="28"/>
          <w:lang w:val="uk-UA"/>
        </w:rPr>
        <w:t>акалавра</w:t>
      </w:r>
      <w:proofErr w:type="spellEnd"/>
    </w:p>
    <w:p w:rsidR="00F202AC" w:rsidRDefault="00F202AC" w:rsidP="00F202AC">
      <w:pPr>
        <w:widowControl w:val="0"/>
        <w:autoSpaceDE w:val="0"/>
        <w:autoSpaceDN w:val="0"/>
        <w:adjustRightInd w:val="0"/>
        <w:spacing w:after="0" w:line="360" w:lineRule="auto"/>
        <w:ind w:left="426" w:hanging="414"/>
        <w:jc w:val="center"/>
        <w:rPr>
          <w:rFonts w:ascii="Times New Roman" w:hAnsi="Times New Roman"/>
          <w:b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на тему</w:t>
      </w:r>
      <w:r>
        <w:rPr>
          <w:rFonts w:ascii="Times New Roman" w:hAnsi="Times New Roman"/>
          <w:b/>
          <w:color w:val="000000"/>
          <w:kern w:val="2"/>
          <w:sz w:val="28"/>
          <w:szCs w:val="28"/>
          <w:lang w:val="uk-UA"/>
        </w:rPr>
        <w:t>: «</w:t>
      </w:r>
      <w:r>
        <w:rPr>
          <w:rFonts w:ascii="Times New Roman" w:hAnsi="Times New Roman"/>
          <w:b/>
          <w:sz w:val="28"/>
          <w:szCs w:val="28"/>
          <w:lang w:val="uk-UA"/>
        </w:rPr>
        <w:t>Деякі показники хворих на виразкову хворобу за умов терапії</w:t>
      </w:r>
      <w:r>
        <w:rPr>
          <w:rFonts w:ascii="Times New Roman" w:hAnsi="Times New Roman"/>
          <w:b/>
          <w:color w:val="000000"/>
          <w:kern w:val="2"/>
          <w:sz w:val="28"/>
          <w:szCs w:val="28"/>
          <w:lang w:val="uk-UA"/>
        </w:rPr>
        <w:t>»</w:t>
      </w:r>
    </w:p>
    <w:p w:rsidR="00F202AC" w:rsidRDefault="00F202AC" w:rsidP="00F202AC">
      <w:pPr>
        <w:widowControl w:val="0"/>
        <w:autoSpaceDE w:val="0"/>
        <w:autoSpaceDN w:val="0"/>
        <w:adjustRightInd w:val="0"/>
        <w:spacing w:after="0" w:line="360" w:lineRule="auto"/>
        <w:ind w:left="426" w:hanging="414"/>
        <w:jc w:val="center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«</w:t>
      </w:r>
      <w:r>
        <w:rPr>
          <w:rFonts w:ascii="Times New Roman" w:hAnsi="Times New Roman"/>
          <w:color w:val="000000"/>
          <w:kern w:val="2"/>
          <w:sz w:val="24"/>
          <w:szCs w:val="24"/>
          <w:lang w:val="en-US"/>
        </w:rPr>
        <w:t>Some blood indices of patients with peptic ulcer disease under conditions of therapy</w:t>
      </w: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»</w:t>
      </w:r>
    </w:p>
    <w:p w:rsidR="00F202AC" w:rsidRDefault="00F202AC" w:rsidP="00F202AC">
      <w:pPr>
        <w:spacing w:after="0" w:line="360" w:lineRule="auto"/>
        <w:jc w:val="center"/>
        <w:rPr>
          <w:rFonts w:ascii="Times New Roman" w:hAnsi="Times New Roman"/>
          <w:b/>
          <w:color w:val="000000"/>
          <w:kern w:val="2"/>
          <w:sz w:val="28"/>
          <w:szCs w:val="28"/>
          <w:lang w:val="uk-UA"/>
        </w:rPr>
      </w:pPr>
    </w:p>
    <w:p w:rsidR="00F202AC" w:rsidRDefault="00F202AC" w:rsidP="00F202AC">
      <w:pPr>
        <w:widowControl w:val="0"/>
        <w:autoSpaceDE w:val="0"/>
        <w:spacing w:after="0" w:line="360" w:lineRule="auto"/>
        <w:ind w:firstLine="3686"/>
        <w:jc w:val="both"/>
        <w:rPr>
          <w:rFonts w:ascii="Times New Roman" w:hAnsi="Times New Roman"/>
          <w:kern w:val="2"/>
          <w:sz w:val="28"/>
          <w:szCs w:val="28"/>
          <w:lang w:val="en-US"/>
        </w:rPr>
      </w:pPr>
    </w:p>
    <w:p w:rsidR="00F202AC" w:rsidRDefault="00F202AC" w:rsidP="00F202AC">
      <w:pPr>
        <w:widowControl w:val="0"/>
        <w:autoSpaceDE w:val="0"/>
        <w:spacing w:after="0" w:line="360" w:lineRule="auto"/>
        <w:ind w:firstLine="3686"/>
        <w:jc w:val="both"/>
        <w:rPr>
          <w:rFonts w:ascii="Times New Roman" w:hAnsi="Times New Roman"/>
          <w:kern w:val="2"/>
          <w:sz w:val="28"/>
          <w:szCs w:val="28"/>
          <w:lang w:val="uk-UA"/>
        </w:rPr>
      </w:pPr>
      <w:r>
        <w:rPr>
          <w:rFonts w:ascii="Times New Roman" w:hAnsi="Times New Roman"/>
          <w:kern w:val="2"/>
          <w:sz w:val="28"/>
          <w:szCs w:val="28"/>
          <w:lang w:val="uk-UA"/>
        </w:rPr>
        <w:t>Виконала: студентка заочної форми навчання</w:t>
      </w:r>
    </w:p>
    <w:p w:rsidR="00F202AC" w:rsidRDefault="00F202AC" w:rsidP="00F202AC">
      <w:pPr>
        <w:widowControl w:val="0"/>
        <w:autoSpaceDE w:val="0"/>
        <w:spacing w:after="0" w:line="360" w:lineRule="auto"/>
        <w:ind w:firstLine="3686"/>
        <w:jc w:val="both"/>
        <w:rPr>
          <w:rFonts w:ascii="Times New Roman" w:hAnsi="Times New Roman"/>
          <w:kern w:val="2"/>
          <w:sz w:val="28"/>
          <w:szCs w:val="28"/>
          <w:lang w:val="uk-UA"/>
        </w:rPr>
      </w:pPr>
      <w:r>
        <w:rPr>
          <w:rFonts w:ascii="Times New Roman" w:hAnsi="Times New Roman"/>
          <w:kern w:val="2"/>
          <w:sz w:val="28"/>
          <w:szCs w:val="28"/>
          <w:lang w:val="uk-UA"/>
        </w:rPr>
        <w:t xml:space="preserve">напряму підготовки </w:t>
      </w:r>
      <w:r>
        <w:rPr>
          <w:rFonts w:ascii="Times New Roman" w:hAnsi="Times New Roman"/>
          <w:sz w:val="28"/>
          <w:szCs w:val="28"/>
          <w:lang w:val="uk-UA"/>
        </w:rPr>
        <w:t>6.040102 Біологія</w:t>
      </w:r>
      <w:r>
        <w:rPr>
          <w:rFonts w:ascii="Times New Roman" w:hAnsi="Times New Roman"/>
          <w:kern w:val="2"/>
          <w:sz w:val="28"/>
          <w:szCs w:val="28"/>
          <w:lang w:val="uk-UA"/>
        </w:rPr>
        <w:t xml:space="preserve"> </w:t>
      </w:r>
    </w:p>
    <w:p w:rsidR="00F202AC" w:rsidRDefault="00F202AC" w:rsidP="00F202AC">
      <w:pPr>
        <w:spacing w:after="0" w:line="360" w:lineRule="auto"/>
        <w:ind w:firstLine="3686"/>
        <w:jc w:val="both"/>
        <w:rPr>
          <w:rFonts w:ascii="Times New Roman" w:hAnsi="Times New Roman"/>
          <w:b/>
          <w:kern w:val="2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Пономаренко Надія Сергіївна</w:t>
      </w:r>
    </w:p>
    <w:p w:rsidR="00F202AC" w:rsidRDefault="00F202AC" w:rsidP="00F202AC">
      <w:pPr>
        <w:widowControl w:val="0"/>
        <w:autoSpaceDE w:val="0"/>
        <w:spacing w:after="0" w:line="360" w:lineRule="auto"/>
        <w:ind w:firstLine="3686"/>
        <w:jc w:val="both"/>
        <w:rPr>
          <w:rFonts w:ascii="Times New Roman" w:hAnsi="Times New Roman"/>
          <w:kern w:val="2"/>
          <w:sz w:val="28"/>
          <w:szCs w:val="28"/>
          <w:lang w:val="uk-UA"/>
        </w:rPr>
      </w:pPr>
      <w:r>
        <w:rPr>
          <w:rFonts w:ascii="Times New Roman" w:hAnsi="Times New Roman"/>
          <w:b/>
          <w:kern w:val="2"/>
          <w:sz w:val="28"/>
          <w:szCs w:val="28"/>
          <w:lang w:val="uk-UA"/>
        </w:rPr>
        <w:t>Науковий керівник:</w:t>
      </w:r>
      <w:r>
        <w:rPr>
          <w:rFonts w:ascii="Times New Roman" w:hAnsi="Times New Roman"/>
          <w:kern w:val="2"/>
          <w:sz w:val="28"/>
          <w:szCs w:val="28"/>
          <w:lang w:val="uk-UA"/>
        </w:rPr>
        <w:t xml:space="preserve"> </w:t>
      </w:r>
    </w:p>
    <w:p w:rsidR="00F202AC" w:rsidRDefault="00F202AC" w:rsidP="00F202AC">
      <w:pPr>
        <w:widowControl w:val="0"/>
        <w:autoSpaceDE w:val="0"/>
        <w:spacing w:after="0" w:line="360" w:lineRule="auto"/>
        <w:ind w:firstLine="3686"/>
        <w:jc w:val="both"/>
        <w:rPr>
          <w:rFonts w:ascii="Times New Roman" w:hAnsi="Times New Roman"/>
          <w:kern w:val="2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kern w:val="2"/>
          <w:sz w:val="28"/>
          <w:szCs w:val="28"/>
        </w:rPr>
        <w:t>ст</w:t>
      </w:r>
      <w:r>
        <w:rPr>
          <w:rFonts w:ascii="Times New Roman" w:hAnsi="Times New Roman"/>
          <w:kern w:val="2"/>
          <w:sz w:val="28"/>
          <w:szCs w:val="28"/>
          <w:lang w:val="uk-UA"/>
        </w:rPr>
        <w:t>арший</w:t>
      </w:r>
      <w:proofErr w:type="spellEnd"/>
      <w:r>
        <w:rPr>
          <w:rFonts w:ascii="Times New Roman" w:hAnsi="Times New Roman"/>
          <w:kern w:val="2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kern w:val="2"/>
          <w:sz w:val="28"/>
          <w:szCs w:val="28"/>
        </w:rPr>
        <w:t>викл</w:t>
      </w:r>
      <w:r>
        <w:rPr>
          <w:rFonts w:ascii="Times New Roman" w:hAnsi="Times New Roman"/>
          <w:kern w:val="2"/>
          <w:sz w:val="28"/>
          <w:szCs w:val="28"/>
          <w:lang w:val="uk-UA"/>
        </w:rPr>
        <w:t>адач</w:t>
      </w:r>
      <w:proofErr w:type="spellEnd"/>
      <w:r>
        <w:rPr>
          <w:rFonts w:ascii="Times New Roman" w:hAnsi="Times New Roman"/>
          <w:kern w:val="2"/>
          <w:sz w:val="28"/>
          <w:szCs w:val="28"/>
        </w:rPr>
        <w:t xml:space="preserve"> </w:t>
      </w:r>
    </w:p>
    <w:p w:rsidR="00F202AC" w:rsidRDefault="00F202AC" w:rsidP="00F202AC">
      <w:pPr>
        <w:widowControl w:val="0"/>
        <w:autoSpaceDE w:val="0"/>
        <w:spacing w:after="0" w:line="360" w:lineRule="auto"/>
        <w:ind w:firstLine="3686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Коломійчук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Тетяна </w:t>
      </w:r>
      <w:r>
        <w:rPr>
          <w:rFonts w:ascii="Times New Roman" w:hAnsi="Times New Roman"/>
          <w:color w:val="000000"/>
          <w:kern w:val="2"/>
          <w:sz w:val="28"/>
          <w:szCs w:val="28"/>
        </w:rPr>
        <w:t>В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ікторівна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__________</w:t>
      </w:r>
    </w:p>
    <w:p w:rsidR="00F202AC" w:rsidRDefault="00F202AC" w:rsidP="00F202AC">
      <w:pPr>
        <w:widowControl w:val="0"/>
        <w:autoSpaceDE w:val="0"/>
        <w:spacing w:after="0" w:line="360" w:lineRule="auto"/>
        <w:ind w:right="-424" w:firstLine="3686"/>
        <w:jc w:val="both"/>
        <w:rPr>
          <w:rFonts w:ascii="Times New Roman" w:hAnsi="Times New Roman"/>
          <w:kern w:val="2"/>
          <w:sz w:val="28"/>
          <w:szCs w:val="28"/>
          <w:lang w:val="uk-UA"/>
        </w:rPr>
      </w:pPr>
    </w:p>
    <w:p w:rsidR="00F202AC" w:rsidRDefault="00F202AC" w:rsidP="00F202AC">
      <w:pPr>
        <w:widowControl w:val="0"/>
        <w:autoSpaceDE w:val="0"/>
        <w:spacing w:after="0" w:line="360" w:lineRule="auto"/>
        <w:ind w:right="-424" w:firstLine="368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kern w:val="2"/>
          <w:sz w:val="28"/>
          <w:szCs w:val="28"/>
          <w:lang w:val="uk-UA"/>
        </w:rPr>
        <w:t>Рецензент:</w:t>
      </w:r>
      <w:r>
        <w:rPr>
          <w:rFonts w:ascii="Times New Roman" w:hAnsi="Times New Roman"/>
          <w:kern w:val="2"/>
          <w:sz w:val="28"/>
          <w:szCs w:val="28"/>
          <w:lang w:val="uk-UA"/>
        </w:rPr>
        <w:t xml:space="preserve"> </w:t>
      </w:r>
    </w:p>
    <w:p w:rsidR="00F202AC" w:rsidRDefault="00F202AC" w:rsidP="00F202AC">
      <w:pPr>
        <w:widowControl w:val="0"/>
        <w:autoSpaceDE w:val="0"/>
        <w:spacing w:after="0" w:line="360" w:lineRule="auto"/>
        <w:ind w:right="-424" w:firstLine="3686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кандидат біологічних наук, доцент</w:t>
      </w:r>
    </w:p>
    <w:p w:rsidR="00F202AC" w:rsidRDefault="00F202AC" w:rsidP="00F202AC">
      <w:pPr>
        <w:widowControl w:val="0"/>
        <w:autoSpaceDE w:val="0"/>
        <w:spacing w:after="0" w:line="360" w:lineRule="auto"/>
        <w:ind w:right="-424" w:firstLine="3686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kern w:val="28"/>
          <w:sz w:val="28"/>
          <w:szCs w:val="28"/>
          <w:lang w:val="uk-UA"/>
        </w:rPr>
        <w:t>Паузер</w:t>
      </w:r>
      <w:proofErr w:type="spellEnd"/>
      <w:r>
        <w:rPr>
          <w:rFonts w:ascii="Times New Roman" w:hAnsi="Times New Roman"/>
          <w:kern w:val="28"/>
          <w:sz w:val="28"/>
          <w:szCs w:val="28"/>
          <w:lang w:val="uk-UA"/>
        </w:rPr>
        <w:t xml:space="preserve"> Олена Борисівна</w:t>
      </w:r>
    </w:p>
    <w:p w:rsidR="00F202AC" w:rsidRDefault="00F202AC" w:rsidP="00F202AC">
      <w:pPr>
        <w:widowControl w:val="0"/>
        <w:autoSpaceDE w:val="0"/>
        <w:spacing w:after="0" w:line="360" w:lineRule="auto"/>
        <w:ind w:right="-424" w:firstLine="396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202AC" w:rsidRDefault="00F202AC" w:rsidP="00F202AC">
      <w:pPr>
        <w:widowControl w:val="0"/>
        <w:tabs>
          <w:tab w:val="left" w:pos="4678"/>
        </w:tabs>
        <w:autoSpaceDE w:val="0"/>
        <w:spacing w:after="0" w:line="240" w:lineRule="auto"/>
        <w:jc w:val="both"/>
        <w:rPr>
          <w:rFonts w:ascii="Times New Roman" w:hAnsi="Times New Roman"/>
          <w:kern w:val="2"/>
          <w:sz w:val="28"/>
          <w:szCs w:val="28"/>
          <w:lang w:val="uk-UA"/>
        </w:rPr>
      </w:pPr>
      <w:r>
        <w:rPr>
          <w:rFonts w:ascii="Times New Roman" w:hAnsi="Times New Roman"/>
          <w:kern w:val="2"/>
          <w:sz w:val="28"/>
          <w:szCs w:val="28"/>
          <w:lang w:val="uk-UA"/>
        </w:rPr>
        <w:t>Рекомендовано до захисту:</w:t>
      </w:r>
      <w:r>
        <w:rPr>
          <w:rFonts w:ascii="Times New Roman" w:hAnsi="Times New Roman"/>
          <w:kern w:val="2"/>
          <w:sz w:val="28"/>
          <w:szCs w:val="28"/>
          <w:lang w:val="uk-UA"/>
        </w:rPr>
        <w:tab/>
        <w:t>Захищено на засіданні ЕК № 2</w:t>
      </w:r>
    </w:p>
    <w:p w:rsidR="00F202AC" w:rsidRDefault="00F202AC" w:rsidP="00F202AC">
      <w:pPr>
        <w:widowControl w:val="0"/>
        <w:tabs>
          <w:tab w:val="left" w:pos="4678"/>
        </w:tabs>
        <w:autoSpaceDE w:val="0"/>
        <w:spacing w:after="0" w:line="240" w:lineRule="auto"/>
        <w:jc w:val="both"/>
        <w:rPr>
          <w:rFonts w:ascii="Times New Roman" w:hAnsi="Times New Roman"/>
          <w:kern w:val="2"/>
          <w:sz w:val="28"/>
          <w:szCs w:val="28"/>
          <w:lang w:val="uk-UA"/>
        </w:rPr>
      </w:pPr>
      <w:r>
        <w:rPr>
          <w:rFonts w:ascii="Times New Roman" w:hAnsi="Times New Roman"/>
          <w:kern w:val="2"/>
          <w:sz w:val="28"/>
          <w:szCs w:val="28"/>
          <w:lang w:val="uk-UA"/>
        </w:rPr>
        <w:t>Протокол засідання кафедри</w:t>
      </w:r>
      <w:r>
        <w:rPr>
          <w:rFonts w:ascii="Times New Roman" w:hAnsi="Times New Roman"/>
          <w:kern w:val="2"/>
          <w:sz w:val="28"/>
          <w:szCs w:val="28"/>
          <w:lang w:val="uk-UA"/>
        </w:rPr>
        <w:tab/>
        <w:t>Протокол №_____від «___» _______р.</w:t>
      </w:r>
    </w:p>
    <w:p w:rsidR="00F202AC" w:rsidRDefault="00F202AC" w:rsidP="00F202AC">
      <w:pPr>
        <w:widowControl w:val="0"/>
        <w:tabs>
          <w:tab w:val="left" w:pos="4678"/>
        </w:tabs>
        <w:autoSpaceDE w:val="0"/>
        <w:spacing w:after="0" w:line="240" w:lineRule="auto"/>
        <w:jc w:val="both"/>
        <w:rPr>
          <w:rFonts w:ascii="Times New Roman" w:hAnsi="Times New Roman"/>
          <w:kern w:val="2"/>
          <w:sz w:val="28"/>
          <w:szCs w:val="28"/>
          <w:lang w:val="uk-UA"/>
        </w:rPr>
      </w:pPr>
      <w:r>
        <w:rPr>
          <w:rFonts w:ascii="Times New Roman" w:hAnsi="Times New Roman"/>
          <w:kern w:val="2"/>
          <w:sz w:val="28"/>
          <w:szCs w:val="28"/>
          <w:lang w:val="uk-UA"/>
        </w:rPr>
        <w:t>№_____від «___» _______р.</w:t>
      </w:r>
      <w:r>
        <w:rPr>
          <w:rFonts w:ascii="Times New Roman" w:hAnsi="Times New Roman"/>
          <w:kern w:val="2"/>
          <w:sz w:val="28"/>
          <w:szCs w:val="28"/>
          <w:lang w:val="uk-UA"/>
        </w:rPr>
        <w:tab/>
        <w:t>Оцінка _____/ ________/__________</w:t>
      </w:r>
    </w:p>
    <w:p w:rsidR="00F202AC" w:rsidRDefault="00F202AC" w:rsidP="00F202AC">
      <w:pPr>
        <w:widowControl w:val="0"/>
        <w:tabs>
          <w:tab w:val="left" w:pos="4678"/>
        </w:tabs>
        <w:autoSpaceDE w:val="0"/>
        <w:spacing w:after="0" w:line="240" w:lineRule="auto"/>
        <w:jc w:val="both"/>
        <w:rPr>
          <w:rFonts w:ascii="Times New Roman" w:hAnsi="Times New Roman"/>
          <w:kern w:val="2"/>
          <w:sz w:val="28"/>
          <w:szCs w:val="28"/>
          <w:vertAlign w:val="superscript"/>
          <w:lang w:val="uk-UA"/>
        </w:rPr>
      </w:pPr>
      <w:r>
        <w:rPr>
          <w:rFonts w:ascii="Times New Roman" w:hAnsi="Times New Roman"/>
          <w:kern w:val="2"/>
          <w:sz w:val="28"/>
          <w:szCs w:val="28"/>
          <w:lang w:val="uk-UA"/>
        </w:rPr>
        <w:tab/>
        <w:t xml:space="preserve">             </w:t>
      </w:r>
      <w:r>
        <w:rPr>
          <w:rFonts w:ascii="Times New Roman" w:hAnsi="Times New Roman"/>
          <w:kern w:val="2"/>
          <w:sz w:val="28"/>
          <w:szCs w:val="28"/>
          <w:vertAlign w:val="superscript"/>
          <w:lang w:val="uk-UA"/>
        </w:rPr>
        <w:t xml:space="preserve">(за національною шкалою, шкалою </w:t>
      </w:r>
      <w:proofErr w:type="spellStart"/>
      <w:r>
        <w:rPr>
          <w:rFonts w:ascii="Times New Roman" w:hAnsi="Times New Roman"/>
          <w:kern w:val="2"/>
          <w:sz w:val="28"/>
          <w:szCs w:val="28"/>
          <w:vertAlign w:val="superscript"/>
          <w:lang w:val="uk-UA"/>
        </w:rPr>
        <w:t>ЕСТS,бал</w:t>
      </w:r>
      <w:proofErr w:type="spellEnd"/>
      <w:r>
        <w:rPr>
          <w:rFonts w:ascii="Times New Roman" w:hAnsi="Times New Roman"/>
          <w:kern w:val="2"/>
          <w:sz w:val="28"/>
          <w:szCs w:val="28"/>
          <w:vertAlign w:val="superscript"/>
          <w:lang w:val="uk-UA"/>
        </w:rPr>
        <w:t>)</w:t>
      </w:r>
    </w:p>
    <w:p w:rsidR="00F202AC" w:rsidRDefault="00F202AC" w:rsidP="00F202AC">
      <w:pPr>
        <w:widowControl w:val="0"/>
        <w:tabs>
          <w:tab w:val="left" w:pos="4678"/>
        </w:tabs>
        <w:autoSpaceDE w:val="0"/>
        <w:spacing w:after="0" w:line="240" w:lineRule="auto"/>
        <w:rPr>
          <w:rFonts w:ascii="Times New Roman" w:hAnsi="Times New Roman"/>
          <w:kern w:val="2"/>
          <w:sz w:val="28"/>
          <w:szCs w:val="28"/>
          <w:lang w:val="uk-UA"/>
        </w:rPr>
      </w:pPr>
      <w:r>
        <w:rPr>
          <w:rFonts w:ascii="Times New Roman" w:hAnsi="Times New Roman"/>
          <w:kern w:val="2"/>
          <w:sz w:val="28"/>
          <w:szCs w:val="28"/>
          <w:lang w:val="uk-UA"/>
        </w:rPr>
        <w:t>Завідувач кафедри</w:t>
      </w:r>
      <w:r>
        <w:rPr>
          <w:rFonts w:ascii="Times New Roman" w:hAnsi="Times New Roman"/>
          <w:kern w:val="2"/>
          <w:sz w:val="28"/>
          <w:szCs w:val="28"/>
          <w:lang w:val="uk-UA"/>
        </w:rPr>
        <w:tab/>
        <w:t>Голова ЕК</w:t>
      </w:r>
    </w:p>
    <w:p w:rsidR="00F202AC" w:rsidRDefault="00F202AC" w:rsidP="00F202AC">
      <w:pPr>
        <w:widowControl w:val="0"/>
        <w:tabs>
          <w:tab w:val="left" w:pos="4678"/>
        </w:tabs>
        <w:autoSpaceDE w:val="0"/>
        <w:spacing w:after="0" w:line="240" w:lineRule="auto"/>
        <w:rPr>
          <w:rFonts w:ascii="Times New Roman" w:hAnsi="Times New Roman"/>
          <w:kern w:val="2"/>
          <w:sz w:val="28"/>
          <w:szCs w:val="28"/>
          <w:u w:val="single"/>
          <w:lang w:val="uk-UA"/>
        </w:rPr>
      </w:pPr>
      <w:r>
        <w:rPr>
          <w:rFonts w:ascii="Times New Roman" w:hAnsi="Times New Roman"/>
          <w:kern w:val="2"/>
          <w:sz w:val="28"/>
          <w:szCs w:val="28"/>
          <w:lang w:val="uk-UA"/>
        </w:rPr>
        <w:t xml:space="preserve">___________ </w:t>
      </w:r>
      <w:proofErr w:type="spellStart"/>
      <w:r>
        <w:rPr>
          <w:rFonts w:ascii="Times New Roman" w:hAnsi="Times New Roman"/>
          <w:kern w:val="2"/>
          <w:sz w:val="28"/>
          <w:szCs w:val="28"/>
          <w:lang w:val="uk-UA"/>
        </w:rPr>
        <w:t>д.б.н</w:t>
      </w:r>
      <w:proofErr w:type="spellEnd"/>
      <w:r>
        <w:rPr>
          <w:rFonts w:ascii="Times New Roman" w:hAnsi="Times New Roman"/>
          <w:kern w:val="2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kern w:val="2"/>
          <w:sz w:val="28"/>
          <w:szCs w:val="28"/>
          <w:u w:val="single"/>
          <w:lang w:val="uk-UA"/>
        </w:rPr>
        <w:t>Макаренко О. А.</w:t>
      </w:r>
      <w:r>
        <w:rPr>
          <w:rFonts w:ascii="Times New Roman" w:hAnsi="Times New Roman"/>
          <w:kern w:val="2"/>
          <w:sz w:val="28"/>
          <w:szCs w:val="28"/>
          <w:lang w:val="uk-UA"/>
        </w:rPr>
        <w:tab/>
        <w:t>______________</w:t>
      </w:r>
      <w:proofErr w:type="spellStart"/>
      <w:r>
        <w:rPr>
          <w:rFonts w:ascii="Times New Roman" w:hAnsi="Times New Roman"/>
          <w:kern w:val="2"/>
          <w:sz w:val="28"/>
          <w:szCs w:val="28"/>
          <w:lang w:val="uk-UA"/>
        </w:rPr>
        <w:t>Чеботар</w:t>
      </w:r>
      <w:proofErr w:type="spellEnd"/>
      <w:r>
        <w:rPr>
          <w:rFonts w:ascii="Times New Roman" w:hAnsi="Times New Roman"/>
          <w:kern w:val="2"/>
          <w:sz w:val="28"/>
          <w:szCs w:val="28"/>
          <w:lang w:val="uk-UA"/>
        </w:rPr>
        <w:t xml:space="preserve"> С.В. </w:t>
      </w:r>
    </w:p>
    <w:p w:rsidR="00F202AC" w:rsidRDefault="00F202AC" w:rsidP="00F202AC">
      <w:pPr>
        <w:widowControl w:val="0"/>
        <w:autoSpaceDE w:val="0"/>
        <w:spacing w:after="0" w:line="240" w:lineRule="auto"/>
        <w:rPr>
          <w:rFonts w:ascii="Times New Roman" w:hAnsi="Times New Roman"/>
          <w:kern w:val="2"/>
          <w:sz w:val="28"/>
          <w:szCs w:val="28"/>
          <w:vertAlign w:val="superscript"/>
          <w:lang w:val="uk-UA"/>
        </w:rPr>
      </w:pPr>
      <w:r>
        <w:rPr>
          <w:rFonts w:ascii="Times New Roman" w:hAnsi="Times New Roman"/>
          <w:kern w:val="2"/>
          <w:sz w:val="28"/>
          <w:szCs w:val="28"/>
          <w:vertAlign w:val="superscript"/>
          <w:lang w:val="uk-UA"/>
        </w:rPr>
        <w:t>(підпис)                 (прізвище та ініціали)</w:t>
      </w:r>
      <w:r>
        <w:rPr>
          <w:rFonts w:ascii="Times New Roman" w:hAnsi="Times New Roman"/>
          <w:kern w:val="2"/>
          <w:sz w:val="28"/>
          <w:szCs w:val="28"/>
          <w:vertAlign w:val="superscript"/>
          <w:lang w:val="uk-UA"/>
        </w:rPr>
        <w:tab/>
      </w:r>
      <w:r>
        <w:rPr>
          <w:rFonts w:ascii="Times New Roman" w:hAnsi="Times New Roman"/>
          <w:kern w:val="2"/>
          <w:sz w:val="28"/>
          <w:szCs w:val="28"/>
          <w:vertAlign w:val="superscript"/>
          <w:lang w:val="uk-UA"/>
        </w:rPr>
        <w:tab/>
      </w:r>
      <w:r>
        <w:rPr>
          <w:rFonts w:ascii="Times New Roman" w:hAnsi="Times New Roman"/>
          <w:kern w:val="2"/>
          <w:sz w:val="28"/>
          <w:szCs w:val="28"/>
          <w:vertAlign w:val="superscript"/>
          <w:lang w:val="uk-UA"/>
        </w:rPr>
        <w:tab/>
        <w:t>(підпис)                (прізвище та ініціали)</w:t>
      </w:r>
    </w:p>
    <w:p w:rsidR="00F202AC" w:rsidRDefault="00F202AC" w:rsidP="00F202AC">
      <w:pPr>
        <w:widowControl w:val="0"/>
        <w:autoSpaceDE w:val="0"/>
        <w:spacing w:after="0" w:line="240" w:lineRule="auto"/>
        <w:jc w:val="center"/>
        <w:rPr>
          <w:rFonts w:ascii="Times New Roman" w:hAnsi="Times New Roman"/>
          <w:b/>
          <w:kern w:val="2"/>
          <w:sz w:val="28"/>
          <w:szCs w:val="28"/>
          <w:lang w:val="uk-UA"/>
        </w:rPr>
      </w:pPr>
    </w:p>
    <w:p w:rsidR="00F202AC" w:rsidRDefault="00F202AC" w:rsidP="00F202AC">
      <w:pPr>
        <w:widowControl w:val="0"/>
        <w:autoSpaceDE w:val="0"/>
        <w:spacing w:after="0" w:line="240" w:lineRule="auto"/>
        <w:jc w:val="center"/>
        <w:rPr>
          <w:rFonts w:ascii="Times New Roman" w:hAnsi="Times New Roman"/>
          <w:kern w:val="2"/>
          <w:sz w:val="28"/>
          <w:szCs w:val="28"/>
          <w:lang w:val="uk-UA"/>
        </w:rPr>
      </w:pPr>
      <w:r>
        <w:rPr>
          <w:rFonts w:ascii="Times New Roman" w:hAnsi="Times New Roman"/>
          <w:b/>
          <w:kern w:val="2"/>
          <w:sz w:val="28"/>
          <w:szCs w:val="28"/>
          <w:lang w:val="uk-UA"/>
        </w:rPr>
        <w:t>Одеса – 2018</w:t>
      </w:r>
    </w:p>
    <w:p w:rsidR="00F202AC" w:rsidRDefault="00F202AC" w:rsidP="00F202AC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br w:type="page"/>
      </w:r>
      <w:r>
        <w:rPr>
          <w:rFonts w:ascii="Times New Roman" w:hAnsi="Times New Roman"/>
          <w:sz w:val="28"/>
          <w:szCs w:val="28"/>
          <w:lang w:val="uk-UA"/>
        </w:rPr>
        <w:t>Анотація</w:t>
      </w:r>
    </w:p>
    <w:p w:rsidR="00F202AC" w:rsidRDefault="00F202AC" w:rsidP="00F202AC">
      <w:pPr>
        <w:pStyle w:val="Default"/>
        <w:spacing w:line="360" w:lineRule="auto"/>
        <w:rPr>
          <w:lang w:val="uk-UA"/>
        </w:rPr>
      </w:pPr>
    </w:p>
    <w:p w:rsidR="00F202AC" w:rsidRDefault="00F202AC" w:rsidP="00F202AC">
      <w:pPr>
        <w:spacing w:after="0" w:line="240" w:lineRule="auto"/>
        <w:ind w:firstLine="709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Виразкова хвороба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шлунка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, за даними більшості аналітичних і статистичних документів, залишається одним з найпоширеніших захворювань органів травлення, відсоток яких є досить високим. Тому, актуальним є вивчення факторів, які сприяють розвитку ускладненого перебігу захворювання, та вибір адекватної тактики лікування з метою зменшення частоти</w:t>
      </w:r>
      <w:r>
        <w:rPr>
          <w:rFonts w:ascii="Times New Roman" w:hAnsi="Times New Roman"/>
          <w:sz w:val="28"/>
          <w:szCs w:val="28"/>
          <w:lang w:val="uk-UA"/>
        </w:rPr>
        <w:t xml:space="preserve"> виникнення рецидивів.</w:t>
      </w:r>
    </w:p>
    <w:p w:rsidR="00F202AC" w:rsidRDefault="00F202AC" w:rsidP="00F202AC">
      <w:pPr>
        <w:spacing w:after="0" w:line="240" w:lineRule="auto"/>
        <w:ind w:firstLine="709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Проведено дослідження показників крові та інтенсивності запального процесу у чоловіків хворих на виразкову хворобу. </w:t>
      </w:r>
    </w:p>
    <w:p w:rsidR="00F202AC" w:rsidRDefault="00F202AC" w:rsidP="00F202AC">
      <w:pPr>
        <w:spacing w:after="0" w:line="240" w:lineRule="auto"/>
        <w:ind w:firstLine="709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Застосування терапії обумовило стабілізацію стану пацієнтів і тенденцію до нормалізації гематологічних показників та лейкоцитарних індексів. </w:t>
      </w:r>
    </w:p>
    <w:p w:rsidR="00F202AC" w:rsidRDefault="00F202AC" w:rsidP="00F202AC">
      <w:pPr>
        <w:spacing w:after="0" w:line="240" w:lineRule="auto"/>
        <w:ind w:firstLine="720"/>
        <w:jc w:val="both"/>
        <w:rPr>
          <w:rFonts w:ascii="Times New Roman" w:hAnsi="Times New Roman"/>
          <w:iCs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iCs/>
          <w:color w:val="000000"/>
          <w:sz w:val="28"/>
          <w:szCs w:val="28"/>
          <w:lang w:val="uk-UA"/>
        </w:rPr>
        <w:t xml:space="preserve">Роботу викладено на 42 сторінці, вона містить 3 </w:t>
      </w:r>
      <w:proofErr w:type="spellStart"/>
      <w:r>
        <w:rPr>
          <w:rFonts w:ascii="Times New Roman" w:hAnsi="Times New Roman"/>
          <w:iCs/>
          <w:color w:val="000000"/>
          <w:sz w:val="28"/>
          <w:szCs w:val="28"/>
          <w:lang w:val="uk-UA"/>
        </w:rPr>
        <w:t>таблици</w:t>
      </w:r>
      <w:proofErr w:type="spellEnd"/>
      <w:r>
        <w:rPr>
          <w:rFonts w:ascii="Times New Roman" w:hAnsi="Times New Roman"/>
          <w:iCs/>
          <w:color w:val="000000"/>
          <w:sz w:val="28"/>
          <w:szCs w:val="28"/>
          <w:lang w:val="uk-UA"/>
        </w:rPr>
        <w:t xml:space="preserve"> та 4 рисунка. Наведено посилання на 49 джерел літератури (43 кирилицею та 6 латиницею).</w:t>
      </w:r>
    </w:p>
    <w:p w:rsidR="00F202AC" w:rsidRDefault="00F202AC" w:rsidP="00F202AC">
      <w:pPr>
        <w:spacing w:after="0" w:line="240" w:lineRule="auto"/>
        <w:ind w:firstLine="720"/>
        <w:jc w:val="both"/>
        <w:outlineLvl w:val="0"/>
        <w:rPr>
          <w:rFonts w:ascii="Times New Roman" w:hAnsi="Times New Roman"/>
          <w:i/>
          <w:color w:val="000000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Ключові слова: 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виразкова хвороба, показники крові, лейкоцитарні індекси</w:t>
      </w:r>
    </w:p>
    <w:p w:rsidR="00F202AC" w:rsidRDefault="00F202AC" w:rsidP="00F202AC">
      <w:pPr>
        <w:spacing w:after="0" w:line="240" w:lineRule="auto"/>
        <w:ind w:firstLine="720"/>
        <w:jc w:val="both"/>
        <w:outlineLvl w:val="0"/>
        <w:rPr>
          <w:rFonts w:ascii="Times New Roman" w:hAnsi="Times New Roman"/>
          <w:i/>
          <w:color w:val="000000"/>
          <w:sz w:val="28"/>
          <w:szCs w:val="28"/>
        </w:rPr>
      </w:pPr>
    </w:p>
    <w:p w:rsidR="00F202AC" w:rsidRDefault="00F202AC" w:rsidP="00F202AC">
      <w:pPr>
        <w:spacing w:after="0" w:line="240" w:lineRule="auto"/>
        <w:ind w:firstLine="720"/>
        <w:jc w:val="both"/>
        <w:outlineLvl w:val="0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en-US"/>
        </w:rPr>
        <w:t>The ulcer of the stomach, according to most analytical and statistical documents, remains one of the most common diseases of the digestive system, the percentage of which is quite high.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Therefore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it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important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study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factors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that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contribute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development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complicated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course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disease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choice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adequate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treatment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tactics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reduce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incidence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relapses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F202AC" w:rsidRDefault="00F202AC" w:rsidP="00F202AC">
      <w:pPr>
        <w:spacing w:after="0" w:line="240" w:lineRule="auto"/>
        <w:ind w:firstLine="720"/>
        <w:jc w:val="both"/>
        <w:outlineLvl w:val="0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study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blood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indices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intensity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inflammatory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process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men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with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stomach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ulcer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disease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has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been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performed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F202AC" w:rsidRDefault="00F202AC" w:rsidP="00F202AC">
      <w:pPr>
        <w:spacing w:after="0" w:line="240" w:lineRule="auto"/>
        <w:ind w:firstLine="720"/>
        <w:jc w:val="both"/>
        <w:outlineLvl w:val="0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application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therapy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led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stabilization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patients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tendency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normalize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hematological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parameters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leukocyte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indices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F202AC" w:rsidRDefault="00F202AC" w:rsidP="00F202AC">
      <w:pPr>
        <w:autoSpaceDE w:val="0"/>
        <w:spacing w:after="0" w:line="24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val="en-US"/>
        </w:rPr>
      </w:pPr>
      <w:r>
        <w:rPr>
          <w:rFonts w:ascii="Times New Roman" w:hAnsi="Times New Roman"/>
          <w:color w:val="000000"/>
          <w:sz w:val="28"/>
          <w:szCs w:val="28"/>
          <w:lang w:val="en-US"/>
        </w:rPr>
        <w:t>Diploma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thesis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is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expounded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on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42 </w:t>
      </w:r>
      <w:proofErr w:type="gramStart"/>
      <w:r>
        <w:rPr>
          <w:rFonts w:ascii="Times New Roman" w:hAnsi="Times New Roman"/>
          <w:color w:val="000000"/>
          <w:sz w:val="28"/>
          <w:szCs w:val="28"/>
          <w:lang w:val="en-US"/>
        </w:rPr>
        <w:t>pages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,</w:t>
      </w:r>
      <w:proofErr w:type="gram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it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contains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3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tables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and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4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figures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It provides links to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49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references (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43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/>
          <w:color w:val="000000"/>
          <w:sz w:val="28"/>
          <w:szCs w:val="28"/>
          <w:lang w:val="en-US"/>
        </w:rPr>
        <w:t>cyrillic</w:t>
      </w:r>
      <w:proofErr w:type="spellEnd"/>
      <w:proofErr w:type="gramEnd"/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and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6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en-US"/>
        </w:rPr>
        <w:t>latinic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). </w:t>
      </w:r>
    </w:p>
    <w:p w:rsidR="00F202AC" w:rsidRDefault="00F202AC" w:rsidP="00F202AC">
      <w:pPr>
        <w:autoSpaceDE w:val="0"/>
        <w:spacing w:after="0" w:line="240" w:lineRule="auto"/>
        <w:ind w:firstLine="720"/>
        <w:jc w:val="both"/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</w:pPr>
    </w:p>
    <w:p w:rsidR="00F202AC" w:rsidRDefault="00F202AC" w:rsidP="00F202AC">
      <w:pPr>
        <w:spacing w:after="0" w:line="240" w:lineRule="auto"/>
        <w:ind w:firstLine="720"/>
        <w:jc w:val="both"/>
        <w:outlineLvl w:val="0"/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i/>
          <w:color w:val="000000"/>
          <w:sz w:val="28"/>
          <w:szCs w:val="28"/>
          <w:lang w:val="en-US"/>
        </w:rPr>
        <w:t>Key words</w:t>
      </w:r>
      <w:r>
        <w:rPr>
          <w:rFonts w:ascii="Times New Roman" w:hAnsi="Times New Roman"/>
          <w:bCs/>
          <w:i/>
          <w:color w:val="000000"/>
          <w:sz w:val="28"/>
          <w:szCs w:val="28"/>
          <w:lang w:val="en-US"/>
        </w:rPr>
        <w:t>:</w:t>
      </w:r>
      <w:r>
        <w:rPr>
          <w:rFonts w:ascii="Times New Roman" w:hAnsi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i/>
          <w:color w:val="000000"/>
          <w:sz w:val="28"/>
          <w:szCs w:val="28"/>
          <w:lang w:val="uk-UA"/>
        </w:rPr>
        <w:t>peptic</w:t>
      </w:r>
      <w:proofErr w:type="spellEnd"/>
      <w:r>
        <w:rPr>
          <w:rFonts w:ascii="Times New Roman" w:hAnsi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i/>
          <w:color w:val="000000"/>
          <w:sz w:val="28"/>
          <w:szCs w:val="28"/>
          <w:lang w:val="uk-UA"/>
        </w:rPr>
        <w:t>ulcer</w:t>
      </w:r>
      <w:proofErr w:type="spellEnd"/>
      <w:r>
        <w:rPr>
          <w:rFonts w:ascii="Times New Roman" w:hAnsi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i/>
          <w:color w:val="000000"/>
          <w:sz w:val="28"/>
          <w:szCs w:val="28"/>
          <w:lang w:val="uk-UA"/>
        </w:rPr>
        <w:t>disease</w:t>
      </w:r>
      <w:proofErr w:type="spellEnd"/>
      <w:r>
        <w:rPr>
          <w:rFonts w:ascii="Times New Roman" w:hAnsi="Times New Roman"/>
          <w:bCs/>
          <w:i/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bCs/>
          <w:i/>
          <w:color w:val="000000"/>
          <w:sz w:val="28"/>
          <w:szCs w:val="28"/>
          <w:lang w:val="uk-UA"/>
        </w:rPr>
        <w:t>blood</w:t>
      </w:r>
      <w:proofErr w:type="spellEnd"/>
      <w:r>
        <w:rPr>
          <w:rFonts w:ascii="Times New Roman" w:hAnsi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i/>
          <w:color w:val="000000"/>
          <w:sz w:val="28"/>
          <w:szCs w:val="28"/>
          <w:lang w:val="uk-UA"/>
        </w:rPr>
        <w:t>parameters</w:t>
      </w:r>
      <w:proofErr w:type="spellEnd"/>
      <w:r>
        <w:rPr>
          <w:rFonts w:ascii="Times New Roman" w:hAnsi="Times New Roman"/>
          <w:bCs/>
          <w:i/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bCs/>
          <w:i/>
          <w:color w:val="000000"/>
          <w:sz w:val="28"/>
          <w:szCs w:val="28"/>
          <w:lang w:val="uk-UA"/>
        </w:rPr>
        <w:t>leukocyte</w:t>
      </w:r>
      <w:proofErr w:type="spellEnd"/>
      <w:r>
        <w:rPr>
          <w:rFonts w:ascii="Times New Roman" w:hAnsi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i/>
          <w:color w:val="000000"/>
          <w:sz w:val="28"/>
          <w:szCs w:val="28"/>
          <w:lang w:val="uk-UA"/>
        </w:rPr>
        <w:t>indices</w:t>
      </w:r>
      <w:proofErr w:type="spellEnd"/>
    </w:p>
    <w:p w:rsidR="00F202AC" w:rsidRDefault="00F202AC" w:rsidP="00F202AC">
      <w:pPr>
        <w:spacing w:after="0" w:line="360" w:lineRule="auto"/>
        <w:jc w:val="center"/>
        <w:outlineLvl w:val="0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F202AC" w:rsidRDefault="00F202AC" w:rsidP="00F202AC">
      <w:pPr>
        <w:spacing w:after="0" w:line="360" w:lineRule="auto"/>
        <w:jc w:val="center"/>
        <w:outlineLvl w:val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br w:type="page"/>
        <w:t>ЗМІСТ</w:t>
      </w:r>
    </w:p>
    <w:tbl>
      <w:tblPr>
        <w:tblW w:w="9960" w:type="dxa"/>
        <w:tblInd w:w="-132" w:type="dxa"/>
        <w:tblLook w:val="01E0" w:firstRow="1" w:lastRow="1" w:firstColumn="1" w:lastColumn="1" w:noHBand="0" w:noVBand="0"/>
      </w:tblPr>
      <w:tblGrid>
        <w:gridCol w:w="9360"/>
        <w:gridCol w:w="600"/>
      </w:tblGrid>
      <w:tr w:rsidR="00F202AC" w:rsidTr="00F202AC">
        <w:tc>
          <w:tcPr>
            <w:tcW w:w="9360" w:type="dxa"/>
            <w:hideMark/>
          </w:tcPr>
          <w:p w:rsidR="00F202AC" w:rsidRDefault="00F202AC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ВСТУП</w:t>
            </w:r>
          </w:p>
        </w:tc>
        <w:tc>
          <w:tcPr>
            <w:tcW w:w="600" w:type="dxa"/>
            <w:hideMark/>
          </w:tcPr>
          <w:p w:rsidR="00F202AC" w:rsidRDefault="00F202AC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5</w:t>
            </w:r>
          </w:p>
        </w:tc>
      </w:tr>
      <w:tr w:rsidR="00F202AC" w:rsidTr="00F202AC">
        <w:tc>
          <w:tcPr>
            <w:tcW w:w="9360" w:type="dxa"/>
            <w:hideMark/>
          </w:tcPr>
          <w:p w:rsidR="00F202AC" w:rsidRDefault="00F202AC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1. ОГЛЯД ЛІТЕРАТУРИ</w:t>
            </w:r>
          </w:p>
        </w:tc>
        <w:tc>
          <w:tcPr>
            <w:tcW w:w="600" w:type="dxa"/>
            <w:hideMark/>
          </w:tcPr>
          <w:p w:rsidR="00F202AC" w:rsidRDefault="00F202AC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8</w:t>
            </w:r>
          </w:p>
        </w:tc>
      </w:tr>
      <w:tr w:rsidR="00F202AC" w:rsidTr="00F202AC">
        <w:tc>
          <w:tcPr>
            <w:tcW w:w="9360" w:type="dxa"/>
            <w:hideMark/>
          </w:tcPr>
          <w:p w:rsidR="00F202AC" w:rsidRDefault="00F202AC">
            <w:pPr>
              <w:spacing w:after="0" w:line="360" w:lineRule="auto"/>
              <w:ind w:firstLine="312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1.1. Класифікація та етіологія виразкової хвороби</w:t>
            </w:r>
          </w:p>
        </w:tc>
        <w:tc>
          <w:tcPr>
            <w:tcW w:w="600" w:type="dxa"/>
            <w:hideMark/>
          </w:tcPr>
          <w:p w:rsidR="00F202AC" w:rsidRDefault="00F202AC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8</w:t>
            </w:r>
          </w:p>
        </w:tc>
      </w:tr>
      <w:tr w:rsidR="00F202AC" w:rsidTr="00F202AC">
        <w:tc>
          <w:tcPr>
            <w:tcW w:w="9360" w:type="dxa"/>
            <w:hideMark/>
          </w:tcPr>
          <w:p w:rsidR="00F202AC" w:rsidRDefault="00F202AC">
            <w:pPr>
              <w:spacing w:after="0" w:line="360" w:lineRule="auto"/>
              <w:ind w:firstLine="312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1.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Етиологія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розвитку виразкової хвороби</w:t>
            </w:r>
          </w:p>
        </w:tc>
        <w:tc>
          <w:tcPr>
            <w:tcW w:w="600" w:type="dxa"/>
            <w:hideMark/>
          </w:tcPr>
          <w:p w:rsidR="00F202AC" w:rsidRDefault="00F202AC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10</w:t>
            </w:r>
          </w:p>
        </w:tc>
      </w:tr>
      <w:tr w:rsidR="00F202AC" w:rsidTr="00F202AC">
        <w:tc>
          <w:tcPr>
            <w:tcW w:w="9360" w:type="dxa"/>
            <w:hideMark/>
          </w:tcPr>
          <w:p w:rsidR="00F202AC" w:rsidRDefault="00F202AC">
            <w:pPr>
              <w:spacing w:after="0" w:line="360" w:lineRule="auto"/>
              <w:ind w:firstLine="312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1.3. Патогенез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розвитку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виразкової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хвороби</w:t>
            </w:r>
            <w:proofErr w:type="spellEnd"/>
          </w:p>
        </w:tc>
        <w:tc>
          <w:tcPr>
            <w:tcW w:w="600" w:type="dxa"/>
            <w:hideMark/>
          </w:tcPr>
          <w:p w:rsidR="00F202AC" w:rsidRDefault="00F202AC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12</w:t>
            </w:r>
          </w:p>
        </w:tc>
      </w:tr>
      <w:tr w:rsidR="00F202AC" w:rsidTr="00F202AC">
        <w:tc>
          <w:tcPr>
            <w:tcW w:w="9360" w:type="dxa"/>
            <w:hideMark/>
          </w:tcPr>
          <w:p w:rsidR="00F202AC" w:rsidRDefault="00F202AC">
            <w:pPr>
              <w:spacing w:after="0" w:line="360" w:lineRule="auto"/>
              <w:ind w:left="312"/>
              <w:jc w:val="both"/>
              <w:outlineLvl w:val="0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1.4. Роль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інфікованості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шлунка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/>
                <w:iCs/>
                <w:sz w:val="28"/>
                <w:szCs w:val="28"/>
              </w:rPr>
              <w:t>Helicobacter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ylori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 розвитку виразкової хвороби</w:t>
            </w:r>
          </w:p>
        </w:tc>
        <w:tc>
          <w:tcPr>
            <w:tcW w:w="600" w:type="dxa"/>
            <w:hideMark/>
          </w:tcPr>
          <w:p w:rsidR="00F202AC" w:rsidRDefault="00F202AC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15</w:t>
            </w:r>
          </w:p>
        </w:tc>
      </w:tr>
      <w:tr w:rsidR="00F202AC" w:rsidTr="00F202AC">
        <w:tc>
          <w:tcPr>
            <w:tcW w:w="9360" w:type="dxa"/>
            <w:hideMark/>
          </w:tcPr>
          <w:p w:rsidR="00F202AC" w:rsidRDefault="00F202AC">
            <w:pPr>
              <w:spacing w:after="0" w:line="360" w:lineRule="auto"/>
              <w:ind w:left="142" w:hanging="142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2. МАТЕРІАЛИ ТА МЕТОДИ ДОСЛІДЖЕННЯ</w:t>
            </w:r>
          </w:p>
        </w:tc>
        <w:tc>
          <w:tcPr>
            <w:tcW w:w="600" w:type="dxa"/>
            <w:hideMark/>
          </w:tcPr>
          <w:p w:rsidR="00F202AC" w:rsidRDefault="00F202AC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18</w:t>
            </w:r>
          </w:p>
        </w:tc>
      </w:tr>
      <w:tr w:rsidR="00F202AC" w:rsidTr="00F202AC">
        <w:tc>
          <w:tcPr>
            <w:tcW w:w="9360" w:type="dxa"/>
            <w:hideMark/>
          </w:tcPr>
          <w:p w:rsidR="00F202AC" w:rsidRDefault="00F202AC">
            <w:pPr>
              <w:autoSpaceDE w:val="0"/>
              <w:autoSpaceDN w:val="0"/>
              <w:adjustRightInd w:val="0"/>
              <w:spacing w:after="0" w:line="360" w:lineRule="auto"/>
              <w:ind w:firstLine="312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2.1. Метод підрахунку кількості еритроцитів</w:t>
            </w:r>
          </w:p>
        </w:tc>
        <w:tc>
          <w:tcPr>
            <w:tcW w:w="600" w:type="dxa"/>
            <w:hideMark/>
          </w:tcPr>
          <w:p w:rsidR="00F202AC" w:rsidRDefault="00F202AC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18</w:t>
            </w:r>
          </w:p>
        </w:tc>
      </w:tr>
      <w:tr w:rsidR="00F202AC" w:rsidTr="00F202AC">
        <w:tc>
          <w:tcPr>
            <w:tcW w:w="9360" w:type="dxa"/>
            <w:hideMark/>
          </w:tcPr>
          <w:p w:rsidR="00F202AC" w:rsidRDefault="00F202AC">
            <w:pPr>
              <w:spacing w:after="0" w:line="360" w:lineRule="auto"/>
              <w:ind w:firstLine="312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2.2. Метод п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ідрахунку загальної кількості лейкоцитів в крові</w:t>
            </w:r>
          </w:p>
        </w:tc>
        <w:tc>
          <w:tcPr>
            <w:tcW w:w="600" w:type="dxa"/>
            <w:hideMark/>
          </w:tcPr>
          <w:p w:rsidR="00F202AC" w:rsidRDefault="00F202AC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18</w:t>
            </w:r>
          </w:p>
        </w:tc>
      </w:tr>
      <w:tr w:rsidR="00F202AC" w:rsidTr="00F202AC">
        <w:tc>
          <w:tcPr>
            <w:tcW w:w="9360" w:type="dxa"/>
            <w:hideMark/>
          </w:tcPr>
          <w:p w:rsidR="00F202AC" w:rsidRDefault="00F202AC">
            <w:pPr>
              <w:spacing w:after="0" w:line="360" w:lineRule="auto"/>
              <w:ind w:firstLine="312"/>
              <w:jc w:val="both"/>
              <w:outlineLvl w:val="0"/>
              <w:rPr>
                <w:rFonts w:ascii="Times New Roman" w:hAnsi="Times New Roman"/>
                <w:b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2.3.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</w:t>
            </w:r>
            <w:r>
              <w:rPr>
                <w:rStyle w:val="ts71"/>
                <w:b w:val="0"/>
                <w:sz w:val="28"/>
                <w:szCs w:val="28"/>
                <w:lang w:val="uk-UA"/>
              </w:rPr>
              <w:t xml:space="preserve">Метод підрахунку тромбоцитів у мазках крові (по </w:t>
            </w:r>
            <w:proofErr w:type="spellStart"/>
            <w:r>
              <w:rPr>
                <w:rStyle w:val="ts71"/>
                <w:b w:val="0"/>
                <w:sz w:val="28"/>
                <w:szCs w:val="28"/>
                <w:lang w:val="uk-UA"/>
              </w:rPr>
              <w:t>Фоніо</w:t>
            </w:r>
            <w:proofErr w:type="spellEnd"/>
            <w:r>
              <w:rPr>
                <w:rStyle w:val="ts71"/>
                <w:b w:val="0"/>
                <w:sz w:val="28"/>
                <w:szCs w:val="28"/>
                <w:lang w:val="uk-UA"/>
              </w:rPr>
              <w:t>)</w:t>
            </w:r>
          </w:p>
        </w:tc>
        <w:tc>
          <w:tcPr>
            <w:tcW w:w="600" w:type="dxa"/>
            <w:hideMark/>
          </w:tcPr>
          <w:p w:rsidR="00F202AC" w:rsidRDefault="00F202AC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19</w:t>
            </w:r>
          </w:p>
        </w:tc>
      </w:tr>
      <w:tr w:rsidR="00F202AC" w:rsidTr="00F202AC">
        <w:tc>
          <w:tcPr>
            <w:tcW w:w="9360" w:type="dxa"/>
            <w:hideMark/>
          </w:tcPr>
          <w:p w:rsidR="00F202AC" w:rsidRDefault="00F202AC">
            <w:pPr>
              <w:spacing w:after="0" w:line="360" w:lineRule="auto"/>
              <w:ind w:firstLine="312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2.4.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Методика визначення вмісту гемоглобіну</w:t>
            </w:r>
          </w:p>
        </w:tc>
        <w:tc>
          <w:tcPr>
            <w:tcW w:w="600" w:type="dxa"/>
            <w:hideMark/>
          </w:tcPr>
          <w:p w:rsidR="00F202AC" w:rsidRDefault="00F202AC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20</w:t>
            </w:r>
          </w:p>
        </w:tc>
      </w:tr>
      <w:tr w:rsidR="00F202AC" w:rsidTr="00F202AC">
        <w:tc>
          <w:tcPr>
            <w:tcW w:w="9360" w:type="dxa"/>
            <w:hideMark/>
          </w:tcPr>
          <w:p w:rsidR="00F202AC" w:rsidRDefault="00F202AC">
            <w:pPr>
              <w:spacing w:after="0" w:line="360" w:lineRule="auto"/>
              <w:ind w:left="312"/>
              <w:jc w:val="both"/>
              <w:outlineLvl w:val="0"/>
              <w:rPr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2.5. Метод визначення швидкості осідання еритроцитів (метод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Панченкова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600" w:type="dxa"/>
            <w:hideMark/>
          </w:tcPr>
          <w:p w:rsidR="00F202AC" w:rsidRDefault="00F202AC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21</w:t>
            </w:r>
          </w:p>
        </w:tc>
      </w:tr>
      <w:tr w:rsidR="00F202AC" w:rsidTr="00F202AC">
        <w:tc>
          <w:tcPr>
            <w:tcW w:w="9360" w:type="dxa"/>
            <w:hideMark/>
          </w:tcPr>
          <w:p w:rsidR="00F202AC" w:rsidRDefault="00F202AC">
            <w:pPr>
              <w:spacing w:after="0" w:line="360" w:lineRule="auto"/>
              <w:ind w:firstLine="312"/>
              <w:jc w:val="both"/>
              <w:outlineLvl w:val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2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.6. Лейкоцитарні індекси</w:t>
            </w:r>
          </w:p>
        </w:tc>
        <w:tc>
          <w:tcPr>
            <w:tcW w:w="600" w:type="dxa"/>
            <w:hideMark/>
          </w:tcPr>
          <w:p w:rsidR="00F202AC" w:rsidRDefault="00F202AC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21</w:t>
            </w:r>
          </w:p>
        </w:tc>
      </w:tr>
      <w:tr w:rsidR="00F202AC" w:rsidTr="00F202AC">
        <w:tc>
          <w:tcPr>
            <w:tcW w:w="9360" w:type="dxa"/>
            <w:hideMark/>
          </w:tcPr>
          <w:p w:rsidR="00F202AC" w:rsidRDefault="00F202AC">
            <w:pPr>
              <w:spacing w:after="0" w:line="360" w:lineRule="auto"/>
              <w:ind w:firstLine="312"/>
              <w:jc w:val="both"/>
              <w:outlineLvl w:val="0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2.7. Визначення кольорового показника крові</w:t>
            </w:r>
          </w:p>
        </w:tc>
        <w:tc>
          <w:tcPr>
            <w:tcW w:w="600" w:type="dxa"/>
            <w:hideMark/>
          </w:tcPr>
          <w:p w:rsidR="00F202AC" w:rsidRDefault="00F202AC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23</w:t>
            </w:r>
          </w:p>
        </w:tc>
      </w:tr>
      <w:tr w:rsidR="00F202AC" w:rsidTr="00F202AC">
        <w:tc>
          <w:tcPr>
            <w:tcW w:w="9360" w:type="dxa"/>
            <w:hideMark/>
          </w:tcPr>
          <w:p w:rsidR="00F202AC" w:rsidRDefault="00F202AC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3. РЕЗУЛЬТАТИ ДОСЛІДЖЕННЯ ТА ЇХ ОБГОВОРЕННЯ</w:t>
            </w:r>
          </w:p>
        </w:tc>
        <w:tc>
          <w:tcPr>
            <w:tcW w:w="600" w:type="dxa"/>
            <w:hideMark/>
          </w:tcPr>
          <w:p w:rsidR="00F202AC" w:rsidRDefault="00F202AC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25</w:t>
            </w:r>
          </w:p>
        </w:tc>
      </w:tr>
      <w:tr w:rsidR="00F202AC" w:rsidTr="00F202AC">
        <w:tc>
          <w:tcPr>
            <w:tcW w:w="9360" w:type="dxa"/>
            <w:hideMark/>
          </w:tcPr>
          <w:p w:rsidR="00F202AC" w:rsidRDefault="00F202AC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УЗАГАЛЬНЕННЯ</w:t>
            </w:r>
          </w:p>
        </w:tc>
        <w:tc>
          <w:tcPr>
            <w:tcW w:w="600" w:type="dxa"/>
            <w:hideMark/>
          </w:tcPr>
          <w:p w:rsidR="00F202AC" w:rsidRDefault="00F202AC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34</w:t>
            </w:r>
          </w:p>
        </w:tc>
      </w:tr>
      <w:tr w:rsidR="00F202AC" w:rsidTr="00F202AC">
        <w:tc>
          <w:tcPr>
            <w:tcW w:w="9360" w:type="dxa"/>
            <w:hideMark/>
          </w:tcPr>
          <w:p w:rsidR="00F202AC" w:rsidRDefault="00F202AC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ВИСНОВКИ</w:t>
            </w:r>
          </w:p>
        </w:tc>
        <w:tc>
          <w:tcPr>
            <w:tcW w:w="600" w:type="dxa"/>
            <w:hideMark/>
          </w:tcPr>
          <w:p w:rsidR="00F202AC" w:rsidRDefault="00F202AC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36</w:t>
            </w:r>
          </w:p>
        </w:tc>
      </w:tr>
      <w:tr w:rsidR="00F202AC" w:rsidTr="00F202AC">
        <w:tc>
          <w:tcPr>
            <w:tcW w:w="9360" w:type="dxa"/>
            <w:hideMark/>
          </w:tcPr>
          <w:p w:rsidR="00F202AC" w:rsidRDefault="00F202AC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  <w:t>СПИСОК ЛІТЕРАТУРИ</w:t>
            </w:r>
          </w:p>
        </w:tc>
        <w:tc>
          <w:tcPr>
            <w:tcW w:w="600" w:type="dxa"/>
            <w:hideMark/>
          </w:tcPr>
          <w:p w:rsidR="00F202AC" w:rsidRDefault="00F202AC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37</w:t>
            </w:r>
          </w:p>
        </w:tc>
      </w:tr>
    </w:tbl>
    <w:p w:rsidR="006635AF" w:rsidRDefault="006635AF"/>
    <w:p w:rsidR="00F202AC" w:rsidRDefault="00F202AC"/>
    <w:p w:rsidR="00F202AC" w:rsidRDefault="00F202AC"/>
    <w:p w:rsidR="00F202AC" w:rsidRDefault="00F202AC"/>
    <w:p w:rsidR="00F202AC" w:rsidRDefault="00F202AC"/>
    <w:p w:rsidR="00F202AC" w:rsidRDefault="00F202AC"/>
    <w:p w:rsidR="00F202AC" w:rsidRDefault="00F202AC"/>
    <w:p w:rsidR="00F202AC" w:rsidRDefault="00F202AC"/>
    <w:p w:rsidR="00F202AC" w:rsidRDefault="00F202AC"/>
    <w:p w:rsidR="00F202AC" w:rsidRDefault="00F202AC"/>
    <w:p w:rsidR="00F202AC" w:rsidRDefault="00F202AC" w:rsidP="00F202AC">
      <w:pPr>
        <w:spacing w:after="0" w:line="360" w:lineRule="auto"/>
        <w:ind w:firstLine="900"/>
        <w:jc w:val="center"/>
        <w:rPr>
          <w:rFonts w:ascii="Times New Roman" w:hAnsi="Times New Roman"/>
          <w:bCs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>ВСТУП</w:t>
      </w:r>
    </w:p>
    <w:p w:rsidR="00F202AC" w:rsidRDefault="00F202AC" w:rsidP="00F202AC">
      <w:pPr>
        <w:pStyle w:val="Default"/>
        <w:spacing w:line="360" w:lineRule="auto"/>
        <w:rPr>
          <w:lang w:val="uk-UA"/>
        </w:rPr>
      </w:pPr>
    </w:p>
    <w:p w:rsidR="00F202AC" w:rsidRDefault="00F202AC" w:rsidP="00F202AC">
      <w:pPr>
        <w:pStyle w:val="Pa10"/>
        <w:spacing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Виразкова хвороба (ВХ)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шлунка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дванадцятипалої кишки, за даними більшості аналітичних і статистичних документів, за кордоном залишається одним з найпоширеніших захворювань органів травлення, відсоток яких є досить високим (26,5 – 42,5 %).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</w:rPr>
        <w:t>Хвороба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має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схильність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важкого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перебігу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розвитку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небезпечних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життя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ускладнень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, частота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яких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, особливо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виразкових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геморагий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має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тенденцію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зростання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. За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даними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ВООЗ на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виразкову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хворобу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страждає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10-15%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населення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розвинених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color w:val="000000"/>
          <w:sz w:val="28"/>
          <w:szCs w:val="28"/>
        </w:rPr>
        <w:t>країн</w:t>
      </w:r>
      <w:proofErr w:type="spellEnd"/>
      <w:proofErr w:type="gram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[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16</w:t>
      </w:r>
      <w:r>
        <w:rPr>
          <w:rFonts w:ascii="Times New Roman" w:hAnsi="Times New Roman" w:cs="Times New Roman"/>
          <w:color w:val="000000"/>
          <w:sz w:val="28"/>
          <w:szCs w:val="28"/>
        </w:rPr>
        <w:t>].</w:t>
      </w:r>
    </w:p>
    <w:p w:rsidR="00F202AC" w:rsidRDefault="00F202AC" w:rsidP="00F202AC">
      <w:pPr>
        <w:pStyle w:val="Pa10"/>
        <w:spacing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За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даними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літератури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14,3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%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хворих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на ВХ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стають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інвалідами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другої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>, а 40,2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%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інвалідами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третьої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групи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причому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55,4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%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пацієнтів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мають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інвалідність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особи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</w:rPr>
        <w:t>молодого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середнього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віку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Середня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тривалість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тимчасової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втрати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працездатності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перед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встановленням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групи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інвалідності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склала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114,7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днів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[</w:t>
      </w:r>
      <w:r>
        <w:rPr>
          <w:rFonts w:ascii="Times New Roman" w:hAnsi="Times New Roman" w:cs="Times New Roman"/>
          <w:sz w:val="28"/>
          <w:szCs w:val="28"/>
          <w:lang w:val="uk-UA"/>
        </w:rPr>
        <w:t>35</w:t>
      </w:r>
      <w:r>
        <w:rPr>
          <w:rFonts w:ascii="Times New Roman" w:hAnsi="Times New Roman" w:cs="Times New Roman"/>
          <w:color w:val="000000"/>
          <w:sz w:val="28"/>
          <w:szCs w:val="28"/>
        </w:rPr>
        <w:t>].</w:t>
      </w:r>
    </w:p>
    <w:p w:rsidR="00F202AC" w:rsidRDefault="00F202AC" w:rsidP="00F202AC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Загально прийнятим є той факт, що у виникненні виразки дванадцятипалої кишки (ВДПК) основну роль відіграє не тільки інфекція, але цілий ряд супутніх станів і захворювань [9, 17].</w:t>
      </w:r>
    </w:p>
    <w:p w:rsidR="00F202AC" w:rsidRDefault="00F202AC" w:rsidP="00F202AC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ВООЗ запропонувала враховувати випадки виникнення виразкової хвороби у населення за допомогою показника первинної захворюваності, оскільки він найкраще характеризує ризик виникнення захворювання у здорової людини. Аналіз структури ВХ показав, що як у дорослих, так і в дітей домінуючим є ураження ДПК. </w:t>
      </w:r>
      <w:r>
        <w:rPr>
          <w:rFonts w:ascii="Times New Roman" w:hAnsi="Times New Roman"/>
          <w:color w:val="000000"/>
          <w:sz w:val="28"/>
          <w:szCs w:val="28"/>
        </w:rPr>
        <w:t xml:space="preserve">Так, у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дорослих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що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страждають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на ВХ, дефект у ДПК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виявляють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у 64,8-78,6 %, у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шлунку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– 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у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 xml:space="preserve"> 15,0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color w:val="000000"/>
          <w:sz w:val="28"/>
          <w:szCs w:val="28"/>
        </w:rPr>
        <w:t xml:space="preserve">27,4 %, у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шлунку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та ДПК – у 6,2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color w:val="000000"/>
          <w:sz w:val="28"/>
          <w:szCs w:val="28"/>
        </w:rPr>
        <w:t xml:space="preserve">7,0 %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випадків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[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36</w:t>
      </w:r>
      <w:r>
        <w:rPr>
          <w:rFonts w:ascii="Times New Roman" w:hAnsi="Times New Roman"/>
          <w:color w:val="000000"/>
          <w:sz w:val="28"/>
          <w:szCs w:val="28"/>
        </w:rPr>
        <w:t xml:space="preserve">]. </w:t>
      </w:r>
    </w:p>
    <w:p w:rsidR="00F202AC" w:rsidRDefault="00F202AC" w:rsidP="00F202AC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Виразкова хвороба шлунку та дванадцятипалої кишки (ВХ), незважаючи на досягнуті успіхи у вивченні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етіопатогенетичних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механізмів формування, удосконалення діагностики та лікування, розробку комплексу профілактичних заходів, продовжує викликати інтерес серед гастроентерологів та хірургів</w:t>
      </w:r>
      <w:r>
        <w:rPr>
          <w:rFonts w:ascii="Times New Roman" w:hAnsi="Times New Roman"/>
          <w:color w:val="000000"/>
          <w:sz w:val="28"/>
          <w:szCs w:val="28"/>
        </w:rPr>
        <w:t xml:space="preserve"> [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39</w:t>
      </w:r>
      <w:r>
        <w:rPr>
          <w:rFonts w:ascii="Times New Roman" w:hAnsi="Times New Roman"/>
          <w:color w:val="000000"/>
          <w:sz w:val="28"/>
          <w:szCs w:val="28"/>
        </w:rPr>
        <w:t>]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</w:p>
    <w:p w:rsidR="00F202AC" w:rsidRDefault="00F202AC" w:rsidP="00F202AC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На думку науковців,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поліетіологічність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захворювання зумовлює клінічну гетерогенність та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рецидивуючий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перебіг хвороби. Останнім часом не спостерігається зниження частоти патології, а щорічно зростає кількість тяжких ускладнень захворювання які призводять до зниження якості життя [45]. </w:t>
      </w:r>
    </w:p>
    <w:p w:rsidR="00F202AC" w:rsidRDefault="00F202AC" w:rsidP="00F202AC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У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розвинених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color w:val="000000"/>
          <w:sz w:val="28"/>
          <w:szCs w:val="28"/>
        </w:rPr>
        <w:t>країнах</w:t>
      </w:r>
      <w:proofErr w:type="spellEnd"/>
      <w:proofErr w:type="gramEnd"/>
      <w:r>
        <w:rPr>
          <w:rFonts w:ascii="Times New Roman" w:hAnsi="Times New Roman"/>
          <w:color w:val="000000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останні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два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десятиліття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спостерігається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чітка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тенденція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зниження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показників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захворюваності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ВХ.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Більшість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авторів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пов'язує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це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відкриттям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Н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elicobacter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р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ylori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застосуванням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більш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ефективних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фармакологічних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засобів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антихелікобактерної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терапії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Однак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color w:val="000000"/>
          <w:sz w:val="28"/>
          <w:szCs w:val="28"/>
        </w:rPr>
        <w:t>р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>івень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захворюваності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ВХ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залишається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високим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і становить за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даними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різних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джерел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від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13 до 18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випадків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на 1000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осіб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За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даними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статистичних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досліджень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намітилася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тенденція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переважання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ускладнених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форм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захворювання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збільшилася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кількість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шлунково-кишкових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кровотеч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проривної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виразок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що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обумовлює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необхідність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частих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хірургічних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втручань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як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вимушеної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заходи </w:t>
      </w:r>
      <w:proofErr w:type="spellStart"/>
      <w:proofErr w:type="gramStart"/>
      <w:r>
        <w:rPr>
          <w:rFonts w:ascii="Times New Roman" w:hAnsi="Times New Roman"/>
          <w:color w:val="000000"/>
          <w:sz w:val="28"/>
          <w:szCs w:val="28"/>
        </w:rPr>
        <w:t>л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>ікування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[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11</w:t>
      </w:r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2</w:t>
      </w:r>
      <w:r>
        <w:rPr>
          <w:rFonts w:ascii="Times New Roman" w:hAnsi="Times New Roman"/>
          <w:color w:val="000000"/>
          <w:sz w:val="28"/>
          <w:szCs w:val="28"/>
        </w:rPr>
        <w:t>1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, 44</w:t>
      </w:r>
      <w:r>
        <w:rPr>
          <w:rFonts w:ascii="Times New Roman" w:hAnsi="Times New Roman"/>
          <w:color w:val="000000"/>
          <w:sz w:val="28"/>
          <w:szCs w:val="28"/>
        </w:rPr>
        <w:t>].</w:t>
      </w:r>
    </w:p>
    <w:p w:rsidR="00F202AC" w:rsidRDefault="00F202AC" w:rsidP="00F202AC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Найбільший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рівень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захворюваності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 xml:space="preserve"> ВХ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відзначається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 xml:space="preserve"> у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чоловіків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gramStart"/>
      <w:r w:rsidRPr="00F202AC">
        <w:rPr>
          <w:rFonts w:ascii="Times New Roman" w:hAnsi="Times New Roman"/>
          <w:color w:val="000000"/>
          <w:sz w:val="28"/>
          <w:szCs w:val="28"/>
        </w:rPr>
        <w:t>в</w:t>
      </w:r>
      <w:proofErr w:type="gramEnd"/>
      <w:r w:rsidRPr="00F202AC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найбільш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 xml:space="preserve"> активному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працездатному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віці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років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 xml:space="preserve">. </w:t>
      </w:r>
      <w:r>
        <w:rPr>
          <w:rFonts w:ascii="Times New Roman" w:hAnsi="Times New Roman"/>
          <w:color w:val="000000"/>
          <w:sz w:val="28"/>
          <w:szCs w:val="28"/>
        </w:rPr>
        <w:t xml:space="preserve">Особливо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чітко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ця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тенденція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простежується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в молодому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віці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при ВХДПК [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11</w:t>
      </w:r>
      <w:r>
        <w:rPr>
          <w:rFonts w:ascii="Times New Roman" w:hAnsi="Times New Roman"/>
          <w:color w:val="000000"/>
          <w:sz w:val="28"/>
          <w:szCs w:val="28"/>
        </w:rPr>
        <w:t>].</w:t>
      </w:r>
    </w:p>
    <w:p w:rsidR="00F202AC" w:rsidRDefault="00F202AC" w:rsidP="00F202AC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Тому, актуальним залишається вивчення факторів, які сприяють розвитку ускладненого перебігу захворювання, та вибір адекватної тактики лікування з метою зменшення частоти</w:t>
      </w:r>
      <w:r>
        <w:rPr>
          <w:rFonts w:ascii="Times New Roman" w:hAnsi="Times New Roman"/>
          <w:sz w:val="28"/>
          <w:szCs w:val="28"/>
          <w:lang w:val="uk-UA"/>
        </w:rPr>
        <w:t xml:space="preserve"> виникнення рецидивів не лише ВХ, але й її ускладнень.</w:t>
      </w:r>
    </w:p>
    <w:p w:rsidR="00F202AC" w:rsidRPr="00F202AC" w:rsidRDefault="00F202AC" w:rsidP="00F202AC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У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зв'язку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цим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,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м</w:t>
      </w:r>
      <w:proofErr w:type="spellStart"/>
      <w:r>
        <w:rPr>
          <w:rFonts w:ascii="Times New Roman" w:hAnsi="Times New Roman"/>
          <w:sz w:val="28"/>
          <w:szCs w:val="28"/>
        </w:rPr>
        <w:t>етою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досл</w:t>
      </w:r>
      <w:proofErr w:type="gramEnd"/>
      <w:r>
        <w:rPr>
          <w:rFonts w:ascii="Times New Roman" w:hAnsi="Times New Roman"/>
          <w:sz w:val="28"/>
          <w:szCs w:val="28"/>
        </w:rPr>
        <w:t>іджен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ня</w:t>
      </w:r>
      <w:r>
        <w:rPr>
          <w:rFonts w:ascii="Times New Roman" w:hAnsi="Times New Roman"/>
          <w:sz w:val="28"/>
          <w:szCs w:val="28"/>
        </w:rPr>
        <w:t xml:space="preserve"> стало </w:t>
      </w:r>
      <w:r>
        <w:rPr>
          <w:rFonts w:ascii="Times New Roman" w:hAnsi="Times New Roman"/>
          <w:sz w:val="28"/>
          <w:szCs w:val="28"/>
          <w:lang w:val="uk-UA"/>
        </w:rPr>
        <w:t xml:space="preserve">визначення </w:t>
      </w:r>
      <w:proofErr w:type="spellStart"/>
      <w:r>
        <w:rPr>
          <w:rFonts w:ascii="Times New Roman" w:hAnsi="Times New Roman"/>
          <w:sz w:val="28"/>
          <w:szCs w:val="28"/>
        </w:rPr>
        <w:t>показників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крові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та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сечі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чоловіків, хворих на виразку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шлунка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на фоні застосованої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терапії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F202AC" w:rsidRDefault="00F202AC" w:rsidP="00F202AC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Перед нами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були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color w:val="000000"/>
          <w:sz w:val="28"/>
          <w:szCs w:val="28"/>
        </w:rPr>
        <w:t>поставлен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>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наступні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завдання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:</w:t>
      </w:r>
    </w:p>
    <w:p w:rsidR="00F202AC" w:rsidRDefault="00F202AC" w:rsidP="00F202AC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1. Визначити кількісний склад клітин крові у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обстежених чоловіків.</w:t>
      </w:r>
    </w:p>
    <w:p w:rsidR="00F202AC" w:rsidRDefault="00F202AC" w:rsidP="00F202AC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2. Визначити деякі гематологічні показники у чоловіків хворих на виразкову хворобу.</w:t>
      </w:r>
    </w:p>
    <w:p w:rsidR="00F202AC" w:rsidRDefault="00F202AC" w:rsidP="00F202AC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3. Визначити інтегративні лейкоцитарні індекси у обстежених чоловіків.</w:t>
      </w:r>
    </w:p>
    <w:p w:rsidR="00F202AC" w:rsidRDefault="00F202AC" w:rsidP="00F202AC">
      <w:pPr>
        <w:spacing w:after="0" w:line="360" w:lineRule="auto"/>
        <w:ind w:firstLine="720"/>
        <w:jc w:val="both"/>
        <w:rPr>
          <w:rFonts w:ascii="Times New Roman" w:hAnsi="Times New Roman"/>
          <w:i/>
          <w:color w:val="000000"/>
          <w:sz w:val="28"/>
          <w:szCs w:val="28"/>
        </w:rPr>
      </w:pPr>
    </w:p>
    <w:p w:rsidR="00F202AC" w:rsidRDefault="00F202AC" w:rsidP="00F202AC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Предмет дослідження –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виразкова хвороба.</w:t>
      </w:r>
    </w:p>
    <w:p w:rsidR="00F202AC" w:rsidRDefault="00F202AC" w:rsidP="00F202AC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Об´єкт дослідження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>–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показники крові і лейкоцитарні індекси у обстежених чоловіків.</w:t>
      </w:r>
    </w:p>
    <w:p w:rsidR="00F202AC" w:rsidRDefault="00F202AC" w:rsidP="00F202AC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br w:type="page"/>
      </w:r>
    </w:p>
    <w:p w:rsidR="00F202AC" w:rsidRPr="00F202AC" w:rsidRDefault="00F202AC" w:rsidP="00F202AC">
      <w:pPr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ВИСНОВКИ</w:t>
      </w:r>
    </w:p>
    <w:p w:rsidR="00F202AC" w:rsidRPr="00F202AC" w:rsidRDefault="00F202AC" w:rsidP="00F202AC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F202AC" w:rsidRPr="00F202AC" w:rsidRDefault="00F202AC" w:rsidP="00F202AC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1. На початку терапії у чоловіків з виразковою хворобою відмічали зменшення кількості еритроцитів і тромбоцитів на 7,8 і 15 % відповідно та збільшення загальної кількості лейкоцитів на 17,7 % у порівнянні з практично здоровими чоловіками.</w:t>
      </w:r>
    </w:p>
    <w:p w:rsidR="00F202AC" w:rsidRPr="00F202AC" w:rsidRDefault="00F202AC" w:rsidP="00F202AC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2. На початку спостереження у чоловіків з виразковою хворобою відмічали зменшення вмісту гемоглобіну і швидкість осідання еритроцитів на 23 і 31 % відповідно по відношенню практично здорових чоловіків.</w:t>
      </w:r>
    </w:p>
    <w:p w:rsidR="00F202AC" w:rsidRPr="00F202AC" w:rsidRDefault="00F202AC" w:rsidP="00F202AC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3. У чоловіків з виразковою хворобою про наявність запального процесу свідчило збільшення ЛІ, ІСЛМ на 25 і 27 % відповідно, а про ступінь інфекційної інтоксикації – зниження ЛІІ, ІЗЛК, ІЛШОЕ на 21,3; 18,5 і 21,2 % відповідно по відношенню до практично здорових чоловіків.</w:t>
      </w:r>
    </w:p>
    <w:p w:rsidR="00F202AC" w:rsidRPr="00F202AC" w:rsidRDefault="00F202AC" w:rsidP="00F202AC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4. Після проведеної терапії відмічали нормалізацію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гематологічніх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показників та зменшення запального процесу, про що свідчило вірогідне зниження індексів: ЛІ і ІСЛМ на 14 та 13 % відповідно.</w:t>
      </w:r>
    </w:p>
    <w:p w:rsidR="00F202AC" w:rsidRPr="00F202AC" w:rsidRDefault="00F202AC" w:rsidP="00F202AC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F202AC" w:rsidRPr="00F202AC" w:rsidRDefault="00F202AC" w:rsidP="00F202AC">
      <w:pPr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  <w:lang w:val="en-US"/>
        </w:rPr>
      </w:pP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br w:type="page"/>
        <w:t>СПИСОК ЛІТЕРАТУРИ</w:t>
      </w:r>
    </w:p>
    <w:p w:rsidR="00F202AC" w:rsidRPr="00F202AC" w:rsidRDefault="00F202AC" w:rsidP="00F202AC">
      <w:pPr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  <w:lang w:val="en-US"/>
        </w:rPr>
      </w:pP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F202AC">
        <w:rPr>
          <w:rFonts w:ascii="Times New Roman" w:hAnsi="Times New Roman"/>
          <w:i/>
          <w:color w:val="000000"/>
          <w:sz w:val="28"/>
          <w:szCs w:val="28"/>
        </w:rPr>
        <w:t>Абдуллаев Р.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>Б.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Взаимосвязь факторов, влияющих на течение ЯБДПК в молодом возрасте в регионе экологического неблагополучия //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Самар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>. мед</w:t>
      </w:r>
      <w:proofErr w:type="gramStart"/>
      <w:r w:rsidRPr="00F202AC">
        <w:rPr>
          <w:rFonts w:ascii="Times New Roman" w:hAnsi="Times New Roman"/>
          <w:color w:val="000000"/>
          <w:sz w:val="28"/>
          <w:szCs w:val="28"/>
        </w:rPr>
        <w:t>.</w:t>
      </w:r>
      <w:proofErr w:type="gramEnd"/>
      <w:r w:rsidRPr="00F202AC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gramStart"/>
      <w:r w:rsidRPr="00F202AC">
        <w:rPr>
          <w:rFonts w:ascii="Times New Roman" w:hAnsi="Times New Roman"/>
          <w:color w:val="000000"/>
          <w:sz w:val="28"/>
          <w:szCs w:val="28"/>
        </w:rPr>
        <w:t>ж</w:t>
      </w:r>
      <w:proofErr w:type="gramEnd"/>
      <w:r w:rsidRPr="00F202AC">
        <w:rPr>
          <w:rFonts w:ascii="Times New Roman" w:hAnsi="Times New Roman"/>
          <w:color w:val="000000"/>
          <w:sz w:val="28"/>
          <w:szCs w:val="28"/>
        </w:rPr>
        <w:t xml:space="preserve">урн.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2001.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3.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С. 55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61.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F202AC">
        <w:rPr>
          <w:rFonts w:ascii="Times New Roman" w:hAnsi="Times New Roman"/>
          <w:i/>
          <w:color w:val="000000"/>
          <w:sz w:val="28"/>
          <w:szCs w:val="28"/>
        </w:rPr>
        <w:t>Агеева Е.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>С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>.,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</w:rPr>
        <w:t>Штыгашева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О. В.,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 xml:space="preserve"> Рязанцева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Н. В.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Популяционные особенности ассоциации полиморфизма генов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интерлейкинов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 xml:space="preserve"> с патологией желудка и двенадцатиперстной кишки у хакасов // Терапевт</w:t>
      </w:r>
      <w:proofErr w:type="gramStart"/>
      <w:r w:rsidRPr="00F202AC">
        <w:rPr>
          <w:rFonts w:ascii="Times New Roman" w:hAnsi="Times New Roman"/>
          <w:color w:val="000000"/>
          <w:sz w:val="28"/>
          <w:szCs w:val="28"/>
        </w:rPr>
        <w:t>.</w:t>
      </w:r>
      <w:proofErr w:type="gramEnd"/>
      <w:r w:rsidRPr="00F202AC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gramStart"/>
      <w:r w:rsidRPr="00F202AC">
        <w:rPr>
          <w:rFonts w:ascii="Times New Roman" w:hAnsi="Times New Roman"/>
          <w:color w:val="000000"/>
          <w:sz w:val="28"/>
          <w:szCs w:val="28"/>
        </w:rPr>
        <w:t>а</w:t>
      </w:r>
      <w:proofErr w:type="gramEnd"/>
      <w:r w:rsidRPr="00F202AC">
        <w:rPr>
          <w:rFonts w:ascii="Times New Roman" w:hAnsi="Times New Roman"/>
          <w:color w:val="000000"/>
          <w:sz w:val="28"/>
          <w:szCs w:val="28"/>
        </w:rPr>
        <w:t>рхив. – 2011. – Т. 83, №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</w:rPr>
        <w:t>2. – С. 16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</w:rPr>
        <w:t>19.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F202AC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</w:rPr>
        <w:t>Базарнова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</w:rPr>
        <w:t xml:space="preserve"> М. А, Воробьев А. И.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Руководство по клинической лабораторной диагностике.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К: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Вища школа, 1991.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С. 38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 xml:space="preserve">– 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42.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F202AC">
        <w:rPr>
          <w:rFonts w:ascii="Times New Roman" w:hAnsi="Times New Roman"/>
          <w:i/>
          <w:color w:val="000000"/>
          <w:sz w:val="28"/>
          <w:szCs w:val="28"/>
        </w:rPr>
        <w:t>Беликов В.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>В.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>,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 xml:space="preserve"> Артюхов А.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>С.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О совокупности социальных факторов в возникновении, течении и профилактике язвенной болезни желудка и двенадцатиперстной кишки // Мед.-соц. экспертиза и реабилитация.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2000.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№. 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1.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С. 34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</w:rPr>
        <w:t>36.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F202AC">
        <w:rPr>
          <w:rFonts w:ascii="Times New Roman" w:hAnsi="Times New Roman"/>
          <w:i/>
          <w:color w:val="000000"/>
          <w:sz w:val="28"/>
          <w:szCs w:val="28"/>
        </w:rPr>
        <w:t>Белобородова Э.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>И.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>,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 xml:space="preserve"> Малышенко О.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>С.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>,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 xml:space="preserve"> Вавилов А.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>М.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Влияние возраста и типа поведения на течение язвенной болезни // Терапевт</w:t>
      </w:r>
      <w:proofErr w:type="gramStart"/>
      <w:r w:rsidRPr="00F202AC">
        <w:rPr>
          <w:rFonts w:ascii="Times New Roman" w:hAnsi="Times New Roman"/>
          <w:color w:val="000000"/>
          <w:sz w:val="28"/>
          <w:szCs w:val="28"/>
        </w:rPr>
        <w:t>.</w:t>
      </w:r>
      <w:proofErr w:type="gramEnd"/>
      <w:r w:rsidRPr="00F202AC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gramStart"/>
      <w:r w:rsidRPr="00F202AC">
        <w:rPr>
          <w:rFonts w:ascii="Times New Roman" w:hAnsi="Times New Roman"/>
          <w:color w:val="000000"/>
          <w:sz w:val="28"/>
          <w:szCs w:val="28"/>
        </w:rPr>
        <w:t>а</w:t>
      </w:r>
      <w:proofErr w:type="gramEnd"/>
      <w:r w:rsidRPr="00F202AC">
        <w:rPr>
          <w:rFonts w:ascii="Times New Roman" w:hAnsi="Times New Roman"/>
          <w:color w:val="000000"/>
          <w:sz w:val="28"/>
          <w:szCs w:val="28"/>
        </w:rPr>
        <w:t xml:space="preserve">рхив.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2005.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№. 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2.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</w:rPr>
        <w:t>С. 28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</w:rPr>
        <w:t>31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F202AC">
        <w:rPr>
          <w:rFonts w:ascii="Times New Roman" w:hAnsi="Times New Roman"/>
          <w:i/>
          <w:color w:val="000000"/>
          <w:sz w:val="28"/>
          <w:szCs w:val="28"/>
        </w:rPr>
        <w:t>Вахрушев Я.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>М.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>,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 xml:space="preserve"> Ефремова Л.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>И., Белова Е.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>В.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Сравнительная характеристика течения язвенной болезни в различные возрастные периоды // Терапевт</w:t>
      </w:r>
      <w:proofErr w:type="gramStart"/>
      <w:r w:rsidRPr="00F202AC">
        <w:rPr>
          <w:rFonts w:ascii="Times New Roman" w:hAnsi="Times New Roman"/>
          <w:color w:val="000000"/>
          <w:sz w:val="28"/>
          <w:szCs w:val="28"/>
        </w:rPr>
        <w:t>.</w:t>
      </w:r>
      <w:proofErr w:type="gramEnd"/>
      <w:r w:rsidRPr="00F202AC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gramStart"/>
      <w:r w:rsidRPr="00F202AC">
        <w:rPr>
          <w:rFonts w:ascii="Times New Roman" w:hAnsi="Times New Roman"/>
          <w:color w:val="000000"/>
          <w:sz w:val="28"/>
          <w:szCs w:val="28"/>
        </w:rPr>
        <w:t>а</w:t>
      </w:r>
      <w:proofErr w:type="gramEnd"/>
      <w:r w:rsidRPr="00F202AC">
        <w:rPr>
          <w:rFonts w:ascii="Times New Roman" w:hAnsi="Times New Roman"/>
          <w:color w:val="000000"/>
          <w:sz w:val="28"/>
          <w:szCs w:val="28"/>
        </w:rPr>
        <w:t xml:space="preserve">рхив.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2004.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№ 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4.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</w:rPr>
        <w:t>С. 15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</w:rPr>
        <w:t>18.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F202AC">
        <w:rPr>
          <w:rFonts w:ascii="Times New Roman" w:hAnsi="Times New Roman"/>
          <w:i/>
          <w:color w:val="000000"/>
          <w:sz w:val="28"/>
          <w:szCs w:val="28"/>
        </w:rPr>
        <w:t>Воробьев А. И.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Руководство по гематологии.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М.: Медицина, 2002.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280 с.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</w:rPr>
        <w:t>Гарганеева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</w:rPr>
        <w:t xml:space="preserve"> Н.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>П.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Особенности язвенной болезни двенадцатиперстной кишки у больных с психопатологическими расстройствами пограничного уровня // Врач.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2006.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№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4.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</w:rPr>
        <w:t>С. 34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</w:rPr>
        <w:t>37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>Гастроэнтерология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>.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Национальное руководство 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/ </w:t>
      </w:r>
      <w:r w:rsidRPr="00F202AC">
        <w:rPr>
          <w:rFonts w:ascii="Times New Roman" w:hAnsi="Times New Roman"/>
          <w:color w:val="000000"/>
          <w:sz w:val="28"/>
          <w:szCs w:val="28"/>
        </w:rPr>
        <w:t>В. П. Ивашкина, Т. Л. Липиной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;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п</w:t>
      </w:r>
      <w:r w:rsidRPr="00F202AC">
        <w:rPr>
          <w:rFonts w:ascii="Times New Roman" w:hAnsi="Times New Roman"/>
          <w:color w:val="000000"/>
          <w:sz w:val="28"/>
          <w:szCs w:val="28"/>
        </w:rPr>
        <w:t>од ред. В. П. Ивашкина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// </w:t>
      </w:r>
      <w:r w:rsidRPr="00F202AC">
        <w:rPr>
          <w:rFonts w:ascii="Times New Roman" w:hAnsi="Times New Roman"/>
          <w:color w:val="000000"/>
          <w:sz w:val="28"/>
          <w:szCs w:val="28"/>
        </w:rPr>
        <w:t>М.: ГЭОТАР – Медиа,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</w:rPr>
        <w:t>2008. – 704 с.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,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>Горячковский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А. М.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Клиническая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биохимия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в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лабораторной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диагностике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. – Одесса: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Экология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, 2005.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С. 169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173.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</w:rPr>
        <w:t>Гостищев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</w:rPr>
        <w:t xml:space="preserve"> В.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>К.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>,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 xml:space="preserve"> Евсеев М.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>А.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Гастродуоденальные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 xml:space="preserve"> кровотечения язвенной этиологии (патогенез, диагностика, лечение).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</w:rPr>
        <w:t>М.: ГОЭТАР-Медиа, 2008.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384 с.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</w:rPr>
        <w:t>Джулай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</w:rPr>
        <w:t xml:space="preserve"> Г.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>С.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>,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</w:rPr>
        <w:t>Секарева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</w:rPr>
        <w:t xml:space="preserve"> Е.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>В.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Клинико-эндоскопическая характеристика эзофагита и эмоционально-личностная сфера больных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гастроэзофагеальной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рефлюксной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 xml:space="preserve"> болезнью //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Эксперим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>. и клин</w:t>
      </w:r>
      <w:proofErr w:type="gramStart"/>
      <w:r w:rsidRPr="00F202AC">
        <w:rPr>
          <w:rFonts w:ascii="Times New Roman" w:hAnsi="Times New Roman"/>
          <w:color w:val="000000"/>
          <w:sz w:val="28"/>
          <w:szCs w:val="28"/>
        </w:rPr>
        <w:t>.</w:t>
      </w:r>
      <w:proofErr w:type="gramEnd"/>
      <w:r w:rsidRPr="00F202AC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gramStart"/>
      <w:r w:rsidRPr="00F202AC">
        <w:rPr>
          <w:rFonts w:ascii="Times New Roman" w:hAnsi="Times New Roman"/>
          <w:color w:val="000000"/>
          <w:sz w:val="28"/>
          <w:szCs w:val="28"/>
        </w:rPr>
        <w:t>г</w:t>
      </w:r>
      <w:proofErr w:type="gramEnd"/>
      <w:r w:rsidRPr="00F202AC">
        <w:rPr>
          <w:rFonts w:ascii="Times New Roman" w:hAnsi="Times New Roman"/>
          <w:color w:val="000000"/>
          <w:sz w:val="28"/>
          <w:szCs w:val="28"/>
        </w:rPr>
        <w:t xml:space="preserve">астроэнтерология.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2009.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№ 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4.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</w:rPr>
        <w:t>С. 35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</w:rPr>
        <w:t>39.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</w:rPr>
        <w:t>Дубцова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</w:rPr>
        <w:t xml:space="preserve"> Е.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>А., Соколова Г.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 xml:space="preserve">Н., </w:t>
      </w: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</w:rPr>
        <w:t>Трубицина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</w:rPr>
        <w:t xml:space="preserve"> И.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>Е.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Содержание цитокинов при часто рецидивирующей форме язвенной болезни двенадцатиперстной кишки // Мед</w:t>
      </w:r>
      <w:proofErr w:type="gramStart"/>
      <w:r w:rsidRPr="00F202AC">
        <w:rPr>
          <w:rFonts w:ascii="Times New Roman" w:hAnsi="Times New Roman"/>
          <w:color w:val="000000"/>
          <w:sz w:val="28"/>
          <w:szCs w:val="28"/>
        </w:rPr>
        <w:t>.</w:t>
      </w:r>
      <w:proofErr w:type="gramEnd"/>
      <w:r w:rsidRPr="00F202AC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gramStart"/>
      <w:r w:rsidRPr="00F202AC">
        <w:rPr>
          <w:rFonts w:ascii="Times New Roman" w:hAnsi="Times New Roman"/>
          <w:color w:val="000000"/>
          <w:sz w:val="28"/>
          <w:szCs w:val="28"/>
        </w:rPr>
        <w:t>и</w:t>
      </w:r>
      <w:proofErr w:type="gramEnd"/>
      <w:r w:rsidRPr="00F202AC">
        <w:rPr>
          <w:rFonts w:ascii="Times New Roman" w:hAnsi="Times New Roman"/>
          <w:color w:val="000000"/>
          <w:sz w:val="28"/>
          <w:szCs w:val="28"/>
        </w:rPr>
        <w:t xml:space="preserve">ммунология.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2002.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Т. 4, 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№ 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2.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</w:rPr>
        <w:t>С. 148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157.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F202AC">
        <w:rPr>
          <w:rFonts w:ascii="Times New Roman" w:hAnsi="Times New Roman"/>
          <w:i/>
          <w:color w:val="000000"/>
          <w:sz w:val="28"/>
          <w:szCs w:val="28"/>
        </w:rPr>
        <w:t>Жебрун А.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>Б., Александрова В.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>А., Гончарова Л.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>Б., Ткаченко Е.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>И.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Диагностика, профилактика и лечение заболеваний ассоциированных с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Helicobacterpylori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>-инфекцией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М.: ГОЭТАР-Медиа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2002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346 с.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F202AC">
        <w:rPr>
          <w:rFonts w:ascii="Times New Roman" w:hAnsi="Times New Roman"/>
          <w:i/>
          <w:color w:val="000000"/>
          <w:sz w:val="28"/>
          <w:szCs w:val="28"/>
        </w:rPr>
        <w:t>Зверков И.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>В., Володин Д.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 xml:space="preserve">В., </w:t>
      </w: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</w:rPr>
        <w:t>Топчий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</w:rPr>
        <w:t xml:space="preserve"> Т.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 xml:space="preserve">Б., </w:t>
      </w: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</w:rPr>
        <w:t>Минушкин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</w:rPr>
        <w:t xml:space="preserve"> О.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>Н.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Новые подходы в лечении ЯБ //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Эксперим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>. и клин</w:t>
      </w:r>
      <w:proofErr w:type="gramStart"/>
      <w:r w:rsidRPr="00F202AC">
        <w:rPr>
          <w:rFonts w:ascii="Times New Roman" w:hAnsi="Times New Roman"/>
          <w:color w:val="000000"/>
          <w:sz w:val="28"/>
          <w:szCs w:val="28"/>
        </w:rPr>
        <w:t>.</w:t>
      </w:r>
      <w:proofErr w:type="gramEnd"/>
      <w:r w:rsidRPr="00F202AC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gramStart"/>
      <w:r w:rsidRPr="00F202AC">
        <w:rPr>
          <w:rFonts w:ascii="Times New Roman" w:hAnsi="Times New Roman"/>
          <w:color w:val="000000"/>
          <w:sz w:val="28"/>
          <w:szCs w:val="28"/>
        </w:rPr>
        <w:t>г</w:t>
      </w:r>
      <w:proofErr w:type="gramEnd"/>
      <w:r w:rsidRPr="00F202AC">
        <w:rPr>
          <w:rFonts w:ascii="Times New Roman" w:hAnsi="Times New Roman"/>
          <w:color w:val="000000"/>
          <w:sz w:val="28"/>
          <w:szCs w:val="28"/>
        </w:rPr>
        <w:t xml:space="preserve">астроэнтерология.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2014.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Т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. 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4.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С. 46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50</w:t>
      </w:r>
      <w:r w:rsidRPr="00F202AC">
        <w:rPr>
          <w:rFonts w:ascii="Times New Roman" w:hAnsi="Times New Roman"/>
          <w:color w:val="000000"/>
          <w:sz w:val="28"/>
          <w:szCs w:val="28"/>
        </w:rPr>
        <w:t>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F202AC">
        <w:rPr>
          <w:rFonts w:ascii="Times New Roman" w:hAnsi="Times New Roman"/>
          <w:i/>
          <w:color w:val="000000"/>
          <w:sz w:val="28"/>
          <w:szCs w:val="28"/>
        </w:rPr>
        <w:t>Ивашкина В.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>Т.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Гастродуоденальная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 xml:space="preserve"> патология и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Helicobacter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pylori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 xml:space="preserve"> // Русский медицинский журнал.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2001.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</w:rPr>
        <w:t>Т. 1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,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№ 2.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</w:rPr>
        <w:t>С. 18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</w:rPr>
        <w:t>19.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</w:rPr>
        <w:t>Киндий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</w:rPr>
        <w:t xml:space="preserve"> Д. Е.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>,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 xml:space="preserve"> Анищенко А. С., Василенко В. Ф.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Частота, структура, особенности клиники и лечения заболеваний пародонта у лиц с патологией пищеварительного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тракта //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Наукова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естафета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ювіляра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 xml:space="preserve">: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Тези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 xml:space="preserve"> доп. наук</w:t>
      </w:r>
      <w:proofErr w:type="gramStart"/>
      <w:r w:rsidRPr="00F202AC">
        <w:rPr>
          <w:rFonts w:ascii="Times New Roman" w:hAnsi="Times New Roman"/>
          <w:color w:val="000000"/>
          <w:sz w:val="28"/>
          <w:szCs w:val="28"/>
        </w:rPr>
        <w:t>.</w:t>
      </w:r>
      <w:proofErr w:type="gram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proofErr w:type="gramStart"/>
      <w:r w:rsidRPr="00F202AC">
        <w:rPr>
          <w:rFonts w:ascii="Times New Roman" w:hAnsi="Times New Roman"/>
          <w:color w:val="000000"/>
          <w:sz w:val="28"/>
          <w:szCs w:val="28"/>
        </w:rPr>
        <w:t>к</w:t>
      </w:r>
      <w:proofErr w:type="gramEnd"/>
      <w:r w:rsidRPr="00F202AC">
        <w:rPr>
          <w:rFonts w:ascii="Times New Roman" w:hAnsi="Times New Roman"/>
          <w:color w:val="000000"/>
          <w:sz w:val="28"/>
          <w:szCs w:val="28"/>
        </w:rPr>
        <w:t>онф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>. – Полтава, 1992. – С. 76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</w:rPr>
        <w:t>77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>Луговская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С. А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Лабораторная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гематология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F202AC">
        <w:rPr>
          <w:rFonts w:ascii="Times New Roman" w:eastAsia="Newton-Regular" w:hAnsi="Times New Roman"/>
          <w:color w:val="000000"/>
          <w:sz w:val="28"/>
          <w:szCs w:val="28"/>
        </w:rPr>
        <w:t>–</w:t>
      </w:r>
      <w:r w:rsidRPr="00F202AC">
        <w:rPr>
          <w:rFonts w:ascii="Times New Roman" w:eastAsia="Newton-Regular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Триада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, 2006. </w:t>
      </w:r>
      <w:r w:rsidRPr="00F202AC">
        <w:rPr>
          <w:rFonts w:ascii="Times New Roman" w:eastAsia="Newton-Regular" w:hAnsi="Times New Roman"/>
          <w:color w:val="000000"/>
          <w:sz w:val="28"/>
          <w:szCs w:val="28"/>
        </w:rPr>
        <w:t>–</w:t>
      </w:r>
      <w:r w:rsidRPr="00F202AC">
        <w:rPr>
          <w:rFonts w:ascii="Times New Roman" w:eastAsia="Newton-Regular" w:hAnsi="Times New Roman"/>
          <w:color w:val="000000"/>
          <w:sz w:val="28"/>
          <w:szCs w:val="28"/>
          <w:lang w:val="uk-UA"/>
        </w:rPr>
        <w:t xml:space="preserve"> 203 с.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</w:rPr>
        <w:t>Лычкова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</w:rPr>
        <w:t xml:space="preserve"> А.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>Э.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>,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</w:rPr>
        <w:t>Царегородцева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</w:rPr>
        <w:t xml:space="preserve"> Т.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>М., Серова Т.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>И.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Цитокиновый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 xml:space="preserve"> профиль при экспериментальной язве желудка и двенадцатиперстной кишки: роль серотонина //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Эксперим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 xml:space="preserve">. и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клин</w:t>
      </w:r>
      <w:proofErr w:type="gramStart"/>
      <w:r w:rsidRPr="00F202AC">
        <w:rPr>
          <w:rFonts w:ascii="Times New Roman" w:hAnsi="Times New Roman"/>
          <w:color w:val="000000"/>
          <w:sz w:val="28"/>
          <w:szCs w:val="28"/>
        </w:rPr>
        <w:t>.г</w:t>
      </w:r>
      <w:proofErr w:type="gramEnd"/>
      <w:r w:rsidRPr="00F202AC">
        <w:rPr>
          <w:rFonts w:ascii="Times New Roman" w:hAnsi="Times New Roman"/>
          <w:color w:val="000000"/>
          <w:sz w:val="28"/>
          <w:szCs w:val="28"/>
        </w:rPr>
        <w:t>астроэнтерология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 xml:space="preserve">. – 2010. – 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№ </w:t>
      </w:r>
      <w:r w:rsidRPr="00F202AC">
        <w:rPr>
          <w:rFonts w:ascii="Times New Roman" w:hAnsi="Times New Roman"/>
          <w:color w:val="000000"/>
          <w:sz w:val="28"/>
          <w:szCs w:val="28"/>
        </w:rPr>
        <w:t>2. –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     </w:t>
      </w:r>
      <w:r w:rsidRPr="00F202AC">
        <w:rPr>
          <w:rFonts w:ascii="Times New Roman" w:hAnsi="Times New Roman"/>
          <w:color w:val="000000"/>
          <w:sz w:val="28"/>
          <w:szCs w:val="28"/>
        </w:rPr>
        <w:t>С. 37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</w:rPr>
        <w:t>39.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</w:rPr>
        <w:t>Маев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</w:rPr>
        <w:t xml:space="preserve"> И.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>В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>.,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 xml:space="preserve"> Горбань В.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>В., Салова Л.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>М.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Морфологические и возрастные особенности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гастродуоденальногокровотока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 xml:space="preserve"> у больных язвенной болезнью и пути его коррекции //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Рос</w:t>
      </w:r>
      <w:proofErr w:type="gramStart"/>
      <w:r w:rsidRPr="00F202AC">
        <w:rPr>
          <w:rFonts w:ascii="Times New Roman" w:hAnsi="Times New Roman"/>
          <w:color w:val="000000"/>
          <w:sz w:val="28"/>
          <w:szCs w:val="28"/>
        </w:rPr>
        <w:t>.ж</w:t>
      </w:r>
      <w:proofErr w:type="gramEnd"/>
      <w:r w:rsidRPr="00F202AC">
        <w:rPr>
          <w:rFonts w:ascii="Times New Roman" w:hAnsi="Times New Roman"/>
          <w:color w:val="000000"/>
          <w:sz w:val="28"/>
          <w:szCs w:val="28"/>
        </w:rPr>
        <w:t>урн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 xml:space="preserve">. гастроэнтерологии,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гепатологии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колопроктологии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 xml:space="preserve">. – 2007. – Т. 17, 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№ </w:t>
      </w:r>
      <w:r w:rsidRPr="00F202AC">
        <w:rPr>
          <w:rFonts w:ascii="Times New Roman" w:hAnsi="Times New Roman"/>
          <w:color w:val="000000"/>
          <w:sz w:val="28"/>
          <w:szCs w:val="28"/>
        </w:rPr>
        <w:t>4. – С. 24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</w:rPr>
        <w:t>29.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F202AC">
        <w:rPr>
          <w:rFonts w:ascii="Times New Roman" w:hAnsi="Times New Roman"/>
          <w:i/>
          <w:color w:val="000000"/>
          <w:sz w:val="28"/>
          <w:szCs w:val="28"/>
        </w:rPr>
        <w:t>Малышенко О.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>С., Белобородова Э.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>И., Вавилов А.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i/>
          <w:color w:val="000000"/>
          <w:sz w:val="28"/>
          <w:szCs w:val="28"/>
        </w:rPr>
        <w:t>М.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Лечение язвенной болезни // Терапевт</w:t>
      </w:r>
      <w:proofErr w:type="gramStart"/>
      <w:r w:rsidRPr="00F202AC">
        <w:rPr>
          <w:rFonts w:ascii="Times New Roman" w:hAnsi="Times New Roman"/>
          <w:color w:val="000000"/>
          <w:sz w:val="28"/>
          <w:szCs w:val="28"/>
        </w:rPr>
        <w:t>.</w:t>
      </w:r>
      <w:proofErr w:type="gramEnd"/>
      <w:r w:rsidRPr="00F202AC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gramStart"/>
      <w:r w:rsidRPr="00F202AC">
        <w:rPr>
          <w:rFonts w:ascii="Times New Roman" w:hAnsi="Times New Roman"/>
          <w:color w:val="000000"/>
          <w:sz w:val="28"/>
          <w:szCs w:val="28"/>
        </w:rPr>
        <w:t>а</w:t>
      </w:r>
      <w:proofErr w:type="gramEnd"/>
      <w:r w:rsidRPr="00F202AC">
        <w:rPr>
          <w:rFonts w:ascii="Times New Roman" w:hAnsi="Times New Roman"/>
          <w:color w:val="000000"/>
          <w:sz w:val="28"/>
          <w:szCs w:val="28"/>
        </w:rPr>
        <w:t>рхив. – 2005. – № 2. – С. 28 – 30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</w:rPr>
        <w:t>Маршалко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</w:rPr>
        <w:t xml:space="preserve"> О. В., Конорев М. Р.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Желудочная метаплазия и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Helicobacterpylori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 xml:space="preserve">: оценка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рискаразвития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 xml:space="preserve"> дуоденальных эрозий и язв //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Рос</w:t>
      </w:r>
      <w:proofErr w:type="gramStart"/>
      <w:r w:rsidRPr="00F202AC">
        <w:rPr>
          <w:rFonts w:ascii="Times New Roman" w:hAnsi="Times New Roman"/>
          <w:color w:val="000000"/>
          <w:sz w:val="28"/>
          <w:szCs w:val="28"/>
        </w:rPr>
        <w:t>.ж</w:t>
      </w:r>
      <w:proofErr w:type="gramEnd"/>
      <w:r w:rsidRPr="00F202AC">
        <w:rPr>
          <w:rFonts w:ascii="Times New Roman" w:hAnsi="Times New Roman"/>
          <w:color w:val="000000"/>
          <w:sz w:val="28"/>
          <w:szCs w:val="28"/>
        </w:rPr>
        <w:t>урн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 xml:space="preserve">. гастроэнтерологии,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гепатологии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колопроктологии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>. – 2007. – Т. 17, № 5. – С. 28 – 33.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</w:rPr>
        <w:t>Осадчук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</w:rPr>
        <w:t xml:space="preserve"> М. А., Чиж А. Г., Липатова Т. Е.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Эффективность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координакса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 xml:space="preserve"> в лечении язвенной болезни двенадцатиперстной кишки с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дуоденогастральным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 xml:space="preserve"> рефлюксом // Рос</w:t>
      </w:r>
      <w:proofErr w:type="gramStart"/>
      <w:r w:rsidRPr="00F202AC">
        <w:rPr>
          <w:rFonts w:ascii="Times New Roman" w:hAnsi="Times New Roman"/>
          <w:color w:val="000000"/>
          <w:sz w:val="28"/>
          <w:szCs w:val="28"/>
        </w:rPr>
        <w:t>.</w:t>
      </w:r>
      <w:proofErr w:type="gramEnd"/>
      <w:r w:rsidRPr="00F202AC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gramStart"/>
      <w:r w:rsidRPr="00F202AC">
        <w:rPr>
          <w:rFonts w:ascii="Times New Roman" w:hAnsi="Times New Roman"/>
          <w:color w:val="000000"/>
          <w:sz w:val="28"/>
          <w:szCs w:val="28"/>
        </w:rPr>
        <w:t>ж</w:t>
      </w:r>
      <w:proofErr w:type="gramEnd"/>
      <w:r w:rsidRPr="00F202AC">
        <w:rPr>
          <w:rFonts w:ascii="Times New Roman" w:hAnsi="Times New Roman"/>
          <w:color w:val="000000"/>
          <w:sz w:val="28"/>
          <w:szCs w:val="28"/>
        </w:rPr>
        <w:t xml:space="preserve">урн. гастроэнтерологии,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гепатологии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колопроктологии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>. – 2000. – 1. – С. 42 – 45.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</w:rPr>
        <w:t>Парахонский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</w:rPr>
        <w:t xml:space="preserve"> А. П., </w:t>
      </w: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</w:rPr>
        <w:t>Тертышная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</w:rPr>
        <w:t xml:space="preserve"> Г. В.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Анализ продукции мелатонина у пациентов с язвенной болезнью // Дневник Казан</w:t>
      </w:r>
      <w:proofErr w:type="gramStart"/>
      <w:r w:rsidRPr="00F202AC">
        <w:rPr>
          <w:rFonts w:ascii="Times New Roman" w:hAnsi="Times New Roman"/>
          <w:color w:val="000000"/>
          <w:sz w:val="28"/>
          <w:szCs w:val="28"/>
        </w:rPr>
        <w:t>.</w:t>
      </w:r>
      <w:proofErr w:type="gramEnd"/>
      <w:r w:rsidRPr="00F202AC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gramStart"/>
      <w:r w:rsidRPr="00F202AC">
        <w:rPr>
          <w:rFonts w:ascii="Times New Roman" w:hAnsi="Times New Roman"/>
          <w:color w:val="000000"/>
          <w:sz w:val="28"/>
          <w:szCs w:val="28"/>
        </w:rPr>
        <w:t>м</w:t>
      </w:r>
      <w:proofErr w:type="gramEnd"/>
      <w:r w:rsidRPr="00F202AC">
        <w:rPr>
          <w:rFonts w:ascii="Times New Roman" w:hAnsi="Times New Roman"/>
          <w:color w:val="000000"/>
          <w:sz w:val="28"/>
          <w:szCs w:val="28"/>
        </w:rPr>
        <w:t>ед. школы. – 2014. – Т. 11, № 5. – С. 127 – 131.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</w:rPr>
        <w:t>Помыткина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</w:rPr>
        <w:t xml:space="preserve"> Т. Е.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Цитокины сыворотки крови у больных язвенной болезнью двенадцатиперстной кишки, работающих на химическом предприятии // Казан</w:t>
      </w:r>
      <w:proofErr w:type="gramStart"/>
      <w:r w:rsidRPr="00F202AC">
        <w:rPr>
          <w:rFonts w:ascii="Times New Roman" w:hAnsi="Times New Roman"/>
          <w:color w:val="000000"/>
          <w:sz w:val="28"/>
          <w:szCs w:val="28"/>
        </w:rPr>
        <w:t>.</w:t>
      </w:r>
      <w:proofErr w:type="gramEnd"/>
      <w:r w:rsidRPr="00F202AC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gramStart"/>
      <w:r w:rsidRPr="00F202AC">
        <w:rPr>
          <w:rFonts w:ascii="Times New Roman" w:hAnsi="Times New Roman"/>
          <w:color w:val="000000"/>
          <w:sz w:val="28"/>
          <w:szCs w:val="28"/>
        </w:rPr>
        <w:t>м</w:t>
      </w:r>
      <w:proofErr w:type="gramEnd"/>
      <w:r w:rsidRPr="00F202AC">
        <w:rPr>
          <w:rFonts w:ascii="Times New Roman" w:hAnsi="Times New Roman"/>
          <w:color w:val="000000"/>
          <w:sz w:val="28"/>
          <w:szCs w:val="28"/>
        </w:rPr>
        <w:t>ед. журн. – 2009. – Т. 90, № 6. – С. 893 – 897.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F202AC">
        <w:rPr>
          <w:rFonts w:ascii="Times New Roman" w:hAnsi="Times New Roman"/>
          <w:i/>
          <w:color w:val="000000"/>
          <w:sz w:val="28"/>
          <w:szCs w:val="28"/>
        </w:rPr>
        <w:t>Спиридонов A. M., Сазонова О. В., Березин И. И.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Разбалансированность питания - универсальный фактор в возникновении заболеваний внутренних органов // Гигиена и санитария. – 2009 – № 1. – С. 42 –49.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F202AC">
        <w:rPr>
          <w:rFonts w:ascii="Times New Roman" w:hAnsi="Times New Roman"/>
          <w:i/>
          <w:color w:val="000000"/>
          <w:sz w:val="28"/>
          <w:szCs w:val="28"/>
        </w:rPr>
        <w:t>Скворцов В. В., Одинцов В. В.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Актуальные вопросы диагностики и лечения язвенной болезни желудка и 12-перстной кишки // Медицинский алфавит. Больница. – 2010. – № 4. – С. 13 – 17.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F202AC">
        <w:rPr>
          <w:rFonts w:ascii="Times New Roman" w:hAnsi="Times New Roman"/>
          <w:i/>
          <w:color w:val="000000"/>
          <w:sz w:val="28"/>
          <w:szCs w:val="28"/>
        </w:rPr>
        <w:t>Соколова Л. Б.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Особенности клиники, диагностики и течения язвенной болезни у больных молодого возраста // Вопросы организации и оказания экстренной и неотложной медицинской помощи населению. – 2000. – № 5. – С. 91 – 94.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F202AC">
        <w:rPr>
          <w:rFonts w:ascii="Times New Roman" w:hAnsi="Times New Roman"/>
          <w:i/>
          <w:color w:val="000000"/>
          <w:sz w:val="28"/>
          <w:szCs w:val="28"/>
        </w:rPr>
        <w:t>Степченко А. А.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Показатели клеточного и гуморального иммунитета у больных язвенной болезнью, ассоциированной с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Helicobacter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pylori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 xml:space="preserve"> // Рос</w:t>
      </w:r>
      <w:proofErr w:type="gramStart"/>
      <w:r w:rsidRPr="00F202AC">
        <w:rPr>
          <w:rFonts w:ascii="Times New Roman" w:hAnsi="Times New Roman"/>
          <w:color w:val="000000"/>
          <w:sz w:val="28"/>
          <w:szCs w:val="28"/>
        </w:rPr>
        <w:t>.</w:t>
      </w:r>
      <w:proofErr w:type="gramEnd"/>
      <w:r w:rsidRPr="00F202AC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gramStart"/>
      <w:r w:rsidRPr="00F202AC">
        <w:rPr>
          <w:rFonts w:ascii="Times New Roman" w:hAnsi="Times New Roman"/>
          <w:color w:val="000000"/>
          <w:sz w:val="28"/>
          <w:szCs w:val="28"/>
        </w:rPr>
        <w:t>м</w:t>
      </w:r>
      <w:proofErr w:type="gramEnd"/>
      <w:r w:rsidRPr="00F202AC">
        <w:rPr>
          <w:rFonts w:ascii="Times New Roman" w:hAnsi="Times New Roman"/>
          <w:color w:val="000000"/>
          <w:sz w:val="28"/>
          <w:szCs w:val="28"/>
        </w:rPr>
        <w:t xml:space="preserve">ед.-биол.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вестн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>. им. акад. И.П. Павлова. – 2009. – № 1. – С. 39 – 46.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F202AC">
        <w:rPr>
          <w:rFonts w:ascii="Times New Roman" w:hAnsi="Times New Roman"/>
          <w:i/>
          <w:color w:val="000000"/>
          <w:sz w:val="28"/>
          <w:szCs w:val="28"/>
        </w:rPr>
        <w:t>Степченко А. А.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Иммунные нарушения у больных язвенной болезнью, ассоциированной с различными штаммами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Helicobacter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pylori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 xml:space="preserve"> //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Вестн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>. новых мед</w:t>
      </w:r>
      <w:proofErr w:type="gramStart"/>
      <w:r w:rsidRPr="00F202AC">
        <w:rPr>
          <w:rFonts w:ascii="Times New Roman" w:hAnsi="Times New Roman"/>
          <w:color w:val="000000"/>
          <w:sz w:val="28"/>
          <w:szCs w:val="28"/>
        </w:rPr>
        <w:t>.</w:t>
      </w:r>
      <w:proofErr w:type="gramEnd"/>
      <w:r w:rsidRPr="00F202AC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gramStart"/>
      <w:r w:rsidRPr="00F202AC">
        <w:rPr>
          <w:rFonts w:ascii="Times New Roman" w:hAnsi="Times New Roman"/>
          <w:color w:val="000000"/>
          <w:sz w:val="28"/>
          <w:szCs w:val="28"/>
        </w:rPr>
        <w:t>т</w:t>
      </w:r>
      <w:proofErr w:type="gramEnd"/>
      <w:r w:rsidRPr="00F202AC">
        <w:rPr>
          <w:rFonts w:ascii="Times New Roman" w:hAnsi="Times New Roman"/>
          <w:color w:val="000000"/>
          <w:sz w:val="28"/>
          <w:szCs w:val="28"/>
        </w:rPr>
        <w:t>ехнологий. – 2010. – Т. 17, № 4. – С. 118 – 120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</w:rPr>
        <w:t>Хомерики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</w:rPr>
        <w:t xml:space="preserve"> С. Г.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Helicobacter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pylori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 xml:space="preserve"> - индуктор и эффектор окислительного стресса в слизистой оболочке желудка: традиционные представления и новые данные //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Эксперим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>. и клин</w:t>
      </w:r>
      <w:proofErr w:type="gramStart"/>
      <w:r w:rsidRPr="00F202AC">
        <w:rPr>
          <w:rFonts w:ascii="Times New Roman" w:hAnsi="Times New Roman"/>
          <w:color w:val="000000"/>
          <w:sz w:val="28"/>
          <w:szCs w:val="28"/>
        </w:rPr>
        <w:t>.</w:t>
      </w:r>
      <w:proofErr w:type="gramEnd"/>
      <w:r w:rsidRPr="00F202AC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gramStart"/>
      <w:r w:rsidRPr="00F202AC">
        <w:rPr>
          <w:rFonts w:ascii="Times New Roman" w:hAnsi="Times New Roman"/>
          <w:color w:val="000000"/>
          <w:sz w:val="28"/>
          <w:szCs w:val="28"/>
        </w:rPr>
        <w:t>г</w:t>
      </w:r>
      <w:proofErr w:type="gramEnd"/>
      <w:r w:rsidRPr="00F202AC">
        <w:rPr>
          <w:rFonts w:ascii="Times New Roman" w:hAnsi="Times New Roman"/>
          <w:color w:val="000000"/>
          <w:sz w:val="28"/>
          <w:szCs w:val="28"/>
        </w:rPr>
        <w:t>астроэнтерология. – 2006. – № 1. – С. 37 – 46.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</w:rPr>
        <w:t>Царегородцева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</w:rPr>
        <w:t xml:space="preserve"> Т. М., Серова Т. И.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Цитокины в гастроэнтерологии. – М.: "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Анахарсис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>", 2003. – 96 с.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>Циммерман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Я. С.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Этиология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, патогенез и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лечение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язвенной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болезни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ассоциированной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с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Helicobacter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Pylori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-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инфекцией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Состояние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проблемы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и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перспективы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//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Клин.медицина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F202AC">
        <w:rPr>
          <w:rFonts w:ascii="Times New Roman" w:hAnsi="Times New Roman"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2006. </w:t>
      </w:r>
      <w:r w:rsidRPr="00F202AC">
        <w:rPr>
          <w:rFonts w:ascii="Times New Roman" w:hAnsi="Times New Roman"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№ 3. </w:t>
      </w:r>
      <w:r w:rsidRPr="00F202AC">
        <w:rPr>
          <w:rFonts w:ascii="Times New Roman" w:hAnsi="Times New Roman"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С. 9 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– 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17.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</w:rPr>
        <w:t>Циммерман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</w:rPr>
        <w:t xml:space="preserve"> Я. С., </w:t>
      </w: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</w:rPr>
        <w:t>Циммерман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</w:rPr>
        <w:t xml:space="preserve"> И. Я. </w:t>
      </w:r>
      <w:r w:rsidRPr="00F202AC">
        <w:rPr>
          <w:rFonts w:ascii="Times New Roman" w:hAnsi="Times New Roman"/>
          <w:color w:val="000000"/>
          <w:sz w:val="28"/>
          <w:szCs w:val="28"/>
        </w:rPr>
        <w:t>Депрессивный синдром в гастроэнтерологии: диагностика и лечение // Клин</w:t>
      </w:r>
      <w:proofErr w:type="gramStart"/>
      <w:r w:rsidRPr="00F202AC">
        <w:rPr>
          <w:rFonts w:ascii="Times New Roman" w:hAnsi="Times New Roman"/>
          <w:color w:val="000000"/>
          <w:sz w:val="28"/>
          <w:szCs w:val="28"/>
        </w:rPr>
        <w:t>.</w:t>
      </w:r>
      <w:proofErr w:type="gramEnd"/>
      <w:r w:rsidRPr="00F202AC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gramStart"/>
      <w:r w:rsidRPr="00F202AC">
        <w:rPr>
          <w:rFonts w:ascii="Times New Roman" w:hAnsi="Times New Roman"/>
          <w:color w:val="000000"/>
          <w:sz w:val="28"/>
          <w:szCs w:val="28"/>
        </w:rPr>
        <w:t>м</w:t>
      </w:r>
      <w:proofErr w:type="gramEnd"/>
      <w:r w:rsidRPr="00F202AC">
        <w:rPr>
          <w:rFonts w:ascii="Times New Roman" w:hAnsi="Times New Roman"/>
          <w:color w:val="000000"/>
          <w:sz w:val="28"/>
          <w:szCs w:val="28"/>
        </w:rPr>
        <w:t>едицина. – 2007. – № 5. – С. 15 – 23.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</w:rPr>
        <w:t>Циммерман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</w:rPr>
        <w:t xml:space="preserve"> Я. С., Василенко В. Х. </w:t>
      </w:r>
      <w:r w:rsidRPr="00F202AC">
        <w:rPr>
          <w:rFonts w:ascii="Times New Roman" w:hAnsi="Times New Roman"/>
          <w:color w:val="000000"/>
          <w:sz w:val="28"/>
          <w:szCs w:val="28"/>
        </w:rPr>
        <w:t>Проблема этиологии и патогенеза язвенной болезни: перечитывая // Клин</w:t>
      </w:r>
      <w:proofErr w:type="gramStart"/>
      <w:r w:rsidRPr="00F202AC">
        <w:rPr>
          <w:rFonts w:ascii="Times New Roman" w:hAnsi="Times New Roman"/>
          <w:color w:val="000000"/>
          <w:sz w:val="28"/>
          <w:szCs w:val="28"/>
        </w:rPr>
        <w:t>.</w:t>
      </w:r>
      <w:proofErr w:type="gramEnd"/>
      <w:r w:rsidRPr="00F202AC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gramStart"/>
      <w:r w:rsidRPr="00F202AC">
        <w:rPr>
          <w:rFonts w:ascii="Times New Roman" w:hAnsi="Times New Roman"/>
          <w:color w:val="000000"/>
          <w:sz w:val="28"/>
          <w:szCs w:val="28"/>
        </w:rPr>
        <w:t>м</w:t>
      </w:r>
      <w:proofErr w:type="gramEnd"/>
      <w:r w:rsidRPr="00F202AC">
        <w:rPr>
          <w:rFonts w:ascii="Times New Roman" w:hAnsi="Times New Roman"/>
          <w:color w:val="000000"/>
          <w:sz w:val="28"/>
          <w:szCs w:val="28"/>
        </w:rPr>
        <w:t>едицина. – 2011. – № 1. – С. 14 – 19.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</w:rPr>
        <w:t>Чернин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</w:rPr>
        <w:t xml:space="preserve"> В. В.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Язвенная болезнь. – Тверь: РИЦ ТГМА, 2010. – 287 с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>Шептулин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А. Н.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Инфекция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Н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elicobacter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pylori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патогенетический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фактор многих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заболеваний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? </w:t>
      </w:r>
      <w:r w:rsidRPr="00F202AC">
        <w:rPr>
          <w:rFonts w:ascii="Times New Roman" w:hAnsi="Times New Roman"/>
          <w:color w:val="000000"/>
          <w:sz w:val="28"/>
          <w:szCs w:val="28"/>
        </w:rPr>
        <w:t>Как диагностировать и как лечить? // Врач. – 2005. – № 4. – С. 8 – 9.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F202AC">
        <w:rPr>
          <w:rFonts w:ascii="Times New Roman" w:hAnsi="Times New Roman"/>
          <w:i/>
          <w:color w:val="000000"/>
          <w:sz w:val="28"/>
          <w:szCs w:val="28"/>
        </w:rPr>
        <w:t>Шугаев А. И., Агишев А. С.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Лечение при язвенных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гастродуоденальных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 xml:space="preserve"> кровотечениях у больных пожилого и старческого возраста //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Вестн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>. хирургии. – 2001. – Т. 160, № 3. – С. 114 – 118.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F202AC">
        <w:rPr>
          <w:rFonts w:ascii="Times New Roman" w:hAnsi="Times New Roman"/>
          <w:i/>
          <w:color w:val="000000"/>
          <w:sz w:val="28"/>
          <w:szCs w:val="28"/>
        </w:rPr>
        <w:t xml:space="preserve">Юров И. Ю., </w:t>
      </w: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</w:rPr>
        <w:t>Ворсанова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</w:rPr>
        <w:t xml:space="preserve"> С. Г., Юров Ю. Б.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Современные достижения в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молекулярноцитогенетической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 xml:space="preserve"> диагностике наследственных болезней // Клин</w:t>
      </w:r>
      <w:proofErr w:type="gramStart"/>
      <w:r w:rsidRPr="00F202AC">
        <w:rPr>
          <w:rFonts w:ascii="Times New Roman" w:hAnsi="Times New Roman"/>
          <w:color w:val="000000"/>
          <w:sz w:val="28"/>
          <w:szCs w:val="28"/>
        </w:rPr>
        <w:t>.</w:t>
      </w:r>
      <w:proofErr w:type="gramEnd"/>
      <w:r w:rsidRPr="00F202AC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gramStart"/>
      <w:r w:rsidRPr="00F202AC">
        <w:rPr>
          <w:rFonts w:ascii="Times New Roman" w:hAnsi="Times New Roman"/>
          <w:color w:val="000000"/>
          <w:sz w:val="28"/>
          <w:szCs w:val="28"/>
        </w:rPr>
        <w:t>л</w:t>
      </w:r>
      <w:proofErr w:type="gramEnd"/>
      <w:r w:rsidRPr="00F202AC">
        <w:rPr>
          <w:rFonts w:ascii="Times New Roman" w:hAnsi="Times New Roman"/>
          <w:color w:val="000000"/>
          <w:sz w:val="28"/>
          <w:szCs w:val="28"/>
        </w:rPr>
        <w:t>аб. диагностика. – 2005. – № 11. – С. 21 – 28.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>Ющук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Н. Д., </w:t>
      </w: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>Маев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И. В., Гуревич К. Г.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Иммунитет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при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хеликобактерной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инфекции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// Рос.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журн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гастроэнтерологии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гепатологии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колопроктологии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F202AC">
        <w:rPr>
          <w:rFonts w:ascii="Times New Roman" w:hAnsi="Times New Roman"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2002. </w:t>
      </w:r>
      <w:r w:rsidRPr="00F202AC">
        <w:rPr>
          <w:rFonts w:ascii="Times New Roman" w:hAnsi="Times New Roman"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№ 3. 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– 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С. 37 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– 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45.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>Ющук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Н. И., </w:t>
      </w: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>Ивашкин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В. Т., </w:t>
      </w: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>Маев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И. В.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Инфекция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Н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elicobacter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pylori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// Мед. Газета. </w:t>
      </w:r>
      <w:r w:rsidRPr="00F202AC">
        <w:rPr>
          <w:rFonts w:ascii="Times New Roman" w:hAnsi="Times New Roman"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2006. </w:t>
      </w:r>
      <w:r w:rsidRPr="00F202AC">
        <w:rPr>
          <w:rFonts w:ascii="Times New Roman" w:hAnsi="Times New Roman"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№ 40. </w:t>
      </w:r>
      <w:r w:rsidRPr="00F202AC">
        <w:rPr>
          <w:rFonts w:ascii="Times New Roman" w:hAnsi="Times New Roman"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С. 8 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– 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9.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>Язвы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желуд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</w:rPr>
        <w:t>ка и двенадцатиперстной кишки / под ред. Н. А. Яицкого. // М., 2002. – 346 с.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Яковенко А. В., </w:t>
      </w: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>Григорьев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П. Я., Яковенко Э. П.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Четырехкомпонентные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висмутсодержащие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терапия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первого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выбора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для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эрадикации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Н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elicobacter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</w:rPr>
        <w:t>pylori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инфекции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//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Эксперим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. и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клин.гастроэнтерология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F202AC">
        <w:rPr>
          <w:rFonts w:ascii="Times New Roman" w:hAnsi="Times New Roman"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2003. </w:t>
      </w:r>
      <w:r w:rsidRPr="00F202AC">
        <w:rPr>
          <w:rFonts w:ascii="Times New Roman" w:hAnsi="Times New Roman"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№ 5. </w:t>
      </w:r>
      <w:r w:rsidRPr="00F202AC">
        <w:rPr>
          <w:rFonts w:ascii="Times New Roman" w:hAnsi="Times New Roman"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С. 13 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– 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14.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  <w:lang w:val="en-US"/>
        </w:rPr>
        <w:t>Beswick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  <w:lang w:val="en-US"/>
        </w:rPr>
        <w:t xml:space="preserve"> E. J., Bland D. A., </w:t>
      </w: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  <w:lang w:val="en-US"/>
        </w:rPr>
        <w:t>Suares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  <w:lang w:val="en-US"/>
        </w:rPr>
        <w:t xml:space="preserve"> G.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Helikobacter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 xml:space="preserve"> pylori binds to SD74 on gastric epithelial cells and stimulates interleukin -8 production // Inf.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Immunit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 xml:space="preserve">. </w:t>
      </w:r>
      <w:r w:rsidRPr="00F202AC">
        <w:rPr>
          <w:rFonts w:ascii="Times New Roman" w:hAnsi="Times New Roman"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 xml:space="preserve"> 2005. 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– 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 xml:space="preserve">V. 73, 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№ 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 xml:space="preserve">5. </w:t>
      </w:r>
      <w:r w:rsidRPr="00F202AC">
        <w:rPr>
          <w:rFonts w:ascii="Times New Roman" w:hAnsi="Times New Roman"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</w:rPr>
        <w:t>Р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 xml:space="preserve">. 2736 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– 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2743</w:t>
      </w:r>
      <w:r w:rsidRPr="00F202AC">
        <w:rPr>
          <w:rFonts w:ascii="Times New Roman" w:hAnsi="Times New Roman"/>
          <w:color w:val="000000"/>
          <w:sz w:val="28"/>
          <w:szCs w:val="28"/>
        </w:rPr>
        <w:t>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  <w:lang w:val="en-US"/>
        </w:rPr>
        <w:t>Dohil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en-US"/>
        </w:rPr>
        <w:t>R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., 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en-US"/>
        </w:rPr>
        <w:t>Hassall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en-US"/>
        </w:rPr>
        <w:t>E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>.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Peptic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ulcer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disease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in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children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//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Baillieres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Best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Pract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Res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Clin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Gastroenterol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. – 2007. – 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V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. 14, №1. – 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P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. 53 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73.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F202AC">
        <w:rPr>
          <w:rFonts w:ascii="Times New Roman" w:hAnsi="Times New Roman"/>
          <w:i/>
          <w:color w:val="000000"/>
          <w:sz w:val="28"/>
          <w:szCs w:val="28"/>
          <w:lang w:val="en-US"/>
        </w:rPr>
        <w:t>Jenkins J. T., Duncan J. R., Hole D.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 xml:space="preserve"> Malignant disease in peptic ulcer surgery patients after long term follow-up: a cohort study of1992 patients // Eur. J. Surg.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Oncol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 xml:space="preserve">. </w:t>
      </w:r>
      <w:r w:rsidRPr="00F202AC">
        <w:rPr>
          <w:rFonts w:ascii="Times New Roman" w:hAnsi="Times New Roman"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 xml:space="preserve"> 2007. 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– 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 xml:space="preserve">V. 33, 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№ 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 xml:space="preserve">6. </w:t>
      </w:r>
      <w:r w:rsidRPr="00F202AC">
        <w:rPr>
          <w:rFonts w:ascii="Times New Roman" w:hAnsi="Times New Roman"/>
          <w:color w:val="000000"/>
          <w:sz w:val="28"/>
          <w:szCs w:val="28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 xml:space="preserve"> P. 706 </w:t>
      </w:r>
      <w:r w:rsidRPr="00F202AC">
        <w:rPr>
          <w:rFonts w:ascii="Times New Roman" w:hAnsi="Times New Roman"/>
          <w:color w:val="000000"/>
          <w:sz w:val="28"/>
          <w:szCs w:val="28"/>
        </w:rPr>
        <w:t>– 7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12.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  <w:lang w:val="en-US"/>
        </w:rPr>
        <w:t>Haghazali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  <w:lang w:val="en-US"/>
        </w:rPr>
        <w:t xml:space="preserve"> M. </w:t>
      </w: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  <w:lang w:val="en-US"/>
        </w:rPr>
        <w:t>Molaei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М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en-US"/>
        </w:rPr>
        <w:t xml:space="preserve">, </w:t>
      </w: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  <w:lang w:val="en-US"/>
        </w:rPr>
        <w:t>Mashayekhi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  <w:lang w:val="en-US"/>
        </w:rPr>
        <w:t xml:space="preserve"> R.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Proinflammatory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 xml:space="preserve"> cytokines and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thrombomodulin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 xml:space="preserve"> in patients with peptic ulcer disease and gastric cancer, infected with </w:t>
      </w:r>
      <w:r w:rsidRPr="00F202AC">
        <w:rPr>
          <w:rFonts w:ascii="Times New Roman" w:hAnsi="Times New Roman"/>
          <w:i/>
          <w:iCs/>
          <w:color w:val="000000"/>
          <w:sz w:val="28"/>
          <w:szCs w:val="28"/>
          <w:lang w:val="en-US"/>
        </w:rPr>
        <w:t>Helicobacter pylori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 xml:space="preserve"> // Indian J.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Pathol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 xml:space="preserve">.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Microbiol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 xml:space="preserve">. – 2011. – V. 54, №1. – P. 103 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– 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106.</w:t>
      </w:r>
    </w:p>
    <w:p w:rsidR="00F202AC" w:rsidRPr="00F202AC" w:rsidRDefault="00F202AC" w:rsidP="00F202A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  <w:lang w:val="en-US"/>
        </w:rPr>
        <w:t>Sonnenberg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en-US"/>
        </w:rPr>
        <w:t>A</w:t>
      </w:r>
      <w:r w:rsidRPr="00F202AC">
        <w:rPr>
          <w:rFonts w:ascii="Times New Roman" w:hAnsi="Times New Roman"/>
          <w:i/>
          <w:color w:val="000000"/>
          <w:sz w:val="28"/>
          <w:szCs w:val="28"/>
          <w:lang w:val="uk-UA"/>
        </w:rPr>
        <w:t>.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Time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trends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of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ulcer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mortality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in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non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-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european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countrie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// 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Am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J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Gastroenterol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2007. 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V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. 102, № 5. 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–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P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 xml:space="preserve">. 1101 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 xml:space="preserve">– </w:t>
      </w:r>
      <w:r w:rsidRPr="00F202AC">
        <w:rPr>
          <w:rFonts w:ascii="Times New Roman" w:hAnsi="Times New Roman"/>
          <w:color w:val="000000"/>
          <w:sz w:val="28"/>
          <w:szCs w:val="28"/>
          <w:lang w:val="uk-UA"/>
        </w:rPr>
        <w:t>1107.</w:t>
      </w:r>
    </w:p>
    <w:p w:rsidR="00F202AC" w:rsidRDefault="00F202AC" w:rsidP="00F202AC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  <w:lang w:val="en-US"/>
        </w:rPr>
        <w:t>Wizla-Derambure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  <w:lang w:val="en-US"/>
        </w:rPr>
        <w:t xml:space="preserve"> N., Michaud L., </w:t>
      </w:r>
      <w:proofErr w:type="spellStart"/>
      <w:r w:rsidRPr="00F202AC">
        <w:rPr>
          <w:rFonts w:ascii="Times New Roman" w:hAnsi="Times New Roman"/>
          <w:i/>
          <w:color w:val="000000"/>
          <w:sz w:val="28"/>
          <w:szCs w:val="28"/>
          <w:lang w:val="en-US"/>
        </w:rPr>
        <w:t>Ategbo</w:t>
      </w:r>
      <w:proofErr w:type="spellEnd"/>
      <w:r w:rsidRPr="00F202AC">
        <w:rPr>
          <w:rFonts w:ascii="Times New Roman" w:hAnsi="Times New Roman"/>
          <w:i/>
          <w:color w:val="000000"/>
          <w:sz w:val="28"/>
          <w:szCs w:val="28"/>
          <w:lang w:val="en-US"/>
        </w:rPr>
        <w:t xml:space="preserve"> S.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 xml:space="preserve"> Familial and community environmental risk factors for Helicobacter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pyloriinfection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 xml:space="preserve"> in children and adolescents // J. </w:t>
      </w:r>
      <w:proofErr w:type="spellStart"/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Pediatr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 xml:space="preserve">. </w:t>
      </w:r>
      <w:proofErr w:type="spellStart"/>
      <w:proofErr w:type="gramStart"/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Gastroenterol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.</w:t>
      </w:r>
      <w:proofErr w:type="gramEnd"/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Nutr</w:t>
      </w:r>
      <w:proofErr w:type="spellEnd"/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.</w:t>
      </w:r>
      <w:proofErr w:type="gramEnd"/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– 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 xml:space="preserve">2001. 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– 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 xml:space="preserve">V. 33, 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№ 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 xml:space="preserve">1. 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– </w:t>
      </w:r>
      <w:r w:rsidRPr="00F202AC">
        <w:rPr>
          <w:rFonts w:ascii="Times New Roman" w:hAnsi="Times New Roman"/>
          <w:color w:val="000000"/>
          <w:sz w:val="28"/>
          <w:szCs w:val="28"/>
          <w:lang w:val="en-US"/>
        </w:rPr>
        <w:t>P. 58</w:t>
      </w:r>
      <w:r w:rsidRPr="00F202AC">
        <w:rPr>
          <w:rFonts w:ascii="Times New Roman" w:hAnsi="Times New Roman"/>
          <w:color w:val="000000"/>
          <w:sz w:val="28"/>
          <w:szCs w:val="28"/>
        </w:rPr>
        <w:t xml:space="preserve"> –</w:t>
      </w:r>
      <w:r>
        <w:rPr>
          <w:rFonts w:ascii="Times New Roman" w:hAnsi="Times New Roman"/>
          <w:color w:val="000000"/>
          <w:sz w:val="28"/>
          <w:szCs w:val="28"/>
        </w:rPr>
        <w:t>63.</w:t>
      </w:r>
      <w:bookmarkStart w:id="0" w:name="_GoBack"/>
      <w:bookmarkEnd w:id="0"/>
    </w:p>
    <w:p w:rsidR="00F202AC" w:rsidRDefault="00F202AC" w:rsidP="00F202AC">
      <w:r>
        <w:rPr>
          <w:rFonts w:ascii="Times New Roman" w:hAnsi="Times New Roman"/>
          <w:sz w:val="28"/>
          <w:szCs w:val="28"/>
          <w:lang w:val="uk-UA"/>
        </w:rPr>
        <w:br w:type="page"/>
      </w:r>
    </w:p>
    <w:sectPr w:rsidR="00F202A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Newton-Regular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DF87575"/>
    <w:multiLevelType w:val="hybridMultilevel"/>
    <w:tmpl w:val="8CDA2470"/>
    <w:lvl w:ilvl="0" w:tplc="035EA20E">
      <w:start w:val="1"/>
      <w:numFmt w:val="decimal"/>
      <w:lvlText w:val="%1."/>
      <w:lvlJc w:val="left"/>
      <w:pPr>
        <w:tabs>
          <w:tab w:val="num" w:pos="855"/>
        </w:tabs>
        <w:ind w:left="855" w:hanging="495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1CAE"/>
    <w:rsid w:val="006635AF"/>
    <w:rsid w:val="00C61CAE"/>
    <w:rsid w:val="00F202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02AC"/>
    <w:rPr>
      <w:rFonts w:ascii="Calibri" w:eastAsia="Times New Roman" w:hAnsi="Calibri" w:cs="Times New Roman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F202AC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ru-RU" w:eastAsia="ru-RU"/>
    </w:rPr>
  </w:style>
  <w:style w:type="character" w:customStyle="1" w:styleId="ts71">
    <w:name w:val="ts71"/>
    <w:rsid w:val="00F202AC"/>
    <w:rPr>
      <w:rFonts w:ascii="Times New Roman" w:hAnsi="Times New Roman" w:cs="Times New Roman" w:hint="default"/>
      <w:b/>
      <w:bCs/>
      <w:color w:val="000000"/>
      <w:sz w:val="29"/>
      <w:szCs w:val="29"/>
    </w:rPr>
  </w:style>
  <w:style w:type="paragraph" w:customStyle="1" w:styleId="Pa10">
    <w:name w:val="Pa10"/>
    <w:basedOn w:val="Default"/>
    <w:next w:val="Default"/>
    <w:uiPriority w:val="99"/>
    <w:rsid w:val="00F202AC"/>
    <w:pPr>
      <w:spacing w:line="185" w:lineRule="atLeast"/>
    </w:pPr>
    <w:rPr>
      <w:color w:val="aut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02AC"/>
    <w:rPr>
      <w:rFonts w:ascii="Calibri" w:eastAsia="Times New Roman" w:hAnsi="Calibri" w:cs="Times New Roman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F202AC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ru-RU" w:eastAsia="ru-RU"/>
    </w:rPr>
  </w:style>
  <w:style w:type="character" w:customStyle="1" w:styleId="ts71">
    <w:name w:val="ts71"/>
    <w:rsid w:val="00F202AC"/>
    <w:rPr>
      <w:rFonts w:ascii="Times New Roman" w:hAnsi="Times New Roman" w:cs="Times New Roman" w:hint="default"/>
      <w:b/>
      <w:bCs/>
      <w:color w:val="000000"/>
      <w:sz w:val="29"/>
      <w:szCs w:val="29"/>
    </w:rPr>
  </w:style>
  <w:style w:type="paragraph" w:customStyle="1" w:styleId="Pa10">
    <w:name w:val="Pa10"/>
    <w:basedOn w:val="Default"/>
    <w:next w:val="Default"/>
    <w:uiPriority w:val="99"/>
    <w:rsid w:val="00F202AC"/>
    <w:pPr>
      <w:spacing w:line="185" w:lineRule="atLeast"/>
    </w:pPr>
    <w:rPr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610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12</Pages>
  <Words>10557</Words>
  <Characters>6019</Characters>
  <Application>Microsoft Office Word</Application>
  <DocSecurity>0</DocSecurity>
  <Lines>50</Lines>
  <Paragraphs>33</Paragraphs>
  <ScaleCrop>false</ScaleCrop>
  <Company/>
  <LinksUpToDate>false</LinksUpToDate>
  <CharactersWithSpaces>16543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2018-12-03T11:31:00Z</dcterms:created>
  <dcterms:modified xsi:type="dcterms:W3CDTF">2018-12-03T11:37:00Z</dcterms:modified>
</cp:coreProperties>
</file>