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92E7B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92E7B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92E7B">
        <w:rPr>
          <w:rFonts w:ascii="Times New Roman" w:hAnsi="Times New Roman"/>
          <w:sz w:val="28"/>
          <w:szCs w:val="28"/>
        </w:rPr>
        <w:t>Кафедра бухгалтерського обліку, аналізу та аудиту</w:t>
      </w:r>
    </w:p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46986" w:rsidRPr="00692E7B" w:rsidRDefault="00346986" w:rsidP="002D0717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692E7B">
        <w:rPr>
          <w:rFonts w:ascii="Times New Roman" w:hAnsi="Times New Roman"/>
          <w:b/>
          <w:sz w:val="28"/>
          <w:szCs w:val="28"/>
        </w:rPr>
        <w:t>Д и п л о м н а  р о б о т а</w:t>
      </w:r>
    </w:p>
    <w:p w:rsidR="00346986" w:rsidRPr="00692E7B" w:rsidRDefault="00346986" w:rsidP="007F115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692E7B">
        <w:rPr>
          <w:rFonts w:ascii="Times New Roman" w:hAnsi="Times New Roman"/>
          <w:sz w:val="28"/>
          <w:szCs w:val="28"/>
        </w:rPr>
        <w:t>освітньо-кваліфікаційного рівня спеціаліста</w:t>
      </w:r>
    </w:p>
    <w:p w:rsidR="00346986" w:rsidRPr="002D0717" w:rsidRDefault="00346986" w:rsidP="002D0717">
      <w:pPr>
        <w:pStyle w:val="Style9"/>
        <w:tabs>
          <w:tab w:val="left" w:pos="7020"/>
        </w:tabs>
        <w:ind w:right="21"/>
        <w:jc w:val="center"/>
        <w:rPr>
          <w:b/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 xml:space="preserve">на тему: </w:t>
      </w:r>
      <w:r w:rsidRPr="00692E7B">
        <w:rPr>
          <w:b/>
          <w:sz w:val="28"/>
          <w:szCs w:val="28"/>
          <w:lang w:val="uk-UA"/>
        </w:rPr>
        <w:t>“</w:t>
      </w:r>
      <w:r w:rsidR="00E71D8E" w:rsidRPr="00692E7B">
        <w:rPr>
          <w:b/>
          <w:sz w:val="28"/>
          <w:szCs w:val="28"/>
          <w:lang w:val="uk-UA"/>
        </w:rPr>
        <w:t>Бухгалтерський облік основних засобів підприємства, аудит та аналіз їх використання</w:t>
      </w:r>
      <w:r w:rsidRPr="00692E7B">
        <w:rPr>
          <w:b/>
          <w:sz w:val="28"/>
          <w:szCs w:val="28"/>
          <w:lang w:val="uk-UA"/>
        </w:rPr>
        <w:t>”</w:t>
      </w:r>
    </w:p>
    <w:p w:rsidR="00346986" w:rsidRPr="00692E7B" w:rsidRDefault="00346986" w:rsidP="007F1159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692E7B">
        <w:rPr>
          <w:rFonts w:ascii="Times New Roman" w:hAnsi="Times New Roman"/>
          <w:sz w:val="24"/>
          <w:szCs w:val="24"/>
          <w:lang w:val="en-US"/>
        </w:rPr>
        <w:t>“</w:t>
      </w:r>
      <w:r w:rsidR="00C571EA" w:rsidRPr="00692E7B">
        <w:rPr>
          <w:rFonts w:ascii="Times New Roman" w:hAnsi="Times New Roman"/>
          <w:sz w:val="24"/>
          <w:szCs w:val="24"/>
          <w:lang w:val="en-US"/>
        </w:rPr>
        <w:t>Accounting of fixed assets of the enterprise, audit and analysis of their use</w:t>
      </w:r>
      <w:r w:rsidRPr="00692E7B">
        <w:rPr>
          <w:rFonts w:ascii="Times New Roman" w:hAnsi="Times New Roman"/>
          <w:sz w:val="24"/>
          <w:szCs w:val="24"/>
          <w:lang w:val="en-US"/>
        </w:rPr>
        <w:t>”</w:t>
      </w:r>
    </w:p>
    <w:p w:rsidR="00346986" w:rsidRPr="00692E7B" w:rsidRDefault="00346986" w:rsidP="007F1159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315"/>
        <w:gridCol w:w="6040"/>
      </w:tblGrid>
      <w:tr w:rsidR="00346986" w:rsidRPr="00692E7B" w:rsidTr="00750FA5">
        <w:tc>
          <w:tcPr>
            <w:tcW w:w="3369" w:type="dxa"/>
          </w:tcPr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6095" w:type="dxa"/>
          </w:tcPr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2E7B">
              <w:rPr>
                <w:rFonts w:ascii="Times New Roman" w:hAnsi="Times New Roman"/>
                <w:sz w:val="28"/>
                <w:szCs w:val="28"/>
              </w:rPr>
              <w:t xml:space="preserve">Виконала студентка </w:t>
            </w:r>
            <w:r w:rsidR="002266B7" w:rsidRPr="00692E7B">
              <w:rPr>
                <w:rFonts w:ascii="Times New Roman" w:hAnsi="Times New Roman"/>
                <w:sz w:val="28"/>
                <w:szCs w:val="28"/>
              </w:rPr>
              <w:t>ден</w:t>
            </w:r>
            <w:r w:rsidRPr="00692E7B">
              <w:rPr>
                <w:rFonts w:ascii="Times New Roman" w:hAnsi="Times New Roman"/>
                <w:sz w:val="28"/>
                <w:szCs w:val="28"/>
              </w:rPr>
              <w:t>ної форми навчання,</w:t>
            </w:r>
          </w:p>
          <w:p w:rsidR="002C38B5" w:rsidRPr="00692E7B" w:rsidRDefault="002C38B5" w:rsidP="002C38B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2E7B">
              <w:rPr>
                <w:rFonts w:ascii="Times New Roman" w:hAnsi="Times New Roman"/>
                <w:sz w:val="28"/>
                <w:szCs w:val="28"/>
              </w:rPr>
              <w:t>спеціальність 071 “Облік і оподаткування”</w:t>
            </w:r>
          </w:p>
          <w:p w:rsidR="002C38B5" w:rsidRPr="00692E7B" w:rsidRDefault="002C38B5" w:rsidP="002C38B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2E7B">
              <w:rPr>
                <w:rFonts w:ascii="Times New Roman" w:hAnsi="Times New Roman"/>
                <w:sz w:val="28"/>
                <w:szCs w:val="28"/>
              </w:rPr>
              <w:t>(Облік і аудит),</w:t>
            </w:r>
          </w:p>
          <w:p w:rsidR="00346986" w:rsidRPr="00692E7B" w:rsidRDefault="002266B7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92E7B">
              <w:rPr>
                <w:rFonts w:ascii="Times New Roman" w:hAnsi="Times New Roman"/>
                <w:sz w:val="28"/>
                <w:szCs w:val="28"/>
              </w:rPr>
              <w:t xml:space="preserve">Аветісян </w:t>
            </w:r>
            <w:r w:rsidR="002C38B5" w:rsidRPr="00692E7B">
              <w:rPr>
                <w:rFonts w:ascii="Times New Roman" w:hAnsi="Times New Roman"/>
                <w:sz w:val="28"/>
                <w:szCs w:val="28"/>
              </w:rPr>
              <w:t>Оксана Вікторівна</w:t>
            </w:r>
          </w:p>
          <w:p w:rsidR="002266B7" w:rsidRPr="00692E7B" w:rsidRDefault="002266B7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2E7B">
              <w:rPr>
                <w:rFonts w:ascii="Times New Roman" w:hAnsi="Times New Roman"/>
                <w:sz w:val="28"/>
                <w:szCs w:val="28"/>
              </w:rPr>
              <w:t>Науковий керівник: кандидат економічних наук, доцент ___________________ К</w:t>
            </w:r>
            <w:r w:rsidR="00750FA5" w:rsidRPr="00692E7B">
              <w:rPr>
                <w:rFonts w:ascii="Times New Roman" w:hAnsi="Times New Roman"/>
                <w:sz w:val="28"/>
                <w:szCs w:val="28"/>
              </w:rPr>
              <w:t>іртока Р.Г.</w:t>
            </w:r>
          </w:p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2E7B">
              <w:rPr>
                <w:rFonts w:ascii="Times New Roman" w:hAnsi="Times New Roman"/>
                <w:sz w:val="28"/>
                <w:szCs w:val="28"/>
              </w:rPr>
              <w:t xml:space="preserve">Рецензент: кандидат економічних наук, доцент </w:t>
            </w:r>
            <w:r w:rsidR="00293217" w:rsidRPr="00692E7B">
              <w:rPr>
                <w:rFonts w:ascii="Times New Roman" w:hAnsi="Times New Roman"/>
                <w:sz w:val="28"/>
                <w:szCs w:val="28"/>
              </w:rPr>
              <w:t>Белінська О. В.</w:t>
            </w:r>
          </w:p>
          <w:p w:rsidR="00346986" w:rsidRPr="00692E7B" w:rsidRDefault="00346986" w:rsidP="007F115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346986" w:rsidRPr="00692E7B" w:rsidRDefault="00346986" w:rsidP="007F1159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346986" w:rsidRPr="00692E7B" w:rsidRDefault="00346986" w:rsidP="007F115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37"/>
        <w:gridCol w:w="5018"/>
      </w:tblGrid>
      <w:tr w:rsidR="00346986" w:rsidRPr="00692E7B" w:rsidTr="00A32B66">
        <w:tc>
          <w:tcPr>
            <w:tcW w:w="4428" w:type="dxa"/>
          </w:tcPr>
          <w:p w:rsidR="00346986" w:rsidRPr="00692E7B" w:rsidRDefault="00346986" w:rsidP="007F1159">
            <w:pPr>
              <w:pStyle w:val="Style3"/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Рекомендовано до захисту на засіданні кафедри</w:t>
            </w:r>
          </w:p>
          <w:p w:rsidR="00346986" w:rsidRPr="00692E7B" w:rsidRDefault="00346986" w:rsidP="007F1159">
            <w:pPr>
              <w:pStyle w:val="Style3"/>
              <w:spacing w:line="360" w:lineRule="auto"/>
              <w:rPr>
                <w:rStyle w:val="FontStyle17"/>
                <w:szCs w:val="28"/>
              </w:rPr>
            </w:pPr>
            <w:r w:rsidRPr="00692E7B">
              <w:rPr>
                <w:rStyle w:val="FontStyle17"/>
                <w:szCs w:val="28"/>
              </w:rPr>
              <w:t>22 травня 2017 року,</w:t>
            </w:r>
          </w:p>
          <w:p w:rsidR="00346986" w:rsidRPr="00692E7B" w:rsidRDefault="00346986" w:rsidP="007F1159">
            <w:pPr>
              <w:pStyle w:val="Style3"/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протокол № 11</w:t>
            </w:r>
          </w:p>
          <w:p w:rsidR="00346986" w:rsidRPr="00692E7B" w:rsidRDefault="00346986" w:rsidP="007F1159">
            <w:pPr>
              <w:pStyle w:val="Style3"/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Завідувач кафедри</w:t>
            </w:r>
          </w:p>
          <w:p w:rsidR="00346986" w:rsidRPr="00692E7B" w:rsidRDefault="00346986" w:rsidP="007F1159">
            <w:pPr>
              <w:pStyle w:val="Style12"/>
              <w:spacing w:line="360" w:lineRule="auto"/>
              <w:rPr>
                <w:rStyle w:val="FontStyle18"/>
                <w:b w:val="0"/>
                <w:szCs w:val="28"/>
              </w:rPr>
            </w:pPr>
            <w:r w:rsidRPr="00692E7B">
              <w:rPr>
                <w:sz w:val="28"/>
                <w:szCs w:val="28"/>
                <w:lang w:val="uk-UA"/>
              </w:rPr>
              <w:t>к.е.н., доц. _________ Кусик Н.Л.</w:t>
            </w:r>
          </w:p>
        </w:tc>
        <w:tc>
          <w:tcPr>
            <w:tcW w:w="5142" w:type="dxa"/>
          </w:tcPr>
          <w:p w:rsidR="00346986" w:rsidRPr="00692E7B" w:rsidRDefault="00346986" w:rsidP="007F1159">
            <w:pPr>
              <w:pStyle w:val="Style6"/>
              <w:tabs>
                <w:tab w:val="left" w:leader="underscore" w:pos="4435"/>
              </w:tabs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Захищено на засіданні ЕК № __________</w:t>
            </w:r>
          </w:p>
          <w:p w:rsidR="00346986" w:rsidRPr="00692E7B" w:rsidRDefault="00346986" w:rsidP="007F115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«___» ________ 2017 р., протокол № __</w:t>
            </w:r>
          </w:p>
          <w:p w:rsidR="00346986" w:rsidRPr="00692E7B" w:rsidRDefault="00346986" w:rsidP="007F115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Оцінка ____________ / ______ / ______</w:t>
            </w:r>
          </w:p>
          <w:p w:rsidR="00346986" w:rsidRPr="00692E7B" w:rsidRDefault="00346986" w:rsidP="007F115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eastAsia="uk-UA"/>
              </w:rPr>
            </w:pPr>
          </w:p>
          <w:p w:rsidR="00346986" w:rsidRPr="00692E7B" w:rsidRDefault="00346986" w:rsidP="007F115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>Голова ЕК</w:t>
            </w:r>
          </w:p>
          <w:p w:rsidR="00346986" w:rsidRPr="00692E7B" w:rsidRDefault="002C38B5" w:rsidP="002C38B5">
            <w:pPr>
              <w:pStyle w:val="Style14"/>
              <w:spacing w:line="360" w:lineRule="auto"/>
              <w:ind w:firstLine="0"/>
              <w:rPr>
                <w:rStyle w:val="FontStyle18"/>
                <w:b w:val="0"/>
                <w:szCs w:val="28"/>
                <w:lang w:eastAsia="uk-UA"/>
              </w:rPr>
            </w:pPr>
            <w:r w:rsidRPr="00692E7B">
              <w:rPr>
                <w:rStyle w:val="FontStyle17"/>
                <w:szCs w:val="28"/>
                <w:lang w:eastAsia="uk-UA"/>
              </w:rPr>
              <w:t xml:space="preserve">д.е.н., проф. </w:t>
            </w:r>
            <w:r w:rsidR="00346986" w:rsidRPr="00692E7B">
              <w:rPr>
                <w:rStyle w:val="FontStyle17"/>
                <w:szCs w:val="28"/>
                <w:lang w:eastAsia="uk-UA"/>
              </w:rPr>
              <w:t>____________ Ніценко В.С.</w:t>
            </w:r>
          </w:p>
        </w:tc>
      </w:tr>
    </w:tbl>
    <w:p w:rsidR="00346986" w:rsidRPr="00692E7B" w:rsidRDefault="00346986" w:rsidP="002D0717">
      <w:pPr>
        <w:pStyle w:val="Style4"/>
        <w:rPr>
          <w:rStyle w:val="FontStyle17"/>
          <w:b/>
          <w:szCs w:val="28"/>
          <w:lang w:eastAsia="uk-UA"/>
        </w:rPr>
      </w:pPr>
    </w:p>
    <w:p w:rsidR="00346986" w:rsidRPr="00692E7B" w:rsidRDefault="00346986" w:rsidP="007F1159">
      <w:pPr>
        <w:pStyle w:val="Style4"/>
        <w:jc w:val="center"/>
        <w:rPr>
          <w:rStyle w:val="FontStyle17"/>
          <w:b/>
          <w:szCs w:val="28"/>
          <w:lang w:eastAsia="uk-UA"/>
        </w:rPr>
      </w:pPr>
    </w:p>
    <w:p w:rsidR="00346986" w:rsidRPr="00692E7B" w:rsidRDefault="00346986" w:rsidP="007F1159">
      <w:pPr>
        <w:pStyle w:val="Style4"/>
        <w:jc w:val="center"/>
        <w:rPr>
          <w:b/>
          <w:sz w:val="28"/>
          <w:szCs w:val="28"/>
          <w:lang w:val="uk-UA"/>
        </w:rPr>
      </w:pPr>
      <w:r w:rsidRPr="00692E7B">
        <w:rPr>
          <w:rStyle w:val="FontStyle17"/>
          <w:b/>
          <w:szCs w:val="28"/>
          <w:lang w:eastAsia="uk-UA"/>
        </w:rPr>
        <w:t>Одеса – 2017</w:t>
      </w:r>
    </w:p>
    <w:p w:rsidR="006C0537" w:rsidRPr="00A43291" w:rsidRDefault="006C0537" w:rsidP="006C0537">
      <w:pPr>
        <w:jc w:val="center"/>
        <w:rPr>
          <w:rFonts w:ascii="Times New Roman" w:hAnsi="Times New Roman"/>
          <w:b/>
          <w:sz w:val="28"/>
          <w:lang w:val="uk-UA"/>
        </w:rPr>
      </w:pPr>
      <w:r w:rsidRPr="00A43291">
        <w:rPr>
          <w:rFonts w:ascii="Times New Roman" w:hAnsi="Times New Roman"/>
          <w:b/>
          <w:sz w:val="28"/>
          <w:lang w:val="uk-UA"/>
        </w:rPr>
        <w:lastRenderedPageBreak/>
        <w:t>ЗМІСТ</w:t>
      </w:r>
    </w:p>
    <w:p w:rsidR="006C0537" w:rsidRPr="00A43291" w:rsidRDefault="006C0537" w:rsidP="006C0537">
      <w:pPr>
        <w:jc w:val="center"/>
        <w:rPr>
          <w:rFonts w:ascii="Times New Roman" w:hAnsi="Times New Roman"/>
          <w:b/>
          <w:sz w:val="28"/>
          <w:lang w:val="uk-UA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8375"/>
        <w:gridCol w:w="980"/>
      </w:tblGrid>
      <w:tr w:rsidR="006C0537" w:rsidRPr="00A43291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</w:rPr>
              <w:t>Вступ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caps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</w:rPr>
              <w:t>РОЗДІЛ 1. ТЕОРЕТИЧНІ ОСНОВИ ОБЛІКУ, АУДИТУ ТА АНАЛІЗУ ОСНОВНИХ ЗАСОБІВ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6C0537">
            <w:pPr>
              <w:numPr>
                <w:ilvl w:val="1"/>
                <w:numId w:val="2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Наукові основи обліку, </w:t>
            </w:r>
            <w:r w:rsidRPr="00A43291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аудиту та аналізу основних засобів</w:t>
            </w:r>
            <w:r w:rsidRPr="00A43291">
              <w:rPr>
                <w:rFonts w:ascii="Times New Roman" w:hAnsi="Times New Roman"/>
                <w:sz w:val="28"/>
              </w:rPr>
              <w:t xml:space="preserve"> </w:t>
            </w:r>
          </w:p>
          <w:p w:rsidR="006C0537" w:rsidRPr="00A43291" w:rsidRDefault="006C0537" w:rsidP="006C0537">
            <w:pPr>
              <w:numPr>
                <w:ilvl w:val="1"/>
                <w:numId w:val="2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Економічний зміст та завдання </w:t>
            </w:r>
            <w:r w:rsidRPr="00A43291">
              <w:rPr>
                <w:rFonts w:ascii="Times New Roman" w:hAnsi="Times New Roman"/>
                <w:sz w:val="28"/>
                <w:lang w:val="uk-UA"/>
              </w:rPr>
              <w:t xml:space="preserve">обліку, </w:t>
            </w:r>
            <w:r w:rsidRPr="00A43291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аудиту та аналізу основних засобів</w:t>
            </w:r>
            <w:r w:rsidRPr="00A43291">
              <w:rPr>
                <w:rFonts w:ascii="Times New Roman" w:hAnsi="Times New Roman"/>
                <w:sz w:val="28"/>
              </w:rPr>
              <w:t xml:space="preserve"> </w:t>
            </w:r>
          </w:p>
          <w:p w:rsidR="006C0537" w:rsidRPr="00A43291" w:rsidRDefault="006C0537" w:rsidP="006C0537">
            <w:pPr>
              <w:numPr>
                <w:ilvl w:val="1"/>
                <w:numId w:val="2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Організаційно-економічна характеристика ТОВ «Керамік»       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caps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  <w:szCs w:val="28"/>
              </w:rPr>
              <w:t>РОЗДІЛ 2. СТАН ОБЛІКУ ОСНОВНИХ ЗАСОБІВ ТОВ «КЕРАМІК»</w:t>
            </w:r>
            <w:r w:rsidRPr="00A43291">
              <w:rPr>
                <w:rFonts w:ascii="Times New Roman" w:hAnsi="Times New Roman"/>
                <w:sz w:val="28"/>
              </w:rPr>
              <w:t xml:space="preserve">               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6C0537">
            <w:pPr>
              <w:numPr>
                <w:ilvl w:val="1"/>
                <w:numId w:val="3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Синтетичний та аналітичний облік </w:t>
            </w:r>
            <w:r w:rsidRPr="00A43291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основних засобів</w:t>
            </w:r>
            <w:r w:rsidRPr="00A43291">
              <w:rPr>
                <w:rFonts w:ascii="Times New Roman" w:hAnsi="Times New Roman"/>
                <w:sz w:val="28"/>
              </w:rPr>
              <w:t xml:space="preserve"> ТОВ «Керамік»</w:t>
            </w:r>
            <w:r w:rsidRPr="00A43291">
              <w:rPr>
                <w:rFonts w:ascii="Times New Roman" w:hAnsi="Times New Roman"/>
                <w:sz w:val="28"/>
                <w:lang w:val="uk-UA"/>
              </w:rPr>
              <w:t xml:space="preserve">      </w:t>
            </w:r>
          </w:p>
          <w:p w:rsidR="006C0537" w:rsidRPr="00A43291" w:rsidRDefault="006C0537" w:rsidP="006C0537">
            <w:pPr>
              <w:numPr>
                <w:ilvl w:val="1"/>
                <w:numId w:val="3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Первинний та зведений облік </w:t>
            </w:r>
            <w:r w:rsidRPr="00A43291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основних засобів</w:t>
            </w:r>
            <w:r w:rsidRPr="00A43291">
              <w:rPr>
                <w:rFonts w:ascii="Times New Roman" w:hAnsi="Times New Roman"/>
                <w:sz w:val="28"/>
              </w:rPr>
              <w:t xml:space="preserve"> ТОВ «Керамік»                                                                                                          </w:t>
            </w:r>
          </w:p>
          <w:p w:rsidR="006C0537" w:rsidRPr="00A43291" w:rsidRDefault="006C0537" w:rsidP="006C0537">
            <w:pPr>
              <w:numPr>
                <w:ilvl w:val="1"/>
                <w:numId w:val="3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Напрямки удосконалення обліку основних засобів ТОВ «Керамік»                                                                                                        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55</w:t>
            </w: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caps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</w:rPr>
              <w:t>РОЗДІЛ 3. АНАЛІЗ ТА АУДИТ ОСНОВНИХ ЗАСОБІВ ТОВ «КЕРАМІК»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6C0537">
            <w:pPr>
              <w:numPr>
                <w:ilvl w:val="1"/>
                <w:numId w:val="4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</w:rPr>
            </w:pPr>
            <w:r w:rsidRPr="00A43291">
              <w:rPr>
                <w:rFonts w:ascii="Times New Roman" w:hAnsi="Times New Roman"/>
                <w:sz w:val="28"/>
              </w:rPr>
              <w:t>Аналіз</w:t>
            </w:r>
            <w:r w:rsidRPr="00A43291">
              <w:rPr>
                <w:rFonts w:ascii="Times New Roman" w:hAnsi="Times New Roman"/>
                <w:sz w:val="28"/>
                <w:lang w:val="uk-UA"/>
              </w:rPr>
              <w:t xml:space="preserve"> використання</w:t>
            </w:r>
            <w:r w:rsidRPr="00A43291">
              <w:rPr>
                <w:rFonts w:ascii="Times New Roman" w:hAnsi="Times New Roman"/>
                <w:sz w:val="28"/>
              </w:rPr>
              <w:t xml:space="preserve"> </w:t>
            </w:r>
            <w:r w:rsidRPr="00A43291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основних засобів</w:t>
            </w:r>
            <w:r w:rsidRPr="00A43291">
              <w:rPr>
                <w:rFonts w:ascii="Times New Roman" w:hAnsi="Times New Roman"/>
                <w:sz w:val="28"/>
              </w:rPr>
              <w:t xml:space="preserve"> ТОВ «Керамік»                                                                                                             </w:t>
            </w:r>
          </w:p>
          <w:p w:rsidR="006C0537" w:rsidRPr="00A43291" w:rsidRDefault="006C0537" w:rsidP="006C0537">
            <w:pPr>
              <w:numPr>
                <w:ilvl w:val="1"/>
                <w:numId w:val="4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</w:rPr>
            </w:pPr>
            <w:r w:rsidRPr="00A43291">
              <w:rPr>
                <w:rFonts w:ascii="Times New Roman" w:hAnsi="Times New Roman"/>
                <w:sz w:val="28"/>
              </w:rPr>
              <w:t>Методика</w:t>
            </w:r>
            <w:r w:rsidRPr="00A43291">
              <w:rPr>
                <w:rFonts w:ascii="Times New Roman" w:hAnsi="Times New Roman"/>
                <w:sz w:val="28"/>
                <w:lang w:val="uk-UA"/>
              </w:rPr>
              <w:t xml:space="preserve"> проведення</w:t>
            </w:r>
            <w:r w:rsidRPr="00A43291">
              <w:rPr>
                <w:rFonts w:ascii="Times New Roman" w:hAnsi="Times New Roman"/>
                <w:sz w:val="28"/>
              </w:rPr>
              <w:t xml:space="preserve"> аудит</w:t>
            </w:r>
            <w:r w:rsidRPr="00A43291">
              <w:rPr>
                <w:rFonts w:ascii="Times New Roman" w:hAnsi="Times New Roman"/>
                <w:sz w:val="28"/>
                <w:lang w:val="uk-UA"/>
              </w:rPr>
              <w:t xml:space="preserve">у </w:t>
            </w:r>
            <w:r w:rsidRPr="00A43291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основних засобів</w:t>
            </w:r>
            <w:r w:rsidRPr="00A43291">
              <w:rPr>
                <w:rFonts w:ascii="Times New Roman" w:hAnsi="Times New Roman"/>
                <w:sz w:val="28"/>
              </w:rPr>
              <w:t xml:space="preserve"> ТОВ «Керамік»                                                                                                              </w:t>
            </w:r>
          </w:p>
          <w:p w:rsidR="006C0537" w:rsidRPr="00A43291" w:rsidRDefault="006C0537" w:rsidP="006C0537">
            <w:pPr>
              <w:numPr>
                <w:ilvl w:val="1"/>
                <w:numId w:val="4"/>
              </w:numPr>
              <w:tabs>
                <w:tab w:val="clear" w:pos="1428"/>
                <w:tab w:val="num" w:pos="709"/>
              </w:tabs>
              <w:spacing w:after="0" w:line="360" w:lineRule="auto"/>
              <w:ind w:left="0" w:firstLine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</w:rPr>
              <w:t xml:space="preserve">Аудиторський висновок з аудиту основних засобів ТОВ «Керамік»                                                                                                        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73</w:t>
            </w: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 ТА ПРОПОЗИЦІЇ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</w:p>
        </w:tc>
      </w:tr>
      <w:tr w:rsidR="006C0537" w:rsidRPr="00A43291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ВИКОРИСТАНОЇ ЛІТЕРАТУРИ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96</w:t>
            </w:r>
          </w:p>
        </w:tc>
      </w:tr>
      <w:tr w:rsidR="006C0537" w:rsidRPr="00617786" w:rsidTr="00DC17F4">
        <w:tc>
          <w:tcPr>
            <w:tcW w:w="4476" w:type="pct"/>
          </w:tcPr>
          <w:p w:rsidR="006C0537" w:rsidRPr="00A43291" w:rsidRDefault="006C0537" w:rsidP="00DC17F4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524" w:type="pct"/>
          </w:tcPr>
          <w:p w:rsidR="006C0537" w:rsidRPr="00A43291" w:rsidRDefault="006C0537" w:rsidP="00DC17F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43291">
              <w:rPr>
                <w:rFonts w:ascii="Times New Roman" w:hAnsi="Times New Roman"/>
                <w:sz w:val="28"/>
                <w:szCs w:val="28"/>
                <w:lang w:val="uk-UA"/>
              </w:rPr>
              <w:t>108</w:t>
            </w:r>
          </w:p>
        </w:tc>
      </w:tr>
    </w:tbl>
    <w:p w:rsidR="006C0537" w:rsidRDefault="006C0537" w:rsidP="002D0717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D0717" w:rsidRDefault="002D0717" w:rsidP="002D0717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D0717" w:rsidRDefault="002D0717" w:rsidP="002D0717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371F6" w:rsidRPr="00692E7B" w:rsidRDefault="002371F6" w:rsidP="007F115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2371F6" w:rsidRPr="00692E7B" w:rsidRDefault="002371F6" w:rsidP="007F115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371F6" w:rsidRPr="00692E7B" w:rsidRDefault="002371F6" w:rsidP="007F1159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 теми дослідження.</w:t>
      </w:r>
    </w:p>
    <w:p w:rsidR="00C450F6" w:rsidRPr="00692E7B" w:rsidRDefault="00C450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Стан і використання основних засобів є важливою умовою, фактором забезпечення нормальних умов процесу виробництва та підвищення його ефективності. </w:t>
      </w:r>
    </w:p>
    <w:p w:rsidR="00C450F6" w:rsidRPr="00692E7B" w:rsidRDefault="007F01E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Однією з основних проблем в Україні є значний рівень фізичного зношення та морального старіння основних виробничих засобів підприємств, а це дуже важливий чинник, від котрого залежать усі техніко-економічні показники випуску продукції. Тому необхідною умовою розвитку підприємства є контроль за ефективністю використання основних засобів.</w:t>
      </w:r>
      <w:r w:rsidR="00C450F6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2AA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Цьому має сприяти добре побудований їх облік. </w:t>
      </w:r>
    </w:p>
    <w:p w:rsidR="00DD223A" w:rsidRPr="00692E7B" w:rsidRDefault="00DD223A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Проблеми обліку основних засобів є актуальними для більшості підприємств</w:t>
      </w:r>
      <w:r w:rsidR="00AF1C7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зв’язку з потребою отримати власниками, кредиторами й інвесторами, як вітчизняними так і закордонними, оперативної та достовірної інформації щодо стану, руху, оновлення та ефективності використання основних засобів.</w:t>
      </w:r>
      <w:r w:rsidR="00AF1C7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27730E" w:rsidRPr="00692E7B" w:rsidRDefault="0027730E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Неефективна система обліку та політика щодо управління і використання основних засобів призводить до збільшення неліквідних необоротних активів, а це</w:t>
      </w:r>
      <w:r w:rsidR="00396E07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може привести до зменшення ліквідності активів підприємства та вплине на вірогідність його банкрутства.</w:t>
      </w:r>
    </w:p>
    <w:p w:rsidR="00B81ECA" w:rsidRPr="00692E7B" w:rsidRDefault="00B81ECA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 основних засобів є одним з важливих етапів перевірки фінансової звітності підприємства</w:t>
      </w:r>
      <w:r w:rsidR="002D437B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тому що </w:t>
      </w: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дає можливість перевірити схоронність, технічний стан і ефективність використання, правильність документального оформлення і відображення в обліку і звітності їх руху, обґрунтованість списання непридатних до використання об’єктів і інвентарю, правильність нарахування амортизації і списання зносу, реальність даних про проведення переоцінки основних засобів згідно чинного законодавства.</w:t>
      </w:r>
    </w:p>
    <w:p w:rsidR="00F73F8B" w:rsidRPr="00692E7B" w:rsidRDefault="00F73F8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забезпечення конкурентоспроможності підприємства та отримання необхідної величини прибутку необхідно здійснювати постійний аналіз </w:t>
      </w: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ефективності використання основних засобів та досліджувати фактори, які впливають на цю зміну.</w:t>
      </w:r>
    </w:p>
    <w:p w:rsidR="00AD25D0" w:rsidRPr="00692E7B" w:rsidRDefault="00583D0D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Аналіз наявної кількості і стану основних засобів підприємства дає можливість розраховувати техніко-економічні показники та визначати шляхи підвищення ефективності їхнього використання, прогнозувати необхідність залучення коштів для придбання нових основних засобів у зв’язку з фізичним і моральним зношенням наявних. Ефективне використання основних засобів зумовлює збільшення обсягів виробництва та отримуваних прибутків. </w:t>
      </w:r>
    </w:p>
    <w:p w:rsidR="00AD25D0" w:rsidRPr="00692E7B" w:rsidRDefault="00AD25D0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Перед підприємствами постає першочергове завдання підвищення ефективності використання основних засобів як важливого матеріального елемента виробництва, що значною мірою визначає їх потенціал. </w:t>
      </w:r>
    </w:p>
    <w:p w:rsidR="00654589" w:rsidRPr="00692E7B" w:rsidRDefault="00590D42" w:rsidP="007F1159">
      <w:pPr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Висвітленням питань, пов’язаних з обліком, аудитом та аналізом </w:t>
      </w:r>
      <w:r w:rsidR="00732F45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основних засобів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займалися </w:t>
      </w:r>
      <w:r w:rsidR="00732F45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такі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автори: </w:t>
      </w:r>
      <w:r w:rsidR="00497243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Ф.Ф. Бутинець, </w:t>
      </w:r>
      <w:r w:rsidR="00654589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Н.М. Бондар, </w:t>
      </w:r>
      <w:r w:rsidR="00497243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654589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.І.</w:t>
      </w:r>
      <w:r w:rsidR="0065458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Верхоглядова, Л.</w:t>
      </w:r>
      <w:r w:rsidR="0049724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Городянська, С.М. Гречко, </w:t>
      </w:r>
      <w:r w:rsidR="00654589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О.Б. Зайцева, </w:t>
      </w:r>
      <w:r w:rsidR="0049724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С.Б. Ільїна, </w:t>
      </w:r>
      <w:r w:rsidR="00654589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А.І.Ковальов, Б.С. Кругляк, </w:t>
      </w:r>
      <w:r w:rsidR="00654589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Л.П. </w:t>
      </w:r>
      <w:r w:rsidR="00497243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Кулаковська, </w:t>
      </w:r>
      <w:r w:rsidR="0065458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Л.</w:t>
      </w:r>
      <w:r w:rsidR="0049724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О. Леонова, </w:t>
      </w:r>
      <w:r w:rsidR="00497243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Ю.В. Піча, </w:t>
      </w:r>
      <w:r w:rsidR="00654589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В.О. Подольська, Г.В. Скиба, </w:t>
      </w:r>
      <w:r w:rsidR="0049724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Л.К. Сук, </w:t>
      </w:r>
      <w:r w:rsidR="00497243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К.О. Утенкова, </w:t>
      </w:r>
      <w:r w:rsidR="0049724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В.П. Шило, О.В. Щирська</w:t>
      </w:r>
      <w:r w:rsidR="0065458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49724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54589"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О.В. Яріш та інші.</w:t>
      </w:r>
    </w:p>
    <w:p w:rsidR="00DF7516" w:rsidRPr="00692E7B" w:rsidRDefault="00DF7516" w:rsidP="007F1159">
      <w:pPr>
        <w:tabs>
          <w:tab w:val="left" w:pos="900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92E7B">
        <w:rPr>
          <w:rFonts w:ascii="Times New Roman" w:hAnsi="Times New Roman"/>
          <w:sz w:val="28"/>
          <w:szCs w:val="28"/>
          <w:lang w:val="uk-UA"/>
        </w:rPr>
        <w:t xml:space="preserve">Необхідність дослідження сучасного стану обліку, аудиту та аналізу використання </w:t>
      </w: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Pr="00692E7B">
        <w:rPr>
          <w:rFonts w:ascii="Times New Roman" w:hAnsi="Times New Roman" w:cs="Times New Roman"/>
          <w:sz w:val="28"/>
          <w:lang w:val="uk-UA"/>
        </w:rPr>
        <w:t xml:space="preserve"> </w:t>
      </w:r>
      <w:r w:rsidRPr="00692E7B">
        <w:rPr>
          <w:rFonts w:ascii="Times New Roman" w:hAnsi="Times New Roman"/>
          <w:sz w:val="28"/>
          <w:szCs w:val="28"/>
          <w:lang w:val="uk-UA"/>
        </w:rPr>
        <w:t>для вітчизняних підприємств обумовили вибір теми дипломної роботи та її актуальність.</w:t>
      </w:r>
    </w:p>
    <w:p w:rsidR="002371F6" w:rsidRPr="00692E7B" w:rsidRDefault="002371F6" w:rsidP="007F1159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і завдання дослідження.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Метою дипломної роботи є обґрунтування теоретичних і практичних основ обліку, аудиту та аналізу основних засобів, а також розробка практичних рекомендацій щодо їх удосконалення на досліджуваному підприємстві.</w:t>
      </w:r>
    </w:p>
    <w:p w:rsidR="002371F6" w:rsidRPr="00692E7B" w:rsidRDefault="002371F6" w:rsidP="007F1159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Завданнями дипломної роботи є: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 xml:space="preserve">розглянути наукові основи обліку, </w:t>
      </w:r>
      <w:r w:rsidR="006B670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аудиту та аналізу основних засобів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 xml:space="preserve">визначити економічний зміст та завдання обліку, </w:t>
      </w:r>
      <w:r w:rsidR="006B670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аудиту та аналізу основних засобів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 xml:space="preserve">надати організаційно-економічну характеристику </w:t>
      </w:r>
      <w:r w:rsidR="001842A2" w:rsidRPr="00692E7B">
        <w:rPr>
          <w:rFonts w:ascii="Times New Roman" w:hAnsi="Times New Roman" w:cs="Times New Roman"/>
          <w:sz w:val="28"/>
          <w:szCs w:val="28"/>
        </w:rPr>
        <w:t>ТОВ «Керамік»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lastRenderedPageBreak/>
        <w:t xml:space="preserve">проаналізувати синтетичний та аналітичний облік </w:t>
      </w:r>
      <w:r w:rsidR="006B670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28586C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вивчити </w:t>
      </w:r>
      <w:r w:rsidRPr="00692E7B">
        <w:rPr>
          <w:rFonts w:ascii="Times New Roman" w:hAnsi="Times New Roman" w:cs="Times New Roman"/>
          <w:sz w:val="28"/>
          <w:szCs w:val="28"/>
        </w:rPr>
        <w:t xml:space="preserve">первинний та зведений облік </w:t>
      </w:r>
      <w:r w:rsidR="006B670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28586C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 xml:space="preserve">дослідити аналіз </w:t>
      </w:r>
      <w:r w:rsidR="006B670F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6B670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28586C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>визначити методику проведення</w:t>
      </w:r>
      <w:r w:rsidR="006B670F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аудиту </w:t>
      </w:r>
      <w:r w:rsidR="006B670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28586C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 xml:space="preserve">розглянути аудиторський висновок з аудиту </w:t>
      </w:r>
      <w:r w:rsidR="0054475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28586C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371F6" w:rsidRPr="00692E7B" w:rsidRDefault="002371F6" w:rsidP="007F1159">
      <w:pPr>
        <w:numPr>
          <w:ilvl w:val="0"/>
          <w:numId w:val="1"/>
        </w:numPr>
        <w:shd w:val="clear" w:color="auto" w:fill="FFFFFF"/>
        <w:tabs>
          <w:tab w:val="clear" w:pos="1069"/>
          <w:tab w:val="num" w:pos="0"/>
          <w:tab w:val="left" w:pos="108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2E7B">
        <w:rPr>
          <w:rFonts w:ascii="Times New Roman" w:hAnsi="Times New Roman" w:cs="Times New Roman"/>
          <w:sz w:val="28"/>
          <w:szCs w:val="28"/>
        </w:rPr>
        <w:t>запропонувати напрямки удосконалення обліку</w:t>
      </w:r>
      <w:r w:rsidR="00544759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4475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аудиту та аналізу</w:t>
      </w:r>
      <w:r w:rsidRPr="00692E7B">
        <w:rPr>
          <w:rFonts w:ascii="Times New Roman" w:hAnsi="Times New Roman" w:cs="Times New Roman"/>
          <w:sz w:val="28"/>
          <w:szCs w:val="28"/>
        </w:rPr>
        <w:t xml:space="preserve"> </w:t>
      </w:r>
      <w:r w:rsidR="0054475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28586C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71F6" w:rsidRPr="00692E7B" w:rsidRDefault="002371F6" w:rsidP="007F1159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Об’єкт і предмет дослідження.</w:t>
      </w:r>
    </w:p>
    <w:p w:rsidR="004C3D79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Об’єкт дипломної роботи –  </w:t>
      </w:r>
      <w:r w:rsidR="004C3D79" w:rsidRPr="00692E7B">
        <w:rPr>
          <w:rFonts w:ascii="Times New Roman" w:hAnsi="Times New Roman"/>
          <w:sz w:val="28"/>
          <w:szCs w:val="28"/>
          <w:lang w:val="uk-UA"/>
        </w:rPr>
        <w:t xml:space="preserve">сучасна система обліку, аудиту та аналізу використання </w:t>
      </w:r>
      <w:r w:rsidR="004C3D79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4C3D79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D79" w:rsidRPr="00692E7B">
        <w:rPr>
          <w:rFonts w:ascii="Times New Roman" w:hAnsi="Times New Roman"/>
          <w:sz w:val="28"/>
          <w:szCs w:val="28"/>
          <w:lang w:val="uk-UA"/>
        </w:rPr>
        <w:t>на вітчизняних підприємствах.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Предметом дослідження є сукупність теоретичних, методичних та практичних питань щодо формування та реалізації ефективного процесу обліку, </w:t>
      </w:r>
      <w:r w:rsidR="00876E4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аудиту та аналізу</w:t>
      </w:r>
      <w:r w:rsidR="00F32BE7" w:rsidRPr="00692E7B">
        <w:rPr>
          <w:rFonts w:ascii="Times New Roman" w:hAnsi="Times New Roman"/>
          <w:sz w:val="28"/>
          <w:szCs w:val="28"/>
          <w:lang w:val="uk-UA"/>
        </w:rPr>
        <w:t xml:space="preserve"> використання</w:t>
      </w:r>
      <w:r w:rsidR="00876E4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основних засобів</w:t>
      </w:r>
      <w:r w:rsidR="00F32BE7" w:rsidRPr="00692E7B">
        <w:rPr>
          <w:rFonts w:ascii="Times New Roman" w:hAnsi="Times New Roman"/>
          <w:sz w:val="28"/>
          <w:szCs w:val="28"/>
          <w:lang w:val="uk-UA"/>
        </w:rPr>
        <w:t xml:space="preserve"> на сучасному підприємстві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на прикладі </w:t>
      </w:r>
      <w:r w:rsidR="001842A2" w:rsidRPr="00692E7B">
        <w:rPr>
          <w:rFonts w:ascii="Times New Roman" w:hAnsi="Times New Roman" w:cs="Times New Roman"/>
          <w:sz w:val="28"/>
          <w:szCs w:val="28"/>
          <w:lang w:val="uk-UA"/>
        </w:rPr>
        <w:t>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71F6" w:rsidRPr="00692E7B" w:rsidRDefault="002371F6" w:rsidP="007F1159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дослідження.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В процесі написання дипломної роботи було застосовано</w:t>
      </w:r>
      <w:r w:rsidR="00887C5C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загальнонаукові методи та методи економічного аналізу: балансовий, статистичний, аналітичний, розрахунково </w:t>
      </w:r>
      <w:r w:rsidR="00F32BE7" w:rsidRPr="00692E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87C5C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нормативний</w:t>
      </w:r>
      <w:r w:rsidR="00F32BE7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32BE7" w:rsidRPr="00692E7B">
        <w:rPr>
          <w:rFonts w:ascii="Times New Roman" w:hAnsi="Times New Roman"/>
          <w:sz w:val="28"/>
          <w:szCs w:val="28"/>
        </w:rPr>
        <w:t>конкретизація, моделювання</w:t>
      </w:r>
      <w:r w:rsidR="00887C5C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B81DCE" w:rsidRPr="00692E7B" w:rsidRDefault="00B81DCE" w:rsidP="007F115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92E7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Інформаційною базою дослідження є законодавчі та нормативні акти, праці провідних вітчизняних та зарубіжних фахівців з питань </w:t>
      </w:r>
      <w:r w:rsidR="00F32BE7" w:rsidRPr="00692E7B">
        <w:rPr>
          <w:rFonts w:ascii="Times New Roman" w:hAnsi="Times New Roman"/>
          <w:sz w:val="28"/>
          <w:szCs w:val="28"/>
          <w:lang w:val="uk-UA"/>
        </w:rPr>
        <w:t>обліку, аудиту та аналізу використання</w:t>
      </w:r>
      <w:r w:rsidRPr="00692E7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основних засобів, періодична література, статистична інформація, дані бухгалтерського обліку та фінансова звітність досліджуваного підприємства</w:t>
      </w:r>
      <w:r w:rsidR="000D6D12" w:rsidRPr="00692E7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0D6D12" w:rsidRPr="00692E7B">
        <w:rPr>
          <w:rFonts w:ascii="Times New Roman" w:hAnsi="Times New Roman" w:cs="Times New Roman"/>
          <w:sz w:val="28"/>
          <w:szCs w:val="28"/>
          <w:lang w:val="uk-UA"/>
        </w:rPr>
        <w:t>ТОВ «Керамік»</w:t>
      </w:r>
      <w:r w:rsidRPr="00692E7B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2371F6" w:rsidRPr="00692E7B" w:rsidRDefault="002371F6" w:rsidP="007F115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значення результатів роботи.</w:t>
      </w:r>
    </w:p>
    <w:p w:rsidR="0087684D" w:rsidRPr="00692E7B" w:rsidRDefault="002371F6" w:rsidP="007F11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Практичне значення результатів дослідження полягає в розробці обґрунтованих методичних рекомендацій щодо удосконалення організації обліку, </w:t>
      </w:r>
      <w:r w:rsidR="00782C0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аудиту та аналізу </w:t>
      </w:r>
      <w:r w:rsidR="00043CB1" w:rsidRPr="00692E7B">
        <w:rPr>
          <w:rFonts w:ascii="Times New Roman" w:hAnsi="Times New Roman"/>
          <w:sz w:val="28"/>
          <w:szCs w:val="28"/>
          <w:lang w:val="uk-UA"/>
        </w:rPr>
        <w:t>використання</w:t>
      </w:r>
      <w:r w:rsidR="00043CB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82C0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що сприятиме підвищенню ефективності управління фінансами на підприємстві. </w:t>
      </w:r>
    </w:p>
    <w:p w:rsidR="002371F6" w:rsidRPr="00692E7B" w:rsidRDefault="002371F6" w:rsidP="007F11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Подані пропозиції щодо удосконалення обліку, </w:t>
      </w:r>
      <w:r w:rsidR="00782C0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аудиту та аналізу </w:t>
      </w:r>
      <w:r w:rsidR="00585E11" w:rsidRPr="00692E7B">
        <w:rPr>
          <w:rFonts w:ascii="Times New Roman" w:hAnsi="Times New Roman"/>
          <w:sz w:val="28"/>
          <w:szCs w:val="28"/>
          <w:lang w:val="uk-UA"/>
        </w:rPr>
        <w:t>використання</w:t>
      </w:r>
      <w:r w:rsidR="00585E1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82C03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42A2" w:rsidRPr="00692E7B">
        <w:rPr>
          <w:rFonts w:ascii="Times New Roman" w:hAnsi="Times New Roman" w:cs="Times New Roman"/>
          <w:sz w:val="28"/>
          <w:szCs w:val="28"/>
          <w:lang w:val="uk-UA"/>
        </w:rPr>
        <w:t>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готові до використання та можуть бути застосовані в практичній діяльності як на даному підприємстві, так і на інших вітчизняних підприємствах аналогічної сфери діяльності.</w:t>
      </w:r>
    </w:p>
    <w:p w:rsidR="002371F6" w:rsidRPr="00692E7B" w:rsidRDefault="002371F6" w:rsidP="007F1159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Структура дипломної роботи.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Дипломна робота складається зі вступу, 3-х розділів, висновків та пропозицій, списку використаної літератури та додатків.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В першому розділі «Теоретичні основи обліку</w:t>
      </w:r>
      <w:r w:rsidR="009B5DBF" w:rsidRPr="00692E7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аудиту та аналізу основних засобів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» розглянуто наукові основи обліку</w:t>
      </w:r>
      <w:r w:rsidR="00533161" w:rsidRPr="00692E7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аудиту та аналізу основних засобів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, визначено економічний зміст та завдання обліку</w:t>
      </w:r>
      <w:r w:rsidR="00533161" w:rsidRPr="00692E7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аудиту та аналізу основних засобів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надана організаційно-економічна характеристика </w:t>
      </w:r>
      <w:r w:rsidR="001842A2" w:rsidRPr="00692E7B">
        <w:rPr>
          <w:rFonts w:ascii="Times New Roman" w:hAnsi="Times New Roman" w:cs="Times New Roman"/>
          <w:sz w:val="28"/>
          <w:szCs w:val="28"/>
          <w:lang w:val="uk-UA"/>
        </w:rPr>
        <w:t>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 другому розділі «Стан обліку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7012F" w:rsidRPr="00692E7B">
        <w:rPr>
          <w:rFonts w:ascii="Times New Roman" w:hAnsi="Times New Roman" w:cs="Times New Roman"/>
          <w:sz w:val="28"/>
          <w:szCs w:val="28"/>
        </w:rPr>
        <w:t>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проаналізовано синтетичний </w:t>
      </w:r>
      <w:r w:rsidR="00533161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та аналітичний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облік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вивчено </w:t>
      </w:r>
      <w:r w:rsidRPr="00692E7B">
        <w:rPr>
          <w:rFonts w:ascii="Times New Roman" w:hAnsi="Times New Roman" w:cs="Times New Roman"/>
          <w:sz w:val="28"/>
          <w:szCs w:val="28"/>
        </w:rPr>
        <w:t xml:space="preserve">первинний та зведений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облік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надані напрямки удосконалення обліку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sz w:val="28"/>
          <w:szCs w:val="28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71F6" w:rsidRPr="00692E7B" w:rsidRDefault="002371F6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В третьому розділі «Аналіз та аудит</w:t>
      </w:r>
      <w:r w:rsidR="00533161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533161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12F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ТОВ «Керамік»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аналіз </w:t>
      </w:r>
      <w:r w:rsidR="00EC7A15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, вивчено методику проведення аудит</w:t>
      </w:r>
      <w:r w:rsidR="00533161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, проаналізовано аудиторський висновок з аудиту </w:t>
      </w:r>
      <w:r w:rsidR="00533161" w:rsidRPr="00692E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основних засобів</w:t>
      </w:r>
      <w:r w:rsidR="00F7012F"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2AE5" w:rsidRPr="00692E7B" w:rsidRDefault="00412AE5" w:rsidP="007F1159">
      <w:pPr>
        <w:rPr>
          <w:lang w:val="uk-UA"/>
        </w:rPr>
      </w:pPr>
    </w:p>
    <w:p w:rsidR="00285C02" w:rsidRPr="00692E7B" w:rsidRDefault="00285C02" w:rsidP="007F1159">
      <w:pPr>
        <w:rPr>
          <w:lang w:val="uk-UA"/>
        </w:rPr>
      </w:pPr>
    </w:p>
    <w:p w:rsidR="00935244" w:rsidRPr="00692E7B" w:rsidRDefault="00935244" w:rsidP="007F115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935244" w:rsidRPr="00692E7B" w:rsidRDefault="00935244" w:rsidP="007F115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9179B0" w:rsidRPr="00692E7B" w:rsidRDefault="009179B0" w:rsidP="007F115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692E7B">
        <w:rPr>
          <w:rFonts w:ascii="Times New Roman" w:hAnsi="Times New Roman" w:cs="Times New Roman"/>
          <w:b/>
          <w:sz w:val="28"/>
          <w:lang w:val="uk-UA"/>
        </w:rPr>
        <w:lastRenderedPageBreak/>
        <w:t>ВИСНОВКИ ТА ПРОПОЗИЦІЇ</w:t>
      </w:r>
    </w:p>
    <w:p w:rsidR="000C2AA3" w:rsidRPr="00692E7B" w:rsidRDefault="000C2AA3" w:rsidP="007F1159">
      <w:pPr>
        <w:rPr>
          <w:lang w:val="uk-UA"/>
        </w:rPr>
      </w:pPr>
    </w:p>
    <w:p w:rsidR="000C2AA3" w:rsidRPr="00692E7B" w:rsidRDefault="00644C6F" w:rsidP="007F1159">
      <w:pPr>
        <w:pStyle w:val="a3"/>
        <w:spacing w:after="0" w:line="360" w:lineRule="auto"/>
        <w:ind w:left="0" w:firstLine="709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Сукупні результати діяльності підприємства, а також введення нових підходів 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у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керівництво підприємств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ом в цілому та основними засоба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ми зокрема, прямо залежить від того, наскільки функціонально та ефективно використовуються наявні засоби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праці. Адже можливе викривлен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ня та неточніст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ь інформації щодо обліку основ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них засобів, що ймовірно в 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результаті недоско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налості облікової системи, призводить лише до приблизних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,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а </w:t>
      </w:r>
      <w:r w:rsidR="00736612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в 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більшості випадків до помилкових даних щодо стану підприємства.</w:t>
      </w:r>
    </w:p>
    <w:p w:rsidR="000C2AA3" w:rsidRPr="00692E7B" w:rsidRDefault="000C2AA3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Поінформованість про наявність засобів праці та постійний контроль за їх ефективним використанням мають велике значення в управлінні виробничою діяльністю кожного підприємства.</w:t>
      </w:r>
    </w:p>
    <w:p w:rsidR="007C2FCC" w:rsidRPr="00692E7B" w:rsidRDefault="009813A5" w:rsidP="007F1159">
      <w:pPr>
        <w:pStyle w:val="a3"/>
        <w:spacing w:after="0" w:line="360" w:lineRule="auto"/>
        <w:ind w:left="0" w:firstLine="709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В</w:t>
      </w:r>
      <w:r w:rsidR="007C2FCC"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важливе значення в дослідженні ефективності використання основних засобів відіграє оцінювання їх сучасного стану та проведення об’єктивного аналізу.</w:t>
      </w:r>
    </w:p>
    <w:p w:rsidR="0084550C" w:rsidRPr="00692E7B" w:rsidRDefault="0084550C" w:rsidP="0084550C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Базою для написання дипломної роботи було Товариство з обмеженою відповідальністю «Керамік». ТОВ «Керамік» здійснює наступні види діяльності: </w:t>
      </w:r>
      <w:hyperlink r:id="rId8" w:tooltip="Виробництво цегли, черепиці та інших будівельних виробів з випаленої глини в Україні" w:history="1">
        <w:r w:rsidRPr="00692E7B">
          <w:rPr>
            <w:rFonts w:ascii="Times New Roman" w:hAnsi="Times New Roman" w:cs="Times New Roman"/>
            <w:sz w:val="28"/>
            <w:szCs w:val="28"/>
            <w:lang w:val="uk-UA"/>
          </w:rPr>
          <w:t>виробництво цегли, черепиці та інших будівельних виробів з випаленої глини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hyperlink r:id="rId9" w:tooltip="Виробництво виробів з бетону для будівництва в Україні" w:history="1">
        <w:r w:rsidRPr="00692E7B">
          <w:rPr>
            <w:rFonts w:ascii="Times New Roman" w:hAnsi="Times New Roman" w:cs="Times New Roman"/>
            <w:sz w:val="28"/>
            <w:szCs w:val="28"/>
            <w:lang w:val="uk-UA"/>
          </w:rPr>
          <w:t>виробництво виробів з бетону для будівництва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; виробництво листового скла; </w:t>
      </w:r>
      <w:hyperlink r:id="rId10" w:tooltip="Оптова торгівля будівельними матеріалами в Україні" w:history="1">
        <w:r w:rsidRPr="00692E7B">
          <w:rPr>
            <w:rFonts w:ascii="Times New Roman" w:hAnsi="Times New Roman" w:cs="Times New Roman"/>
            <w:sz w:val="28"/>
            <w:szCs w:val="28"/>
            <w:lang w:val="uk-UA"/>
          </w:rPr>
          <w:t>оптова торгівля будівельними матеріалами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84550C" w:rsidRPr="00692E7B" w:rsidRDefault="0084550C" w:rsidP="0084550C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Підприємство здійснює бухгалтерський облік результатів своєї діяльності, веде статистичну звітність. Організація документообігу ТОВ «Керамік» регламентується Наказом про облікову політику підприємства.</w:t>
      </w:r>
    </w:p>
    <w:p w:rsidR="0084550C" w:rsidRPr="00692E7B" w:rsidRDefault="0084550C" w:rsidP="0084550C">
      <w:pPr>
        <w:widowControl w:val="0"/>
        <w:tabs>
          <w:tab w:val="num" w:pos="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Основне місце в обліковому апараті ТОВ «Керамік» займає головний бухгалтер, який несе відповідальність за своєчасне складання та подання бухгалтерської звітності. </w:t>
      </w:r>
    </w:p>
    <w:p w:rsidR="0084550C" w:rsidRPr="00692E7B" w:rsidRDefault="0084550C" w:rsidP="0084550C">
      <w:pPr>
        <w:widowControl w:val="0"/>
        <w:tabs>
          <w:tab w:val="num" w:pos="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Бухгалтерський облік у ТОВ «Керамік» ведеться</w:t>
      </w:r>
      <w:r w:rsidRPr="00692E7B"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із застосуванням спеціалізованої комп'ютерної програми «1С: Бухгалтерія 7.7 для України».</w:t>
      </w:r>
    </w:p>
    <w:p w:rsidR="0084550C" w:rsidRPr="00692E7B" w:rsidRDefault="0084550C" w:rsidP="0084550C">
      <w:pPr>
        <w:widowControl w:val="0"/>
        <w:tabs>
          <w:tab w:val="num" w:pos="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У ТОВ «Керамік» рух основних засобів, пов'язаний зі здійсненням господарських операцій з їх надходження, внутрішнього переміщення та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вибуття, оформлюють типовими формами первинної облікової документації, які затвердженні наказом Міністерства статистики «Про затвердження типових форм первинного обліку» від 29.12.95 р. № 352.</w:t>
      </w:r>
    </w:p>
    <w:p w:rsidR="0084550C" w:rsidRPr="00692E7B" w:rsidRDefault="0084550C" w:rsidP="0084550C">
      <w:pPr>
        <w:pStyle w:val="af4"/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Синтетичний облік основних засобів ТОВ «Керамік» відповідно до Плану рахунків ведеться на рахунку 10 «Основні засоби».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Порядок відображення надходження основних засобів у бухгалтерському обліку ТОВ «Керамік» та формування їх первісної вартості залежить від того, яким чином і на яких умовах вони отримані. У ТОВ «Керамік» основні засоби надходять у результаті капітальних вкладень, придбання за плату в інших підприємств і осіб, отримання від інших підприємств або осіб безоплатно, внесення засновниками в рахунок їхніх внесків до статутного капіталу ТОВ «Керамік», оприбуткування надлишків основних засобів, виявлених під час інвентаризації, а також внутрішнього переміщення.</w:t>
      </w:r>
    </w:p>
    <w:p w:rsidR="0084550C" w:rsidRPr="00692E7B" w:rsidRDefault="0084550C" w:rsidP="0084550C">
      <w:pPr>
        <w:pStyle w:val="af4"/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Основні засоби відображаються у ТОВ «Керамік» по дебету рахунку 10 в момент їх надходження на підприємство, але лише у випадку, якщо об'єкт основний засіб: не потребує монтажу; вводиться в експлуатацію відразу ж після надходження на підприємство. Якщо об'єкт основних засобів не відповідає вищевказаним вимогам, тоді для відображення надходження основних засобів використовується рахунок 15 «Капітальні інвестиції». </w:t>
      </w:r>
    </w:p>
    <w:p w:rsidR="0084550C" w:rsidRPr="00692E7B" w:rsidRDefault="0084550C" w:rsidP="0084550C">
      <w:pPr>
        <w:pStyle w:val="af4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 xml:space="preserve">Амортизація основних засобів ТОВ «Керамік» нараховується щомісячно прямолінійним методом. Синтетичний облік амортизації основних засобів у ТОВ «Керамік» ведеться на субрахунку 131 «Знос основних засобів». </w:t>
      </w:r>
    </w:p>
    <w:p w:rsidR="0084550C" w:rsidRPr="00692E7B" w:rsidRDefault="0084550C" w:rsidP="0084550C">
      <w:pPr>
        <w:pStyle w:val="af0"/>
        <w:spacing w:after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 xml:space="preserve">Основні засоби вибувають із ТОВ «Керамік» внаслідок часткової чи повної ліквідації, безоплатної передачі їх іншим підприємствам або особам, </w:t>
      </w:r>
      <w:r w:rsidRPr="00692E7B">
        <w:rPr>
          <w:color w:val="000000"/>
          <w:sz w:val="28"/>
          <w:szCs w:val="28"/>
          <w:lang w:val="uk-UA"/>
        </w:rPr>
        <w:t>реалізації, нестачі, виявленої під час інвентаризації тощо.</w:t>
      </w:r>
    </w:p>
    <w:p w:rsidR="0084550C" w:rsidRPr="00692E7B" w:rsidRDefault="0084550C" w:rsidP="0084550C">
      <w:pPr>
        <w:pStyle w:val="af0"/>
        <w:spacing w:after="0" w:line="360" w:lineRule="auto"/>
        <w:ind w:firstLine="708"/>
        <w:jc w:val="both"/>
        <w:rPr>
          <w:sz w:val="28"/>
          <w:szCs w:val="28"/>
          <w:lang w:val="uk-UA"/>
        </w:rPr>
      </w:pPr>
      <w:r w:rsidRPr="00692E7B">
        <w:rPr>
          <w:color w:val="000000"/>
          <w:sz w:val="28"/>
          <w:szCs w:val="28"/>
          <w:lang w:val="uk-UA"/>
        </w:rPr>
        <w:t>В ТОВ «Керамік» iнвeнтapизaцiя основних засобів пpoвoдитьcя вiдпoвiднo дo вимoг </w:t>
      </w:r>
      <w:hyperlink r:id="rId11" w:anchor="n16" w:history="1">
        <w:r w:rsidRPr="00692E7B">
          <w:rPr>
            <w:color w:val="000000"/>
            <w:sz w:val="28"/>
            <w:szCs w:val="28"/>
            <w:lang w:val="uk-UA"/>
          </w:rPr>
          <w:t>Положення про інвентаризацію активів та зобов’язань</w:t>
        </w:r>
      </w:hyperlink>
      <w:r w:rsidRPr="00692E7B">
        <w:rPr>
          <w:color w:val="000000"/>
          <w:sz w:val="28"/>
          <w:szCs w:val="28"/>
          <w:lang w:val="uk-UA"/>
        </w:rPr>
        <w:t xml:space="preserve">, затвердженого нaкaзoм Мiнicтepcтвa фiнaнciв Укpaїни вiд 02.09.2014 р. № 879. </w:t>
      </w:r>
      <w:r w:rsidRPr="00692E7B">
        <w:rPr>
          <w:sz w:val="28"/>
          <w:szCs w:val="28"/>
          <w:lang w:val="uk-UA"/>
        </w:rPr>
        <w:t xml:space="preserve">Результати інвентаризації на підставі затвердженого протоколу </w:t>
      </w:r>
      <w:r w:rsidRPr="00692E7B">
        <w:rPr>
          <w:sz w:val="28"/>
          <w:szCs w:val="28"/>
          <w:lang w:val="uk-UA"/>
        </w:rPr>
        <w:lastRenderedPageBreak/>
        <w:t>інвентаризаційної комісії відображаються у бухгалтерському обліку та фінансовій звітності ТОВ «Керамік» того звітного періоду, в якому закінчено інвентаризацію.</w:t>
      </w:r>
    </w:p>
    <w:p w:rsidR="0084550C" w:rsidRPr="00692E7B" w:rsidRDefault="0084550C" w:rsidP="0084550C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 Аналітичний облік основних засобів ТОВ «Керамік» ведеться за об’єктами основних засобів в інвентарних картках. Також аналітичний облік в ТОВ «Керамік» ведеться за видами основних засобів, місцями їх експлуатації та матеріально-відповідальними особами.</w:t>
      </w:r>
    </w:p>
    <w:p w:rsidR="0084550C" w:rsidRPr="00692E7B" w:rsidRDefault="0084550C" w:rsidP="0084550C">
      <w:pPr>
        <w:pStyle w:val="af4"/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Для узагальнення інформації про наявність і рух основних засобів, їх знос, а також капітальні інвестиції до автоматизації обліку в ТОВ «Керамік» призначений був журнал-ордер 4, а після автоматизації обліку – картка по рахунку 10, оборотно-сальдова відомість по рахунку 10,</w:t>
      </w:r>
      <w:r w:rsidRPr="00692E7B">
        <w:rPr>
          <w:color w:val="000000"/>
          <w:sz w:val="28"/>
          <w:szCs w:val="28"/>
          <w:lang w:val="uk-UA"/>
        </w:rPr>
        <w:t xml:space="preserve"> </w:t>
      </w:r>
      <w:r w:rsidRPr="00692E7B">
        <w:rPr>
          <w:sz w:val="28"/>
          <w:szCs w:val="28"/>
          <w:lang w:val="uk-UA"/>
        </w:rPr>
        <w:t>журнал-ордер і відомість по рахунку 10</w:t>
      </w:r>
      <w:r w:rsidRPr="00692E7B">
        <w:rPr>
          <w:color w:val="000000"/>
          <w:sz w:val="28"/>
          <w:szCs w:val="28"/>
          <w:lang w:val="uk-UA"/>
        </w:rPr>
        <w:t>.</w:t>
      </w:r>
    </w:p>
    <w:p w:rsidR="0084550C" w:rsidRPr="00692E7B" w:rsidRDefault="0084550C" w:rsidP="0084550C">
      <w:pPr>
        <w:pStyle w:val="af4"/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Одним із напрямків удосконалення обліку в ТОВ «Керамік», зокрема обліку основних засобів, є перехід на «1С:Бухгалтерія 8.2 для України».</w:t>
      </w:r>
    </w:p>
    <w:p w:rsidR="0084550C" w:rsidRPr="00692E7B" w:rsidRDefault="0084550C" w:rsidP="0084550C">
      <w:pPr>
        <w:pStyle w:val="af4"/>
        <w:spacing w:line="360" w:lineRule="auto"/>
        <w:ind w:left="0" w:firstLine="708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>Крім того, рекомендуємо ТОВ «Керамік» вести первинний облік основних засобів згідно нових форм, які зазначені у Наказі Міністерства фінансів України «Про затвердження типових форм з обліку та списання основних засобів суб’єктами державного сектору та порядку їх складання» від 13.09.2016 № 818.</w:t>
      </w:r>
    </w:p>
    <w:p w:rsidR="0084550C" w:rsidRPr="00692E7B" w:rsidRDefault="0084550C" w:rsidP="0084550C">
      <w:pPr>
        <w:pStyle w:val="a3"/>
        <w:spacing w:after="0" w:line="360" w:lineRule="auto"/>
        <w:ind w:left="0"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Нові форми для обліку та списання основних засобів суб’єктами державного сектору відповідають сучасним вимогам щодо повноти й удосконалення відображення інформації про операції з обліку та списання основних засобів, та можуть застосовуватися юридичними особами, створеними відповідно до законодавства України, незалежно від їх організаційно-правових форм і форм власності, а також представництвами іноземних суб'єктів господарської діяльності.</w:t>
      </w:r>
    </w:p>
    <w:p w:rsidR="0084550C" w:rsidRPr="00692E7B" w:rsidRDefault="0084550C" w:rsidP="0084550C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92E7B">
        <w:rPr>
          <w:sz w:val="28"/>
          <w:szCs w:val="28"/>
          <w:lang w:val="uk-UA"/>
        </w:rPr>
        <w:t xml:space="preserve">В ТОВ «Керамік» застосовується прямолінійний метод нарахування амортизації на всі групи основних засобів. Такий метод є більш оптимальним для будівель, споруд, нерухомих об’єктів, але не для виробничих машин. Тому рекомендуємо для окремих груп основних засобів ТОВ «Керамік» </w:t>
      </w:r>
      <w:r w:rsidRPr="00692E7B">
        <w:rPr>
          <w:sz w:val="28"/>
          <w:szCs w:val="28"/>
          <w:lang w:val="uk-UA"/>
        </w:rPr>
        <w:lastRenderedPageBreak/>
        <w:t>використання виробничого методу нарахування амортизації. Його застосування є економічно обґрунтованим щодо тих об’єктів основних засобів, які безпосередньо зайняті у виробництві, наприклад верстати, устаткування, транспортні засоби.</w:t>
      </w:r>
    </w:p>
    <w:p w:rsidR="0084550C" w:rsidRPr="00692E7B" w:rsidRDefault="0084550C" w:rsidP="0084550C">
      <w:pPr>
        <w:pStyle w:val="a3"/>
        <w:spacing w:after="0" w:line="360" w:lineRule="auto"/>
        <w:ind w:left="0"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У ТОВ «Керамік» за досліджуваний період переоцінка не відбувалась. Важливість переоцінки основних засобів полягає в тому, що дана процедура дозволяє визначити реальну вартість основних засобів з урахуванням сучасного стану ринку. Підприємство може проводити переоцінку при суттєвій відмінності залишкової вартості основних засобів від їх справедливої вартості.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В ТОВ «Керамік» протягом 2014 – 2016 років збільшилася вартість основних засобів на 1479 тис. грн. або на 72,11 %.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На підприємстві відбуваються позитивні зрушення, протягом цього проміжку часу підприємство придбало будівлю виробничого цеху вартістю 1455 тис. грн. та виробниче обладнання на суму 24 тис. грн. У зв’язку з придбанням будівлі цеху у 2015 році відбулися зміни в структурі основних засобів. Питома вага машин та обладнання складає 49,35 %  станом на кінець 2016 року (в 2014 році – 83,76 %), будинки та споруди – 41,22 %. Найменша частка основних засобів припадає на транспортні засоби як у загальному фонді основних засобів, так і їх активній частині. Всі основні засоби ТОВ «Керамік» використовуються за основним видом діяльності. </w:t>
      </w:r>
    </w:p>
    <w:p w:rsidR="0084550C" w:rsidRPr="00692E7B" w:rsidRDefault="0084550C" w:rsidP="0084550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В ТОВ «Керамік»</w:t>
      </w:r>
      <w:r w:rsidRPr="00692E7B">
        <w:rPr>
          <w:rFonts w:ascii="Times New Roman" w:hAnsi="Times New Roman" w:cs="Times New Roman"/>
          <w:b/>
          <w:color w:val="000000"/>
          <w:spacing w:val="-5"/>
          <w:sz w:val="28"/>
          <w:szCs w:val="28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за 2014-2016 роки спостерігаємо зростання вартості основних засобів на 1479 тис. грн. за рахунок введення в експлуатацію придбаних в 2014-2015 роках будівлі цеху та виробничого обладнання.</w:t>
      </w:r>
    </w:p>
    <w:p w:rsidR="0084550C" w:rsidRPr="00692E7B" w:rsidRDefault="0084550C" w:rsidP="0084550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Реальна вартість основних </w:t>
      </w:r>
      <w:r w:rsidRPr="00692E7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засобів у майні підприємства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практично незмінною і коливається в межах 0,45-0,47. Позитивним явищем в діяльності ТОВ «Керамік»</w:t>
      </w:r>
      <w:r w:rsidRPr="00692E7B">
        <w:rPr>
          <w:rFonts w:ascii="Times New Roman" w:hAnsi="Times New Roman" w:cs="Times New Roman"/>
          <w:b/>
          <w:color w:val="000000"/>
          <w:spacing w:val="-5"/>
          <w:sz w:val="28"/>
          <w:szCs w:val="28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є те, що основні засоби зношені на 37 % станом на кінець 2016 року, в результаті цього придатними до використання є 63 % вартості всіх основних засобів.</w:t>
      </w:r>
    </w:p>
    <w:p w:rsidR="0084550C" w:rsidRPr="00692E7B" w:rsidRDefault="0084550C" w:rsidP="0084550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Коефіцієнт оновлення за досліджений період є низьким, проте позитивним явищем є його тенденція до зростання, а саме з 0,29 до 0,41, а це майже в два рази, що сталося за рахунок придбання будівлі цеху та виробничого обладнання. В 2016 році зменшилися обсяги виробництва будівельних виробів у зв’язку з інфляційними процесами і іншими економічними чинниками, тому підприємство не мало можливості придбати основні засоби.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розрахованих коефіцієнтів, що наведені в Табл. 3.2 можна зробити висновок, що протягом 2014 – 2016 років вибуття основних засобів не було, що свідчить про відтворення основних засобів.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Таким чином, судячи з наведених розрахунків видно, що основні засоби ТОВ «Керамік» знаходяться у придатному для використання стані, але для збільшення виробничої потужності і фондовіддачі слід оновлювати основні засоби.</w:t>
      </w:r>
    </w:p>
    <w:p w:rsidR="0084550C" w:rsidRPr="00692E7B" w:rsidRDefault="0084550C" w:rsidP="0084550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Рентабельність основних виробничих засобів ТОВ «Керамік» є незначною і складає в 2014 році 5,94 %, в 2016 році – 10,23 %, зміни обумовлені ростом чистого прибутку на 257 тис. грн. та зростанням середньорічної вартості основних засобів на 1779 тис. грн..</w:t>
      </w:r>
    </w:p>
    <w:p w:rsidR="0084550C" w:rsidRPr="00692E7B" w:rsidRDefault="0084550C" w:rsidP="0084550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Загальним показником ефективності використання основних засобів є фондовіддача.</w:t>
      </w:r>
      <w:r w:rsidRPr="00692E7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З наведених даних можна зробити висновок, що в ТОВ «Керамік» протягом 2014 – 2016 років відбувається поступове збільшення середньорічної вартості основних засобів на 1779 тис. грн..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Показник фондовіддачі свідчить про те, що на одну гривню основних засобів припадає в 2014 році 7,33 грн., в 2015 році – 2,77 грн., а в 2016 році – 3,68 грн. виготовлених будівельних виробів.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Величина фондомісткості зростає, в 2014 році – 0,14 грн., а в 2016 році – 0,27 грн., за рахунок збільшення середньорічної вартості основних засобів ТОВ «Керамік» і доходу від реалізації виготовлених будівельних виробів.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Показник фондоозброєності показує, що в 2014 році на одного працівника припадало 145,92 тис. грн. вартості основних засобів, в 2015 році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– 253,68 тис. грн., в 2016 році – 294,17 тис. грн. Показник зростає за рахунок того, що на підприємстві середньоспискова чисельність працівників не змінилася за період дослідження і середньорічна вартість основних засобів збільшилася на 1779 тис. грн..</w:t>
      </w:r>
    </w:p>
    <w:p w:rsidR="0084550C" w:rsidRPr="00692E7B" w:rsidRDefault="0084550C" w:rsidP="0084550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Керівництво  ТОВ «Керамік» повинно прагнути до ефективного використання основних засобів. Для цього підприємству необхідно:</w:t>
      </w:r>
    </w:p>
    <w:p w:rsidR="0084550C" w:rsidRPr="00692E7B" w:rsidRDefault="0084550C" w:rsidP="0084550C">
      <w:pPr>
        <w:pStyle w:val="a3"/>
        <w:numPr>
          <w:ilvl w:val="0"/>
          <w:numId w:val="10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оптимально використовувати основні засоби за рахунок: збільшення терміну роботи обладнання; введення в дію придбаного, але не встановленого обладнання; підвищення коефіцієнту змінності; скорочення часу перебування в ремонті;</w:t>
      </w:r>
    </w:p>
    <w:p w:rsidR="0084550C" w:rsidRPr="00692E7B" w:rsidRDefault="0084550C" w:rsidP="0084550C">
      <w:pPr>
        <w:pStyle w:val="a3"/>
        <w:numPr>
          <w:ilvl w:val="0"/>
          <w:numId w:val="10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оптимально завантажувати техніку за рахунок: скорочення терміну досягнення проектної потужності обладнання; максимального використання номінальної потужності обладнання; наукової організації праці виробництва;</w:t>
      </w:r>
    </w:p>
    <w:p w:rsidR="0084550C" w:rsidRPr="00692E7B" w:rsidRDefault="0084550C" w:rsidP="0084550C">
      <w:pPr>
        <w:pStyle w:val="a3"/>
        <w:numPr>
          <w:ilvl w:val="0"/>
          <w:numId w:val="10"/>
        </w:numPr>
        <w:spacing w:after="0" w:line="360" w:lineRule="auto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технічно удосконалювати виробничі основні засоби за рахунок: технічного переоснащення; використання прогресивних технологічних процесів; модернізації обладнання; впровадження раціоналізаторських пропозицій.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Поліпшення використання основних засобів залежить в значній мірі від кваліфікації кадрів, особливо від майстерності робітників, обслуговуючих машини, механізми, агрегати і інші види виробничого устаткування.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Результати аудиту основних засобів ТОВ «Керамік» за 2016 рік оформлюються у вигляді аудиторського висновку. Оскільки аудитор не був присутній при проведенні інвентаризації активiв, капіталу та зобов’язань ТОВ «Керамік» станом на 31.12.2016 р., то він висловлює умовно-позитивну думку. В аудиторському висновку зазначено, що фінансова звітність ТОВ «Керамік» за 2016 рік складена відповідно до Національних положень(стандартів) бухгалтерського обліку, в усіх суттєвих аспектах достовірно та повно подає фінансову інформацію підприємства, не містить істотних  перекручувань і адекватно відображає всі показники діяльності підприємства. Бухгалтерський 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 xml:space="preserve">облік у ТОВ «Керамік» здійснюється   відповідно  до існуючого законодавства України та прийнятої облікової політики підприємства. Надана інформація дає дійсне і повне уявлення про реальний склад активів та пасивів ТОВ «Керамік».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За результатами проведеного аудиту основних засобів ТОВ «Керамік» виявлено, що фінансова звітність ТОВ «Керамік» за 2016 рік надає достовірну та об'єктивну інформацію щодо основних засобів підприємства станом на 31.12.2016 р. 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Показники обліку та фінансової звітності ТОВ «Керамік» порівнюються між собою та відображають реальний розмір основних засобів підприємства. Класифікація та оцінка основних засобів у бухгалтерському обліку та фінансовій звітності ТОВ «Керамік» відображена вірно.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Основні засоби відображаються у Балансі (Звіті про фінансовий стан) ТОВ «Керамік» по первісній вартості за вирахуванням зносу. Первісна вартiсть основних засобiв ТОВ «Керамік» станом на 31.12.2016 р. складає – 3530 тис. грн. Аналітичний  облік  основних  засобів ТОВ «Керамік» відповідає  даним  синтетичних  рахунків.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Амортизація основних засобів ТОВ «Керамік» нараховується по відповідно до затвердженої облікової політики підприємства прямолінійним методом.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Орендованих основних засобів ТОВ «Керамік» станом на 31.12.2016 р. немає, в оренду основні засоби не здавалися. Переоцінку основних засобів у 2016 році ТОВ «Керамік» не проводило. 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Для забезпеченості достовірності даних бухгалтерського обліку і фінансової звітності у ТОВ «Керамік» створена постійно-діюча комісія з інвентаризації активів та зобов’язань. Інвентаризація активів та зобов’язань проводилась у ТОВ «Керамік» згідно діючого  законодавства.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На думку аудитора, дані фінансової звітності ТОВ «Керамік» відповідають даним реєстрів аналітичного та синтетичного обліку основних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засобів ТОВ «Керамік» та первинним документам, наданим на розгляд аудитору. Склад основних засобів, достовірність і повнота  їх оцінки, а також 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>ступень розкриття інформації  в цілому  відповідають П(С)БО № 7 «Основні засоби», затвердженого наказом Міністерства Фінансів України № 92 від 27.04.2000 року зі змінами та доповненнями.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в 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ТОВ «Керамік»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служби внутрішнього аудиту або посади внутрішнього аудитора дозволить мінімізувати ризики банкрутства та підвищити ефективність обліку, контролю, аналізу та політики управління основними засобами підприємства.</w:t>
      </w:r>
    </w:p>
    <w:p w:rsidR="0084550C" w:rsidRPr="00692E7B" w:rsidRDefault="0084550C" w:rsidP="00845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комплексного підходу щодо проведення внутрішнього аудиту основних засобів дозволить розробити ефективну політику управління основними засобами та своєчасно вживати заходи щодо покращення операцій з основними засобами у </w:t>
      </w:r>
      <w:r w:rsidRPr="00692E7B">
        <w:rPr>
          <w:rFonts w:ascii="Times New Roman" w:eastAsiaTheme="minorHAnsi" w:hAnsi="Times New Roman" w:cs="Times New Roman"/>
          <w:sz w:val="28"/>
          <w:szCs w:val="28"/>
          <w:lang w:val="uk-UA"/>
        </w:rPr>
        <w:t>ТОВ «Керамік»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4550C" w:rsidRPr="00692E7B" w:rsidRDefault="0084550C" w:rsidP="0084550C">
      <w:pPr>
        <w:rPr>
          <w:lang w:val="uk-UA"/>
        </w:rPr>
      </w:pPr>
    </w:p>
    <w:p w:rsidR="00C16E89" w:rsidRPr="00692E7B" w:rsidRDefault="00C16E89" w:rsidP="007F1159">
      <w:pPr>
        <w:pStyle w:val="a3"/>
        <w:spacing w:after="0" w:line="360" w:lineRule="auto"/>
        <w:ind w:left="0" w:firstLine="709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44B" w:rsidRDefault="00F6144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44B" w:rsidRDefault="00F6144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44B" w:rsidRDefault="00F6144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44B" w:rsidRDefault="00F6144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44B" w:rsidRDefault="00F6144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44B" w:rsidRPr="00692E7B" w:rsidRDefault="00F6144B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692E7B" w:rsidRDefault="00C16E89" w:rsidP="007F1159">
      <w:pPr>
        <w:pStyle w:val="-"/>
        <w:widowControl/>
        <w:numPr>
          <w:ilvl w:val="0"/>
          <w:numId w:val="0"/>
        </w:numPr>
        <w:tabs>
          <w:tab w:val="left" w:pos="540"/>
          <w:tab w:val="left" w:pos="1260"/>
          <w:tab w:val="left" w:pos="1440"/>
          <w:tab w:val="left" w:pos="1980"/>
        </w:tabs>
        <w:ind w:firstLine="720"/>
        <w:jc w:val="center"/>
        <w:rPr>
          <w:b/>
          <w:lang w:val="uk-UA"/>
        </w:rPr>
      </w:pPr>
      <w:r w:rsidRPr="00692E7B">
        <w:rPr>
          <w:b/>
          <w:lang w:val="uk-UA"/>
        </w:rPr>
        <w:lastRenderedPageBreak/>
        <w:t>СПИСОК ВИКОРИСТАНОЇ ЛІТЕРАТУРИ</w:t>
      </w:r>
    </w:p>
    <w:p w:rsidR="00C16E89" w:rsidRPr="00692E7B" w:rsidRDefault="00C16E89" w:rsidP="007F1159">
      <w:pPr>
        <w:pStyle w:val="-"/>
        <w:widowControl/>
        <w:numPr>
          <w:ilvl w:val="0"/>
          <w:numId w:val="0"/>
        </w:numPr>
        <w:tabs>
          <w:tab w:val="num" w:pos="0"/>
          <w:tab w:val="left" w:pos="540"/>
          <w:tab w:val="left" w:pos="1260"/>
          <w:tab w:val="left" w:pos="1440"/>
          <w:tab w:val="left" w:pos="1980"/>
        </w:tabs>
        <w:ind w:firstLine="720"/>
        <w:rPr>
          <w:b/>
          <w:lang w:val="uk-UA"/>
        </w:rPr>
      </w:pP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36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Податковий кодекс України вiд 02.12.2010 № 2755-VI / [Електронний ресурс]: за даними Верховної Ради України № 2755-17. Режим доступу: </w:t>
      </w:r>
      <w:hyperlink r:id="rId12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http://zakon2.rada.gov.ua/laws/show/2755-17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36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Цивільний Кодекс України від 16.01.2003 р. № 435-ІV / [Електронний ресурс]: за даними Верховної Ради України № 435-15. Режим доступу: </w:t>
      </w:r>
      <w:hyperlink r:id="rId13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http://zakon4.rada.gov.ua/laws/show/435-15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36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аудиторську діяльність: Закон України від 22.04.1993 р. № 3125 – XII. - [Електронний ресурс]: Верховна Рада України. - Режим доступу: </w:t>
      </w:r>
      <w:hyperlink r:id="rId14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http://zakon0.rada.gov.ua/laws/show/3125-12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36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бухгалтерський облік та фінансову звітність в Україні: Закон України від 16.07.1999 р. № 996-XIV. - [Електронний ресурс]: Верховна Рада України. - Режим доступу: </w:t>
      </w:r>
      <w:hyperlink r:id="rId15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http://zakon2.rada.gov.ua/laws/show/996-14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Про внесення змін до Податкового кодексу України щодо покращення інвестиційного клімату в Україні: Закон України від 21.12.2016 р. </w:t>
      </w:r>
      <w:hyperlink r:id="rId16" w:tgtFrame="_blank" w:history="1">
        <w:r w:rsidRPr="00692E7B">
          <w:rPr>
            <w:rFonts w:ascii="Times New Roman" w:hAnsi="Times New Roman" w:cs="Times New Roman"/>
            <w:sz w:val="28"/>
            <w:szCs w:val="28"/>
            <w:lang w:val="uk-UA"/>
          </w:rPr>
          <w:t>№ 1797-VIII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. - [Електронний ресурс]: Верховна Рада України. - Режим доступу: </w:t>
      </w:r>
      <w:hyperlink r:id="rId17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http://zakon2.rada.gov.ua/laws/show/1797-19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 оренду державного та комунального майна: Закон України від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10.04.1992 № 2269-XII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[Електронний ресурс]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: Верховна Рада України.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Режим доступу: </w:t>
      </w:r>
      <w:hyperlink r:id="rId18" w:history="1">
        <w:r w:rsidRPr="00692E7B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http://zakon4.rada.gov.ua/laws/show/2269-12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 оцінку майна, майнових прав та професійну оціночну діяльність в Україні: Закон України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від 12.07.2001 № 2658-ІІІ. -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[Електронний ресурс]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: Верховна Рада України.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Режим доступу: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http://zakon2.rada.gov.ua/laws/show/2658-14</w:t>
        </w:r>
      </w:hyperlink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Про фінансовий лізинг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Закон України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від 16.12.1997 № 723/97-ВР. -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[Електронний ресурс]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: Верховна Рада України. </w:t>
      </w:r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Режим доступу: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http://zakon2.rada.gov.ua/laws/show/723/97-вр</w:t>
        </w:r>
      </w:hyperlink>
      <w:r w:rsidRPr="00692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цінні папери та фондовий ринок: Закон України  від 23.02.2006 № 3480-IV. - [Електронний ресурс]: Верховна Рада України - Режим доступу: </w:t>
      </w:r>
      <w:hyperlink r:id="rId21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http://zakon2.rada.gov.ua/laws/show/3480-15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Міжнародні положення (стандарти)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бухгалтерського обліку 16 «Основні засоби»: </w:t>
      </w:r>
      <w:r w:rsidRPr="00692E7B">
        <w:rPr>
          <w:rFonts w:ascii="Times New Roman" w:hAnsi="Times New Roman" w:cs="Times New Roman"/>
          <w:sz w:val="28"/>
          <w:szCs w:val="28"/>
        </w:rPr>
        <w:t xml:space="preserve">стандарт,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міжнародний </w:t>
      </w:r>
      <w:r w:rsidRPr="00692E7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документ від 01.01.2012 р.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- [Електронний ресурс]. - Режим доступу: </w:t>
      </w:r>
      <w:r w:rsidRPr="00692E7B">
        <w:rPr>
          <w:rStyle w:val="rvts48"/>
          <w:rFonts w:ascii="Times New Roman" w:hAnsi="Times New Roman" w:cs="Times New Roman"/>
          <w:sz w:val="28"/>
          <w:szCs w:val="28"/>
          <w:lang w:val="uk-UA"/>
        </w:rPr>
        <w:t>http://zakon0.rada.gov.ua/laws/show/929_014.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рекомендації по застосуванню регістрів бухгалтерського обліку : наказ Міністерства фінансів України від 29.12.2000 р. № 356. – [Електронний ресурс]: Бібліотека бухгалтерського обліку. – Режим доступу: </w:t>
      </w:r>
      <w:hyperlink r:id="rId22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http://www.uazakon.com/big/text574/pg1.htm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Національне положення (стандарт) бухгалтерського обліку 1 «Загальні вимоги до фінансової звітності»: наказ Міністерства фінансів України від 07.02.2013 р. № 73. - [Електронний ресурс]: Верховна Рада України. - Режим доступу: </w:t>
      </w:r>
      <w:hyperlink r:id="rId23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http://zakon4.rada.gov.ua/laws/show/z0336-13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7 «Основні засоби»: наказ Міністерства фінансів України від 27.04.2000 р. № 92. - [Електронний ресурс]: Верховна Рада України. - Режим доступу: </w:t>
      </w:r>
      <w:hyperlink r:id="rId24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http://zakon4.rada.gov.ua/laws/show/z0288-00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Положення (стандарт) бухгалтерського обліку 8 «Нематеріальні активи»: наказ Міністерства фінансів України від 18.10.1999 р. № 242. - [Електронний ресурс]: Верховна Рада України. - Режим доступу: </w:t>
      </w:r>
      <w:hyperlink r:id="rId25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http://zakon2.rada.gov.ua/laws/show/z0750-99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10 «Дебіторська заборгованість»: наказ Міністерства фінансів України від 08.10.1999 р. № 237. - [Електронний ресурс]: Верховна Рада України. - Режим доступу: </w:t>
      </w:r>
      <w:hyperlink r:id="rId26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http://zakon4.rada.gov.ua/laws/show/z0725-99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12 «Фінансові інвестиції»: наказ Міністерства фінансів України від 26.04.2000 р. № 91. - [Електронний ресурс]: Верховна Рада України. - Режим доступу: </w:t>
      </w:r>
      <w:hyperlink r:id="rId27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http://zakon1.rada.gov.ua/laws/show/z0284-00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14 «Оренда»: наказ Міністерства фінансів України від 28.07.2000 р. № 181. - [Електронний ресурс]: Верховна Рада України. - Режим доступу: </w:t>
      </w:r>
      <w:hyperlink r:id="rId28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http://zakon4.rada.gov.ua/laws/show/z0487-00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19 «Об'єднання підприємств»: наказ Міністерства фінансів України від 07.07.1999 р. № 163. - [Електронний ресурс]: Верховна Рада України. - Режим доступу: </w:t>
      </w:r>
      <w:hyperlink r:id="rId29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http://zakon2.rada.gov.ua/laws/show/z0499-99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24 «Прибуток на акцію»: наказ Міністерства фінансів України від 16.07.2001 р. № 344. - [Електронний ресурс]: Верховна Рада України. - Режим доступу: </w:t>
      </w:r>
      <w:hyperlink r:id="rId30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http://zakon3.rada.gov.ua/laws/show/z0647-01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Положення (стандарт) бухгалтерського обліку 30 «Біологічні активи»: наказ Міністерства фінансів України від 18.11.2005 р. № 790. - [Електронний ресурс]: Верховна Рада України. - Режим доступу: </w:t>
      </w:r>
      <w:hyperlink r:id="rId31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http://zakon2.rada.gov.ua/laws/show/z1456-05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32 «Інвестиційна нерухомість»: наказ Міністерства фінансів України від 02.07.2007 р. № 779. - [Електронний ресурс]: Верховна Рада України. - Режим доступу: </w:t>
      </w:r>
      <w:hyperlink r:id="rId32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http://zakon2.rada.gov.ua/laws/show/z0823-07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про документальне забезпечення записів в бухгалтерському обліку: наказ Міністерства фінансів України від 24.05.1995 р. № 88. - [Електронний ресурс]: Верховна Рада України. - Режим доступу: </w:t>
      </w:r>
      <w:hyperlink r:id="rId33" w:history="1">
        <w:r w:rsidRPr="00692E7B">
          <w:rPr>
            <w:rFonts w:ascii="Times New Roman" w:hAnsi="Times New Roman" w:cs="Times New Roman"/>
            <w:sz w:val="28"/>
            <w:szCs w:val="28"/>
            <w:lang w:val="uk-UA"/>
          </w:rPr>
          <w:t>http://zakon4.rada.gov.ua/laws/show/z0168-95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Порядок складання типових форм з обліку та списання основних засобів суб’єктами державного сектору: наказ Міністерства фінансів України від 13.09.2016 р. № 818. - [Електронний ресурс]: Міністерство фінансів України. - Режим доступу: http://zakon0.rada.gov.ua/laws/show/z1336-16).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типових форм первинного обліку об'єктів права інтелектуальної власності у складі нематеріальних активів: наказ від 22.11.2004 р. № 732. - [Електронний ресурс]: Міністерство фінансів України. - Режим доступу: </w:t>
      </w:r>
      <w:hyperlink r:id="rId34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http://zakon3.rada.gov.ua/laws/show/z1580-04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Змін до деяких нормативно-правових актів Міністерства фінансів України з бухгалтерського обліку: наказ від 23.02.2017 р. № 276. - [Електронний ресурс]: Міністерство фінансів України. - Режим доступу: </w:t>
      </w:r>
      <w:hyperlink r:id="rId35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http://zakon2.rada.gov.ua/laws/show/z0269-17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План рахунків бухгалтерського обліку активів, капіталу, зобов'язань і господарських операцій підприємств і організацій: наказ Міністерства фінансів України від 30.11.1999 р. № 291. – [Електронний ресурс]: Верховна Рада України. – Режим доступу: </w:t>
      </w:r>
      <w:hyperlink r:id="rId36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http://zakon1.rada.gov.ua/laws/show/z0892-99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типових форм первинного обліку: наказ від 29.12.1995 р. № 352. - [Електронний ресурс]: Міністерство статистики України. - Режим доступу: </w:t>
      </w:r>
      <w:hyperlink r:id="rId37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http://online.budstandart.com/ua/catalog/doc-page.html?id_doc=61805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Положення про інвентаризацію активів та зобов’язань: наказ Міністерства фінансів від 02.09.2014 р. № 879. - [Електронний ресурс] : Верховна Рада України.  – Режим доступу: </w:t>
      </w:r>
      <w:hyperlink r:id="rId38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http://zakon4.rada.gov.ua/laws/show/z1365-14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Державний класифікатор України ДК 013-97 «Класифікація основних фондів»: наказ від 19.08.1997 р. № 507 - [Електронний ресурс]:</w:t>
      </w:r>
      <w:r w:rsidRPr="00692E7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Держстандарту України. - Режим доступу: </w:t>
      </w:r>
      <w:hyperlink r:id="rId39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http://zakon.golovbukh.ua/regulations/2341/8422/8423/465377/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про технічне обслуговування і ремонт дорожніх транспортних засобів автомобільного транспорту: наказ від 30.03.1998 р. № 102. - [Електронний ресурс]:  Міністерство транспорту України. - Режим доступу: </w:t>
      </w:r>
      <w:hyperlink r:id="rId40" w:history="1">
        <w:r w:rsidRPr="00692E7B">
          <w:rPr>
            <w:rFonts w:ascii="Times New Roman" w:hAnsi="Times New Roman" w:cs="Times New Roman"/>
            <w:sz w:val="28"/>
            <w:szCs w:val="28"/>
            <w:lang w:val="uk-UA"/>
          </w:rPr>
          <w:t>http://zakon2.rada.gov.ua/laws/show/z0268-98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Інструкція про застосування Плану рахунків бухгалтерського обліку активів, капіталу, зобов’язань і господарських операцій підприємств і організацій: Інструкція від 30.11.1999 № 291. - [Електронний ресурс]: Мінфін України. - Режим доступу: </w:t>
      </w:r>
      <w:hyperlink r:id="rId41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http://zakon2.rada.gov.ua/laws/show/z0893-99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(з змінами та доповненнями). - Назва з титул. екрану.</w:t>
      </w:r>
    </w:p>
    <w:p w:rsidR="00382D2C" w:rsidRPr="00692E7B" w:rsidRDefault="00382D2C" w:rsidP="007F1159">
      <w:pPr>
        <w:numPr>
          <w:ilvl w:val="0"/>
          <w:numId w:val="11"/>
        </w:numPr>
        <w:tabs>
          <w:tab w:val="clear" w:pos="780"/>
          <w:tab w:val="left" w:pos="0"/>
          <w:tab w:val="left" w:pos="54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Щодо віднесення ремонтно-будівельних робіт до капітального й поточного ремонтів: лист Державного комітету України з будівництва та архітектури від 30.04.2003 р. № 7/7-401 - [Електронний ресурс].  - Режим доступу: </w:t>
      </w:r>
      <w:hyperlink r:id="rId42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http://search.ligazakon.ua/l_doc2.nsf/link1/FIN6148.html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Міжнародні стандарти контролю якості, аудиту, огляду, іншого надання впевненості та супутніх послуг: видання 2014 року. Частина 1 [Електронний ресурс]: Частина 1 / Міжнародна федерація бухгалтерів, Аудиторська палата України; редкол. : І.І. Нестеренко, М.І. Бондар,  Н.І. Гаєвська, та ін.  / пер. з англ. О.Л. Ольховікова, О.В. Селезньов. - К.: 2015. – Режим доступу: http://www.apu.com.ua/attachments/article/290/Audit_2015_1_all.pdf.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Міжнародні стандарти контролю якості, аудиту, огляду, іншого надання впевненості та супутніх послуг: видання 2014 року. Частина 2 [Електронний ресурс]: Частина 2 / Міжнародна федерація бухгалтерів, Аудиторська палата України; редкол. : І.І. Нестеренко, М.І. Бондар,  Н.І. Гаєвська, та ін.  / пер. з англ. О.Л. Ольховікова, О.В. Селезньов. - К.: 2015. – Режим доступу: http://www.apu.com.ua/attachments/article/290/Audit_2015_2_all.pdf.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Додаток до Міжнародних стандартів контролю якості, аудиту, огляду, іншого надання впевненості та супутніх послуг: видання 2014 року. Частина 3 [Електронний ресурс]: Частина 3 / Міжнародна федерація бухгалтерів, Аудиторська палата України; редкол. : І.І. Нестеренко, М.І. Бондар,  Н.І. Гаєвська, та ін. / пер. з англ. О.Л. Ольховікова, О.В. Селезньов. - К. : 2015. – Режим доступу: http://www.apu.com.ua/attachments/article/290/Audit_2015_3_all.pdf.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Арсенюк Л. Види та способи ремонтів основних засобів [Текст] / Л.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Арсенюк // Все про бухгалтерський облік. – К. : 2012. – № 21. – С. 34-36. </w:t>
      </w:r>
    </w:p>
    <w:p w:rsidR="00B45ED3" w:rsidRPr="00692E7B" w:rsidRDefault="00382D2C" w:rsidP="00B45ED3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5ED3" w:rsidRPr="00692E7B">
        <w:rPr>
          <w:rFonts w:ascii="Times New Roman" w:hAnsi="Times New Roman" w:cs="Times New Roman"/>
          <w:sz w:val="28"/>
          <w:szCs w:val="28"/>
          <w:lang w:val="uk-UA"/>
        </w:rPr>
        <w:t>Аудит [Текст] : навч. посібник / М.О. Виноградова, Л I. Жидєєва. – К. : «Центр учбової літератури». 2014. — 654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Бабяк Н.Д. Амортизаційні відрахування як фінансове джерело відтворення основних засобів підприємств [Текст] / Н.Д. Бабяк // Вісник Сумського державного університету. Серія «Економіка». – Суми : 2005. – № 10(82). – С. 177–185.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Боднарчук А.В. Удосконалення бухгалтерського обліку додаткового капіталу для підвищення рівня його інформативності [Електронний ресурс] / А.В. Боднарчук. // Науковий вісник Мукачівського державного університету. Серія «Економіка». 2014 р. - С. 124-128. – Режим доступу: </w:t>
      </w:r>
      <w:hyperlink r:id="rId43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http://nbuv.gov.ua/j-pdf/nvmdue_2014_1_26.pdf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Бондаренко Н. Безоплатне отримання основних засобів (фондів) [Текст] / Н. Бондаренко, Н. Василюк // Вісник податкової служби України – К. : 2010. – № 16 (588). – С. 13.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Бондар М.І. Амортизація необоротних активів: облік та оподаткування [Текст] / М.І. Бондар // Науковий журнал Житомирського державного технологічного університету. – Житомир : 2011. – Випуск 1(55). - С. 33-35.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Бондар Н.М. Економіка підприємства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[Текст]: н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авч. посібник. / Н.М. Бондар. – К. : Видавництво А.С.К., 2004. – 400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Бутинець Ф.Ф. Аудит [Текст] : підручник для студентів спеціальності «Облік  і аудит» вищих навчальних закладів / Ф.Ф Бутинець. –2-е вид., перероб. та доп.  – Житомир : ПП «Рута», 2007. – 672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Бутинець Ф.Ф. Бухгалтерський фінансовий облік [Текст] : підручник для студентів спеціальності «Облік і аудит» вищих навчальних закладів; під заг. ред. Ф.Ф. Бутинця. – 8-ме вид., перероб. та доп. – Житомир : ПП «Рута», 2009. – 912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Бухгалтерський фінансовий облік: теорія і практика [Текст] : навч.-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практ. посібник / Н.І. Верхоглядова, В.П. Шило, С.Б. Ільїна та ін. – К. : Центр учбової л-ри, 2010. – 536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Гладій І.О. Ліквідаційна вартість основних засобів: податковий аспект [Електронний ресурс] / І.О. Гладій, В.С. Марценюк, Н.В. Плаксій. – Режим доступу : </w:t>
      </w:r>
      <w:hyperlink r:id="rId44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http://nauka.kushnir.mk.ua/?p=38979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Голов С.Ф. Бухгалтерський облік за міжнародними стандартами: приклади та коментарі [Текст] : практ. посібник / С.Ф. Голов, В.М. Костюченко. – К. : Лібра, 2011. – 840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Гончарук Я.А. Аудит [Текст] : навч. посібник / Я.А. Гончарук, В.С. Рудницький. – 3-те вид., перероб. та доп. – К. : Знання, 2007. – 443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Городянська Л. В. Відтворення основних засобів на підприємствах України: теорія і практика обліку та аналізу [Текст] : монографія / Л. В. Городянська. – К. : КНЕУ, 2008. – 224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Гречко С.М. Особливості визнання основних засобів в цілях бухгалтерського обліку та оподаткування [Текст] / С.М. Гречко // Проблеми теорії та методології бухгалтерського обліку, контролю і аналізу. – К. : 2011. – № 3(21). – Ч. 2. – С. 23–31.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Гудзь Н.В. Бухгалтерський облік [Текст] : навч. посібник для ВНЗ / Н.В. Гудзь, П.Н. Денчук, Р.В. Романів. - К. : Центр учб. літ., 2016. –  424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Дєєва Н.М. Аудит [Текст] : навч. посібник для студ. вищ. навч. закл. / Н.М. Дєєва, О.І. Дедіков. – К. : Центр учбової літератури, Дніпропетровська держ. фінансова академія, 2007. – 182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Економічний аналіз підприємства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[Текст] : 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навч. посібник для студ ВНЗ / Б.С. Кругляк, Т.П. Бондар, О.Б. Зайцева, А.І. Ковальов, Г.В. Скиба. –Хмельницький : Хмельницький державний університет, 2004. – 420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Завадський Й.С. Економічний словник [Текст] / Й.С. Завадський, Т.В. Осовська, О.О. Юшкевич. – К. : Кондор, 2006. – 356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Кірей О. Статистична і фінансова звітність про основні засоби // Бухгалтерія. – К. : 2007. –№ 52. – С. 54-58.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Кононова І.В. Особливості обліку та аудиту основних засобів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згідно з міжнародними стандартами [Текст] / І.В. Кононова, А.О. Бакум // Науковий вісник Ужгородського національного університету. Серія : Міжнародні економічні відносини та світове господарство. – Ужгород, 2016. – Випуск 6, частина 2. – С. 19-23.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Косата І.А. Особливості оцінки та обліку оприбуткування і використання запасів, що надійшли на безоплатній основі [Текст] / І.А. Косата // Бізнес-Інформ. – К. : 2014. – №5. – С. 327-331.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Кулаковська Л.П. Організація і методика аудиту [Текст] : підручник для студ. ВНЗ / Л.П. Кулаковська, Ю.В. Піча. – К. : Каравела, 2009. – 543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Куницька Т.В. Система аналітичних показників та інформаційна база проведення аналізу основних засобів [Текст] / Т.В. Куницька // Інвестиції: практика та досвід. – 2008. – № 20. – С. 50–52.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Леонова Л.О. Бухгалтерський облік основних засобів та їх відтворення (на матеріалах вугільних шахт Донбасу) [Текст] : автореф. дис. … канд. екон. наук: спец. 08.06.04 «Бухгалтерський облік, аналіз та аудит» / Л.О. Леонова. – Харківський державний університет харчування та торгівлі. – Харків : 2004. – 20 с.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Леонова Л.О. Концептуальні підходи в обліку доходів підприємств [Текст] / Л.О. Леонова // Наукові праці Донецького національного технічного університету. Серія: «Економіка». – Донецьк : ДонНТУ, 2012. – Випуск 41. – С. 183-199.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Лишиленко О.В. Бухгалтерський облік [Текст] : підручник / О.В. Лишиленко. – 3-є вид., перероб. та доп. – К. : Центр учбової літератури, 2009. – 670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Мних Є.В. Економічний аналіз [Текст] : підручник / Є.В. Мних – К. : ЦУЛ, 2012. – 412 с.43 // Економічний аналіз. Збірник наукових праць кафедри економічного аналізу Тернопільського національного економічного університету. – Тернопіль: ТНЕУ, 2013. – С. 214-220.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Мних Є.В. Фінансовий аналіз [Текст] :  підручник / Є.В. Мних, Н.С. Барабаш. – К. : Київ. нац. торг.-екон. ун-т, 2014. – 536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Немченко В.В. Аудит [Текст] : підручник / В.В. Немченко. – К. : 2016. – 536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Никонович М.О. Аудит [Текст] : підручник / М.О. Никонович, К.О. Редько. – К. : Київ. нац. торг.-екон. ун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noBreakHyphen/>
        <w:t>т, 2014. – 748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Огійчук М. Ф. Аудит: організація і методика [Текст] : навч. посібник  / М.Ф. Огійчук, І.Т. Новіков, І.І. Рагуліна. – 2-ге вид., перероб. та доп. – К. : Алерта, 2012. – 664 с.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Панасенко А. П. Проблеми основних засобів у бухгалтерському обліку [Текст] / А. П. Панасенко // Держава та регіони. – К. : 2008. – №3. – С. 407-410.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Петрик О.А. Аудит [Текст] : підручник / О.А. Петрик. – К. : 2015. – 504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Подольська В.О. Фінансовий аналіз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>[Текст] : н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авч. посібник / В.О. Подольська В.О., О.В. Яріш.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К. : Центр навчальної літератури, 2007.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488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Стрибуль О.В. Об’єктивна оцінка основних засобів як база для нарахування амортизації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692E7B">
        <w:rPr>
          <w:rFonts w:ascii="Times New Roman" w:eastAsia="TimesNewRoman" w:hAnsi="Times New Roman" w:cs="Times New Roman"/>
          <w:sz w:val="28"/>
          <w:szCs w:val="28"/>
          <w:lang w:val="uk-UA"/>
        </w:rPr>
        <w:t>/ О.В. Стрибуль // Теорії мікро- і макроекономіки. – Академія муніципального управління. – Київ, 2009. – №33. – С.183-188.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bCs/>
          <w:sz w:val="28"/>
          <w:szCs w:val="28"/>
          <w:lang w:val="uk-UA"/>
        </w:rPr>
        <w:t>Сук Л.К. Фінансовий облік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 [Текст] : навч. посібник  / Л.К. Сук, П.Л. Сук. — К. : Знання, 2016. — 663 с.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Тарасюк Ю.В. Особливості аналізу використання основних засобів [Електронний ресурс] / Ю.В. Тарасюк. - Режим доступу: </w:t>
      </w:r>
      <w:hyperlink r:id="rId45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http://www.pdaa.edu.ua/sites/ default/files/studconf/421.pdf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Тиванюк І.С. Організація бухгалтерського обліку із застосуванням оцінки за справедливою вартістю [Текст] / І.С. Тиванюк // Академічний огляд. – К. : 2014. – № 2. – С. 51-56.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Ткаченко Н.М. Бухгалтерський фінансовий облік, оподаткування і звітність [Текст] : підручник / Н.М. Ткаченко. – 6-е вид., перероб. та доп. - К. :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>Алерта, 2013. - 982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Усач Б.Ф. Аудит [Текст] : навч. посібник / Б.Ф. Усач. – 4-е вид., перероб. та доп. – К. : Знання, 2007. – 231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Утенкова К.О. Аудит [Текст] : навч. посібник / К.О. Утенкова. – К.: Алерта, 2011. – 408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Чириченко Ю. Аналіз основних засобів: теоретичні аспекти [Текст] / Ю. Чириченко, А. Магдич - [Електронний ресурс]. - Режим доступу: </w:t>
      </w:r>
      <w:hyperlink r:id="rId46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http://sophus.at.ua/publ/2015_03_27/sekcija_4_2015_03_27/analiz_osnovnikh_zasobiv_teoretichni_aspekti/85-1-0-1270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Черкасов О.О. Системний аналіз відтворення основних засобів у сільському господарстві [Електронний ресурс] / Черкасов О.О. // Науковий вісник Херсонського державного університету. – Випуск 16. Частина 3. 2016.  - Режим доступу: </w:t>
      </w:r>
      <w:hyperlink r:id="rId47" w:history="1">
        <w:r w:rsidRPr="00692E7B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http://www.ej.kherson.ua/journal/economic_16/3/16.pdf</w:t>
        </w:r>
      </w:hyperlink>
      <w:r w:rsidRPr="00692E7B">
        <w:rPr>
          <w:rFonts w:ascii="Times New Roman" w:hAnsi="Times New Roman" w:cs="Times New Roman"/>
          <w:sz w:val="28"/>
          <w:szCs w:val="28"/>
          <w:lang w:val="uk-UA"/>
        </w:rPr>
        <w:t>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Чернишенко Я.Г. Формування облікової політики підприємства в частині основних засобів [Електронний ресурс] / Я.Г. Чернишенко «Молодий вчений» № 3 (30) березень, 2016 р., Київський національний економічний університет імені Вадима Гетьмана - Режим доступу: http://molodyvcheny.in.ua/files/journal/2016/3/53.pdf. - Назва з титул. екрану.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Шара Є.Ю. Фінансовий облік I [Текст] : навч. посібник / Є.Ю. Шара, І.Є. Соколовська- Гонтаренко. – К. : Центр учб. літ., 2016. – 336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Швець В.Я. До питання оцінки економічної ефективності оновлення основних фондів [Текст] / В.Я. Швець, В.А. Грекова // Ефективна економіка. – К. : 2015. – № 11. – С. 69-71.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Шура Н.О. Удосконалення організаційно-економічного механізму відтворення основних фондів промислових підприємств [Текст] : автореф. дис. … канд. екон. наук: спец. 08.00.04 «Економіка та управління підприємствами» / Н.О. Шура. – Кривий Ріг : 2012. – 24 с.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 xml:space="preserve">Щирська О.В. Облік і внутрішній контроль амортизації основних засобів: теорія і методологія [Текст] : автореф. дис. … канд. екон. наук: спец. </w:t>
      </w:r>
      <w:r w:rsidRPr="00692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08.00.09 «Бухгалтерський облік, аналіз та аудит (за видами діяльності)» / О.В. Щирська. – Національна академія статистики, обліку та аудиту. – К. : 2013. – 20 с. 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Юдіна Н. Безкоштовний автомобіль підприємству – «подарунок» бухгалтеру [Текст] / Н. Юдіна // Головбух. – К. : 2009. – №38 (661) – С. 16- 21.</w:t>
      </w:r>
    </w:p>
    <w:p w:rsidR="00382D2C" w:rsidRPr="00692E7B" w:rsidRDefault="00382D2C" w:rsidP="007F1159">
      <w:pPr>
        <w:widowControl w:val="0"/>
        <w:numPr>
          <w:ilvl w:val="0"/>
          <w:numId w:val="11"/>
        </w:numPr>
        <w:tabs>
          <w:tab w:val="clear" w:pos="780"/>
          <w:tab w:val="left" w:pos="0"/>
          <w:tab w:val="left" w:pos="1260"/>
          <w:tab w:val="left" w:pos="14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E7B">
        <w:rPr>
          <w:rFonts w:ascii="Times New Roman" w:hAnsi="Times New Roman" w:cs="Times New Roman"/>
          <w:sz w:val="28"/>
          <w:szCs w:val="28"/>
          <w:lang w:val="uk-UA"/>
        </w:rPr>
        <w:t>Юрчишена Л.В. Аналіз ефективності використання основних засобів на підприємстві [Електронний ресурс] / Л.В. Юрчишена, С.М. Волинець // Ефективна економіка. – Режим доступу: http://www.economy.nayka.com.ua/?op=1&amp;z=668. - Назва з титул. екрану.</w:t>
      </w: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301A" w:rsidRPr="00692E7B" w:rsidRDefault="001F301A" w:rsidP="007F1159">
      <w:pPr>
        <w:widowControl w:val="0"/>
        <w:tabs>
          <w:tab w:val="left" w:pos="0"/>
          <w:tab w:val="left" w:pos="1260"/>
          <w:tab w:val="left" w:pos="14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E89" w:rsidRPr="00F73F8B" w:rsidRDefault="00C16E89" w:rsidP="007F11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C16E89" w:rsidRPr="00F73F8B" w:rsidSect="00C87BB5">
      <w:headerReference w:type="default" r:id="rId4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0D4" w:rsidRDefault="00BA00D4" w:rsidP="002371F6">
      <w:pPr>
        <w:spacing w:after="0" w:line="240" w:lineRule="auto"/>
      </w:pPr>
      <w:r>
        <w:separator/>
      </w:r>
    </w:p>
  </w:endnote>
  <w:endnote w:type="continuationSeparator" w:id="0">
    <w:p w:rsidR="00BA00D4" w:rsidRDefault="00BA00D4" w:rsidP="002371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 Condensed">
    <w:altName w:val="Lucida Fax"/>
    <w:panose1 w:val="020606030504050201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0D4" w:rsidRDefault="00BA00D4" w:rsidP="002371F6">
      <w:pPr>
        <w:spacing w:after="0" w:line="240" w:lineRule="auto"/>
      </w:pPr>
      <w:r>
        <w:separator/>
      </w:r>
    </w:p>
  </w:footnote>
  <w:footnote w:type="continuationSeparator" w:id="0">
    <w:p w:rsidR="00BA00D4" w:rsidRDefault="00BA00D4" w:rsidP="002371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33733314"/>
      <w:docPartObj>
        <w:docPartGallery w:val="Page Numbers (Top of Page)"/>
        <w:docPartUnique/>
      </w:docPartObj>
    </w:sdtPr>
    <w:sdtEndPr/>
    <w:sdtContent>
      <w:p w:rsidR="00684AEA" w:rsidRDefault="00810CB7">
        <w:pPr>
          <w:pStyle w:val="a5"/>
          <w:jc w:val="right"/>
        </w:pPr>
        <w:r>
          <w:fldChar w:fldCharType="begin"/>
        </w:r>
        <w:r w:rsidR="00684AEA">
          <w:instrText>PAGE   \* MERGEFORMAT</w:instrText>
        </w:r>
        <w:r>
          <w:fldChar w:fldCharType="separate"/>
        </w:r>
        <w:r w:rsidR="00F6144B">
          <w:rPr>
            <w:noProof/>
          </w:rPr>
          <w:t>26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B72BA"/>
    <w:multiLevelType w:val="hybridMultilevel"/>
    <w:tmpl w:val="53AA0196"/>
    <w:lvl w:ilvl="0" w:tplc="3C889A3E">
      <w:start w:val="1"/>
      <w:numFmt w:val="decimal"/>
      <w:pStyle w:val="-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8462146"/>
    <w:multiLevelType w:val="hybridMultilevel"/>
    <w:tmpl w:val="9E98BE3A"/>
    <w:lvl w:ilvl="0" w:tplc="946C7ABE">
      <w:numFmt w:val="bullet"/>
      <w:lvlText w:val=""/>
      <w:lvlJc w:val="left"/>
      <w:pPr>
        <w:tabs>
          <w:tab w:val="num" w:pos="131"/>
        </w:tabs>
        <w:ind w:left="0" w:firstLine="0"/>
      </w:pPr>
      <w:rPr>
        <w:rFonts w:ascii="Symbol" w:hAnsi="Symbol" w:hint="default"/>
      </w:rPr>
    </w:lvl>
    <w:lvl w:ilvl="1" w:tplc="946C7ABE">
      <w:numFmt w:val="bullet"/>
      <w:lvlText w:val=""/>
      <w:lvlJc w:val="left"/>
      <w:pPr>
        <w:tabs>
          <w:tab w:val="num" w:pos="131"/>
        </w:tabs>
        <w:ind w:left="0" w:firstLine="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92F03DE"/>
    <w:multiLevelType w:val="hybridMultilevel"/>
    <w:tmpl w:val="F2F64CBE"/>
    <w:lvl w:ilvl="0" w:tplc="0422000F">
      <w:start w:val="1"/>
      <w:numFmt w:val="decimal"/>
      <w:lvlText w:val="%1."/>
      <w:lvlJc w:val="left"/>
      <w:pPr>
        <w:ind w:left="2700" w:hanging="360"/>
      </w:pPr>
      <w:rPr>
        <w:rFonts w:cs="Times New Roman"/>
      </w:rPr>
    </w:lvl>
    <w:lvl w:ilvl="1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">
    <w:nsid w:val="0FD47B7F"/>
    <w:multiLevelType w:val="hybridMultilevel"/>
    <w:tmpl w:val="581C8458"/>
    <w:lvl w:ilvl="0" w:tplc="6BF2BF9C">
      <w:numFmt w:val="bullet"/>
      <w:lvlText w:val="–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4">
    <w:nsid w:val="12267BCC"/>
    <w:multiLevelType w:val="hybridMultilevel"/>
    <w:tmpl w:val="202E0A8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C6508AD"/>
    <w:multiLevelType w:val="hybridMultilevel"/>
    <w:tmpl w:val="0774401C"/>
    <w:lvl w:ilvl="0" w:tplc="0422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2164411E"/>
    <w:multiLevelType w:val="hybridMultilevel"/>
    <w:tmpl w:val="E4702574"/>
    <w:lvl w:ilvl="0" w:tplc="76F63948">
      <w:start w:val="1"/>
      <w:numFmt w:val="decimal"/>
      <w:lvlText w:val="%1."/>
      <w:lvlJc w:val="left"/>
      <w:pPr>
        <w:tabs>
          <w:tab w:val="num" w:pos="2044"/>
        </w:tabs>
        <w:ind w:left="2044" w:hanging="13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>
    <w:nsid w:val="25630E6C"/>
    <w:multiLevelType w:val="hybridMultilevel"/>
    <w:tmpl w:val="02860F7A"/>
    <w:lvl w:ilvl="0" w:tplc="946C7ABE">
      <w:numFmt w:val="bullet"/>
      <w:lvlText w:val=""/>
      <w:lvlJc w:val="left"/>
      <w:pPr>
        <w:tabs>
          <w:tab w:val="num" w:pos="131"/>
        </w:tabs>
        <w:ind w:left="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A250CD0"/>
    <w:multiLevelType w:val="hybridMultilevel"/>
    <w:tmpl w:val="7D2C9136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B440E4A"/>
    <w:multiLevelType w:val="hybridMultilevel"/>
    <w:tmpl w:val="709691BC"/>
    <w:lvl w:ilvl="0" w:tplc="688C49F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4A3B04"/>
    <w:multiLevelType w:val="multilevel"/>
    <w:tmpl w:val="77EAB100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1">
    <w:nsid w:val="2E7B5658"/>
    <w:multiLevelType w:val="hybridMultilevel"/>
    <w:tmpl w:val="8AA2EDB4"/>
    <w:lvl w:ilvl="0" w:tplc="946C7ABE">
      <w:numFmt w:val="bullet"/>
      <w:lvlText w:val=""/>
      <w:lvlJc w:val="left"/>
      <w:pPr>
        <w:tabs>
          <w:tab w:val="num" w:pos="1571"/>
        </w:tabs>
        <w:ind w:left="144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2">
    <w:nsid w:val="32800DC4"/>
    <w:multiLevelType w:val="hybridMultilevel"/>
    <w:tmpl w:val="790C20FA"/>
    <w:lvl w:ilvl="0" w:tplc="946C7ABE">
      <w:numFmt w:val="bullet"/>
      <w:lvlText w:val=""/>
      <w:lvlJc w:val="left"/>
      <w:pPr>
        <w:tabs>
          <w:tab w:val="num" w:pos="131"/>
        </w:tabs>
        <w:ind w:left="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3">
    <w:nsid w:val="3EA860E2"/>
    <w:multiLevelType w:val="hybridMultilevel"/>
    <w:tmpl w:val="342030AC"/>
    <w:lvl w:ilvl="0" w:tplc="8E4EE2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Rockwell Condensed" w:hAnsi="Rockwell Condensed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F1C47C1"/>
    <w:multiLevelType w:val="hybridMultilevel"/>
    <w:tmpl w:val="D81C30FE"/>
    <w:lvl w:ilvl="0" w:tplc="946C7ABE">
      <w:numFmt w:val="bullet"/>
      <w:lvlText w:val=""/>
      <w:lvlJc w:val="left"/>
      <w:pPr>
        <w:tabs>
          <w:tab w:val="num" w:pos="1571"/>
        </w:tabs>
        <w:ind w:left="144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>
    <w:nsid w:val="42D07ADD"/>
    <w:multiLevelType w:val="multilevel"/>
    <w:tmpl w:val="A6128916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776"/>
        </w:tabs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484"/>
        </w:tabs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32"/>
        </w:tabs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4248"/>
        </w:tabs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596"/>
        </w:tabs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304"/>
        </w:tabs>
        <w:ind w:left="5304" w:hanging="2160"/>
      </w:pPr>
      <w:rPr>
        <w:rFonts w:hint="default"/>
      </w:rPr>
    </w:lvl>
  </w:abstractNum>
  <w:abstractNum w:abstractNumId="16">
    <w:nsid w:val="447E5D36"/>
    <w:multiLevelType w:val="hybridMultilevel"/>
    <w:tmpl w:val="44500F2A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44F65FB2"/>
    <w:multiLevelType w:val="multilevel"/>
    <w:tmpl w:val="E50C9F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8">
    <w:nsid w:val="4C133C94"/>
    <w:multiLevelType w:val="hybridMultilevel"/>
    <w:tmpl w:val="7E9CA42C"/>
    <w:lvl w:ilvl="0" w:tplc="0422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EB128FC"/>
    <w:multiLevelType w:val="hybridMultilevel"/>
    <w:tmpl w:val="05969778"/>
    <w:lvl w:ilvl="0" w:tplc="946C7ABE">
      <w:numFmt w:val="bullet"/>
      <w:lvlText w:val=""/>
      <w:lvlJc w:val="left"/>
      <w:pPr>
        <w:tabs>
          <w:tab w:val="num" w:pos="131"/>
        </w:tabs>
        <w:ind w:left="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2CA6150"/>
    <w:multiLevelType w:val="hybridMultilevel"/>
    <w:tmpl w:val="69DEE5C6"/>
    <w:lvl w:ilvl="0" w:tplc="13446D94">
      <w:numFmt w:val="bullet"/>
      <w:lvlText w:val="-"/>
      <w:lvlJc w:val="left"/>
      <w:pPr>
        <w:ind w:left="1654" w:hanging="94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>
    <w:nsid w:val="599B59C3"/>
    <w:multiLevelType w:val="hybridMultilevel"/>
    <w:tmpl w:val="ACA4B808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BD96E18"/>
    <w:multiLevelType w:val="hybridMultilevel"/>
    <w:tmpl w:val="9758B68A"/>
    <w:lvl w:ilvl="0" w:tplc="0422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3">
    <w:nsid w:val="5C236697"/>
    <w:multiLevelType w:val="hybridMultilevel"/>
    <w:tmpl w:val="F6189EFE"/>
    <w:lvl w:ilvl="0" w:tplc="867EF0D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244ADC"/>
    <w:multiLevelType w:val="hybridMultilevel"/>
    <w:tmpl w:val="D24A0EB2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22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59012D6"/>
    <w:multiLevelType w:val="hybridMultilevel"/>
    <w:tmpl w:val="88A833D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714286"/>
    <w:multiLevelType w:val="hybridMultilevel"/>
    <w:tmpl w:val="A9AA572E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73E00D9"/>
    <w:multiLevelType w:val="hybridMultilevel"/>
    <w:tmpl w:val="BA6E99D2"/>
    <w:lvl w:ilvl="0" w:tplc="0422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76C678B"/>
    <w:multiLevelType w:val="hybridMultilevel"/>
    <w:tmpl w:val="F9F4A3CC"/>
    <w:lvl w:ilvl="0" w:tplc="3CE460BE">
      <w:start w:val="1"/>
      <w:numFmt w:val="decimal"/>
      <w:lvlText w:val="%1."/>
      <w:lvlJc w:val="left"/>
      <w:pPr>
        <w:tabs>
          <w:tab w:val="num" w:pos="1714"/>
        </w:tabs>
        <w:ind w:left="1714" w:hanging="1005"/>
      </w:pPr>
      <w:rPr>
        <w:rFonts w:hint="default"/>
      </w:rPr>
    </w:lvl>
    <w:lvl w:ilvl="1" w:tplc="01DE12EA">
      <w:start w:val="1"/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9">
    <w:nsid w:val="6E964DA5"/>
    <w:multiLevelType w:val="hybridMultilevel"/>
    <w:tmpl w:val="12D6F9D8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EC143C6"/>
    <w:multiLevelType w:val="hybridMultilevel"/>
    <w:tmpl w:val="69ECDE42"/>
    <w:lvl w:ilvl="0" w:tplc="8CAC0E24">
      <w:start w:val="3"/>
      <w:numFmt w:val="bullet"/>
      <w:lvlText w:val="−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6EFD3E68"/>
    <w:multiLevelType w:val="multilevel"/>
    <w:tmpl w:val="CA9A315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2">
    <w:nsid w:val="6F4B4DF9"/>
    <w:multiLevelType w:val="multilevel"/>
    <w:tmpl w:val="044E9388"/>
    <w:lvl w:ilvl="0">
      <w:start w:val="3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33">
    <w:nsid w:val="6F764EE4"/>
    <w:multiLevelType w:val="multilevel"/>
    <w:tmpl w:val="8E04C3DE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34">
    <w:nsid w:val="741C1C49"/>
    <w:multiLevelType w:val="hybridMultilevel"/>
    <w:tmpl w:val="0FE2C3D6"/>
    <w:lvl w:ilvl="0" w:tplc="433E02EA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>
    <w:nsid w:val="74704F7E"/>
    <w:multiLevelType w:val="hybridMultilevel"/>
    <w:tmpl w:val="BE147762"/>
    <w:lvl w:ilvl="0" w:tplc="7C4A9E5C">
      <w:start w:val="19"/>
      <w:numFmt w:val="bullet"/>
      <w:lvlText w:val="–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6">
    <w:nsid w:val="7635331F"/>
    <w:multiLevelType w:val="hybridMultilevel"/>
    <w:tmpl w:val="253E4762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2" w:tplc="0422000F">
      <w:start w:val="1"/>
      <w:numFmt w:val="decimal"/>
      <w:lvlText w:val="%3."/>
      <w:lvlJc w:val="left"/>
      <w:pPr>
        <w:ind w:left="270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76532614"/>
    <w:multiLevelType w:val="hybridMultilevel"/>
    <w:tmpl w:val="3410C05C"/>
    <w:lvl w:ilvl="0" w:tplc="0422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8">
    <w:nsid w:val="76DC1954"/>
    <w:multiLevelType w:val="hybridMultilevel"/>
    <w:tmpl w:val="A80A0A78"/>
    <w:lvl w:ilvl="0" w:tplc="946C7ABE">
      <w:numFmt w:val="bullet"/>
      <w:lvlText w:val=""/>
      <w:lvlJc w:val="left"/>
      <w:pPr>
        <w:tabs>
          <w:tab w:val="num" w:pos="851"/>
        </w:tabs>
        <w:ind w:left="720" w:firstLine="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7B665D6"/>
    <w:multiLevelType w:val="hybridMultilevel"/>
    <w:tmpl w:val="2376CA68"/>
    <w:lvl w:ilvl="0" w:tplc="0422000F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7A141239"/>
    <w:multiLevelType w:val="hybridMultilevel"/>
    <w:tmpl w:val="ABF214BC"/>
    <w:lvl w:ilvl="0" w:tplc="3B9414C2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15"/>
  </w:num>
  <w:num w:numId="3">
    <w:abstractNumId w:val="33"/>
  </w:num>
  <w:num w:numId="4">
    <w:abstractNumId w:val="32"/>
  </w:num>
  <w:num w:numId="5">
    <w:abstractNumId w:val="10"/>
  </w:num>
  <w:num w:numId="6">
    <w:abstractNumId w:val="3"/>
  </w:num>
  <w:num w:numId="7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0"/>
  </w:num>
  <w:num w:numId="11">
    <w:abstractNumId w:val="23"/>
  </w:num>
  <w:num w:numId="12">
    <w:abstractNumId w:val="27"/>
  </w:num>
  <w:num w:numId="13">
    <w:abstractNumId w:val="29"/>
  </w:num>
  <w:num w:numId="14">
    <w:abstractNumId w:val="39"/>
  </w:num>
  <w:num w:numId="15">
    <w:abstractNumId w:val="21"/>
  </w:num>
  <w:num w:numId="16">
    <w:abstractNumId w:val="11"/>
  </w:num>
  <w:num w:numId="17">
    <w:abstractNumId w:val="26"/>
  </w:num>
  <w:num w:numId="18">
    <w:abstractNumId w:val="24"/>
  </w:num>
  <w:num w:numId="19">
    <w:abstractNumId w:val="36"/>
  </w:num>
  <w:num w:numId="20">
    <w:abstractNumId w:val="2"/>
  </w:num>
  <w:num w:numId="21">
    <w:abstractNumId w:val="14"/>
  </w:num>
  <w:num w:numId="22">
    <w:abstractNumId w:val="8"/>
  </w:num>
  <w:num w:numId="23">
    <w:abstractNumId w:val="37"/>
  </w:num>
  <w:num w:numId="24">
    <w:abstractNumId w:val="18"/>
  </w:num>
  <w:num w:numId="25">
    <w:abstractNumId w:val="22"/>
  </w:num>
  <w:num w:numId="26">
    <w:abstractNumId w:val="38"/>
  </w:num>
  <w:num w:numId="27">
    <w:abstractNumId w:val="19"/>
  </w:num>
  <w:num w:numId="28">
    <w:abstractNumId w:val="16"/>
  </w:num>
  <w:num w:numId="29">
    <w:abstractNumId w:val="7"/>
  </w:num>
  <w:num w:numId="30">
    <w:abstractNumId w:val="1"/>
  </w:num>
  <w:num w:numId="31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2"/>
  </w:num>
  <w:num w:numId="33">
    <w:abstractNumId w:val="13"/>
  </w:num>
  <w:num w:numId="34">
    <w:abstractNumId w:val="17"/>
  </w:num>
  <w:num w:numId="35">
    <w:abstractNumId w:val="34"/>
  </w:num>
  <w:num w:numId="36">
    <w:abstractNumId w:val="34"/>
  </w:num>
  <w:num w:numId="37">
    <w:abstractNumId w:val="0"/>
  </w:num>
  <w:num w:numId="38">
    <w:abstractNumId w:val="4"/>
  </w:num>
  <w:num w:numId="39">
    <w:abstractNumId w:val="28"/>
  </w:num>
  <w:num w:numId="40">
    <w:abstractNumId w:val="6"/>
  </w:num>
  <w:num w:numId="41">
    <w:abstractNumId w:val="9"/>
  </w:num>
  <w:num w:numId="42">
    <w:abstractNumId w:val="25"/>
  </w:num>
  <w:num w:numId="43">
    <w:abstractNumId w:val="40"/>
  </w:num>
  <w:num w:numId="44">
    <w:abstractNumId w:val="30"/>
  </w:num>
  <w:num w:numId="45">
    <w:abstractNumId w:val="5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1F6"/>
    <w:rsid w:val="000024D6"/>
    <w:rsid w:val="00010CD7"/>
    <w:rsid w:val="00012A1F"/>
    <w:rsid w:val="00024589"/>
    <w:rsid w:val="000268FB"/>
    <w:rsid w:val="00030946"/>
    <w:rsid w:val="00034A0D"/>
    <w:rsid w:val="0004132A"/>
    <w:rsid w:val="00043CB1"/>
    <w:rsid w:val="00053EFB"/>
    <w:rsid w:val="00060A4E"/>
    <w:rsid w:val="00065F81"/>
    <w:rsid w:val="00067027"/>
    <w:rsid w:val="000A0894"/>
    <w:rsid w:val="000A5882"/>
    <w:rsid w:val="000B3612"/>
    <w:rsid w:val="000B4943"/>
    <w:rsid w:val="000C0154"/>
    <w:rsid w:val="000C2AA3"/>
    <w:rsid w:val="000C5A58"/>
    <w:rsid w:val="000D51F7"/>
    <w:rsid w:val="000D6D12"/>
    <w:rsid w:val="000E7E13"/>
    <w:rsid w:val="000F02B7"/>
    <w:rsid w:val="00100488"/>
    <w:rsid w:val="00112128"/>
    <w:rsid w:val="00120F4A"/>
    <w:rsid w:val="001233A1"/>
    <w:rsid w:val="00126CDC"/>
    <w:rsid w:val="00132239"/>
    <w:rsid w:val="00135C91"/>
    <w:rsid w:val="00136A6F"/>
    <w:rsid w:val="00142F6C"/>
    <w:rsid w:val="001466E6"/>
    <w:rsid w:val="001601BC"/>
    <w:rsid w:val="00174D76"/>
    <w:rsid w:val="00182067"/>
    <w:rsid w:val="00182D91"/>
    <w:rsid w:val="001842A2"/>
    <w:rsid w:val="0019503B"/>
    <w:rsid w:val="001A3071"/>
    <w:rsid w:val="001C5334"/>
    <w:rsid w:val="001C637A"/>
    <w:rsid w:val="001C64B4"/>
    <w:rsid w:val="001E18C6"/>
    <w:rsid w:val="001E63FE"/>
    <w:rsid w:val="001F06E2"/>
    <w:rsid w:val="001F301A"/>
    <w:rsid w:val="00213089"/>
    <w:rsid w:val="002266B7"/>
    <w:rsid w:val="00227BF4"/>
    <w:rsid w:val="00233079"/>
    <w:rsid w:val="002371F6"/>
    <w:rsid w:val="00243341"/>
    <w:rsid w:val="0027136F"/>
    <w:rsid w:val="0027730E"/>
    <w:rsid w:val="0028105F"/>
    <w:rsid w:val="00281779"/>
    <w:rsid w:val="0028586C"/>
    <w:rsid w:val="00285C02"/>
    <w:rsid w:val="002926D8"/>
    <w:rsid w:val="00293217"/>
    <w:rsid w:val="002A3619"/>
    <w:rsid w:val="002A6EDC"/>
    <w:rsid w:val="002B2F5A"/>
    <w:rsid w:val="002B44F2"/>
    <w:rsid w:val="002B6F9D"/>
    <w:rsid w:val="002C0E77"/>
    <w:rsid w:val="002C38B5"/>
    <w:rsid w:val="002D0717"/>
    <w:rsid w:val="002D18F0"/>
    <w:rsid w:val="002D2815"/>
    <w:rsid w:val="002D437B"/>
    <w:rsid w:val="002D5873"/>
    <w:rsid w:val="002D7D48"/>
    <w:rsid w:val="002E0B86"/>
    <w:rsid w:val="002E2C07"/>
    <w:rsid w:val="002E478F"/>
    <w:rsid w:val="002E4DDB"/>
    <w:rsid w:val="002E526B"/>
    <w:rsid w:val="002F4C9E"/>
    <w:rsid w:val="00302611"/>
    <w:rsid w:val="00302787"/>
    <w:rsid w:val="00302B0B"/>
    <w:rsid w:val="00307C66"/>
    <w:rsid w:val="00316783"/>
    <w:rsid w:val="00323EC4"/>
    <w:rsid w:val="003273D5"/>
    <w:rsid w:val="00327EE9"/>
    <w:rsid w:val="00331498"/>
    <w:rsid w:val="0033497E"/>
    <w:rsid w:val="00346986"/>
    <w:rsid w:val="00355EE4"/>
    <w:rsid w:val="003567EC"/>
    <w:rsid w:val="0036187E"/>
    <w:rsid w:val="00361D5C"/>
    <w:rsid w:val="00372A8F"/>
    <w:rsid w:val="00382D2C"/>
    <w:rsid w:val="00396E07"/>
    <w:rsid w:val="003B1608"/>
    <w:rsid w:val="003B3C24"/>
    <w:rsid w:val="003B51ED"/>
    <w:rsid w:val="003C714C"/>
    <w:rsid w:val="003D03AB"/>
    <w:rsid w:val="003E295D"/>
    <w:rsid w:val="003E5012"/>
    <w:rsid w:val="003E53BE"/>
    <w:rsid w:val="003F3459"/>
    <w:rsid w:val="00403367"/>
    <w:rsid w:val="00411040"/>
    <w:rsid w:val="00412970"/>
    <w:rsid w:val="00412AE5"/>
    <w:rsid w:val="004131CA"/>
    <w:rsid w:val="00421D17"/>
    <w:rsid w:val="00424B43"/>
    <w:rsid w:val="00427404"/>
    <w:rsid w:val="00432DC1"/>
    <w:rsid w:val="004330C8"/>
    <w:rsid w:val="00434B06"/>
    <w:rsid w:val="00434F47"/>
    <w:rsid w:val="00452E17"/>
    <w:rsid w:val="00454299"/>
    <w:rsid w:val="00461C33"/>
    <w:rsid w:val="00464D61"/>
    <w:rsid w:val="004715C5"/>
    <w:rsid w:val="004760DF"/>
    <w:rsid w:val="00482DA9"/>
    <w:rsid w:val="00483DAF"/>
    <w:rsid w:val="00483F4F"/>
    <w:rsid w:val="004910BF"/>
    <w:rsid w:val="0049196D"/>
    <w:rsid w:val="004935D3"/>
    <w:rsid w:val="004961F6"/>
    <w:rsid w:val="00497243"/>
    <w:rsid w:val="004A0036"/>
    <w:rsid w:val="004A01D4"/>
    <w:rsid w:val="004A2C33"/>
    <w:rsid w:val="004B0A7E"/>
    <w:rsid w:val="004C2A57"/>
    <w:rsid w:val="004C3AA2"/>
    <w:rsid w:val="004C3D79"/>
    <w:rsid w:val="004D31D2"/>
    <w:rsid w:val="004D6A32"/>
    <w:rsid w:val="004E5C89"/>
    <w:rsid w:val="004E715D"/>
    <w:rsid w:val="004F793B"/>
    <w:rsid w:val="00511B1F"/>
    <w:rsid w:val="00520AC5"/>
    <w:rsid w:val="00522A00"/>
    <w:rsid w:val="00533161"/>
    <w:rsid w:val="0053579E"/>
    <w:rsid w:val="00540567"/>
    <w:rsid w:val="00542723"/>
    <w:rsid w:val="0054468C"/>
    <w:rsid w:val="00544759"/>
    <w:rsid w:val="00553A6E"/>
    <w:rsid w:val="0055605C"/>
    <w:rsid w:val="0055754C"/>
    <w:rsid w:val="0056023E"/>
    <w:rsid w:val="005738D0"/>
    <w:rsid w:val="00574E7A"/>
    <w:rsid w:val="00583D0D"/>
    <w:rsid w:val="00585E11"/>
    <w:rsid w:val="00590639"/>
    <w:rsid w:val="00590D42"/>
    <w:rsid w:val="00597419"/>
    <w:rsid w:val="005A1211"/>
    <w:rsid w:val="005A6BDE"/>
    <w:rsid w:val="005B0557"/>
    <w:rsid w:val="005B0866"/>
    <w:rsid w:val="005B4ED9"/>
    <w:rsid w:val="005C707B"/>
    <w:rsid w:val="005E48F4"/>
    <w:rsid w:val="00600D55"/>
    <w:rsid w:val="00602B05"/>
    <w:rsid w:val="006069FD"/>
    <w:rsid w:val="00610850"/>
    <w:rsid w:val="00613B51"/>
    <w:rsid w:val="00617F8C"/>
    <w:rsid w:val="006219DA"/>
    <w:rsid w:val="00622653"/>
    <w:rsid w:val="006271F0"/>
    <w:rsid w:val="00644853"/>
    <w:rsid w:val="00644C6F"/>
    <w:rsid w:val="00654589"/>
    <w:rsid w:val="00672665"/>
    <w:rsid w:val="00672C1F"/>
    <w:rsid w:val="00684AEA"/>
    <w:rsid w:val="00685C18"/>
    <w:rsid w:val="00692E7B"/>
    <w:rsid w:val="006B39A8"/>
    <w:rsid w:val="006B670F"/>
    <w:rsid w:val="006C0537"/>
    <w:rsid w:val="006D20F2"/>
    <w:rsid w:val="006D2B26"/>
    <w:rsid w:val="006D5615"/>
    <w:rsid w:val="006D662A"/>
    <w:rsid w:val="006E0351"/>
    <w:rsid w:val="006E54EE"/>
    <w:rsid w:val="006E7E71"/>
    <w:rsid w:val="006F6701"/>
    <w:rsid w:val="00702EC5"/>
    <w:rsid w:val="00716C10"/>
    <w:rsid w:val="00721911"/>
    <w:rsid w:val="007229D3"/>
    <w:rsid w:val="0073180F"/>
    <w:rsid w:val="00732F45"/>
    <w:rsid w:val="00736612"/>
    <w:rsid w:val="00740396"/>
    <w:rsid w:val="007403C9"/>
    <w:rsid w:val="007433A1"/>
    <w:rsid w:val="00745A55"/>
    <w:rsid w:val="00750FA5"/>
    <w:rsid w:val="007643E1"/>
    <w:rsid w:val="0076464B"/>
    <w:rsid w:val="007722BE"/>
    <w:rsid w:val="00782C03"/>
    <w:rsid w:val="0079315F"/>
    <w:rsid w:val="0079324B"/>
    <w:rsid w:val="00795B0C"/>
    <w:rsid w:val="007A5406"/>
    <w:rsid w:val="007C2FCC"/>
    <w:rsid w:val="007C601C"/>
    <w:rsid w:val="007C770B"/>
    <w:rsid w:val="007D12C1"/>
    <w:rsid w:val="007D6CD2"/>
    <w:rsid w:val="007D6F9C"/>
    <w:rsid w:val="007F006B"/>
    <w:rsid w:val="007F01EB"/>
    <w:rsid w:val="007F1159"/>
    <w:rsid w:val="007F3D26"/>
    <w:rsid w:val="00806CD0"/>
    <w:rsid w:val="00807046"/>
    <w:rsid w:val="00810CB7"/>
    <w:rsid w:val="008111D4"/>
    <w:rsid w:val="00811BBE"/>
    <w:rsid w:val="008122AE"/>
    <w:rsid w:val="00837E2A"/>
    <w:rsid w:val="00841342"/>
    <w:rsid w:val="0084272F"/>
    <w:rsid w:val="0084550C"/>
    <w:rsid w:val="00854946"/>
    <w:rsid w:val="0085541F"/>
    <w:rsid w:val="00864AFD"/>
    <w:rsid w:val="0087684D"/>
    <w:rsid w:val="00876E4F"/>
    <w:rsid w:val="00877296"/>
    <w:rsid w:val="0088176D"/>
    <w:rsid w:val="00883319"/>
    <w:rsid w:val="00885FEA"/>
    <w:rsid w:val="00887C5C"/>
    <w:rsid w:val="00893F0B"/>
    <w:rsid w:val="008972F3"/>
    <w:rsid w:val="008B09D2"/>
    <w:rsid w:val="008C39CD"/>
    <w:rsid w:val="008E3983"/>
    <w:rsid w:val="008E6E95"/>
    <w:rsid w:val="008F2607"/>
    <w:rsid w:val="008F594B"/>
    <w:rsid w:val="008F642F"/>
    <w:rsid w:val="00902D84"/>
    <w:rsid w:val="00910E3C"/>
    <w:rsid w:val="00914BC8"/>
    <w:rsid w:val="009179B0"/>
    <w:rsid w:val="00920091"/>
    <w:rsid w:val="0093165A"/>
    <w:rsid w:val="00931B34"/>
    <w:rsid w:val="00935244"/>
    <w:rsid w:val="0094304D"/>
    <w:rsid w:val="009433D7"/>
    <w:rsid w:val="00946BCE"/>
    <w:rsid w:val="00951068"/>
    <w:rsid w:val="00952987"/>
    <w:rsid w:val="00952C92"/>
    <w:rsid w:val="00965E94"/>
    <w:rsid w:val="00970537"/>
    <w:rsid w:val="0098016E"/>
    <w:rsid w:val="009813A5"/>
    <w:rsid w:val="00984383"/>
    <w:rsid w:val="00984B5E"/>
    <w:rsid w:val="009866DF"/>
    <w:rsid w:val="00991443"/>
    <w:rsid w:val="00991C9E"/>
    <w:rsid w:val="009923F0"/>
    <w:rsid w:val="009963AB"/>
    <w:rsid w:val="009A15AE"/>
    <w:rsid w:val="009A1711"/>
    <w:rsid w:val="009A3A50"/>
    <w:rsid w:val="009B5DBF"/>
    <w:rsid w:val="009C5B14"/>
    <w:rsid w:val="009C6095"/>
    <w:rsid w:val="009C6382"/>
    <w:rsid w:val="009D025F"/>
    <w:rsid w:val="009D45C6"/>
    <w:rsid w:val="009E1D2C"/>
    <w:rsid w:val="009F074B"/>
    <w:rsid w:val="009F59DD"/>
    <w:rsid w:val="009F7567"/>
    <w:rsid w:val="00A04A44"/>
    <w:rsid w:val="00A04AEA"/>
    <w:rsid w:val="00A07E45"/>
    <w:rsid w:val="00A122B7"/>
    <w:rsid w:val="00A12302"/>
    <w:rsid w:val="00A26DED"/>
    <w:rsid w:val="00A32B66"/>
    <w:rsid w:val="00A36C75"/>
    <w:rsid w:val="00A46D37"/>
    <w:rsid w:val="00A50184"/>
    <w:rsid w:val="00A52D5B"/>
    <w:rsid w:val="00A5499A"/>
    <w:rsid w:val="00A62554"/>
    <w:rsid w:val="00A71130"/>
    <w:rsid w:val="00A73C50"/>
    <w:rsid w:val="00A75117"/>
    <w:rsid w:val="00A84468"/>
    <w:rsid w:val="00A86BC1"/>
    <w:rsid w:val="00A92D62"/>
    <w:rsid w:val="00A96578"/>
    <w:rsid w:val="00AA0195"/>
    <w:rsid w:val="00AA170E"/>
    <w:rsid w:val="00AB5726"/>
    <w:rsid w:val="00AC407C"/>
    <w:rsid w:val="00AD1C96"/>
    <w:rsid w:val="00AD25D0"/>
    <w:rsid w:val="00AD7E1F"/>
    <w:rsid w:val="00AD7E52"/>
    <w:rsid w:val="00AE15EB"/>
    <w:rsid w:val="00AE4630"/>
    <w:rsid w:val="00AF1B5B"/>
    <w:rsid w:val="00AF1C7F"/>
    <w:rsid w:val="00AF5F93"/>
    <w:rsid w:val="00AF7013"/>
    <w:rsid w:val="00AF7014"/>
    <w:rsid w:val="00B02901"/>
    <w:rsid w:val="00B14492"/>
    <w:rsid w:val="00B27810"/>
    <w:rsid w:val="00B339CA"/>
    <w:rsid w:val="00B45ED3"/>
    <w:rsid w:val="00B54D18"/>
    <w:rsid w:val="00B57511"/>
    <w:rsid w:val="00B63360"/>
    <w:rsid w:val="00B81DCE"/>
    <w:rsid w:val="00B81ECA"/>
    <w:rsid w:val="00B833FF"/>
    <w:rsid w:val="00BA00D4"/>
    <w:rsid w:val="00BC484D"/>
    <w:rsid w:val="00BD0E81"/>
    <w:rsid w:val="00BD14FA"/>
    <w:rsid w:val="00BD1551"/>
    <w:rsid w:val="00BD56DE"/>
    <w:rsid w:val="00BE4A87"/>
    <w:rsid w:val="00BE61A0"/>
    <w:rsid w:val="00BF50AB"/>
    <w:rsid w:val="00C06ADE"/>
    <w:rsid w:val="00C07B89"/>
    <w:rsid w:val="00C16E89"/>
    <w:rsid w:val="00C2042D"/>
    <w:rsid w:val="00C21353"/>
    <w:rsid w:val="00C3487B"/>
    <w:rsid w:val="00C34E54"/>
    <w:rsid w:val="00C425DE"/>
    <w:rsid w:val="00C450F6"/>
    <w:rsid w:val="00C571EA"/>
    <w:rsid w:val="00C809A6"/>
    <w:rsid w:val="00C87249"/>
    <w:rsid w:val="00C87BB5"/>
    <w:rsid w:val="00C9451F"/>
    <w:rsid w:val="00CC35FE"/>
    <w:rsid w:val="00CD6CF3"/>
    <w:rsid w:val="00CE438B"/>
    <w:rsid w:val="00CF4BC1"/>
    <w:rsid w:val="00D13059"/>
    <w:rsid w:val="00D23847"/>
    <w:rsid w:val="00D276C3"/>
    <w:rsid w:val="00D27840"/>
    <w:rsid w:val="00D32ADB"/>
    <w:rsid w:val="00D5543A"/>
    <w:rsid w:val="00D60224"/>
    <w:rsid w:val="00D62B2F"/>
    <w:rsid w:val="00D713CF"/>
    <w:rsid w:val="00D75204"/>
    <w:rsid w:val="00D82881"/>
    <w:rsid w:val="00D84449"/>
    <w:rsid w:val="00D85496"/>
    <w:rsid w:val="00D91D8E"/>
    <w:rsid w:val="00D96FF4"/>
    <w:rsid w:val="00DA407A"/>
    <w:rsid w:val="00DA4F7F"/>
    <w:rsid w:val="00DA7BFA"/>
    <w:rsid w:val="00DC470D"/>
    <w:rsid w:val="00DD223A"/>
    <w:rsid w:val="00DD2749"/>
    <w:rsid w:val="00DF7516"/>
    <w:rsid w:val="00E001D6"/>
    <w:rsid w:val="00E160C8"/>
    <w:rsid w:val="00E324FB"/>
    <w:rsid w:val="00E408A1"/>
    <w:rsid w:val="00E45125"/>
    <w:rsid w:val="00E466E4"/>
    <w:rsid w:val="00E47A66"/>
    <w:rsid w:val="00E52E9C"/>
    <w:rsid w:val="00E54457"/>
    <w:rsid w:val="00E64762"/>
    <w:rsid w:val="00E71D8E"/>
    <w:rsid w:val="00E74987"/>
    <w:rsid w:val="00E757CC"/>
    <w:rsid w:val="00E77131"/>
    <w:rsid w:val="00E7751A"/>
    <w:rsid w:val="00E81DD7"/>
    <w:rsid w:val="00EA7496"/>
    <w:rsid w:val="00EB21A0"/>
    <w:rsid w:val="00EC7A15"/>
    <w:rsid w:val="00EE242E"/>
    <w:rsid w:val="00EE5BF2"/>
    <w:rsid w:val="00EF00A5"/>
    <w:rsid w:val="00EF116B"/>
    <w:rsid w:val="00EF16D6"/>
    <w:rsid w:val="00EF1B4E"/>
    <w:rsid w:val="00EF45E5"/>
    <w:rsid w:val="00EF6E86"/>
    <w:rsid w:val="00F02C6D"/>
    <w:rsid w:val="00F0456A"/>
    <w:rsid w:val="00F1689D"/>
    <w:rsid w:val="00F27670"/>
    <w:rsid w:val="00F32007"/>
    <w:rsid w:val="00F32BE7"/>
    <w:rsid w:val="00F35E95"/>
    <w:rsid w:val="00F428BE"/>
    <w:rsid w:val="00F45500"/>
    <w:rsid w:val="00F57528"/>
    <w:rsid w:val="00F5774F"/>
    <w:rsid w:val="00F6144B"/>
    <w:rsid w:val="00F7012F"/>
    <w:rsid w:val="00F7361F"/>
    <w:rsid w:val="00F73F8B"/>
    <w:rsid w:val="00F80554"/>
    <w:rsid w:val="00FA2CCC"/>
    <w:rsid w:val="00FA4D82"/>
    <w:rsid w:val="00FB2120"/>
    <w:rsid w:val="00FB40D4"/>
    <w:rsid w:val="00FB5CCA"/>
    <w:rsid w:val="00FC4539"/>
    <w:rsid w:val="00FD1BC3"/>
    <w:rsid w:val="00FD5082"/>
    <w:rsid w:val="00FD6010"/>
    <w:rsid w:val="00FE26A3"/>
    <w:rsid w:val="00FE6D0A"/>
    <w:rsid w:val="00FF0754"/>
    <w:rsid w:val="00FF0E1B"/>
    <w:rsid w:val="00FF1A63"/>
    <w:rsid w:val="00FF2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  <w15:docId w15:val="{39BCDEED-B5B0-4AC1-8EF7-6680947F9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71F6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BF50A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7">
    <w:name w:val="heading 7"/>
    <w:basedOn w:val="a"/>
    <w:next w:val="a"/>
    <w:link w:val="70"/>
    <w:qFormat/>
    <w:rsid w:val="002371F6"/>
    <w:pPr>
      <w:keepNext/>
      <w:spacing w:after="0" w:line="360" w:lineRule="auto"/>
      <w:ind w:firstLine="360"/>
      <w:outlineLvl w:val="6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2371F6"/>
    <w:pPr>
      <w:keepNext/>
      <w:spacing w:after="0" w:line="360" w:lineRule="auto"/>
      <w:outlineLvl w:val="7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71F6"/>
    <w:pPr>
      <w:ind w:left="720"/>
    </w:pPr>
  </w:style>
  <w:style w:type="paragraph" w:customStyle="1" w:styleId="a4">
    <w:name w:val="Знак Знак Знак Знак"/>
    <w:basedOn w:val="a"/>
    <w:rsid w:val="002371F6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5">
    <w:name w:val="header"/>
    <w:basedOn w:val="a"/>
    <w:link w:val="a6"/>
    <w:uiPriority w:val="99"/>
    <w:unhideWhenUsed/>
    <w:rsid w:val="002371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371F6"/>
    <w:rPr>
      <w:rFonts w:ascii="Calibri" w:eastAsia="Calibri" w:hAnsi="Calibri" w:cs="Calibri"/>
    </w:rPr>
  </w:style>
  <w:style w:type="paragraph" w:styleId="a7">
    <w:name w:val="footer"/>
    <w:basedOn w:val="a"/>
    <w:link w:val="a8"/>
    <w:uiPriority w:val="99"/>
    <w:unhideWhenUsed/>
    <w:rsid w:val="002371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371F6"/>
    <w:rPr>
      <w:rFonts w:ascii="Calibri" w:eastAsia="Calibri" w:hAnsi="Calibri" w:cs="Calibri"/>
    </w:rPr>
  </w:style>
  <w:style w:type="character" w:customStyle="1" w:styleId="70">
    <w:name w:val="Заголовок 7 Знак"/>
    <w:basedOn w:val="a0"/>
    <w:link w:val="7"/>
    <w:rsid w:val="002371F6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2371F6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Default">
    <w:name w:val="Default"/>
    <w:rsid w:val="00F73F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9">
    <w:name w:val="Normal (Web)"/>
    <w:basedOn w:val="a"/>
    <w:link w:val="aa"/>
    <w:uiPriority w:val="99"/>
    <w:unhideWhenUsed/>
    <w:rsid w:val="009C5B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semiHidden/>
    <w:unhideWhenUsed/>
    <w:rsid w:val="00542723"/>
    <w:rPr>
      <w:color w:val="0000FF" w:themeColor="hyperlink"/>
      <w:u w:val="single"/>
    </w:rPr>
  </w:style>
  <w:style w:type="paragraph" w:customStyle="1" w:styleId="Pa23">
    <w:name w:val="Pa23"/>
    <w:basedOn w:val="Default"/>
    <w:next w:val="Default"/>
    <w:rsid w:val="00542723"/>
    <w:pPr>
      <w:spacing w:line="191" w:lineRule="atLeast"/>
    </w:pPr>
    <w:rPr>
      <w:rFonts w:ascii="Times New Roman" w:eastAsia="Times New Roman" w:hAnsi="Times New Roman" w:cs="Times New Roman"/>
      <w:color w:val="auto"/>
      <w:lang w:eastAsia="ru-RU"/>
    </w:rPr>
  </w:style>
  <w:style w:type="paragraph" w:customStyle="1" w:styleId="Pa13">
    <w:name w:val="Pa13"/>
    <w:basedOn w:val="Default"/>
    <w:next w:val="Default"/>
    <w:rsid w:val="00542723"/>
    <w:pPr>
      <w:spacing w:line="181" w:lineRule="atLeast"/>
    </w:pPr>
    <w:rPr>
      <w:rFonts w:ascii="Times New Roman" w:eastAsia="Times New Roman" w:hAnsi="Times New Roman" w:cs="Times New Roman"/>
      <w:color w:val="auto"/>
      <w:lang w:eastAsia="ru-RU"/>
    </w:rPr>
  </w:style>
  <w:style w:type="paragraph" w:customStyle="1" w:styleId="Pa5">
    <w:name w:val="Pa5"/>
    <w:basedOn w:val="Default"/>
    <w:next w:val="Default"/>
    <w:rsid w:val="00542723"/>
    <w:pPr>
      <w:spacing w:line="181" w:lineRule="atLeast"/>
    </w:pPr>
    <w:rPr>
      <w:rFonts w:ascii="Times New Roman" w:eastAsia="Times New Roman" w:hAnsi="Times New Roman" w:cs="Times New Roman"/>
      <w:color w:val="auto"/>
      <w:lang w:eastAsia="ru-RU"/>
    </w:rPr>
  </w:style>
  <w:style w:type="paragraph" w:customStyle="1" w:styleId="ac">
    <w:name w:val="ДинТекстОбыч"/>
    <w:basedOn w:val="a"/>
    <w:rsid w:val="00542723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color w:val="000000"/>
      <w:szCs w:val="20"/>
      <w:lang w:eastAsia="ru-RU"/>
    </w:rPr>
  </w:style>
  <w:style w:type="character" w:customStyle="1" w:styleId="apple-converted-space">
    <w:name w:val="apple-converted-space"/>
    <w:basedOn w:val="a0"/>
    <w:rsid w:val="00542723"/>
  </w:style>
  <w:style w:type="table" w:styleId="ad">
    <w:name w:val="Table Grid"/>
    <w:basedOn w:val="a1"/>
    <w:uiPriority w:val="59"/>
    <w:rsid w:val="005427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link w:val="af"/>
    <w:uiPriority w:val="99"/>
    <w:semiHidden/>
    <w:unhideWhenUsed/>
    <w:rsid w:val="005427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542723"/>
    <w:rPr>
      <w:rFonts w:ascii="Tahoma" w:eastAsia="Calibri" w:hAnsi="Tahoma" w:cs="Tahoma"/>
      <w:sz w:val="16"/>
      <w:szCs w:val="16"/>
    </w:rPr>
  </w:style>
  <w:style w:type="paragraph" w:customStyle="1" w:styleId="-">
    <w:name w:val="л-ра"/>
    <w:basedOn w:val="a"/>
    <w:rsid w:val="00C16E89"/>
    <w:pPr>
      <w:widowControl w:val="0"/>
      <w:numPr>
        <w:numId w:val="9"/>
      </w:numPr>
      <w:autoSpaceDE w:val="0"/>
      <w:autoSpaceDN w:val="0"/>
      <w:adjustRightInd w:val="0"/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rvts48">
    <w:name w:val="rvts48"/>
    <w:basedOn w:val="a0"/>
    <w:rsid w:val="00C16E89"/>
  </w:style>
  <w:style w:type="paragraph" w:styleId="af0">
    <w:name w:val="Body Text"/>
    <w:aliases w:val=" Знак"/>
    <w:basedOn w:val="a"/>
    <w:link w:val="af1"/>
    <w:rsid w:val="00553A6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Основной текст Знак"/>
    <w:aliases w:val=" Знак Знак"/>
    <w:basedOn w:val="a0"/>
    <w:link w:val="af0"/>
    <w:rsid w:val="00553A6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Title"/>
    <w:basedOn w:val="a"/>
    <w:link w:val="af3"/>
    <w:qFormat/>
    <w:rsid w:val="00461C3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character" w:customStyle="1" w:styleId="af3">
    <w:name w:val="Название Знак"/>
    <w:basedOn w:val="a0"/>
    <w:link w:val="af2"/>
    <w:rsid w:val="00461C33"/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EF6E8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EF6E86"/>
    <w:rPr>
      <w:rFonts w:ascii="Calibri" w:eastAsia="Calibri" w:hAnsi="Calibri" w:cs="Calibri"/>
    </w:rPr>
  </w:style>
  <w:style w:type="paragraph" w:styleId="af4">
    <w:name w:val="Normal Indent"/>
    <w:basedOn w:val="a"/>
    <w:rsid w:val="009A1711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rsid w:val="003469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rsid w:val="003469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rsid w:val="003469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rsid w:val="003469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3469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rsid w:val="00346986"/>
    <w:pPr>
      <w:widowControl w:val="0"/>
      <w:autoSpaceDE w:val="0"/>
      <w:autoSpaceDN w:val="0"/>
      <w:adjustRightInd w:val="0"/>
      <w:spacing w:after="0" w:line="638" w:lineRule="exact"/>
      <w:ind w:hanging="69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7">
    <w:name w:val="Font Style17"/>
    <w:rsid w:val="00346986"/>
    <w:rPr>
      <w:rFonts w:ascii="Times New Roman" w:hAnsi="Times New Roman"/>
      <w:sz w:val="28"/>
    </w:rPr>
  </w:style>
  <w:style w:type="character" w:customStyle="1" w:styleId="FontStyle18">
    <w:name w:val="Font Style18"/>
    <w:rsid w:val="00346986"/>
    <w:rPr>
      <w:rFonts w:ascii="Times New Roman" w:hAnsi="Times New Roman"/>
      <w:b/>
      <w:sz w:val="22"/>
    </w:rPr>
  </w:style>
  <w:style w:type="character" w:customStyle="1" w:styleId="10">
    <w:name w:val="Заголовок 1 Знак"/>
    <w:basedOn w:val="a0"/>
    <w:link w:val="1"/>
    <w:rsid w:val="00BF50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a">
    <w:name w:val="Обычный (веб) Знак"/>
    <w:basedOn w:val="a0"/>
    <w:link w:val="a9"/>
    <w:locked/>
    <w:rsid w:val="00120F4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ongtext">
    <w:name w:val="long_text"/>
    <w:basedOn w:val="a0"/>
    <w:rsid w:val="00120F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1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3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3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zakon4.rada.gov.ua/laws/show/435-15" TargetMode="External"/><Relationship Id="rId18" Type="http://schemas.openxmlformats.org/officeDocument/2006/relationships/hyperlink" Target="http://zakon4.rada.gov.ua/laws/show/2269-12" TargetMode="External"/><Relationship Id="rId26" Type="http://schemas.openxmlformats.org/officeDocument/2006/relationships/hyperlink" Target="http://zakon4.rada.gov.ua/laws/show/z0725-99" TargetMode="External"/><Relationship Id="rId39" Type="http://schemas.openxmlformats.org/officeDocument/2006/relationships/hyperlink" Target="http://zakon.golovbukh.ua/regulations/2341/8422/8423/465377/" TargetMode="External"/><Relationship Id="rId3" Type="http://schemas.openxmlformats.org/officeDocument/2006/relationships/styles" Target="styles.xml"/><Relationship Id="rId21" Type="http://schemas.openxmlformats.org/officeDocument/2006/relationships/hyperlink" Target="http://zakon2.rada.gov.ua/laws/show/3480-15" TargetMode="External"/><Relationship Id="rId34" Type="http://schemas.openxmlformats.org/officeDocument/2006/relationships/hyperlink" Target="http://zakon3.rada.gov.ua/laws/show/z1580-04" TargetMode="External"/><Relationship Id="rId42" Type="http://schemas.openxmlformats.org/officeDocument/2006/relationships/hyperlink" Target="http://search.ligazakon.ua/l_doc2.nsf/link1/FIN6148.html" TargetMode="External"/><Relationship Id="rId47" Type="http://schemas.openxmlformats.org/officeDocument/2006/relationships/hyperlink" Target="http://www.ej.kherson.ua/journal/economic_16/3/16.pdf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zakon2.rada.gov.ua/laws/show/2755-17" TargetMode="External"/><Relationship Id="rId17" Type="http://schemas.openxmlformats.org/officeDocument/2006/relationships/hyperlink" Target="http://zakon2.rada.gov.ua/laws/show/1797-19" TargetMode="External"/><Relationship Id="rId25" Type="http://schemas.openxmlformats.org/officeDocument/2006/relationships/hyperlink" Target="http://zakon2.rada.gov.ua/laws/show/z0750-99" TargetMode="External"/><Relationship Id="rId33" Type="http://schemas.openxmlformats.org/officeDocument/2006/relationships/hyperlink" Target="http://zakon4.rada.gov.ua/laws/show/z0168-95" TargetMode="External"/><Relationship Id="rId38" Type="http://schemas.openxmlformats.org/officeDocument/2006/relationships/hyperlink" Target="http://zakon4.rada.gov.ua/laws/show/z1365-14" TargetMode="External"/><Relationship Id="rId46" Type="http://schemas.openxmlformats.org/officeDocument/2006/relationships/hyperlink" Target="http://sophus.at.ua/publ/2015_03_27/sekcija_4_2015_03_27/analiz_osnovnikh_zasobiv_teoretichni_aspekti/85-1-0-127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interbuh.com.ua/ua/documents/oneregulations/104173" TargetMode="External"/><Relationship Id="rId20" Type="http://schemas.openxmlformats.org/officeDocument/2006/relationships/hyperlink" Target="http://zakon2.rada.gov.ua/laws/show/723/97-&#1074;&#1088;" TargetMode="External"/><Relationship Id="rId29" Type="http://schemas.openxmlformats.org/officeDocument/2006/relationships/hyperlink" Target="http://zakon2.rada.gov.ua/laws/show/z0499-99" TargetMode="External"/><Relationship Id="rId41" Type="http://schemas.openxmlformats.org/officeDocument/2006/relationships/hyperlink" Target="http://zakon2.rada.gov.ua/laws/show/z0893-9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5.rada.gov.ua/laws/show/z1365-14" TargetMode="External"/><Relationship Id="rId24" Type="http://schemas.openxmlformats.org/officeDocument/2006/relationships/hyperlink" Target="http://zakon4.rada.gov.ua/laws/show/z0288-00" TargetMode="External"/><Relationship Id="rId32" Type="http://schemas.openxmlformats.org/officeDocument/2006/relationships/hyperlink" Target="http://zakon2.rada.gov.ua/laws/show/z0823-07" TargetMode="External"/><Relationship Id="rId37" Type="http://schemas.openxmlformats.org/officeDocument/2006/relationships/hyperlink" Target="http://online.budstandart.com/ua/catalog/doc-page.html?id_doc=61805" TargetMode="External"/><Relationship Id="rId40" Type="http://schemas.openxmlformats.org/officeDocument/2006/relationships/hyperlink" Target="http://zakon2.rada.gov.ua/laws/show/z0268-98" TargetMode="External"/><Relationship Id="rId45" Type="http://schemas.openxmlformats.org/officeDocument/2006/relationships/hyperlink" Target="http://www.pdaa.edu.ua/sites/%20default/files/studconf/421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2.rada.gov.ua/laws/show/996-14" TargetMode="External"/><Relationship Id="rId23" Type="http://schemas.openxmlformats.org/officeDocument/2006/relationships/hyperlink" Target="http://zakon4.rada.gov.ua/laws/show/z0336-13" TargetMode="External"/><Relationship Id="rId28" Type="http://schemas.openxmlformats.org/officeDocument/2006/relationships/hyperlink" Target="http://zakon4.rada.gov.ua/laws/show/z0487-00" TargetMode="External"/><Relationship Id="rId36" Type="http://schemas.openxmlformats.org/officeDocument/2006/relationships/hyperlink" Target="http://zakon1.rada.gov.ua/laws/show/z0892-99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www.ua-region.com.ua/kved/Trd.51.53.2" TargetMode="External"/><Relationship Id="rId19" Type="http://schemas.openxmlformats.org/officeDocument/2006/relationships/hyperlink" Target="http://zakon2.rada.gov.ua/laws/show/2658-14" TargetMode="External"/><Relationship Id="rId31" Type="http://schemas.openxmlformats.org/officeDocument/2006/relationships/hyperlink" Target="http://zakon2.rada.gov.ua/laws/show/z1456-05" TargetMode="External"/><Relationship Id="rId44" Type="http://schemas.openxmlformats.org/officeDocument/2006/relationships/hyperlink" Target="http://nauka.kushnir.mk.ua/?p=3897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a-region.com.ua/kved/Ind.26.61" TargetMode="External"/><Relationship Id="rId14" Type="http://schemas.openxmlformats.org/officeDocument/2006/relationships/hyperlink" Target="http://zakon0.rada.gov.ua/laws/show/3125-12" TargetMode="External"/><Relationship Id="rId22" Type="http://schemas.openxmlformats.org/officeDocument/2006/relationships/hyperlink" Target="http://www.uazakon.com/big/text574/pg1.htm" TargetMode="External"/><Relationship Id="rId27" Type="http://schemas.openxmlformats.org/officeDocument/2006/relationships/hyperlink" Target="http://zakon1.rada.gov.ua/laws/show/z0284-00" TargetMode="External"/><Relationship Id="rId30" Type="http://schemas.openxmlformats.org/officeDocument/2006/relationships/hyperlink" Target="http://zakon3.rada.gov.ua/laws/show/z0647-01" TargetMode="External"/><Relationship Id="rId35" Type="http://schemas.openxmlformats.org/officeDocument/2006/relationships/hyperlink" Target="http://zakon2.rada.gov.ua/laws/show/z0269-17" TargetMode="External"/><Relationship Id="rId43" Type="http://schemas.openxmlformats.org/officeDocument/2006/relationships/hyperlink" Target="http://nbuv.gov.ua/j-pdf/nvmdue_2014_1_26.pdf" TargetMode="External"/><Relationship Id="rId48" Type="http://schemas.openxmlformats.org/officeDocument/2006/relationships/header" Target="header1.xml"/><Relationship Id="rId8" Type="http://schemas.openxmlformats.org/officeDocument/2006/relationships/hyperlink" Target="https://www.ua-region.com.ua/kved/Ind.26.40.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1EDAD2-1250-4A09-9B00-68447F850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6801</Words>
  <Characters>38768</Characters>
  <Application>Microsoft Office Word</Application>
  <DocSecurity>0</DocSecurity>
  <Lines>323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45479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student</cp:lastModifiedBy>
  <cp:revision>2</cp:revision>
  <cp:lastPrinted>2017-05-30T06:39:00Z</cp:lastPrinted>
  <dcterms:created xsi:type="dcterms:W3CDTF">2018-04-16T10:05:00Z</dcterms:created>
  <dcterms:modified xsi:type="dcterms:W3CDTF">2018-04-16T10:05:00Z</dcterms:modified>
</cp:coreProperties>
</file>