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23BF" w:rsidRPr="00DD23BF" w:rsidRDefault="00DD23BF" w:rsidP="00DD23BF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DD23BF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D913E3D" wp14:editId="080D7817">
                <wp:simplePos x="0" y="0"/>
                <wp:positionH relativeFrom="column">
                  <wp:posOffset>5844540</wp:posOffset>
                </wp:positionH>
                <wp:positionV relativeFrom="paragraph">
                  <wp:posOffset>-323850</wp:posOffset>
                </wp:positionV>
                <wp:extent cx="161925" cy="171450"/>
                <wp:effectExtent l="0" t="0" r="28575" b="19050"/>
                <wp:wrapNone/>
                <wp:docPr id="103" name="Rectangle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1925" cy="17145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06" o:spid="_x0000_s1026" style="position:absolute;margin-left:460.2pt;margin-top:-25.5pt;width:12.75pt;height:1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" strokecolor="white"/>
            </w:pict>
          </mc:Fallback>
        </mc:AlternateContent>
      </w:r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DD23BF" w:rsidRPr="00DD23BF" w:rsidRDefault="00DD23BF" w:rsidP="00DD23BF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Біологічний факультет</w:t>
      </w:r>
    </w:p>
    <w:p w:rsidR="00DD23BF" w:rsidRPr="00DD23BF" w:rsidRDefault="00DD23BF" w:rsidP="00DD23BF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Кафедра фізіології людини та тварин</w:t>
      </w:r>
    </w:p>
    <w:p w:rsidR="00DD23BF" w:rsidRPr="00DD23BF" w:rsidRDefault="00DD23BF" w:rsidP="00DD23B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DD23BF" w:rsidRPr="00DD23BF" w:rsidRDefault="00DD23BF" w:rsidP="00DD23B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DD23BF" w:rsidRPr="00DD23BF" w:rsidRDefault="00DD23BF" w:rsidP="00DD23BF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DD23BF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Дипломна робота</w:t>
      </w:r>
    </w:p>
    <w:p w:rsidR="00DD23BF" w:rsidRPr="00DD23BF" w:rsidRDefault="00DD23BF" w:rsidP="00DD23BF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DD23BF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 бакалавра</w:t>
      </w:r>
    </w:p>
    <w:p w:rsidR="00DD23BF" w:rsidRPr="00DD23BF" w:rsidRDefault="00DD23BF" w:rsidP="00DD23BF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DD23BF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на тему:</w:t>
      </w:r>
    </w:p>
    <w:p w:rsidR="00DD23BF" w:rsidRPr="00DD23BF" w:rsidRDefault="00DD23BF" w:rsidP="00DD23BF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DD23BF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«Стан локомоторної активності щурів при розвитку </w:t>
      </w:r>
      <w:proofErr w:type="spellStart"/>
      <w:r w:rsidRPr="00DD23BF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дисбіозу</w:t>
      </w:r>
      <w:proofErr w:type="spellEnd"/>
      <w:r w:rsidRPr="00DD23BF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 та гепатиту»</w:t>
      </w:r>
    </w:p>
    <w:p w:rsidR="00DD23BF" w:rsidRPr="00DD23BF" w:rsidRDefault="00DD23BF" w:rsidP="00DD23BF">
      <w:pPr>
        <w:spacing w:after="0" w:line="240" w:lineRule="auto"/>
        <w:jc w:val="center"/>
        <w:rPr>
          <w:rFonts w:ascii="Times New Roman" w:eastAsia="Calibri" w:hAnsi="Times New Roman" w:cs="Times New Roman"/>
          <w:bCs/>
          <w:sz w:val="28"/>
          <w:szCs w:val="28"/>
          <w:lang w:val="en-US"/>
        </w:rPr>
      </w:pPr>
      <w:r w:rsidRPr="00DD23BF">
        <w:rPr>
          <w:rFonts w:ascii="Times New Roman" w:eastAsia="Calibri" w:hAnsi="Times New Roman" w:cs="Times New Roman"/>
          <w:bCs/>
          <w:sz w:val="28"/>
          <w:szCs w:val="28"/>
          <w:lang w:val="en-US"/>
        </w:rPr>
        <w:t xml:space="preserve">“State of the rats’ locomotor activity at </w:t>
      </w:r>
      <w:proofErr w:type="spellStart"/>
      <w:r w:rsidRPr="00DD23BF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dysbiosis</w:t>
      </w:r>
      <w:proofErr w:type="spellEnd"/>
      <w:r w:rsidRPr="00DD23BF">
        <w:rPr>
          <w:rFonts w:ascii="Times New Roman" w:eastAsia="Calibri" w:hAnsi="Times New Roman" w:cs="Times New Roman"/>
          <w:bCs/>
          <w:sz w:val="28"/>
          <w:szCs w:val="28"/>
          <w:lang w:val="en-US"/>
        </w:rPr>
        <w:t xml:space="preserve"> and hepatitis development”</w:t>
      </w:r>
    </w:p>
    <w:p w:rsidR="00DD23BF" w:rsidRPr="00DD23BF" w:rsidRDefault="00DD23BF" w:rsidP="00DD23B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en-US" w:eastAsia="ru-RU"/>
        </w:rPr>
      </w:pPr>
    </w:p>
    <w:p w:rsidR="00DD23BF" w:rsidRPr="00DD23BF" w:rsidRDefault="00DD23BF" w:rsidP="00DD23BF">
      <w:pPr>
        <w:widowControl w:val="0"/>
        <w:autoSpaceDE w:val="0"/>
        <w:autoSpaceDN w:val="0"/>
        <w:adjustRightInd w:val="0"/>
        <w:spacing w:after="0" w:line="360" w:lineRule="auto"/>
        <w:ind w:left="3969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Виконала: студентка денної форми навчання</w:t>
      </w:r>
    </w:p>
    <w:p w:rsidR="00DD23BF" w:rsidRPr="00DD23BF" w:rsidRDefault="00DD23BF" w:rsidP="00DD23BF">
      <w:pPr>
        <w:widowControl w:val="0"/>
        <w:autoSpaceDE w:val="0"/>
        <w:autoSpaceDN w:val="0"/>
        <w:adjustRightInd w:val="0"/>
        <w:spacing w:after="0" w:line="360" w:lineRule="auto"/>
        <w:ind w:left="396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напрям</w:t>
      </w:r>
      <w:r w:rsidRPr="00DD23B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6.040102   Біологія</w:t>
      </w:r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</w:p>
    <w:p w:rsidR="00DD23BF" w:rsidRPr="00DD23BF" w:rsidRDefault="00DD23BF" w:rsidP="00DD23BF">
      <w:pPr>
        <w:widowControl w:val="0"/>
        <w:autoSpaceDE w:val="0"/>
        <w:autoSpaceDN w:val="0"/>
        <w:adjustRightInd w:val="0"/>
        <w:spacing w:after="0" w:line="360" w:lineRule="auto"/>
        <w:ind w:left="3969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proofErr w:type="spellStart"/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Клаптюх</w:t>
      </w:r>
      <w:proofErr w:type="spellEnd"/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Анастасія Михайлівна</w:t>
      </w:r>
    </w:p>
    <w:p w:rsidR="00DD23BF" w:rsidRPr="00DD23BF" w:rsidRDefault="00DD23BF" w:rsidP="00DD23BF">
      <w:pPr>
        <w:widowControl w:val="0"/>
        <w:autoSpaceDE w:val="0"/>
        <w:autoSpaceDN w:val="0"/>
        <w:adjustRightInd w:val="0"/>
        <w:spacing w:after="0" w:line="360" w:lineRule="auto"/>
        <w:ind w:left="3969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DD23BF" w:rsidRPr="00DD23BF" w:rsidRDefault="00DD23BF" w:rsidP="00DD23BF">
      <w:pPr>
        <w:widowControl w:val="0"/>
        <w:autoSpaceDE w:val="0"/>
        <w:autoSpaceDN w:val="0"/>
        <w:adjustRightInd w:val="0"/>
        <w:spacing w:after="0" w:line="360" w:lineRule="auto"/>
        <w:ind w:firstLine="3969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</w:pPr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 </w:t>
      </w:r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Науковий керівник</w:t>
      </w:r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                                                               </w:t>
      </w:r>
    </w:p>
    <w:p w:rsidR="00DD23BF" w:rsidRPr="00DD23BF" w:rsidRDefault="00DD23BF" w:rsidP="00DD23BF">
      <w:pPr>
        <w:widowControl w:val="0"/>
        <w:autoSpaceDE w:val="0"/>
        <w:autoSpaceDN w:val="0"/>
        <w:adjustRightInd w:val="0"/>
        <w:spacing w:after="0" w:line="360" w:lineRule="auto"/>
        <w:ind w:left="3969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доктор біологічних наук, професор</w:t>
      </w:r>
    </w:p>
    <w:p w:rsidR="00DD23BF" w:rsidRPr="00DD23BF" w:rsidRDefault="00DD23BF" w:rsidP="00DD23BF">
      <w:pPr>
        <w:widowControl w:val="0"/>
        <w:autoSpaceDE w:val="0"/>
        <w:autoSpaceDN w:val="0"/>
        <w:adjustRightInd w:val="0"/>
        <w:spacing w:after="0" w:line="360" w:lineRule="auto"/>
        <w:ind w:left="3969" w:right="-42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Макаренко Ольга Анатоліївна</w:t>
      </w:r>
    </w:p>
    <w:p w:rsidR="00DD23BF" w:rsidRPr="00DD23BF" w:rsidRDefault="00DD23BF" w:rsidP="00DD23BF">
      <w:pPr>
        <w:widowControl w:val="0"/>
        <w:autoSpaceDE w:val="0"/>
        <w:autoSpaceDN w:val="0"/>
        <w:adjustRightInd w:val="0"/>
        <w:spacing w:after="0" w:line="360" w:lineRule="auto"/>
        <w:ind w:left="3969" w:right="-42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DD23BF" w:rsidRPr="00DD23BF" w:rsidRDefault="00DD23BF" w:rsidP="00DD23BF">
      <w:pPr>
        <w:widowControl w:val="0"/>
        <w:autoSpaceDE w:val="0"/>
        <w:autoSpaceDN w:val="0"/>
        <w:adjustRightInd w:val="0"/>
        <w:spacing w:after="0" w:line="360" w:lineRule="auto"/>
        <w:ind w:left="3969" w:right="-42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Рецензент: кандидат біологічних наук, доцент </w:t>
      </w:r>
    </w:p>
    <w:p w:rsidR="00DD23BF" w:rsidRPr="00DD23BF" w:rsidRDefault="00DD23BF" w:rsidP="00DD23BF">
      <w:pPr>
        <w:widowControl w:val="0"/>
        <w:autoSpaceDE w:val="0"/>
        <w:autoSpaceDN w:val="0"/>
        <w:adjustRightInd w:val="0"/>
        <w:spacing w:after="0" w:line="360" w:lineRule="auto"/>
        <w:ind w:left="3969" w:right="-42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Федорко Наталія Леонідівна</w:t>
      </w:r>
    </w:p>
    <w:p w:rsidR="00DD23BF" w:rsidRPr="00DD23BF" w:rsidRDefault="00DD23BF" w:rsidP="00DD23BF">
      <w:pPr>
        <w:widowControl w:val="0"/>
        <w:autoSpaceDE w:val="0"/>
        <w:autoSpaceDN w:val="0"/>
        <w:adjustRightInd w:val="0"/>
        <w:spacing w:after="0" w:line="240" w:lineRule="auto"/>
        <w:ind w:firstLine="720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DD23BF" w:rsidRPr="00DD23BF" w:rsidRDefault="00DD23BF" w:rsidP="00DD23BF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Рекомендовано до захисту:</w:t>
      </w:r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Захищено на засіданні ДЕК № ______</w:t>
      </w:r>
    </w:p>
    <w:p w:rsidR="00DD23BF" w:rsidRPr="00DD23BF" w:rsidRDefault="00DD23BF" w:rsidP="00DD23BF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Протокол засідання кафедри</w:t>
      </w:r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Протокол №_____від «___» _______р.</w:t>
      </w:r>
    </w:p>
    <w:p w:rsidR="00DD23BF" w:rsidRPr="00DD23BF" w:rsidRDefault="00DD23BF" w:rsidP="00DD23BF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№_____від «___» _______р.</w:t>
      </w:r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Оцінка _____/ ________/__________</w:t>
      </w:r>
    </w:p>
    <w:p w:rsidR="00DD23BF" w:rsidRPr="00DD23BF" w:rsidRDefault="00DD23BF" w:rsidP="00DD23BF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             </w:t>
      </w:r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(за національною шкалою, шкалою </w:t>
      </w:r>
      <w:proofErr w:type="spellStart"/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ЕСТS,бал</w:t>
      </w:r>
      <w:proofErr w:type="spellEnd"/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)</w:t>
      </w:r>
    </w:p>
    <w:p w:rsidR="00DD23BF" w:rsidRPr="00DD23BF" w:rsidRDefault="00DD23BF" w:rsidP="00DD23BF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Завідувач кафедри</w:t>
      </w:r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Голова ДЕК</w:t>
      </w:r>
    </w:p>
    <w:p w:rsidR="00DD23BF" w:rsidRPr="00DD23BF" w:rsidRDefault="00DD23BF" w:rsidP="00DD23BF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_______         Макаренко О.А.</w:t>
      </w:r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_______       </w:t>
      </w:r>
      <w:proofErr w:type="spellStart"/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Чеботар</w:t>
      </w:r>
      <w:proofErr w:type="spellEnd"/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С.В.</w:t>
      </w:r>
    </w:p>
    <w:p w:rsidR="00DD23BF" w:rsidRPr="00DD23BF" w:rsidRDefault="00DD23BF" w:rsidP="00DD23BF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</w:pPr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(підпис)                      (прізвище та ініціали)</w:t>
      </w:r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  <w:t>(підпис)             (прізвище та ініціали)</w:t>
      </w:r>
    </w:p>
    <w:p w:rsidR="00DD23BF" w:rsidRPr="00DD23BF" w:rsidRDefault="00DD23BF" w:rsidP="00DD23BF">
      <w:pPr>
        <w:widowControl w:val="0"/>
        <w:autoSpaceDE w:val="0"/>
        <w:autoSpaceDN w:val="0"/>
        <w:adjustRightInd w:val="0"/>
        <w:spacing w:after="0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DD23BF" w:rsidRDefault="00DD23BF" w:rsidP="00DD23BF">
      <w:pPr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                                                </w:t>
      </w:r>
    </w:p>
    <w:p w:rsidR="00F742DA" w:rsidRDefault="00DD23BF" w:rsidP="00DD23BF">
      <w:pPr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                                             </w:t>
      </w:r>
      <w:r w:rsidRPr="00DD23BF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Одеса – 2018</w:t>
      </w:r>
    </w:p>
    <w:sdt>
      <w:sdtPr>
        <w:rPr>
          <w:rFonts w:ascii="Calibri" w:eastAsia="Calibri" w:hAnsi="Calibri" w:cs="Times New Roman"/>
          <w:lang w:val="ru-RU"/>
        </w:rPr>
        <w:id w:val="469764915"/>
        <w:docPartObj>
          <w:docPartGallery w:val="Table of Contents"/>
          <w:docPartUnique/>
        </w:docPartObj>
      </w:sdtPr>
      <w:sdtContent>
        <w:p w:rsidR="00DD23BF" w:rsidRPr="00DD23BF" w:rsidRDefault="00DD23BF" w:rsidP="00DD23BF">
          <w:pPr>
            <w:keepNext/>
            <w:keepLines/>
            <w:spacing w:before="480" w:after="0"/>
            <w:jc w:val="center"/>
            <w:rPr>
              <w:rFonts w:ascii="Times New Roman" w:eastAsia="Times New Roman" w:hAnsi="Times New Roman" w:cs="Times New Roman"/>
              <w:bCs/>
              <w:sz w:val="28"/>
              <w:szCs w:val="28"/>
            </w:rPr>
          </w:pPr>
          <w:r w:rsidRPr="00DD23BF">
            <w:rPr>
              <w:rFonts w:ascii="Calibri Light" w:eastAsia="Times New Roman" w:hAnsi="Calibri Light" w:cs="Times New Roman"/>
              <w:b/>
              <w:bCs/>
              <w:noProof/>
              <w:color w:val="2E74B5"/>
              <w:sz w:val="28"/>
              <w:szCs w:val="28"/>
              <w:lang w:eastAsia="uk-UA"/>
            </w:rPr>
            <mc:AlternateContent>
              <mc:Choice Requires="wps">
                <w:drawing>
                  <wp:anchor distT="0" distB="0" distL="114300" distR="114300" simplePos="0" relativeHeight="251661312" behindDoc="0" locked="0" layoutInCell="1" allowOverlap="1" wp14:anchorId="7DF37A98" wp14:editId="00B326B0">
                    <wp:simplePos x="0" y="0"/>
                    <wp:positionH relativeFrom="column">
                      <wp:posOffset>5777865</wp:posOffset>
                    </wp:positionH>
                    <wp:positionV relativeFrom="paragraph">
                      <wp:posOffset>-362585</wp:posOffset>
                    </wp:positionV>
                    <wp:extent cx="276225" cy="238125"/>
                    <wp:effectExtent l="5715" t="8890" r="13335" b="10160"/>
                    <wp:wrapNone/>
                    <wp:docPr id="1" name="Rectangle 3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76225" cy="238125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>
                                <a:lumMod val="100000"/>
                                <a:lumOff val="0"/>
                              </a:sysClr>
                            </a:solidFill>
                            <a:ln w="9525">
                              <a:solidFill>
                                <a:sysClr val="window" lastClr="FFFFFF">
                                  <a:lumMod val="100000"/>
                                  <a:lumOff val="0"/>
                                </a:sysClr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rect id="Rectangle 3" o:spid="_x0000_s1026" style="position:absolute;margin-left:454.95pt;margin-top:-28.55pt;width:21.75pt;height:1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" strokecolor="white"/>
                </w:pict>
              </mc:Fallback>
            </mc:AlternateContent>
          </w:r>
          <w:r w:rsidRPr="00DD23BF">
            <w:rPr>
              <w:rFonts w:ascii="Times New Roman" w:eastAsia="Times New Roman" w:hAnsi="Times New Roman" w:cs="Times New Roman"/>
              <w:b/>
              <w:bCs/>
              <w:sz w:val="28"/>
              <w:szCs w:val="28"/>
            </w:rPr>
            <w:t>ЗМІСТ</w:t>
          </w:r>
        </w:p>
        <w:p w:rsidR="00DD23BF" w:rsidRPr="00DD23BF" w:rsidRDefault="00DD23BF" w:rsidP="00DD23BF">
          <w:pPr>
            <w:tabs>
              <w:tab w:val="right" w:leader="dot" w:pos="9344"/>
            </w:tabs>
            <w:spacing w:after="100" w:line="256" w:lineRule="auto"/>
            <w:jc w:val="center"/>
            <w:rPr>
              <w:rFonts w:ascii="Calibri" w:eastAsia="Times New Roman" w:hAnsi="Calibri" w:cs="Times New Roman"/>
              <w:noProof/>
              <w:lang w:eastAsia="ru-RU"/>
            </w:rPr>
          </w:pPr>
          <w:r w:rsidRPr="00DD23BF">
            <w:rPr>
              <w:rFonts w:ascii="Times New Roman" w:eastAsia="Calibri" w:hAnsi="Times New Roman" w:cs="Times New Roman"/>
              <w:noProof/>
              <w:sz w:val="28"/>
            </w:rPr>
            <w:fldChar w:fldCharType="begin"/>
          </w:r>
          <w:r w:rsidRPr="00DD23BF">
            <w:rPr>
              <w:rFonts w:ascii="Times New Roman" w:eastAsia="Calibri" w:hAnsi="Times New Roman" w:cs="Times New Roman"/>
              <w:noProof/>
              <w:sz w:val="28"/>
            </w:rPr>
            <w:instrText xml:space="preserve"> TOC \o "1-3" \h \z \u </w:instrText>
          </w:r>
          <w:r w:rsidRPr="00DD23BF">
            <w:rPr>
              <w:rFonts w:ascii="Times New Roman" w:eastAsia="Calibri" w:hAnsi="Times New Roman" w:cs="Times New Roman"/>
              <w:noProof/>
              <w:sz w:val="28"/>
            </w:rPr>
            <w:fldChar w:fldCharType="separate"/>
          </w:r>
          <w:hyperlink r:id="rId6" w:anchor="_Toc517308564" w:history="1">
            <w:r w:rsidRPr="00DD23BF">
              <w:rPr>
                <w:rFonts w:ascii="Times New Roman" w:eastAsia="Calibri" w:hAnsi="Times New Roman" w:cs="Times New Roman"/>
                <w:noProof/>
                <w:color w:val="0563C1"/>
                <w:sz w:val="28"/>
                <w:u w:val="single"/>
              </w:rPr>
              <w:t>ВСТУП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tab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fldChar w:fldCharType="begin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instrText xml:space="preserve"> PAGEREF _Toc517308564 \h </w:instrTex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fldChar w:fldCharType="separate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t>5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DD23BF" w:rsidRPr="00DD23BF" w:rsidRDefault="00DD23BF" w:rsidP="00DD23BF">
          <w:pPr>
            <w:tabs>
              <w:tab w:val="right" w:leader="dot" w:pos="9344"/>
            </w:tabs>
            <w:spacing w:after="100" w:line="256" w:lineRule="auto"/>
            <w:jc w:val="center"/>
            <w:rPr>
              <w:rFonts w:ascii="Calibri" w:eastAsia="Times New Roman" w:hAnsi="Calibri" w:cs="Times New Roman"/>
              <w:noProof/>
              <w:lang w:eastAsia="ru-RU"/>
            </w:rPr>
          </w:pPr>
          <w:hyperlink r:id="rId7" w:anchor="_Toc517308565" w:history="1">
            <w:r w:rsidRPr="00DD23BF">
              <w:rPr>
                <w:rFonts w:ascii="Times New Roman" w:eastAsia="Calibri" w:hAnsi="Times New Roman" w:cs="Times New Roman"/>
                <w:noProof/>
                <w:color w:val="0563C1"/>
                <w:sz w:val="28"/>
                <w:u w:val="single"/>
              </w:rPr>
              <w:t>1. ОГЛЯД ЛІТЕРАТУРИ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tab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fldChar w:fldCharType="begin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instrText xml:space="preserve"> PAGEREF _Toc517308565 \h </w:instrTex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fldChar w:fldCharType="separate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t>7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DD23BF" w:rsidRPr="00DD23BF" w:rsidRDefault="00DD23BF" w:rsidP="00DD23BF">
          <w:pPr>
            <w:tabs>
              <w:tab w:val="right" w:leader="dot" w:pos="9344"/>
            </w:tabs>
            <w:spacing w:after="100" w:line="256" w:lineRule="auto"/>
            <w:rPr>
              <w:rFonts w:ascii="Calibri" w:eastAsia="Times New Roman" w:hAnsi="Calibri" w:cs="Times New Roman"/>
              <w:noProof/>
              <w:lang w:val="ru-RU" w:eastAsia="ru-RU"/>
            </w:rPr>
          </w:pPr>
          <w:r w:rsidRPr="00DD23BF">
            <w:rPr>
              <w:rFonts w:ascii="Times New Roman" w:eastAsia="Calibri" w:hAnsi="Times New Roman" w:cs="Times New Roman"/>
              <w:sz w:val="28"/>
              <w:lang w:val="en-US"/>
            </w:rPr>
            <w:t xml:space="preserve">         </w:t>
          </w:r>
          <w:hyperlink r:id="rId8" w:anchor="_Toc517308566" w:history="1">
            <w:r w:rsidRPr="00DD23BF">
              <w:rPr>
                <w:rFonts w:ascii="Times New Roman" w:eastAsia="Calibri" w:hAnsi="Times New Roman" w:cs="Times New Roman"/>
                <w:noProof/>
                <w:color w:val="0563C1"/>
                <w:sz w:val="28"/>
                <w:u w:val="single"/>
              </w:rPr>
              <w:t>1.1. Фізіологічна мікробна система та печінка.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tab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begin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instrText xml:space="preserve"> PAGEREF _Toc517308566 \h </w:instrTex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separate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t>7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end"/>
            </w:r>
          </w:hyperlink>
        </w:p>
        <w:p w:rsidR="00DD23BF" w:rsidRPr="00DD23BF" w:rsidRDefault="00DD23BF" w:rsidP="00DD23BF">
          <w:pPr>
            <w:tabs>
              <w:tab w:val="right" w:leader="dot" w:pos="9344"/>
            </w:tabs>
            <w:spacing w:after="100" w:line="256" w:lineRule="auto"/>
            <w:ind w:left="440"/>
            <w:rPr>
              <w:rFonts w:ascii="Calibri" w:eastAsia="Times New Roman" w:hAnsi="Calibri" w:cs="Times New Roman"/>
              <w:noProof/>
              <w:lang w:val="ru-RU" w:eastAsia="ru-RU"/>
            </w:rPr>
          </w:pPr>
          <w:r w:rsidRPr="00DD23BF">
            <w:rPr>
              <w:rFonts w:ascii="Times New Roman" w:eastAsia="Calibri" w:hAnsi="Times New Roman" w:cs="Times New Roman"/>
              <w:sz w:val="28"/>
              <w:lang w:val="en-US"/>
            </w:rPr>
            <w:t xml:space="preserve">   </w:t>
          </w:r>
          <w:r w:rsidRPr="00DD23BF">
            <w:rPr>
              <w:rFonts w:ascii="Times New Roman" w:eastAsia="Calibri" w:hAnsi="Times New Roman" w:cs="Times New Roman"/>
              <w:sz w:val="28"/>
            </w:rPr>
            <w:t xml:space="preserve">       </w:t>
          </w:r>
          <w:hyperlink r:id="rId9" w:anchor="_Toc517308567" w:history="1">
            <w:r w:rsidRPr="00DD23BF">
              <w:rPr>
                <w:rFonts w:ascii="Times New Roman" w:eastAsia="Calibri" w:hAnsi="Times New Roman" w:cs="Times New Roman"/>
                <w:noProof/>
                <w:color w:val="0563C1"/>
                <w:sz w:val="28"/>
                <w:u w:val="single"/>
                <w:shd w:val="clear" w:color="auto" w:fill="FFFFFF"/>
              </w:rPr>
              <w:t>1.1.1. Пробіотичні бактерії і їх фізіологічні функції.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tab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begin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instrText xml:space="preserve"> PAGEREF _Toc517308567 \h </w:instrTex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separate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t>7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end"/>
            </w:r>
          </w:hyperlink>
        </w:p>
        <w:p w:rsidR="00DD23BF" w:rsidRPr="00DD23BF" w:rsidRDefault="00DD23BF" w:rsidP="00DD23BF">
          <w:pPr>
            <w:tabs>
              <w:tab w:val="right" w:leader="dot" w:pos="9344"/>
            </w:tabs>
            <w:spacing w:after="100" w:line="256" w:lineRule="auto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r w:rsidRPr="00DD23BF">
            <w:rPr>
              <w:rFonts w:ascii="Times New Roman" w:eastAsia="Calibri" w:hAnsi="Times New Roman" w:cs="Times New Roman"/>
              <w:sz w:val="28"/>
              <w:lang w:val="en-US"/>
            </w:rPr>
            <w:t xml:space="preserve">      </w:t>
          </w:r>
          <w:hyperlink r:id="rId10" w:anchor="_Toc517308568" w:history="1">
            <w:r w:rsidRPr="00DD23BF">
              <w:rPr>
                <w:rFonts w:ascii="Times New Roman" w:eastAsia="Times New Roman" w:hAnsi="Times New Roman" w:cs="Times New Roman"/>
                <w:noProof/>
                <w:color w:val="0563C1"/>
                <w:sz w:val="28"/>
                <w:u w:val="single"/>
                <w:lang w:eastAsia="ru-RU"/>
              </w:rPr>
              <w:t>1.2. Умовно-патогенні бактерії і їх токсини.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tab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begin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instrText xml:space="preserve"> PAGEREF _Toc517308568 \h </w:instrTex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separate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t>12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end"/>
            </w:r>
          </w:hyperlink>
        </w:p>
        <w:p w:rsidR="00DD23BF" w:rsidRPr="00DD23BF" w:rsidRDefault="00DD23BF" w:rsidP="00DD23BF">
          <w:pPr>
            <w:tabs>
              <w:tab w:val="right" w:leader="dot" w:pos="9344"/>
            </w:tabs>
            <w:spacing w:after="100" w:line="256" w:lineRule="auto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r w:rsidRPr="00DD23BF">
            <w:rPr>
              <w:rFonts w:ascii="Times New Roman" w:eastAsia="Calibri" w:hAnsi="Times New Roman" w:cs="Times New Roman"/>
              <w:sz w:val="28"/>
              <w:lang w:val="en-US"/>
            </w:rPr>
            <w:t xml:space="preserve">      </w:t>
          </w:r>
          <w:hyperlink r:id="rId11" w:anchor="_Toc517308569" w:history="1">
            <w:r w:rsidRPr="00DD23BF">
              <w:rPr>
                <w:rFonts w:ascii="Times New Roman" w:eastAsia="Times New Roman" w:hAnsi="Times New Roman" w:cs="Times New Roman"/>
                <w:noProof/>
                <w:color w:val="0563C1"/>
                <w:sz w:val="28"/>
                <w:u w:val="single"/>
                <w:lang w:eastAsia="ru-RU"/>
              </w:rPr>
              <w:t>1.3. Транслокація бактерій і печінка.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tab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begin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instrText xml:space="preserve"> PAGEREF _Toc517308569 \h </w:instrTex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separate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t>13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end"/>
            </w:r>
          </w:hyperlink>
        </w:p>
        <w:p w:rsidR="00DD23BF" w:rsidRPr="00DD23BF" w:rsidRDefault="00DD23BF" w:rsidP="00DD23BF">
          <w:pPr>
            <w:tabs>
              <w:tab w:val="right" w:leader="dot" w:pos="9344"/>
            </w:tabs>
            <w:spacing w:after="100" w:line="256" w:lineRule="auto"/>
            <w:jc w:val="center"/>
            <w:rPr>
              <w:rFonts w:ascii="Calibri" w:eastAsia="Times New Roman" w:hAnsi="Calibri" w:cs="Times New Roman"/>
              <w:noProof/>
              <w:lang w:eastAsia="ru-RU"/>
            </w:rPr>
          </w:pPr>
          <w:hyperlink r:id="rId12" w:anchor="_Toc517308570" w:history="1">
            <w:r w:rsidRPr="00DD23BF">
              <w:rPr>
                <w:rFonts w:ascii="Times New Roman" w:eastAsia="Calibri" w:hAnsi="Times New Roman" w:cs="Times New Roman"/>
                <w:noProof/>
                <w:color w:val="0563C1"/>
                <w:sz w:val="28"/>
                <w:u w:val="single"/>
              </w:rPr>
              <w:t>2. МАТЕРІАЛИ І МЕТОДИ ДОСЛІДЖЕНЬ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tab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fldChar w:fldCharType="begin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instrText xml:space="preserve"> PAGEREF _Toc517308570 \h </w:instrTex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fldChar w:fldCharType="separate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t>19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DD23BF" w:rsidRPr="00DD23BF" w:rsidRDefault="00DD23BF" w:rsidP="00DD23BF">
          <w:pPr>
            <w:tabs>
              <w:tab w:val="right" w:leader="dot" w:pos="9344"/>
            </w:tabs>
            <w:spacing w:after="100" w:line="256" w:lineRule="auto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r w:rsidRPr="00DD23BF">
            <w:rPr>
              <w:rFonts w:ascii="Times New Roman" w:eastAsia="Calibri" w:hAnsi="Times New Roman" w:cs="Times New Roman"/>
              <w:sz w:val="28"/>
              <w:lang w:val="en-US"/>
            </w:rPr>
            <w:t xml:space="preserve">       </w:t>
          </w:r>
          <w:hyperlink r:id="rId13" w:anchor="_Toc517308571" w:history="1">
            <w:r w:rsidRPr="00DD23BF">
              <w:rPr>
                <w:rFonts w:ascii="Times New Roman" w:eastAsia="Calibri" w:hAnsi="Times New Roman" w:cs="Times New Roman"/>
                <w:noProof/>
                <w:color w:val="0563C1"/>
                <w:sz w:val="28"/>
                <w:u w:val="single"/>
              </w:rPr>
              <w:t>2.1. Постановка досліду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tab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begin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instrText xml:space="preserve"> PAGEREF _Toc517308571 \h </w:instrTex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separate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t>19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end"/>
            </w:r>
          </w:hyperlink>
        </w:p>
        <w:p w:rsidR="00DD23BF" w:rsidRPr="00DD23BF" w:rsidRDefault="00DD23BF" w:rsidP="00DD23BF">
          <w:pPr>
            <w:tabs>
              <w:tab w:val="right" w:leader="dot" w:pos="9344"/>
            </w:tabs>
            <w:spacing w:after="100" w:line="256" w:lineRule="auto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r w:rsidRPr="00DD23BF">
            <w:rPr>
              <w:rFonts w:ascii="Times New Roman" w:eastAsia="Calibri" w:hAnsi="Times New Roman" w:cs="Times New Roman"/>
              <w:sz w:val="28"/>
              <w:lang w:val="en-US"/>
            </w:rPr>
            <w:t xml:space="preserve">       </w:t>
          </w:r>
          <w:hyperlink r:id="rId14" w:anchor="_Toc517308572" w:history="1">
            <w:r w:rsidRPr="00DD23BF">
              <w:rPr>
                <w:rFonts w:ascii="Times New Roman" w:eastAsia="Calibri" w:hAnsi="Times New Roman" w:cs="Times New Roman"/>
                <w:noProof/>
                <w:color w:val="0563C1"/>
                <w:sz w:val="28"/>
                <w:u w:val="single"/>
              </w:rPr>
              <w:t>2.2. Статистична обробка результатів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tab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begin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instrText xml:space="preserve"> PAGEREF _Toc517308572 \h </w:instrTex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separate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t>19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end"/>
            </w:r>
          </w:hyperlink>
        </w:p>
        <w:p w:rsidR="00DD23BF" w:rsidRPr="00DD23BF" w:rsidRDefault="00DD23BF" w:rsidP="00DD23BF">
          <w:pPr>
            <w:tabs>
              <w:tab w:val="right" w:leader="dot" w:pos="9344"/>
            </w:tabs>
            <w:spacing w:after="100" w:line="256" w:lineRule="auto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r w:rsidRPr="00DD23BF">
            <w:rPr>
              <w:rFonts w:ascii="Times New Roman" w:eastAsia="Calibri" w:hAnsi="Times New Roman" w:cs="Times New Roman"/>
              <w:sz w:val="28"/>
              <w:lang w:val="en-US"/>
            </w:rPr>
            <w:t xml:space="preserve">       </w:t>
          </w:r>
          <w:hyperlink r:id="rId15" w:anchor="_Toc517308573" w:history="1">
            <w:r w:rsidRPr="00DD23BF">
              <w:rPr>
                <w:rFonts w:ascii="Times New Roman" w:eastAsia="Calibri" w:hAnsi="Times New Roman" w:cs="Times New Roman"/>
                <w:noProof/>
                <w:color w:val="0563C1"/>
                <w:sz w:val="28"/>
                <w:u w:val="single"/>
                <w:lang w:val="ru-RU"/>
              </w:rPr>
              <w:t>2.</w:t>
            </w:r>
            <w:r w:rsidRPr="00DD23BF">
              <w:rPr>
                <w:rFonts w:ascii="Times New Roman" w:eastAsia="Calibri" w:hAnsi="Times New Roman" w:cs="Times New Roman"/>
                <w:noProof/>
                <w:color w:val="0563C1"/>
                <w:sz w:val="28"/>
                <w:u w:val="single"/>
              </w:rPr>
              <w:t>3.</w:t>
            </w:r>
            <w:r w:rsidRPr="00DD23BF">
              <w:rPr>
                <w:rFonts w:ascii="Times New Roman" w:eastAsia="Calibri" w:hAnsi="Times New Roman" w:cs="Times New Roman"/>
                <w:noProof/>
                <w:color w:val="0563C1"/>
                <w:sz w:val="28"/>
                <w:u w:val="single"/>
                <w:lang w:val="ru-RU"/>
              </w:rPr>
              <w:t xml:space="preserve"> Метод тестування тварин у «</w:t>
            </w:r>
            <w:r w:rsidRPr="00DD23BF">
              <w:rPr>
                <w:rFonts w:ascii="Times New Roman" w:eastAsia="Calibri" w:hAnsi="Times New Roman" w:cs="Times New Roman"/>
                <w:noProof/>
                <w:color w:val="0563C1"/>
                <w:sz w:val="28"/>
                <w:u w:val="single"/>
              </w:rPr>
              <w:t>В</w:t>
            </w:r>
            <w:r w:rsidRPr="00DD23BF">
              <w:rPr>
                <w:rFonts w:ascii="Times New Roman" w:eastAsia="Calibri" w:hAnsi="Times New Roman" w:cs="Times New Roman"/>
                <w:noProof/>
                <w:color w:val="0563C1"/>
                <w:sz w:val="28"/>
                <w:u w:val="single"/>
                <w:lang w:val="ru-RU"/>
              </w:rPr>
              <w:t>ідкритому полі»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tab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begin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instrText xml:space="preserve"> PAGEREF _Toc517308573 \h </w:instrTex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separate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t>20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end"/>
            </w:r>
          </w:hyperlink>
        </w:p>
        <w:p w:rsidR="00DD23BF" w:rsidRPr="00DD23BF" w:rsidRDefault="00DD23BF" w:rsidP="00DD23BF">
          <w:pPr>
            <w:tabs>
              <w:tab w:val="right" w:leader="dot" w:pos="9344"/>
            </w:tabs>
            <w:spacing w:after="100" w:line="256" w:lineRule="auto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r w:rsidRPr="00DD23BF">
            <w:rPr>
              <w:rFonts w:ascii="Times New Roman" w:eastAsia="Calibri" w:hAnsi="Times New Roman" w:cs="Times New Roman"/>
              <w:sz w:val="28"/>
              <w:lang w:val="en-US"/>
            </w:rPr>
            <w:t xml:space="preserve">       </w:t>
          </w:r>
          <w:hyperlink r:id="rId16" w:anchor="_Toc517308574" w:history="1">
            <w:r w:rsidRPr="00DD23BF">
              <w:rPr>
                <w:rFonts w:ascii="Times New Roman" w:eastAsia="Calibri" w:hAnsi="Times New Roman" w:cs="Times New Roman"/>
                <w:noProof/>
                <w:color w:val="0563C1"/>
                <w:sz w:val="28"/>
                <w:u w:val="single"/>
              </w:rPr>
              <w:t>2.4. Методика визначення активності лізоциму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tab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begin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instrText xml:space="preserve"> PAGEREF _Toc517308574 \h </w:instrTex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separate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t>21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end"/>
            </w:r>
          </w:hyperlink>
        </w:p>
        <w:p w:rsidR="00DD23BF" w:rsidRPr="00DD23BF" w:rsidRDefault="00DD23BF" w:rsidP="00DD23BF">
          <w:pPr>
            <w:tabs>
              <w:tab w:val="right" w:leader="dot" w:pos="9344"/>
            </w:tabs>
            <w:spacing w:after="100" w:line="256" w:lineRule="auto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r w:rsidRPr="00DD23BF">
            <w:rPr>
              <w:rFonts w:ascii="Times New Roman" w:eastAsia="Calibri" w:hAnsi="Times New Roman" w:cs="Times New Roman"/>
              <w:sz w:val="28"/>
              <w:lang w:val="en-US"/>
            </w:rPr>
            <w:t xml:space="preserve">       </w:t>
          </w:r>
          <w:hyperlink r:id="rId17" w:anchor="_Toc517308575" w:history="1">
            <w:r w:rsidRPr="00DD23BF">
              <w:rPr>
                <w:rFonts w:ascii="Times New Roman" w:eastAsia="Calibri" w:hAnsi="Times New Roman" w:cs="Times New Roman"/>
                <w:noProof/>
                <w:color w:val="0563C1"/>
                <w:sz w:val="28"/>
                <w:u w:val="single"/>
              </w:rPr>
              <w:t>2.5. Методика в</w:t>
            </w:r>
            <w:r w:rsidRPr="00DD23BF">
              <w:rPr>
                <w:rFonts w:ascii="Times New Roman" w:eastAsia="Calibri" w:hAnsi="Times New Roman" w:cs="Times New Roman"/>
                <w:noProof/>
                <w:color w:val="0563C1"/>
                <w:sz w:val="28"/>
                <w:u w:val="single"/>
                <w:lang w:val="ru-RU"/>
              </w:rPr>
              <w:t>изначення активності уреази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tab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begin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instrText xml:space="preserve"> PAGEREF _Toc517308575 \h </w:instrTex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separate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t>22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end"/>
            </w:r>
          </w:hyperlink>
        </w:p>
        <w:p w:rsidR="00DD23BF" w:rsidRPr="00DD23BF" w:rsidRDefault="00DD23BF" w:rsidP="00DD23BF">
          <w:pPr>
            <w:tabs>
              <w:tab w:val="right" w:leader="dot" w:pos="9344"/>
            </w:tabs>
            <w:spacing w:after="100" w:line="256" w:lineRule="auto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r w:rsidRPr="00DD23BF">
            <w:rPr>
              <w:rFonts w:ascii="Times New Roman" w:eastAsia="Calibri" w:hAnsi="Times New Roman" w:cs="Times New Roman"/>
              <w:sz w:val="28"/>
              <w:lang w:val="en-US"/>
            </w:rPr>
            <w:t xml:space="preserve">       </w:t>
          </w:r>
          <w:hyperlink r:id="rId18" w:anchor="_Toc517308576" w:history="1">
            <w:r w:rsidRPr="00DD23BF">
              <w:rPr>
                <w:rFonts w:ascii="Times New Roman" w:eastAsia="Calibri" w:hAnsi="Times New Roman" w:cs="Times New Roman"/>
                <w:noProof/>
                <w:color w:val="0563C1"/>
                <w:sz w:val="28"/>
                <w:u w:val="single"/>
              </w:rPr>
              <w:t>2.6. Визначення ступеню дисбіозу по методу Левицького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tab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begin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instrText xml:space="preserve"> PAGEREF _Toc517308576 \h </w:instrTex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separate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t>23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end"/>
            </w:r>
          </w:hyperlink>
        </w:p>
        <w:p w:rsidR="00DD23BF" w:rsidRPr="00DD23BF" w:rsidRDefault="00DD23BF" w:rsidP="00DD23BF">
          <w:pPr>
            <w:tabs>
              <w:tab w:val="right" w:leader="dot" w:pos="9344"/>
            </w:tabs>
            <w:spacing w:after="100" w:line="256" w:lineRule="auto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r w:rsidRPr="00DD23BF">
            <w:rPr>
              <w:rFonts w:ascii="Times New Roman" w:eastAsia="Calibri" w:hAnsi="Times New Roman" w:cs="Times New Roman"/>
              <w:sz w:val="28"/>
              <w:lang w:val="en-US"/>
            </w:rPr>
            <w:t xml:space="preserve">       </w:t>
          </w:r>
          <w:hyperlink r:id="rId19" w:anchor="_Toc517308577" w:history="1">
            <w:r w:rsidRPr="00DD23BF">
              <w:rPr>
                <w:rFonts w:ascii="Times New Roman" w:eastAsia="Calibri" w:hAnsi="Times New Roman" w:cs="Times New Roman"/>
                <w:noProof/>
                <w:color w:val="0563C1"/>
                <w:sz w:val="28"/>
                <w:u w:val="single"/>
              </w:rPr>
              <w:t>2.7. Методика в</w:t>
            </w:r>
            <w:r w:rsidRPr="00DD23BF">
              <w:rPr>
                <w:rFonts w:ascii="Times New Roman" w:eastAsia="Calibri" w:hAnsi="Times New Roman" w:cs="Times New Roman"/>
                <w:noProof/>
                <w:color w:val="0563C1"/>
                <w:sz w:val="28"/>
                <w:u w:val="single"/>
                <w:lang w:val="ru-RU"/>
              </w:rPr>
              <w:t>изначення активності аспартатамінотрансферази (А</w:t>
            </w:r>
            <w:r w:rsidRPr="00DD23BF">
              <w:rPr>
                <w:rFonts w:ascii="Times New Roman" w:eastAsia="Calibri" w:hAnsi="Times New Roman" w:cs="Times New Roman"/>
                <w:noProof/>
                <w:color w:val="0563C1"/>
                <w:sz w:val="28"/>
                <w:u w:val="single"/>
              </w:rPr>
              <w:t>сАТ</w:t>
            </w:r>
            <w:r w:rsidRPr="00DD23BF">
              <w:rPr>
                <w:rFonts w:ascii="Times New Roman" w:eastAsia="Calibri" w:hAnsi="Times New Roman" w:cs="Times New Roman"/>
                <w:noProof/>
                <w:color w:val="0563C1"/>
                <w:sz w:val="28"/>
                <w:u w:val="single"/>
                <w:lang w:val="ru-RU"/>
              </w:rPr>
              <w:t>) і аланінамінотрансферази (А</w:t>
            </w:r>
            <w:r w:rsidRPr="00DD23BF">
              <w:rPr>
                <w:rFonts w:ascii="Times New Roman" w:eastAsia="Calibri" w:hAnsi="Times New Roman" w:cs="Times New Roman"/>
                <w:noProof/>
                <w:color w:val="0563C1"/>
                <w:sz w:val="28"/>
                <w:u w:val="single"/>
              </w:rPr>
              <w:t>лАТ</w:t>
            </w:r>
            <w:r w:rsidRPr="00DD23BF">
              <w:rPr>
                <w:rFonts w:ascii="Times New Roman" w:eastAsia="Calibri" w:hAnsi="Times New Roman" w:cs="Times New Roman"/>
                <w:noProof/>
                <w:color w:val="0563C1"/>
                <w:sz w:val="28"/>
                <w:u w:val="single"/>
                <w:lang w:val="ru-RU"/>
              </w:rPr>
              <w:t>)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tab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begin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instrText xml:space="preserve"> PAGEREF _Toc517308577 \h </w:instrTex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separate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t>24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end"/>
            </w:r>
          </w:hyperlink>
        </w:p>
        <w:p w:rsidR="00DD23BF" w:rsidRPr="00DD23BF" w:rsidRDefault="00DD23BF" w:rsidP="00DD23BF">
          <w:pPr>
            <w:tabs>
              <w:tab w:val="right" w:leader="dot" w:pos="9344"/>
            </w:tabs>
            <w:spacing w:after="100" w:line="256" w:lineRule="auto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r w:rsidRPr="00DD23BF">
            <w:rPr>
              <w:rFonts w:ascii="Times New Roman" w:eastAsia="Calibri" w:hAnsi="Times New Roman" w:cs="Times New Roman"/>
              <w:sz w:val="28"/>
              <w:lang w:val="en-US"/>
            </w:rPr>
            <w:t xml:space="preserve">       </w:t>
          </w:r>
          <w:hyperlink r:id="rId20" w:anchor="_Toc517308578" w:history="1">
            <w:r w:rsidRPr="00DD23BF">
              <w:rPr>
                <w:rFonts w:ascii="Times New Roman" w:eastAsia="Calibri" w:hAnsi="Times New Roman" w:cs="Times New Roman"/>
                <w:noProof/>
                <w:color w:val="0563C1"/>
                <w:sz w:val="28"/>
                <w:u w:val="single"/>
              </w:rPr>
              <w:t xml:space="preserve">2.8. </w:t>
            </w:r>
            <w:r w:rsidRPr="00DD23BF">
              <w:rPr>
                <w:rFonts w:ascii="Times New Roman" w:eastAsia="Calibri" w:hAnsi="Times New Roman" w:cs="Times New Roman"/>
                <w:noProof/>
                <w:color w:val="0563C1"/>
                <w:sz w:val="28"/>
                <w:u w:val="single"/>
                <w:lang w:val="ru-RU"/>
              </w:rPr>
              <w:t>Методика визначення активності лужної фосфатази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tab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begin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instrText xml:space="preserve"> PAGEREF _Toc517308578 \h </w:instrTex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separate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t>28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end"/>
            </w:r>
          </w:hyperlink>
        </w:p>
        <w:p w:rsidR="00DD23BF" w:rsidRPr="00DD23BF" w:rsidRDefault="00DD23BF" w:rsidP="00DD23BF">
          <w:pPr>
            <w:tabs>
              <w:tab w:val="right" w:leader="dot" w:pos="9344"/>
            </w:tabs>
            <w:spacing w:after="100" w:line="256" w:lineRule="auto"/>
            <w:jc w:val="center"/>
            <w:rPr>
              <w:rFonts w:ascii="Calibri" w:eastAsia="Times New Roman" w:hAnsi="Calibri" w:cs="Times New Roman"/>
              <w:noProof/>
              <w:lang w:eastAsia="ru-RU"/>
            </w:rPr>
          </w:pPr>
          <w:hyperlink r:id="rId21" w:anchor="_Toc517308579" w:history="1">
            <w:r w:rsidRPr="00DD23BF">
              <w:rPr>
                <w:rFonts w:ascii="Times New Roman" w:eastAsia="Calibri" w:hAnsi="Times New Roman" w:cs="Times New Roman"/>
                <w:noProof/>
                <w:color w:val="0563C1"/>
                <w:sz w:val="28"/>
                <w:u w:val="single"/>
              </w:rPr>
              <w:t>3. РЕЗУЛЬТАТИ ДОСЛІДЖЕНЬ ТА ЇХ ОБГОВОРЕННЯ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tab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fldChar w:fldCharType="begin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instrText xml:space="preserve"> PAGEREF _Toc517308579 \h </w:instrTex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fldChar w:fldCharType="separate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t>30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DD23BF" w:rsidRPr="00DD23BF" w:rsidRDefault="00DD23BF" w:rsidP="00DD23BF">
          <w:pPr>
            <w:tabs>
              <w:tab w:val="right" w:leader="dot" w:pos="9344"/>
            </w:tabs>
            <w:spacing w:after="100" w:line="256" w:lineRule="auto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r w:rsidRPr="00DD23BF">
            <w:rPr>
              <w:rFonts w:ascii="Times New Roman" w:eastAsia="Calibri" w:hAnsi="Times New Roman" w:cs="Times New Roman"/>
              <w:sz w:val="28"/>
              <w:lang w:val="en-US"/>
            </w:rPr>
            <w:t xml:space="preserve">       </w:t>
          </w:r>
          <w:hyperlink r:id="rId22" w:anchor="_Toc517308580" w:history="1">
            <w:r w:rsidRPr="00DD23BF">
              <w:rPr>
                <w:rFonts w:ascii="Times New Roman" w:eastAsia="Calibri" w:hAnsi="Times New Roman" w:cs="Times New Roman"/>
                <w:noProof/>
                <w:color w:val="0563C1"/>
                <w:sz w:val="28"/>
                <w:u w:val="single"/>
              </w:rPr>
              <w:t>3.1. Дослідження рухової, дослідної, емоційної, орієнтовної активностей щурів по тесту «Відкрите поле»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tab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begin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instrText xml:space="preserve"> PAGEREF _Toc517308580 \h </w:instrTex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separate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t>30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end"/>
            </w:r>
          </w:hyperlink>
        </w:p>
        <w:p w:rsidR="00DD23BF" w:rsidRPr="00DD23BF" w:rsidRDefault="00DD23BF" w:rsidP="00DD23BF">
          <w:pPr>
            <w:tabs>
              <w:tab w:val="right" w:leader="dot" w:pos="9344"/>
            </w:tabs>
            <w:spacing w:after="100" w:line="256" w:lineRule="auto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r w:rsidRPr="00DD23BF">
            <w:rPr>
              <w:rFonts w:ascii="Times New Roman" w:eastAsia="Calibri" w:hAnsi="Times New Roman" w:cs="Times New Roman"/>
              <w:sz w:val="28"/>
              <w:lang w:val="en-US"/>
            </w:rPr>
            <w:t xml:space="preserve">       </w:t>
          </w:r>
          <w:hyperlink r:id="rId23" w:anchor="_Toc517308581" w:history="1">
            <w:r w:rsidRPr="00DD23BF">
              <w:rPr>
                <w:rFonts w:ascii="Times New Roman" w:eastAsia="Calibri" w:hAnsi="Times New Roman" w:cs="Times New Roman"/>
                <w:noProof/>
                <w:color w:val="0563C1"/>
                <w:sz w:val="28"/>
                <w:u w:val="single"/>
              </w:rPr>
              <w:t>3.2. Біохімічне дослідження слизової оболонки товстої кишки і сироватки крові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tab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begin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instrText xml:space="preserve"> PAGEREF _Toc517308581 \h </w:instrTex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separate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t>36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  <w:lang w:val="ru-RU"/>
              </w:rPr>
              <w:fldChar w:fldCharType="end"/>
            </w:r>
          </w:hyperlink>
        </w:p>
        <w:p w:rsidR="00DD23BF" w:rsidRPr="00DD23BF" w:rsidRDefault="00DD23BF" w:rsidP="00DD23BF">
          <w:pPr>
            <w:tabs>
              <w:tab w:val="right" w:leader="dot" w:pos="9344"/>
            </w:tabs>
            <w:spacing w:after="100" w:line="256" w:lineRule="auto"/>
            <w:jc w:val="center"/>
            <w:rPr>
              <w:rFonts w:ascii="Calibri" w:eastAsia="Times New Roman" w:hAnsi="Calibri" w:cs="Times New Roman"/>
              <w:noProof/>
              <w:lang w:eastAsia="ru-RU"/>
            </w:rPr>
          </w:pPr>
          <w:hyperlink r:id="rId24" w:anchor="_Toc517308582" w:history="1">
            <w:r w:rsidRPr="00DD23BF">
              <w:rPr>
                <w:rFonts w:ascii="Times New Roman" w:eastAsia="Calibri" w:hAnsi="Times New Roman" w:cs="Times New Roman"/>
                <w:noProof/>
                <w:color w:val="0563C1"/>
                <w:sz w:val="28"/>
                <w:u w:val="single"/>
              </w:rPr>
              <w:t>ВИСНОВКИ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tab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fldChar w:fldCharType="begin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instrText xml:space="preserve"> PAGEREF _Toc517308582 \h </w:instrTex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fldChar w:fldCharType="separate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t>39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DD23BF" w:rsidRPr="00DD23BF" w:rsidRDefault="00DD23BF" w:rsidP="00DD23BF">
          <w:pPr>
            <w:tabs>
              <w:tab w:val="right" w:leader="dot" w:pos="9344"/>
            </w:tabs>
            <w:spacing w:after="100" w:line="256" w:lineRule="auto"/>
            <w:jc w:val="center"/>
            <w:rPr>
              <w:rFonts w:ascii="Calibri" w:eastAsia="Times New Roman" w:hAnsi="Calibri" w:cs="Times New Roman"/>
              <w:noProof/>
              <w:lang w:eastAsia="ru-RU"/>
            </w:rPr>
          </w:pPr>
          <w:hyperlink r:id="rId25" w:anchor="_Toc517308587" w:history="1">
            <w:r w:rsidRPr="00DD23BF">
              <w:rPr>
                <w:rFonts w:ascii="Times New Roman" w:eastAsia="Calibri" w:hAnsi="Times New Roman" w:cs="Times New Roman"/>
                <w:noProof/>
                <w:color w:val="0563C1"/>
                <w:sz w:val="28"/>
                <w:u w:val="single"/>
              </w:rPr>
              <w:t>СПИСОК  ЛІТЕРАТУРИ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tab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fldChar w:fldCharType="begin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instrText xml:space="preserve"> PAGEREF _Toc517308587 \h </w:instrTex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fldChar w:fldCharType="separate"/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t>40</w:t>
            </w:r>
            <w:r w:rsidRPr="00DD23BF">
              <w:rPr>
                <w:rFonts w:ascii="Times New Roman" w:eastAsia="Calibri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DD23BF" w:rsidRPr="00DD23BF" w:rsidRDefault="00DD23BF" w:rsidP="00DD23BF">
          <w:pPr>
            <w:spacing w:after="160" w:line="256" w:lineRule="auto"/>
            <w:rPr>
              <w:rFonts w:ascii="Calibri" w:eastAsia="Calibri" w:hAnsi="Calibri" w:cs="Times New Roman"/>
              <w:lang w:val="ru-RU"/>
            </w:rPr>
          </w:pPr>
          <w:r w:rsidRPr="00DD23BF">
            <w:rPr>
              <w:rFonts w:ascii="Calibri" w:eastAsia="Calibri" w:hAnsi="Calibri" w:cs="Times New Roman"/>
              <w:lang w:val="ru-RU"/>
            </w:rPr>
            <w:fldChar w:fldCharType="end"/>
          </w:r>
        </w:p>
      </w:sdtContent>
    </w:sdt>
    <w:p w:rsidR="00DD23BF" w:rsidRDefault="00DD23BF" w:rsidP="00DD23BF">
      <w:pPr>
        <w:rPr>
          <w:lang w:val="ru-RU"/>
        </w:rPr>
      </w:pPr>
    </w:p>
    <w:p w:rsidR="00DD23BF" w:rsidRDefault="00DD23BF" w:rsidP="00DD23BF">
      <w:pPr>
        <w:rPr>
          <w:lang w:val="ru-RU"/>
        </w:rPr>
      </w:pPr>
    </w:p>
    <w:p w:rsidR="00DD23BF" w:rsidRDefault="00DD23BF" w:rsidP="00DD23BF">
      <w:pPr>
        <w:rPr>
          <w:lang w:val="ru-RU"/>
        </w:rPr>
      </w:pPr>
    </w:p>
    <w:p w:rsidR="00DD23BF" w:rsidRDefault="00DD23BF" w:rsidP="00DD23BF">
      <w:pPr>
        <w:rPr>
          <w:lang w:val="ru-RU"/>
        </w:rPr>
      </w:pPr>
    </w:p>
    <w:p w:rsidR="00DD23BF" w:rsidRDefault="00DD23BF" w:rsidP="00DD23BF">
      <w:pPr>
        <w:rPr>
          <w:lang w:val="ru-RU"/>
        </w:rPr>
      </w:pPr>
    </w:p>
    <w:p w:rsidR="00DD23BF" w:rsidRDefault="00DD23BF" w:rsidP="00DD23BF">
      <w:pPr>
        <w:rPr>
          <w:lang w:val="ru-RU"/>
        </w:rPr>
      </w:pPr>
    </w:p>
    <w:p w:rsidR="00DD23BF" w:rsidRDefault="00DD23BF" w:rsidP="00DD23BF">
      <w:pPr>
        <w:rPr>
          <w:lang w:val="ru-RU"/>
        </w:rPr>
      </w:pPr>
    </w:p>
    <w:p w:rsidR="00DD23BF" w:rsidRDefault="00DD23BF" w:rsidP="00DD23BF">
      <w:pPr>
        <w:rPr>
          <w:lang w:val="ru-RU"/>
        </w:rPr>
      </w:pPr>
    </w:p>
    <w:p w:rsidR="00DD23BF" w:rsidRDefault="00DD23BF" w:rsidP="00DD23BF">
      <w:pPr>
        <w:rPr>
          <w:lang w:val="ru-RU"/>
        </w:rPr>
      </w:pPr>
    </w:p>
    <w:p w:rsidR="00DD23BF" w:rsidRPr="00DD23BF" w:rsidRDefault="00DD23BF" w:rsidP="00DD23BF">
      <w:pPr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sz w:val="28"/>
          <w:szCs w:val="28"/>
        </w:rPr>
      </w:pPr>
      <w:r w:rsidRPr="00DD23BF">
        <w:rPr>
          <w:rFonts w:ascii="Calibri" w:eastAsia="Calibri" w:hAnsi="Calibri" w:cs="Times New Roman"/>
          <w:noProof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3094D46" wp14:editId="46E663FA">
                <wp:simplePos x="0" y="0"/>
                <wp:positionH relativeFrom="column">
                  <wp:posOffset>5787390</wp:posOffset>
                </wp:positionH>
                <wp:positionV relativeFrom="paragraph">
                  <wp:posOffset>-343535</wp:posOffset>
                </wp:positionV>
                <wp:extent cx="247650" cy="228600"/>
                <wp:effectExtent l="5715" t="8890" r="13335" b="10160"/>
                <wp:wrapNone/>
                <wp:docPr id="2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7650" cy="22860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margin-left:455.7pt;margin-top:-27.05pt;width:19.5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" strokecolor="white"/>
            </w:pict>
          </mc:Fallback>
        </mc:AlternateContent>
      </w:r>
      <w:bookmarkStart w:id="0" w:name="_Toc517282588"/>
      <w:bookmarkStart w:id="1" w:name="_Toc517308564"/>
      <w:r w:rsidRPr="00DD23BF">
        <w:rPr>
          <w:rFonts w:ascii="Times New Roman" w:eastAsia="Calibri" w:hAnsi="Times New Roman" w:cs="Times New Roman"/>
          <w:b/>
          <w:sz w:val="28"/>
          <w:szCs w:val="28"/>
        </w:rPr>
        <w:t>ВСТУП</w:t>
      </w:r>
      <w:bookmarkEnd w:id="0"/>
      <w:bookmarkEnd w:id="1"/>
    </w:p>
    <w:p w:rsidR="00DD23BF" w:rsidRPr="00DD23BF" w:rsidRDefault="00DD23BF" w:rsidP="00DD23BF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Поведінкове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фенотипування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– процедура комплексної оцінки поведінкових характеристик лабораторних тварин розроблена з метою стандартизації збору і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інтерпритації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поведінкових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данних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для виявлення порушень функціонування центральної нервової системи, починаючи з елементарних моторно-рухових реакцій і закінчуючи особливостями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емоційно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>-психічної сфери.</w:t>
      </w:r>
    </w:p>
    <w:p w:rsidR="00DD23BF" w:rsidRPr="00DD23BF" w:rsidRDefault="00DD23BF" w:rsidP="00DD23BF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Специфіку сучасного поведінкового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фенотипування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експерементальних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тварин визначає, перш за все, наявність високопрофесійного обладнання. Автоматична сучасна фіксація безлічі фізіологічних та поведінкових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праметрів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,  можливість порівняння їх, пошуку кореляції і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тд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>. – все це створило нові можливості для поведінкових досліджень. Найновіші тести створені для оцінки більш тонких функціональних особливостей, зв'язаних з індивідуальною та соціальною поведінкою тварин [11].</w:t>
      </w:r>
    </w:p>
    <w:p w:rsidR="00DD23BF" w:rsidRPr="00DD23BF" w:rsidRDefault="00DD23BF" w:rsidP="00DD23B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Токсичні, вірусні гепатити і також стан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дисбіозу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широко поширені в теперішній час. Це зв'язано з екологічним станом, з частим використанням антибіотиків, вживанням антимікробних і токсичних речовин. При порушенні функцій печінки і збільшенням УПМ в організмі спостерігається велика кількість токсинів, які впливають на ЦНС і разом з тим на поведінку. Даних про взаємозв'язок поведінкових реакцій при захворюваннях печінки і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дисбіозах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майже нема, тому це стало метою наших досліджень [19].</w:t>
      </w:r>
    </w:p>
    <w:p w:rsidR="00DD23BF" w:rsidRPr="00DD23BF" w:rsidRDefault="00DD23BF" w:rsidP="00DD23B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Метою проведеної роботи було дослідити стан локомоторної активності щурів на тлі моделювання гепатиту,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дисбіозу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та їх поєднання.</w:t>
      </w:r>
    </w:p>
    <w:p w:rsidR="00DD23BF" w:rsidRPr="00DD23BF" w:rsidRDefault="00DD23BF" w:rsidP="00DD23BF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3BF">
        <w:rPr>
          <w:rFonts w:ascii="Times New Roman" w:eastAsia="Calibri" w:hAnsi="Times New Roman" w:cs="Times New Roman"/>
          <w:sz w:val="28"/>
          <w:szCs w:val="28"/>
        </w:rPr>
        <w:t>Для досягнення мети були поставленні наступні завдання:</w:t>
      </w:r>
    </w:p>
    <w:p w:rsidR="00DD23BF" w:rsidRPr="00DD23BF" w:rsidRDefault="00DD23BF" w:rsidP="00DD23BF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1. Провести дослідження моторно-рухової та емоційної поведінки щурів в динаміці моделювання токсичного гепатиту,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дисбіозу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та їх поєднання.</w:t>
      </w:r>
    </w:p>
    <w:p w:rsidR="00DD23BF" w:rsidRPr="00DD23BF" w:rsidRDefault="00DD23BF" w:rsidP="00DD23BF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2. Дослідити активність уреази та лізоциму, а також ступеня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дисбіозу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в товстій кишці щурів після моделювання гепатиту,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дисбіозу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та їх поєднання.</w:t>
      </w:r>
    </w:p>
    <w:p w:rsidR="00DD23BF" w:rsidRPr="00DD23BF" w:rsidRDefault="00DD23BF" w:rsidP="00DD23BF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3. Визначити функціональний стан печінки щурів на тлі моделювання гепатиту,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дисбіозу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та  їх поєднання.</w:t>
      </w:r>
    </w:p>
    <w:p w:rsidR="00DD23BF" w:rsidRPr="00DD23BF" w:rsidRDefault="00DD23BF" w:rsidP="00DD23BF">
      <w:pPr>
        <w:spacing w:after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3BF">
        <w:rPr>
          <w:rFonts w:ascii="Times New Roman" w:eastAsia="Calibri" w:hAnsi="Times New Roman" w:cs="Times New Roman"/>
          <w:sz w:val="28"/>
          <w:szCs w:val="28"/>
        </w:rPr>
        <w:t>Об'єкт дослідження.  Поведінкові реакції при патології внутрішніх органів.</w:t>
      </w:r>
    </w:p>
    <w:p w:rsidR="00DD23BF" w:rsidRPr="00DD23BF" w:rsidRDefault="00DD23BF" w:rsidP="00DD23BF">
      <w:pPr>
        <w:spacing w:after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Предмет дослідження. Зміна поведінки щурів на тлі моделюванні гепатиту,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дисбіозу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та поєднаної патології.</w:t>
      </w:r>
    </w:p>
    <w:p w:rsidR="00DD23BF" w:rsidRPr="00DD23BF" w:rsidRDefault="00DD23BF" w:rsidP="00DD23BF">
      <w:pPr>
        <w:spacing w:after="160" w:line="360" w:lineRule="auto"/>
        <w:ind w:left="283" w:hanging="425"/>
        <w:jc w:val="center"/>
        <w:outlineLvl w:val="0"/>
        <w:rPr>
          <w:rFonts w:ascii="Times New Roman" w:eastAsia="Calibri" w:hAnsi="Times New Roman" w:cs="Times New Roman"/>
          <w:b/>
          <w:sz w:val="28"/>
          <w:szCs w:val="28"/>
        </w:rPr>
      </w:pPr>
      <w:bookmarkStart w:id="2" w:name="_Toc517308582"/>
      <w:bookmarkStart w:id="3" w:name="_Toc517282603"/>
      <w:r w:rsidRPr="00DD23BF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ВИСНОВКИ</w:t>
      </w:r>
      <w:bookmarkEnd w:id="2"/>
      <w:bookmarkEnd w:id="3"/>
    </w:p>
    <w:p w:rsidR="00DD23BF" w:rsidRPr="00DD23BF" w:rsidRDefault="00DD23BF" w:rsidP="00DD23BF">
      <w:pPr>
        <w:numPr>
          <w:ilvl w:val="0"/>
          <w:numId w:val="1"/>
        </w:numPr>
        <w:spacing w:after="160" w:line="360" w:lineRule="auto"/>
        <w:contextualSpacing/>
        <w:jc w:val="both"/>
        <w:outlineLvl w:val="0"/>
        <w:rPr>
          <w:rFonts w:ascii="Times New Roman" w:eastAsia="Calibri" w:hAnsi="Times New Roman" w:cs="Times New Roman"/>
          <w:sz w:val="28"/>
          <w:szCs w:val="28"/>
        </w:rPr>
      </w:pPr>
      <w:bookmarkStart w:id="4" w:name="_Toc517308583"/>
      <w:bookmarkStart w:id="5" w:name="_Toc517283462"/>
      <w:bookmarkStart w:id="6" w:name="_Toc517282604"/>
      <w:bookmarkStart w:id="7" w:name="_Toc517109465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Проведення дослідження встановило негативну дію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гідразин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сульфату,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лінкоміцину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>, та  в більшій мірі їх поєднання, на поведінку лабораторних щурів: суттєво знизилась дослідно-рухова активність, орієнтовна активність, а також пригнічення емоційного статусу.</w:t>
      </w:r>
      <w:bookmarkEnd w:id="4"/>
      <w:bookmarkEnd w:id="5"/>
      <w:bookmarkEnd w:id="6"/>
      <w:bookmarkEnd w:id="7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Збільшення актів дефекації зв'язано з порушенням роботи шлунково-кишкового тракту.</w:t>
      </w:r>
    </w:p>
    <w:p w:rsidR="00DD23BF" w:rsidRPr="00DD23BF" w:rsidRDefault="00DD23BF" w:rsidP="00DD23BF">
      <w:pPr>
        <w:numPr>
          <w:ilvl w:val="0"/>
          <w:numId w:val="1"/>
        </w:numPr>
        <w:spacing w:after="160" w:line="360" w:lineRule="auto"/>
        <w:contextualSpacing/>
        <w:jc w:val="both"/>
        <w:outlineLvl w:val="0"/>
        <w:rPr>
          <w:rFonts w:ascii="Times New Roman" w:eastAsia="Calibri" w:hAnsi="Times New Roman" w:cs="Times New Roman"/>
          <w:sz w:val="28"/>
          <w:szCs w:val="28"/>
        </w:rPr>
      </w:pPr>
      <w:bookmarkStart w:id="8" w:name="_Toc517308585"/>
      <w:bookmarkStart w:id="9" w:name="_Toc517283464"/>
      <w:bookmarkStart w:id="10" w:name="_Toc517282606"/>
      <w:bookmarkStart w:id="11" w:name="_Toc517109467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Введення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гідразину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при моделюванні гепатиту або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лінкоміцину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при моделюванні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дисбіозу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сприяє зниженню активності лізоциму, підвищення активності  уреази  та  ступеню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дисбіозу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в слизовій оболонці товстої кишки. Поєднання цих чинників більшою мірою змінює показники в слизовій оболонці товстої кишки.</w:t>
      </w:r>
      <w:bookmarkEnd w:id="8"/>
      <w:bookmarkEnd w:id="9"/>
      <w:bookmarkEnd w:id="10"/>
      <w:bookmarkEnd w:id="11"/>
    </w:p>
    <w:p w:rsidR="00DD23BF" w:rsidRPr="00DD23BF" w:rsidRDefault="00DD23BF" w:rsidP="00DD23BF">
      <w:pPr>
        <w:numPr>
          <w:ilvl w:val="0"/>
          <w:numId w:val="1"/>
        </w:numPr>
        <w:spacing w:after="160" w:line="360" w:lineRule="auto"/>
        <w:contextualSpacing/>
        <w:jc w:val="both"/>
        <w:outlineLvl w:val="0"/>
        <w:rPr>
          <w:rFonts w:ascii="Times New Roman" w:eastAsia="Calibri" w:hAnsi="Times New Roman" w:cs="Times New Roman"/>
          <w:sz w:val="28"/>
          <w:szCs w:val="28"/>
        </w:rPr>
      </w:pPr>
      <w:bookmarkStart w:id="12" w:name="_Toc517308586"/>
      <w:bookmarkStart w:id="13" w:name="_Toc517283465"/>
      <w:bookmarkStart w:id="14" w:name="_Toc517282607"/>
      <w:bookmarkStart w:id="15" w:name="_Toc517109468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Моделювання  гепатиту  за допомогою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гідразин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сульфату або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дисбіозу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після введення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лінкоміцину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викликали підвищення активності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аспартатамінотрансферази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аланінамінотрансферази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та лужної фосфатази. Найбільш суттєві порушення функції печінки зареєстровані після поєднання патогенних факторів.</w:t>
      </w:r>
      <w:bookmarkEnd w:id="12"/>
      <w:bookmarkEnd w:id="13"/>
      <w:bookmarkEnd w:id="14"/>
      <w:bookmarkEnd w:id="15"/>
    </w:p>
    <w:p w:rsidR="00DD23BF" w:rsidRPr="00DD23BF" w:rsidRDefault="00DD23BF" w:rsidP="00DD23BF">
      <w:pPr>
        <w:spacing w:after="160" w:line="256" w:lineRule="auto"/>
        <w:rPr>
          <w:rFonts w:ascii="Times New Roman" w:eastAsia="Calibri" w:hAnsi="Times New Roman" w:cs="Times New Roman"/>
          <w:sz w:val="28"/>
          <w:szCs w:val="28"/>
        </w:rPr>
      </w:pPr>
      <w:r w:rsidRPr="00DD23BF">
        <w:rPr>
          <w:rFonts w:ascii="Times New Roman" w:eastAsia="Calibri" w:hAnsi="Times New Roman" w:cs="Times New Roman"/>
          <w:sz w:val="28"/>
          <w:szCs w:val="28"/>
        </w:rPr>
        <w:br w:type="page"/>
      </w:r>
    </w:p>
    <w:p w:rsidR="00DD23BF" w:rsidRPr="00DD23BF" w:rsidRDefault="00DD23BF" w:rsidP="00DD23BF">
      <w:pPr>
        <w:spacing w:after="0" w:line="360" w:lineRule="auto"/>
        <w:ind w:left="283" w:hanging="425"/>
        <w:jc w:val="center"/>
        <w:outlineLvl w:val="0"/>
        <w:rPr>
          <w:rFonts w:ascii="Times New Roman" w:eastAsia="Calibri" w:hAnsi="Times New Roman" w:cs="Times New Roman"/>
          <w:b/>
          <w:sz w:val="28"/>
          <w:szCs w:val="28"/>
        </w:rPr>
      </w:pPr>
      <w:bookmarkStart w:id="16" w:name="_Toc517308587"/>
      <w:bookmarkStart w:id="17" w:name="_Toc517282608"/>
      <w:r w:rsidRPr="00DD23BF">
        <w:rPr>
          <w:rFonts w:ascii="Times New Roman" w:eastAsia="Calibri" w:hAnsi="Times New Roman" w:cs="Times New Roman"/>
          <w:b/>
          <w:sz w:val="28"/>
          <w:szCs w:val="28"/>
        </w:rPr>
        <w:lastRenderedPageBreak/>
        <w:t>СПИСОК  ЛІТЕРАТУРИ</w:t>
      </w:r>
      <w:bookmarkEnd w:id="16"/>
      <w:bookmarkEnd w:id="17"/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Авдеева М.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Г., </w:t>
      </w:r>
      <w:proofErr w:type="spellStart"/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Шубич</w:t>
      </w:r>
      <w:proofErr w:type="spellEnd"/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М</w:t>
      </w:r>
      <w:proofErr w:type="gramStart"/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.</w:t>
      </w:r>
      <w:proofErr w:type="gramEnd"/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Г.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Патогенетические механизмы инициации синдрома системного воспалительного ответа (обзор литературы) // Клиническая лабораторная диагностика. – 2003. – № 6. – С. 3-10.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Алексеева И.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П.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др. Печень и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иммунологическиая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реактивность. – К.: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Наукова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думка, 1991. – 166 с.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D23BF">
        <w:rPr>
          <w:rFonts w:ascii="Times New Roman" w:eastAsia="Calibri" w:hAnsi="Times New Roman" w:cs="Times New Roman"/>
          <w:i/>
          <w:sz w:val="28"/>
          <w:szCs w:val="28"/>
        </w:rPr>
        <w:t>Бабак О. Я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. и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др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Фиброз печени: современные представления о механизмах, способах диагностики и лечения //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Сучасна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гастроентеролог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>і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я. – </w:t>
      </w:r>
      <w:r w:rsidRPr="00DD23BF">
        <w:rPr>
          <w:rFonts w:ascii="Times New Roman" w:eastAsia="Calibri" w:hAnsi="Times New Roman" w:cs="Times New Roman"/>
          <w:sz w:val="28"/>
          <w:szCs w:val="28"/>
        </w:rPr>
        <w:t>2009. – № 2 (4). – С. 5-17.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DD23BF">
        <w:rPr>
          <w:rFonts w:ascii="Times New Roman" w:eastAsia="Calibri" w:hAnsi="Times New Roman" w:cs="Times New Roman"/>
          <w:i/>
          <w:sz w:val="28"/>
          <w:szCs w:val="28"/>
        </w:rPr>
        <w:t>Белоконова</w:t>
      </w:r>
      <w:proofErr w:type="spellEnd"/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Л. А., Москаленко С. В.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Оп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ыт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применения препарата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Лактофильтрум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при вирусах гепатитах различной этиологии у детей 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// Ліки України. – 2007. – № 114. – С. 54-55.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Бондаренко В.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DD23BF">
        <w:rPr>
          <w:rFonts w:ascii="Times New Roman" w:eastAsia="Calibri" w:hAnsi="Times New Roman" w:cs="Times New Roman"/>
          <w:i/>
          <w:sz w:val="28"/>
          <w:szCs w:val="28"/>
        </w:rPr>
        <w:t>Рябиченко</w:t>
      </w:r>
      <w:proofErr w:type="spellEnd"/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Е. В</w:t>
      </w:r>
      <w:r w:rsidRPr="00DD23BF">
        <w:rPr>
          <w:rFonts w:ascii="Times New Roman" w:eastAsia="Calibri" w:hAnsi="Times New Roman" w:cs="Times New Roman"/>
          <w:sz w:val="28"/>
          <w:szCs w:val="28"/>
        </w:rPr>
        <w:t>.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Роль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транслокации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кишечной бактериальной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аутофлоры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ее токсических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биомолекул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патологии человека 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//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Экспериментальные и клинические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сиоптроэнтерология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. – 2007. – № 5. – С. 86-93.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i/>
          <w:sz w:val="28"/>
          <w:szCs w:val="28"/>
          <w:lang w:val="ru-RU"/>
        </w:rPr>
      </w:pP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Воробьева 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Л.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И.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Абилев</w:t>
      </w:r>
      <w:proofErr w:type="spellEnd"/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К.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Антимутагенные свойства бактерий (обзор) // Прикладная биохимия и микробиология. – 2002. – Т. 38</w:t>
      </w:r>
      <w:r w:rsidRPr="00DD23BF">
        <w:rPr>
          <w:rFonts w:ascii="Times New Roman" w:eastAsia="Calibri" w:hAnsi="Times New Roman" w:cs="Times New Roman"/>
          <w:sz w:val="28"/>
          <w:szCs w:val="28"/>
        </w:rPr>
        <w:t>,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№ 2. – С. 115-127.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DD23BF">
        <w:rPr>
          <w:rFonts w:ascii="Times New Roman" w:eastAsia="Calibri" w:hAnsi="Times New Roman" w:cs="Times New Roman"/>
          <w:i/>
          <w:sz w:val="28"/>
          <w:szCs w:val="28"/>
        </w:rPr>
        <w:t>Гаврикова</w:t>
      </w:r>
      <w:proofErr w:type="spellEnd"/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Л. М., </w:t>
      </w:r>
      <w:proofErr w:type="spellStart"/>
      <w:r w:rsidRPr="00DD23BF">
        <w:rPr>
          <w:rFonts w:ascii="Times New Roman" w:eastAsia="Calibri" w:hAnsi="Times New Roman" w:cs="Times New Roman"/>
          <w:i/>
          <w:sz w:val="28"/>
          <w:szCs w:val="28"/>
        </w:rPr>
        <w:t>Сегень</w:t>
      </w:r>
      <w:proofErr w:type="spellEnd"/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И. Т.,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Уреазная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активность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ротовой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жидкости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у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больн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ых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 острой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одонтогенной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инфекцией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челюстно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лицевой области // Стоматология. – 1996. – Спец.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</w:t>
      </w:r>
      <w:r w:rsidRPr="00DD23BF">
        <w:rPr>
          <w:rFonts w:ascii="Times New Roman" w:eastAsia="Calibri" w:hAnsi="Times New Roman" w:cs="Times New Roman"/>
          <w:sz w:val="28"/>
          <w:szCs w:val="28"/>
        </w:rPr>
        <w:t>С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. 49 – 50.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Гарбузенко</w:t>
      </w:r>
      <w:proofErr w:type="spellEnd"/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Д.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В.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Роль микрофлоры кишечника в развитии осложнений портальной гипертензии при циррозе печени // Клиническая медицина. – 2007. – Т. 85, № 8. – С. 15-19.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Глушанова</w:t>
      </w:r>
      <w:proofErr w:type="spellEnd"/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Н.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А.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Биологические свойства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лактобацилл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Бюллетень сибирской медицины. – 2003. – Т. 2, № 4. – С. 50-57.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Гостищев</w:t>
      </w:r>
      <w:proofErr w:type="spellEnd"/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В.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К.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др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Бактериальная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транслокация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условиях острой непроходимости кишечника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// Вестник РАМН.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sym w:font="Symbol" w:char="F02D"/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2006.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sym w:font="Symbol" w:char="F02D"/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№ 9-10.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sym w:font="Symbol" w:char="F02D"/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 34-38.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proofErr w:type="gramStart"/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Гостюхина</w:t>
      </w:r>
      <w:proofErr w:type="spellEnd"/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А.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А., </w:t>
      </w:r>
      <w:proofErr w:type="spellStart"/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Замощина</w:t>
      </w:r>
      <w:proofErr w:type="spellEnd"/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Т.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А., </w:t>
      </w:r>
      <w:proofErr w:type="spellStart"/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Светлик</w:t>
      </w:r>
      <w:proofErr w:type="spellEnd"/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М.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В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и др. Поведенческая активность крыс в «Открытом поле» после световой или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темновой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депривации.</w:t>
      </w:r>
      <w:proofErr w:type="gram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Bulletin of Siberian Medicine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, 2016,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vol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. 15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no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3, 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pp</w:t>
      </w:r>
      <w:r w:rsidRPr="00DD23BF">
        <w:rPr>
          <w:rFonts w:ascii="Times New Roman" w:eastAsia="Calibri" w:hAnsi="Times New Roman" w:cs="Times New Roman"/>
          <w:sz w:val="28"/>
          <w:szCs w:val="28"/>
        </w:rPr>
        <w:t>. 16-23.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lastRenderedPageBreak/>
        <w:t>Денисенко В.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В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др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Рост молочнокислых бактерий на срезах,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содержащих желчь: Материалы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междунар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. конгресса "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Пробиотики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пребиотики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синбиотики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функциональные продукты питания. Фундаментальные и клинические аспекты", (СПб, 15-16 мая 2007 г.) // Клиническое питание. – 2007. – № 1-2. – С. 37.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Жаркова</w:t>
      </w:r>
      <w:proofErr w:type="spellEnd"/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М.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С.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др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Современный взгляд на бактериальные осложнения при циррозе печени // Российский журнал гастроэнтерологии,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гепатологии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колопроктологии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. – 2010. – № 6. – С. 61-69.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Ивашкин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В.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Т.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Иммунный гомеостаз и иммунные заболевания печени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// Российский журнал гастроэнтерологии,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гепатологии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колопроктологии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. – 2009. – № 3. – С. 4-12.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Кузнецова Л.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В.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Роль печени в иммунной системе организма человека // </w:t>
      </w:r>
      <w:r w:rsidRPr="00DD23BF">
        <w:rPr>
          <w:rFonts w:ascii="Times New Roman" w:eastAsia="Calibri" w:hAnsi="Times New Roman" w:cs="Times New Roman"/>
          <w:sz w:val="28"/>
          <w:szCs w:val="28"/>
        </w:rPr>
        <w:t>Сімейна медицина. – 2008. – № 2. – С. 37-40.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Лахтин В.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М.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др.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Лектины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адгезины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лектиноподобные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вещества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лактобацилл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бифидобактерий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Вестник РАМН. – 2006. – № 1. – С. 28-34.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Левицкий А.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П.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Лизоцим вместо антибиотиков – Одеса: КП «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Одеська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</w:t>
      </w:r>
      <w:r w:rsidRPr="00DD23BF">
        <w:rPr>
          <w:rFonts w:ascii="Times New Roman" w:eastAsia="Calibri" w:hAnsi="Times New Roman" w:cs="Times New Roman"/>
          <w:sz w:val="28"/>
          <w:szCs w:val="28"/>
        </w:rPr>
        <w:t>і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ська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друкарня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>», 2005. – С. 55-56.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Левицкий А.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П.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др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Ферментативный метод определения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дисбиоза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полости рта для скрининга пр</w:t>
      </w:r>
      <w:proofErr w:type="gram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о-</w:t>
      </w:r>
      <w:proofErr w:type="gram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пребиотиков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: Метод</w:t>
      </w:r>
      <w:proofErr w:type="gram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екомендации. – К.: ГФЦ, 2007. – 26 с.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DD23BF">
        <w:rPr>
          <w:rFonts w:ascii="Times New Roman" w:eastAsia="Calibri" w:hAnsi="Times New Roman" w:cs="Times New Roman"/>
          <w:i/>
          <w:sz w:val="28"/>
          <w:szCs w:val="28"/>
        </w:rPr>
        <w:t>Левицкий</w:t>
      </w:r>
      <w:proofErr w:type="spellEnd"/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А. П., </w:t>
      </w:r>
      <w:proofErr w:type="spellStart"/>
      <w:r w:rsidRPr="00DD23BF">
        <w:rPr>
          <w:rFonts w:ascii="Times New Roman" w:eastAsia="Calibri" w:hAnsi="Times New Roman" w:cs="Times New Roman"/>
          <w:i/>
          <w:sz w:val="28"/>
          <w:szCs w:val="28"/>
        </w:rPr>
        <w:t>Демьяненко</w:t>
      </w:r>
      <w:proofErr w:type="spellEnd"/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С. А., </w:t>
      </w:r>
      <w:proofErr w:type="spellStart"/>
      <w:r w:rsidRPr="00DD23BF">
        <w:rPr>
          <w:rFonts w:ascii="Times New Roman" w:eastAsia="Calibri" w:hAnsi="Times New Roman" w:cs="Times New Roman"/>
          <w:i/>
          <w:sz w:val="28"/>
          <w:szCs w:val="28"/>
        </w:rPr>
        <w:t>Цисельський</w:t>
      </w:r>
      <w:proofErr w:type="spellEnd"/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Ю. В.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Антимикробная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функция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печени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– Одеса : КП «Одеська міська друкарня», 2011. – 141с.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Никитин И.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Г.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и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др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Состояние кишечной микрофлоры у пациентов с </w:t>
      </w:r>
      <w:proofErr w:type="gram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неалкогольным</w:t>
      </w:r>
      <w:proofErr w:type="gram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стеатогепатитом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Российский журнал гастроэнтерологии,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гепатологии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колопроктологии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. – 2002. –№ 5. – С. 40-44.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Палий И.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Г.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Роль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энтеросорбции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лечении заболеваний печени //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Ліки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sym w:font="Symbol" w:char="F02D"/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2008.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sym w:font="Symbol" w:char="F02D"/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№ 4/120.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sym w:font="Symbol" w:char="F02D"/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 95-97.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3BF">
        <w:rPr>
          <w:rFonts w:ascii="Times New Roman" w:eastAsia="Calibri" w:hAnsi="Times New Roman" w:cs="Times New Roman"/>
          <w:i/>
          <w:sz w:val="28"/>
          <w:szCs w:val="28"/>
        </w:rPr>
        <w:t>Полтавська О. А., Коваленко Н. К.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Антигоністичні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властивості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біфідобактерій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>, ізольованих із різних природних джерел // Мікробіологічний журнал. – 2005. – Т. 67, № 2. – С. 70-80.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lastRenderedPageBreak/>
        <w:t>Со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>з</w:t>
      </w:r>
      <w:proofErr w:type="spellStart"/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инов</w:t>
      </w:r>
      <w:proofErr w:type="spellEnd"/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  А.  С.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др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Кишечная микрофлора и сопутствующие заболевания желудочно-кишечного тракта у больных хроническими вирусными гепатитами </w:t>
      </w:r>
      <w:proofErr w:type="gram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С // ЖМЭИ.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sym w:font="Symbol" w:char="F02D"/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2002.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sym w:font="Symbol" w:char="F02D"/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№ 1.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sym w:font="Symbol" w:char="F02D"/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 61-64.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Соловьева Т.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Ф.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DD23BF">
        <w:rPr>
          <w:rFonts w:ascii="Times New Roman" w:eastAsia="Calibri" w:hAnsi="Times New Roman" w:cs="Times New Roman"/>
          <w:i/>
          <w:sz w:val="28"/>
          <w:szCs w:val="28"/>
        </w:rPr>
        <w:t>Оводов</w:t>
      </w:r>
      <w:proofErr w:type="spellEnd"/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Ю. С.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Биологические свойства эндотоксинов грамотрицательных бактерий // Успехи современной биологии.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sym w:font="Symbol" w:char="F02D"/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1980.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sym w:font="Symbol" w:char="F02D"/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Т. 90, № 1 (4).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sym w:font="Symbol" w:char="F02D"/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 62-79.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Терновская 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Л.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Н.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и др.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Особенности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микробиоценоза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толстой кишки людей с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дисфункциональными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расстройствами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билиарного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тракта // ЖМЭИ. – 2009. – № 3. – С. 89-92.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Ткаченко Е.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И.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Питание.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Эндоэкология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человека, здоровье, болезни. Современный взгляд на проблему их взаимосвязей // Терапевтический архив. – 2004. – Т. 76, № 2. – С. 67-71.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Томова Т. А., </w:t>
      </w:r>
      <w:proofErr w:type="spellStart"/>
      <w:r w:rsidRPr="00DD23BF">
        <w:rPr>
          <w:rFonts w:ascii="Times New Roman" w:eastAsia="Calibri" w:hAnsi="Times New Roman" w:cs="Times New Roman"/>
          <w:i/>
          <w:sz w:val="28"/>
          <w:szCs w:val="28"/>
        </w:rPr>
        <w:t>Самощина</w:t>
      </w:r>
      <w:proofErr w:type="spellEnd"/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Т. А., </w:t>
      </w:r>
      <w:proofErr w:type="spellStart"/>
      <w:r w:rsidRPr="00DD23BF">
        <w:rPr>
          <w:rFonts w:ascii="Times New Roman" w:eastAsia="Calibri" w:hAnsi="Times New Roman" w:cs="Times New Roman"/>
          <w:i/>
          <w:sz w:val="28"/>
          <w:szCs w:val="28"/>
        </w:rPr>
        <w:t>Просекина</w:t>
      </w:r>
      <w:proofErr w:type="spellEnd"/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Е. Ю., </w:t>
      </w:r>
      <w:proofErr w:type="spellStart"/>
      <w:r w:rsidRPr="00DD23BF">
        <w:rPr>
          <w:rFonts w:ascii="Times New Roman" w:eastAsia="Calibri" w:hAnsi="Times New Roman" w:cs="Times New Roman"/>
          <w:i/>
          <w:sz w:val="28"/>
          <w:szCs w:val="28"/>
        </w:rPr>
        <w:t>Светлик</w:t>
      </w:r>
      <w:proofErr w:type="spellEnd"/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М. В.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Влияние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карбахолина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глицилпролина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GLY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PRO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 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на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секреторную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функцию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желудка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зависимости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от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реактивности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ЦНС у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кр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ыс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Экспер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. И клин</w:t>
      </w:r>
      <w:proofErr w:type="gram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ф</w:t>
      </w:r>
      <w:proofErr w:type="gram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армакол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. 2015. Т. 78, № 3. С. 13-16.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Умрюхин</w:t>
      </w:r>
      <w:proofErr w:type="spellEnd"/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П.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Е., </w:t>
      </w:r>
      <w:proofErr w:type="spellStart"/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Григорчук</w:t>
      </w:r>
      <w:proofErr w:type="spellEnd"/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О.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Кортикостерон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крови и ликвора у крыс с различным поведением в открытом поле при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стрессорной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нагрузке // Международный журнал прикладных и фундаментальных исследований. 2015. Т. 11, № 3. С. 372-374.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D23BF">
        <w:rPr>
          <w:rFonts w:ascii="Times New Roman" w:eastAsia="Calibri" w:hAnsi="Times New Roman" w:cs="Times New Roman"/>
          <w:i/>
          <w:sz w:val="28"/>
          <w:szCs w:val="28"/>
        </w:rPr>
        <w:t>Харченко Н.  В.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Диагностика и лечение хронических гепатитов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// Лікування та діагностика. – 1999. – № 1. – С. 9-15.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Циммерман</w:t>
      </w:r>
      <w:proofErr w:type="spellEnd"/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Я.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С.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Дисбиоз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(дисбактериоз) кишечника и/или "синдром избыточного бактериального роста" // Клиническая медицина.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sym w:font="Symbol" w:char="F02D"/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2005.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sym w:font="Symbol" w:char="F02D"/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№ 4.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sym w:font="Symbol" w:char="F02D"/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 14-22.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Черкасов В.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А.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др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Микробиологические аспекты хирургической патологии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билиарной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системы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// Вестник хирургии им. 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Грекова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sym w:font="Symbol" w:char="F02D"/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2003.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sym w:font="Symbol" w:char="F02D"/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Т. 162, № 2.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sym w:font="Symbol" w:char="F02D"/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 109-113.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Шендеров</w:t>
      </w:r>
      <w:proofErr w:type="spellEnd"/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А.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Нормальная микрофлора и ее роль в поддержании здоровья человека 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//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Российский журнал гастроэнтерологии,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гепатологии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колопроктологии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. – 1998. – № 1. – С. 61-65.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lastRenderedPageBreak/>
        <w:t>Яковлев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М.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Ю.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Роль кишечной микрофлоры и недостаточности барьерной функции печени в развитии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эндотоксинемии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воспаления // Казанский медицинский журнал.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sym w:font="Symbol" w:char="F02D"/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1988.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sym w:font="Symbol" w:char="F02D"/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Т.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69, №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5.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sym w:font="Symbol" w:char="F02D"/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353-358.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23BF">
        <w:rPr>
          <w:rFonts w:ascii="Times New Roman" w:eastAsia="Calibri" w:hAnsi="Times New Roman" w:cs="Times New Roman"/>
          <w:i/>
          <w:sz w:val="28"/>
          <w:szCs w:val="28"/>
        </w:rPr>
        <w:t>Янковский</w:t>
      </w:r>
      <w:proofErr w:type="spellEnd"/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 Д. С., </w:t>
      </w:r>
      <w:proofErr w:type="spellStart"/>
      <w:r w:rsidRPr="00DD23BF">
        <w:rPr>
          <w:rFonts w:ascii="Times New Roman" w:eastAsia="Calibri" w:hAnsi="Times New Roman" w:cs="Times New Roman"/>
          <w:i/>
          <w:sz w:val="28"/>
          <w:szCs w:val="28"/>
        </w:rPr>
        <w:t>Дымент</w:t>
      </w:r>
      <w:proofErr w:type="spellEnd"/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 Г. С.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Микрофлора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здоровье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человека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>. – К.: Червона Рута-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</w:rPr>
        <w:t>Турс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>, 2008. – 552 с.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>Hirono</w:t>
      </w:r>
      <w:proofErr w:type="spellEnd"/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J. </w:t>
      </w:r>
      <w:proofErr w:type="gramStart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et</w:t>
      </w:r>
      <w:proofErr w:type="gramEnd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al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>.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The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effect of Lactobacillus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rhamnosus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on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enterohemorrhagic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Escherichia coli infection of human intestinal cells in vitro //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Microbiol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and</w:t>
      </w:r>
      <w:proofErr w:type="gramEnd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Immunol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2003. – V. 47, </w:t>
      </w:r>
      <w:r w:rsidRPr="00DD23BF">
        <w:rPr>
          <w:rFonts w:ascii="Times New Roman" w:eastAsia="Calibri" w:hAnsi="Times New Roman" w:cs="Times New Roman"/>
          <w:sz w:val="28"/>
          <w:szCs w:val="28"/>
        </w:rPr>
        <w:t>№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 6. –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. 405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noBreakHyphen/>
        <w:t>409.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Hofmann 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>A</w:t>
      </w:r>
      <w:proofErr w:type="gramEnd"/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>.F.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Detoxification of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lithocholic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atoxic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bile and: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relevanc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to drug hepatotoxicity // Drug.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Metab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. Rev. – 2004. – V. 36. – P. 703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noBreakHyphen/>
        <w:t>722.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3BF">
        <w:rPr>
          <w:rFonts w:ascii="Times New Roman" w:eastAsia="Calibri" w:hAnsi="Times New Roman" w:cs="Times New Roman"/>
          <w:i/>
          <w:sz w:val="28"/>
          <w:szCs w:val="28"/>
          <w:lang w:val="fr-FR"/>
        </w:rPr>
        <w:t>Lorenzo-Zuniga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fr-FR"/>
        </w:rPr>
        <w:t xml:space="preserve"> V. </w:t>
      </w:r>
      <w:r w:rsidRPr="00DD23BF">
        <w:rPr>
          <w:rFonts w:ascii="Times New Roman" w:eastAsia="Calibri" w:hAnsi="Times New Roman" w:cs="Times New Roman"/>
          <w:sz w:val="28"/>
          <w:szCs w:val="28"/>
          <w:lang w:val="fr-FR"/>
        </w:rPr>
        <w:t xml:space="preserve">et al. 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Oral bile acids reduce bacterial overgrowth, bacterial translocation, and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endotoxemia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 cirrhotic rats // Hepatology. – 2003. – V. 37, № 3. – </w:t>
      </w:r>
      <w:proofErr w:type="gram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. 551</w:t>
      </w:r>
      <w:proofErr w:type="gramEnd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-557.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Marshall 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>I</w:t>
      </w:r>
      <w:proofErr w:type="gramEnd"/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>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E. 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et al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>.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Aspects of the effect of bile salts on Candida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albicans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J. Med. Vet. Mycol. – 1987. – V. 25, </w:t>
      </w:r>
      <w:r w:rsidRPr="00DD23BF">
        <w:rPr>
          <w:rFonts w:ascii="Times New Roman" w:eastAsia="Calibri" w:hAnsi="Times New Roman" w:cs="Times New Roman"/>
          <w:sz w:val="28"/>
          <w:szCs w:val="28"/>
        </w:rPr>
        <w:t>№ 5. – Р. 307-31.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>Münch</w:t>
      </w:r>
      <w:proofErr w:type="spellEnd"/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A. 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et al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>.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Dihydroxy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bile acids increase mucosal permeability and bacterial uptake in human colon biopsies // Scand. J.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Gastroenterol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. – 2007. – V. 42</w:t>
      </w:r>
      <w:r w:rsidRPr="00DD23BF">
        <w:rPr>
          <w:rFonts w:ascii="Times New Roman" w:eastAsia="Calibri" w:hAnsi="Times New Roman" w:cs="Times New Roman"/>
          <w:sz w:val="28"/>
          <w:szCs w:val="28"/>
        </w:rPr>
        <w:t>, № 10. – Р. 1167-1174.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>O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sym w:font="Symbol" w:char="F0A2"/>
      </w:r>
      <w:proofErr w:type="gramStart"/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Hara 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>A</w:t>
      </w:r>
      <w:proofErr w:type="gramEnd"/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>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M., Shanahan 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>F.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The gut flora as a forgotten organ / A. M. O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sym w:font="Symbol" w:char="F0A2"/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Hara, // EMBO Rep. – 2006. – V. 7, </w:t>
      </w:r>
      <w:r w:rsidRPr="00DD23BF">
        <w:rPr>
          <w:rFonts w:ascii="Times New Roman" w:eastAsia="Calibri" w:hAnsi="Times New Roman" w:cs="Times New Roman"/>
          <w:sz w:val="28"/>
          <w:szCs w:val="28"/>
        </w:rPr>
        <w:t>№ 7. – Р. 688-693.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>Palmeira</w:t>
      </w:r>
      <w:proofErr w:type="spellEnd"/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C.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>M., Polo A.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>P.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Mitochondrially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-mediated toxicity of bile acids // Toxicology. – 2004. – V. 203, </w:t>
      </w:r>
      <w:r w:rsidRPr="00DD23BF">
        <w:rPr>
          <w:rFonts w:ascii="Times New Roman" w:eastAsia="Calibri" w:hAnsi="Times New Roman" w:cs="Times New Roman"/>
          <w:sz w:val="28"/>
          <w:szCs w:val="28"/>
        </w:rPr>
        <w:t>№ 1. – Р. 1-75.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>Parker G.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A., </w:t>
      </w:r>
      <w:proofErr w:type="spellStart"/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>Picut</w:t>
      </w:r>
      <w:proofErr w:type="spellEnd"/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C.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>A.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Liver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immunobiology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Toxicologic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Pathology. – 2005. – V. 33, </w:t>
      </w:r>
      <w:r w:rsidRPr="00DD23BF">
        <w:rPr>
          <w:rFonts w:ascii="Times New Roman" w:eastAsia="Calibri" w:hAnsi="Times New Roman" w:cs="Times New Roman"/>
          <w:sz w:val="28"/>
          <w:szCs w:val="28"/>
        </w:rPr>
        <w:t>№ 1. – Р. 52-62.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>Xu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>C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>P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et al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>.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Dynamic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changes and mechanism of intestinal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endotoxemia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 partially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hepatectomized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rats // World J.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Gastroenterol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sym w:font="Symbol" w:char="F02D"/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2007. 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sym w:font="Symbol" w:char="F02D"/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V. 13</w:t>
      </w:r>
      <w:proofErr w:type="gramStart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,</w:t>
      </w:r>
      <w:r w:rsidRPr="00DD23BF">
        <w:rPr>
          <w:rFonts w:ascii="Times New Roman" w:eastAsia="Calibri" w:hAnsi="Times New Roman" w:cs="Times New Roman"/>
          <w:sz w:val="28"/>
          <w:szCs w:val="28"/>
        </w:rPr>
        <w:t>№</w:t>
      </w:r>
      <w:proofErr w:type="gramEnd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 26.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sym w:font="Symbol" w:char="F02D"/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. 3592-3597.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>Wiest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R</w:t>
      </w:r>
      <w:proofErr w:type="gramEnd"/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>., Garcia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noBreakHyphen/>
      </w:r>
      <w:proofErr w:type="spellStart"/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>Tsao</w:t>
      </w:r>
      <w:proofErr w:type="spellEnd"/>
      <w:r w:rsidRPr="00DD23B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G.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Bacterial translocation (BT) in cirrhosis // Hepatology. – 2005. – V. 41, </w:t>
      </w:r>
      <w:r w:rsidRPr="00DD23BF">
        <w:rPr>
          <w:rFonts w:ascii="Times New Roman" w:eastAsia="Calibri" w:hAnsi="Times New Roman" w:cs="Times New Roman"/>
          <w:sz w:val="28"/>
          <w:szCs w:val="28"/>
        </w:rPr>
        <w:t>№ 3. – Р. 422-433.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3BF">
        <w:rPr>
          <w:rFonts w:ascii="Times New Roman" w:eastAsia="Calibri" w:hAnsi="Times New Roman" w:cs="Times New Roman"/>
          <w:i/>
          <w:sz w:val="28"/>
          <w:szCs w:val="28"/>
          <w:lang w:val="fr-FR"/>
        </w:rPr>
        <w:lastRenderedPageBreak/>
        <w:t>Wigg A.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fr-FR"/>
        </w:rPr>
        <w:t xml:space="preserve">J. </w:t>
      </w:r>
      <w:r w:rsidRPr="00DD23BF">
        <w:rPr>
          <w:rFonts w:ascii="Times New Roman" w:eastAsia="Calibri" w:hAnsi="Times New Roman" w:cs="Times New Roman"/>
          <w:sz w:val="28"/>
          <w:szCs w:val="28"/>
          <w:lang w:val="fr-FR"/>
        </w:rPr>
        <w:t>et al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fr-FR"/>
        </w:rPr>
        <w:t>.</w:t>
      </w:r>
      <w:r w:rsidRPr="00DD23BF">
        <w:rPr>
          <w:rFonts w:ascii="Times New Roman" w:eastAsia="Calibri" w:hAnsi="Times New Roman" w:cs="Times New Roman"/>
          <w:sz w:val="28"/>
          <w:szCs w:val="28"/>
          <w:lang w:val="fr-FR"/>
        </w:rPr>
        <w:t xml:space="preserve"> 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The role of small intestinal bacterial overgrowth, intestinal permeability</w:t>
      </w:r>
      <w:proofErr w:type="gramStart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endotoxiaemia</w:t>
      </w:r>
      <w:proofErr w:type="spellEnd"/>
      <w:proofErr w:type="gramEnd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tumor necrosis factor-alfa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in a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pathogenenesis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of nonalcoholic steatohepatitis // Gut. – 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2007. </w:t>
      </w:r>
      <w:proofErr w:type="gramStart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V</w:t>
      </w:r>
      <w:proofErr w:type="gramEnd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 48. – </w:t>
      </w:r>
      <w:proofErr w:type="gramStart"/>
      <w:r w:rsidRPr="00DD23BF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. 206</w:t>
      </w:r>
      <w:proofErr w:type="gramEnd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-211.</w:t>
      </w:r>
    </w:p>
    <w:p w:rsidR="00DD23BF" w:rsidRPr="00DD23BF" w:rsidRDefault="00DD23BF" w:rsidP="00DD23BF">
      <w:pPr>
        <w:numPr>
          <w:ilvl w:val="0"/>
          <w:numId w:val="2"/>
        </w:numPr>
        <w:tabs>
          <w:tab w:val="left" w:pos="709"/>
        </w:tabs>
        <w:spacing w:after="0" w:line="360" w:lineRule="auto"/>
        <w:ind w:left="284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3BF">
        <w:rPr>
          <w:rFonts w:ascii="Times New Roman" w:eastAsia="Calibri" w:hAnsi="Times New Roman" w:cs="Times New Roman"/>
          <w:i/>
          <w:sz w:val="28"/>
          <w:szCs w:val="28"/>
          <w:lang w:val="fr-FR"/>
        </w:rPr>
        <w:t>Zhang S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 xml:space="preserve">.- </w:t>
      </w:r>
      <w:r w:rsidRPr="00DD23BF">
        <w:rPr>
          <w:rFonts w:ascii="Times New Roman" w:eastAsia="Calibri" w:hAnsi="Times New Roman" w:cs="Times New Roman"/>
          <w:i/>
          <w:sz w:val="28"/>
          <w:szCs w:val="28"/>
          <w:lang w:val="fr-FR"/>
        </w:rPr>
        <w:t>C</w:t>
      </w:r>
      <w:r w:rsidRPr="00DD23BF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sz w:val="28"/>
          <w:szCs w:val="28"/>
          <w:lang w:val="fr-FR"/>
        </w:rPr>
        <w:t xml:space="preserve">et al. 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Effect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of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cisapride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on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intestinal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bacterial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and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endotoxin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translocation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in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cirrhosis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// World J. </w:t>
      </w:r>
      <w:proofErr w:type="spellStart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Gastroenterol</w:t>
      </w:r>
      <w:proofErr w:type="spellEnd"/>
      <w:r w:rsidRPr="00DD23BF">
        <w:rPr>
          <w:rFonts w:ascii="Times New Roman" w:eastAsia="Calibri" w:hAnsi="Times New Roman" w:cs="Times New Roman"/>
          <w:sz w:val="28"/>
          <w:szCs w:val="28"/>
          <w:lang w:val="en-US"/>
        </w:rPr>
        <w:t>. – 2003. – V. 9,</w:t>
      </w:r>
      <w:r w:rsidRPr="00DD23BF">
        <w:rPr>
          <w:rFonts w:ascii="Times New Roman" w:eastAsia="Calibri" w:hAnsi="Times New Roman" w:cs="Times New Roman"/>
          <w:sz w:val="28"/>
          <w:szCs w:val="28"/>
        </w:rPr>
        <w:t xml:space="preserve"> № 3. – Р. 534-538.</w:t>
      </w:r>
    </w:p>
    <w:p w:rsidR="00DD23BF" w:rsidRPr="00DD23BF" w:rsidRDefault="00DD23BF" w:rsidP="00DD23BF">
      <w:bookmarkStart w:id="18" w:name="_GoBack"/>
      <w:bookmarkEnd w:id="18"/>
    </w:p>
    <w:sectPr w:rsidR="00DD23BF" w:rsidRPr="00DD23B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724F4C"/>
    <w:multiLevelType w:val="hybridMultilevel"/>
    <w:tmpl w:val="6F14F014"/>
    <w:lvl w:ilvl="0" w:tplc="F8B26D7A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087946DE"/>
    <w:multiLevelType w:val="hybridMultilevel"/>
    <w:tmpl w:val="F4006E20"/>
    <w:lvl w:ilvl="0" w:tplc="E4E01116">
      <w:start w:val="1"/>
      <w:numFmt w:val="decimal"/>
      <w:lvlText w:val="%1."/>
      <w:lvlJc w:val="left"/>
      <w:pPr>
        <w:ind w:left="218" w:hanging="360"/>
      </w:pPr>
    </w:lvl>
    <w:lvl w:ilvl="1" w:tplc="04190019">
      <w:start w:val="1"/>
      <w:numFmt w:val="lowerLetter"/>
      <w:lvlText w:val="%2."/>
      <w:lvlJc w:val="left"/>
      <w:pPr>
        <w:ind w:left="938" w:hanging="360"/>
      </w:pPr>
    </w:lvl>
    <w:lvl w:ilvl="2" w:tplc="0419001B">
      <w:start w:val="1"/>
      <w:numFmt w:val="lowerRoman"/>
      <w:lvlText w:val="%3."/>
      <w:lvlJc w:val="right"/>
      <w:pPr>
        <w:ind w:left="1658" w:hanging="180"/>
      </w:pPr>
    </w:lvl>
    <w:lvl w:ilvl="3" w:tplc="0419000F">
      <w:start w:val="1"/>
      <w:numFmt w:val="decimal"/>
      <w:lvlText w:val="%4."/>
      <w:lvlJc w:val="left"/>
      <w:pPr>
        <w:ind w:left="2378" w:hanging="360"/>
      </w:pPr>
    </w:lvl>
    <w:lvl w:ilvl="4" w:tplc="04190019">
      <w:start w:val="1"/>
      <w:numFmt w:val="lowerLetter"/>
      <w:lvlText w:val="%5."/>
      <w:lvlJc w:val="left"/>
      <w:pPr>
        <w:ind w:left="3098" w:hanging="360"/>
      </w:pPr>
    </w:lvl>
    <w:lvl w:ilvl="5" w:tplc="0419001B">
      <w:start w:val="1"/>
      <w:numFmt w:val="lowerRoman"/>
      <w:lvlText w:val="%6."/>
      <w:lvlJc w:val="right"/>
      <w:pPr>
        <w:ind w:left="3818" w:hanging="180"/>
      </w:pPr>
    </w:lvl>
    <w:lvl w:ilvl="6" w:tplc="0419000F">
      <w:start w:val="1"/>
      <w:numFmt w:val="decimal"/>
      <w:lvlText w:val="%7."/>
      <w:lvlJc w:val="left"/>
      <w:pPr>
        <w:ind w:left="4538" w:hanging="360"/>
      </w:pPr>
    </w:lvl>
    <w:lvl w:ilvl="7" w:tplc="04190019">
      <w:start w:val="1"/>
      <w:numFmt w:val="lowerLetter"/>
      <w:lvlText w:val="%8."/>
      <w:lvlJc w:val="left"/>
      <w:pPr>
        <w:ind w:left="5258" w:hanging="360"/>
      </w:pPr>
    </w:lvl>
    <w:lvl w:ilvl="8" w:tplc="0419001B">
      <w:start w:val="1"/>
      <w:numFmt w:val="lowerRoman"/>
      <w:lvlText w:val="%9."/>
      <w:lvlJc w:val="right"/>
      <w:pPr>
        <w:ind w:left="5978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4F10"/>
    <w:rsid w:val="00844F10"/>
    <w:rsid w:val="00DD23BF"/>
    <w:rsid w:val="00F742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D23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D23B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D23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D23B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444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9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0;&#1083;&#1072;&#1087;&#1090;&#1102;&#1093;%20&#1040;.%20&#1052;..docx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0;&#1083;&#1072;&#1087;&#1090;&#1102;&#1093;%20&#1040;.%20&#1052;..docx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0;&#1083;&#1072;&#1087;&#1090;&#1102;&#1093;%20&#1040;.%20&#1052;..docx" TargetMode="External"/><Relationship Id="rId26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0;&#1083;&#1072;&#1087;&#1090;&#1102;&#1093;%20&#1040;.%20&#1052;..docx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0;&#1083;&#1072;&#1087;&#1090;&#1102;&#1093;%20&#1040;.%20&#1052;..docx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0;&#1083;&#1072;&#1087;&#1090;&#1102;&#1093;%20&#1040;.%20&#1052;..docx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0;&#1083;&#1072;&#1087;&#1090;&#1102;&#1093;%20&#1040;.%20&#1052;..docx" TargetMode="External"/><Relationship Id="rId2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0;&#1083;&#1072;&#1087;&#1090;&#1102;&#1093;%20&#1040;.%20&#1052;..docx" TargetMode="Externa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0;&#1083;&#1072;&#1087;&#1090;&#1102;&#1093;%20&#1040;.%20&#1052;..docx" TargetMode="Externa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0;&#1083;&#1072;&#1087;&#1090;&#1102;&#1093;%20&#1040;.%20&#1052;..docx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0;&#1083;&#1072;&#1087;&#1090;&#1102;&#1093;%20&#1040;.%20&#1052;..docx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0;&#1083;&#1072;&#1087;&#1090;&#1102;&#1093;%20&#1040;.%20&#1052;..docx" TargetMode="External"/><Relationship Id="rId2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0;&#1083;&#1072;&#1087;&#1090;&#1102;&#1093;%20&#1040;.%20&#1052;..docx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0;&#1083;&#1072;&#1087;&#1090;&#1102;&#1093;%20&#1040;.%20&#1052;..docx" TargetMode="External"/><Relationship Id="rId2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0;&#1083;&#1072;&#1087;&#1090;&#1102;&#1093;%20&#1040;.%20&#1052;..docx" TargetMode="Externa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0;&#1083;&#1072;&#1087;&#1090;&#1102;&#1093;%20&#1040;.%20&#1052;..docx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0;&#1083;&#1072;&#1087;&#1090;&#1102;&#1093;%20&#1040;.%20&#1052;..docx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0;&#1083;&#1072;&#1087;&#1090;&#1102;&#1093;%20&#1040;.%20&#1052;..docx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0;&#1083;&#1072;&#1087;&#1090;&#1102;&#1093;%20&#1040;.%20&#1052;..docx" TargetMode="External"/><Relationship Id="rId2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0;&#1083;&#1072;&#1087;&#1090;&#1102;&#1093;%20&#1040;.%20&#1052;..docx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10861</Words>
  <Characters>6192</Characters>
  <Application>Microsoft Office Word</Application>
  <DocSecurity>0</DocSecurity>
  <Lines>51</Lines>
  <Paragraphs>34</Paragraphs>
  <ScaleCrop>false</ScaleCrop>
  <Company/>
  <LinksUpToDate>false</LinksUpToDate>
  <CharactersWithSpaces>17019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2018-11-13T12:23:00Z</dcterms:created>
  <dcterms:modified xsi:type="dcterms:W3CDTF">2018-11-13T12:25:00Z</dcterms:modified>
</cp:coreProperties>
</file>