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2C20" w:rsidRPr="00365F2F" w:rsidRDefault="00582C20" w:rsidP="00582C20">
      <w:pPr>
        <w:spacing w:line="360" w:lineRule="auto"/>
        <w:jc w:val="center"/>
        <w:rPr>
          <w:color w:val="000000" w:themeColor="text1"/>
          <w:sz w:val="28"/>
          <w:lang w:val="az-Cyrl-AZ"/>
        </w:rPr>
      </w:pPr>
      <w:r w:rsidRPr="00365F2F">
        <w:rPr>
          <w:color w:val="000000" w:themeColor="text1"/>
          <w:sz w:val="28"/>
          <w:lang w:val="az-Cyrl-AZ"/>
        </w:rPr>
        <w:t>Одеський національний університет імені І.І. Мечникова</w:t>
      </w:r>
    </w:p>
    <w:p w:rsidR="00582C20" w:rsidRPr="00365F2F" w:rsidRDefault="00582C20" w:rsidP="00582C20">
      <w:pPr>
        <w:spacing w:line="360" w:lineRule="auto"/>
        <w:jc w:val="center"/>
        <w:rPr>
          <w:color w:val="000000" w:themeColor="text1"/>
          <w:sz w:val="28"/>
          <w:lang w:val="az-Cyrl-AZ"/>
        </w:rPr>
      </w:pPr>
      <w:r w:rsidRPr="00365F2F">
        <w:rPr>
          <w:color w:val="000000" w:themeColor="text1"/>
          <w:sz w:val="28"/>
          <w:lang w:val="az-Cyrl-AZ"/>
        </w:rPr>
        <w:t>Факультет міжнародних відносин, політології та соціології</w:t>
      </w:r>
    </w:p>
    <w:p w:rsidR="00582C20" w:rsidRPr="00365F2F" w:rsidRDefault="00582C20" w:rsidP="00582C20">
      <w:pPr>
        <w:spacing w:line="360" w:lineRule="auto"/>
        <w:jc w:val="center"/>
        <w:rPr>
          <w:b/>
          <w:color w:val="000000" w:themeColor="text1"/>
          <w:lang w:val="az-Cyrl-AZ"/>
        </w:rPr>
      </w:pPr>
      <w:r w:rsidRPr="00365F2F">
        <w:rPr>
          <w:color w:val="000000" w:themeColor="text1"/>
          <w:sz w:val="28"/>
          <w:lang w:val="az-Cyrl-AZ"/>
        </w:rPr>
        <w:t>Кафедра світового господарства і міжнародних економічних відносин</w:t>
      </w:r>
    </w:p>
    <w:p w:rsidR="00582C20" w:rsidRPr="00365F2F" w:rsidRDefault="00582C20" w:rsidP="00582C20">
      <w:pPr>
        <w:widowControl w:val="0"/>
        <w:spacing w:line="360" w:lineRule="auto"/>
        <w:rPr>
          <w:b/>
          <w:color w:val="000000" w:themeColor="text1"/>
          <w:szCs w:val="28"/>
          <w:lang w:val="uk-UA" w:eastAsia="ru-RU"/>
        </w:rPr>
      </w:pPr>
    </w:p>
    <w:p w:rsidR="00582C20" w:rsidRPr="00365F2F" w:rsidRDefault="00582C20" w:rsidP="00582C20">
      <w:pPr>
        <w:widowControl w:val="0"/>
        <w:spacing w:line="360" w:lineRule="auto"/>
        <w:jc w:val="right"/>
        <w:rPr>
          <w:color w:val="000000" w:themeColor="text1"/>
          <w:lang w:val="uk-UA" w:eastAsia="ru-RU"/>
        </w:rPr>
      </w:pPr>
    </w:p>
    <w:p w:rsidR="00582C20" w:rsidRPr="00365F2F" w:rsidRDefault="00582C20" w:rsidP="00582C20">
      <w:pPr>
        <w:widowControl w:val="0"/>
        <w:spacing w:line="360" w:lineRule="auto"/>
        <w:jc w:val="center"/>
        <w:rPr>
          <w:b/>
          <w:bCs/>
          <w:caps/>
          <w:color w:val="000000" w:themeColor="text1"/>
          <w:szCs w:val="28"/>
          <w:lang w:val="uk-UA" w:eastAsia="ru-RU"/>
        </w:rPr>
      </w:pPr>
      <w:r w:rsidRPr="00365F2F">
        <w:rPr>
          <w:b/>
          <w:bCs/>
          <w:caps/>
          <w:color w:val="000000" w:themeColor="text1"/>
          <w:szCs w:val="28"/>
          <w:lang w:val="uk-UA" w:eastAsia="ru-RU"/>
        </w:rPr>
        <w:t xml:space="preserve">  </w:t>
      </w:r>
    </w:p>
    <w:p w:rsidR="00582C20" w:rsidRPr="00365F2F" w:rsidRDefault="00582C20" w:rsidP="00582C20">
      <w:pPr>
        <w:widowControl w:val="0"/>
        <w:spacing w:line="360" w:lineRule="auto"/>
        <w:jc w:val="center"/>
        <w:rPr>
          <w:b/>
          <w:bCs/>
          <w:caps/>
          <w:color w:val="000000" w:themeColor="text1"/>
          <w:szCs w:val="28"/>
          <w:lang w:val="uk-UA" w:eastAsia="ru-RU"/>
        </w:rPr>
      </w:pPr>
    </w:p>
    <w:p w:rsidR="00582C20" w:rsidRPr="00365F2F" w:rsidRDefault="00582C20" w:rsidP="00582C20">
      <w:pPr>
        <w:widowControl w:val="0"/>
        <w:spacing w:line="360" w:lineRule="auto"/>
        <w:jc w:val="center"/>
        <w:rPr>
          <w:b/>
          <w:bCs/>
          <w:color w:val="000000" w:themeColor="text1"/>
          <w:sz w:val="32"/>
          <w:szCs w:val="32"/>
          <w:lang w:val="uk-UA" w:eastAsia="ru-RU"/>
        </w:rPr>
      </w:pPr>
      <w:r w:rsidRPr="00365F2F">
        <w:rPr>
          <w:b/>
          <w:bCs/>
          <w:color w:val="000000" w:themeColor="text1"/>
          <w:sz w:val="32"/>
          <w:szCs w:val="32"/>
          <w:lang w:val="uk-UA" w:eastAsia="ru-RU"/>
        </w:rPr>
        <w:t>Дипломна робота</w:t>
      </w:r>
    </w:p>
    <w:p w:rsidR="00582C20" w:rsidRPr="00365F2F" w:rsidRDefault="00582C20" w:rsidP="00582C20">
      <w:pPr>
        <w:jc w:val="center"/>
        <w:rPr>
          <w:noProof/>
          <w:color w:val="000000" w:themeColor="text1"/>
          <w:sz w:val="28"/>
          <w:szCs w:val="28"/>
          <w:lang w:val="uk-UA" w:eastAsia="ru-RU"/>
        </w:rPr>
      </w:pPr>
      <w:r w:rsidRPr="00365F2F">
        <w:rPr>
          <w:noProof/>
          <w:color w:val="000000" w:themeColor="text1"/>
          <w:sz w:val="28"/>
          <w:szCs w:val="28"/>
          <w:lang w:val="uk-UA" w:eastAsia="ru-RU"/>
        </w:rPr>
        <w:t xml:space="preserve">на здобуття освітньо-кваліфікаційного рівня </w:t>
      </w:r>
      <w:r w:rsidRPr="00365F2F">
        <w:rPr>
          <w:color w:val="000000" w:themeColor="text1"/>
          <w:sz w:val="28"/>
          <w:szCs w:val="28"/>
          <w:lang w:val="uk-UA" w:eastAsia="uk-UA"/>
        </w:rPr>
        <w:t>«</w:t>
      </w:r>
      <w:r w:rsidRPr="00365F2F">
        <w:rPr>
          <w:noProof/>
          <w:color w:val="000000" w:themeColor="text1"/>
          <w:sz w:val="28"/>
          <w:szCs w:val="28"/>
          <w:lang w:val="uk-UA" w:eastAsia="ru-RU"/>
        </w:rPr>
        <w:t>бакалавр</w:t>
      </w:r>
      <w:r w:rsidRPr="00365F2F">
        <w:rPr>
          <w:b/>
          <w:bCs/>
          <w:color w:val="000000" w:themeColor="text1"/>
          <w:sz w:val="28"/>
          <w:szCs w:val="28"/>
          <w:lang w:val="uk-UA"/>
        </w:rPr>
        <w:t>»</w:t>
      </w:r>
    </w:p>
    <w:p w:rsidR="00582C20" w:rsidRPr="00365F2F" w:rsidRDefault="00582C20" w:rsidP="00582C20">
      <w:pPr>
        <w:widowControl w:val="0"/>
        <w:jc w:val="center"/>
        <w:rPr>
          <w:b/>
          <w:bCs/>
          <w:caps/>
          <w:color w:val="000000" w:themeColor="text1"/>
          <w:sz w:val="16"/>
          <w:szCs w:val="16"/>
          <w:lang w:val="uk-UA" w:eastAsia="ru-RU"/>
        </w:rPr>
      </w:pPr>
    </w:p>
    <w:p w:rsidR="00582C20" w:rsidRPr="00365F2F" w:rsidRDefault="00582C20" w:rsidP="00582C20">
      <w:pPr>
        <w:widowControl w:val="0"/>
        <w:jc w:val="center"/>
        <w:rPr>
          <w:b/>
          <w:bCs/>
          <w:caps/>
          <w:color w:val="000000" w:themeColor="text1"/>
          <w:sz w:val="16"/>
          <w:szCs w:val="16"/>
          <w:lang w:val="uk-UA" w:eastAsia="ru-RU"/>
        </w:rPr>
      </w:pPr>
    </w:p>
    <w:p w:rsidR="00582C20" w:rsidRPr="00365F2F" w:rsidRDefault="00582C20" w:rsidP="00582C20">
      <w:pPr>
        <w:widowControl w:val="0"/>
        <w:tabs>
          <w:tab w:val="right" w:pos="9355"/>
        </w:tabs>
        <w:jc w:val="center"/>
        <w:rPr>
          <w:b/>
          <w:color w:val="000000" w:themeColor="text1"/>
          <w:sz w:val="28"/>
          <w:szCs w:val="28"/>
          <w:lang w:eastAsia="uk-UA"/>
        </w:rPr>
      </w:pPr>
      <w:r w:rsidRPr="00365F2F">
        <w:rPr>
          <w:color w:val="000000" w:themeColor="text1"/>
          <w:sz w:val="28"/>
          <w:szCs w:val="28"/>
          <w:lang w:val="uk-UA" w:eastAsia="uk-UA"/>
        </w:rPr>
        <w:t>на тему:</w:t>
      </w:r>
      <w:r w:rsidRPr="00365F2F">
        <w:rPr>
          <w:b/>
          <w:color w:val="000000" w:themeColor="text1"/>
          <w:sz w:val="28"/>
          <w:szCs w:val="28"/>
          <w:lang w:val="uk-UA" w:eastAsia="uk-UA"/>
        </w:rPr>
        <w:t xml:space="preserve"> </w:t>
      </w:r>
      <w:r w:rsidRPr="00365F2F">
        <w:rPr>
          <w:b/>
          <w:color w:val="000000" w:themeColor="text1"/>
          <w:sz w:val="28"/>
          <w:szCs w:val="28"/>
          <w:lang w:eastAsia="uk-UA"/>
        </w:rPr>
        <w:t>«</w:t>
      </w:r>
      <w:r w:rsidRPr="00365F2F">
        <w:rPr>
          <w:b/>
          <w:color w:val="000000" w:themeColor="text1"/>
          <w:kern w:val="1"/>
          <w:sz w:val="28"/>
          <w:szCs w:val="28"/>
          <w:lang w:val="uk-UA" w:eastAsia="ar-SA"/>
        </w:rPr>
        <w:t xml:space="preserve"> Міжнародні стандарти корпоративного управління та їх імплементація в Україні: стан та перспективи</w:t>
      </w:r>
      <w:r w:rsidRPr="00365F2F">
        <w:rPr>
          <w:b/>
          <w:color w:val="000000" w:themeColor="text1"/>
          <w:sz w:val="28"/>
          <w:szCs w:val="28"/>
          <w:lang w:eastAsia="uk-UA"/>
        </w:rPr>
        <w:t>»</w:t>
      </w:r>
    </w:p>
    <w:p w:rsidR="00582C20" w:rsidRPr="00365F2F" w:rsidRDefault="00582C20" w:rsidP="00582C20">
      <w:pPr>
        <w:widowControl w:val="0"/>
        <w:tabs>
          <w:tab w:val="right" w:pos="9355"/>
        </w:tabs>
        <w:jc w:val="center"/>
        <w:rPr>
          <w:b/>
          <w:color w:val="000000" w:themeColor="text1"/>
          <w:lang w:val="uk-UA" w:eastAsia="uk-UA"/>
        </w:rPr>
      </w:pPr>
    </w:p>
    <w:p w:rsidR="00582C20" w:rsidRPr="00365F2F" w:rsidRDefault="00582C20" w:rsidP="00582C20">
      <w:pPr>
        <w:widowControl w:val="0"/>
        <w:tabs>
          <w:tab w:val="right" w:pos="9355"/>
        </w:tabs>
        <w:jc w:val="center"/>
        <w:rPr>
          <w:color w:val="000000" w:themeColor="text1"/>
          <w:lang w:val="en-US" w:eastAsia="uk-UA"/>
        </w:rPr>
      </w:pPr>
      <w:r w:rsidRPr="00492ECC">
        <w:rPr>
          <w:color w:val="000000" w:themeColor="text1"/>
          <w:lang w:eastAsia="uk-UA"/>
        </w:rPr>
        <w:t xml:space="preserve"> </w:t>
      </w:r>
      <w:r w:rsidRPr="00365F2F">
        <w:rPr>
          <w:color w:val="000000" w:themeColor="text1"/>
          <w:lang w:val="en-US" w:eastAsia="uk-UA"/>
        </w:rPr>
        <w:t>«</w:t>
      </w:r>
      <w:r w:rsidRPr="00365F2F">
        <w:rPr>
          <w:color w:val="000000" w:themeColor="text1"/>
          <w:kern w:val="1"/>
          <w:lang w:val="en-US" w:eastAsia="ar-SA"/>
        </w:rPr>
        <w:t>International Standards Of Corporate Governance And Their Implementation In Ukraine: Status and Prospects</w:t>
      </w:r>
      <w:r w:rsidRPr="00365F2F">
        <w:rPr>
          <w:color w:val="000000" w:themeColor="text1"/>
          <w:lang w:val="en-US" w:eastAsia="uk-UA"/>
        </w:rPr>
        <w:t xml:space="preserve"> »</w:t>
      </w:r>
    </w:p>
    <w:p w:rsidR="00582C20" w:rsidRPr="00365F2F" w:rsidRDefault="00582C20" w:rsidP="00582C20">
      <w:pPr>
        <w:widowControl w:val="0"/>
        <w:spacing w:line="360" w:lineRule="auto"/>
        <w:rPr>
          <w:b/>
          <w:bCs/>
          <w:caps/>
          <w:color w:val="000000" w:themeColor="text1"/>
          <w:sz w:val="16"/>
          <w:szCs w:val="16"/>
          <w:lang w:val="en-US" w:eastAsia="ru-RU"/>
        </w:rPr>
      </w:pPr>
    </w:p>
    <w:p w:rsidR="00582C20" w:rsidRPr="00365F2F" w:rsidRDefault="00582C20" w:rsidP="00582C20">
      <w:pPr>
        <w:widowControl w:val="0"/>
        <w:spacing w:line="360" w:lineRule="auto"/>
        <w:rPr>
          <w:b/>
          <w:bCs/>
          <w:caps/>
          <w:color w:val="000000" w:themeColor="text1"/>
          <w:sz w:val="16"/>
          <w:szCs w:val="16"/>
          <w:lang w:val="en-US" w:eastAsia="ru-RU"/>
        </w:rPr>
      </w:pPr>
    </w:p>
    <w:p w:rsidR="00582C20" w:rsidRPr="00365F2F" w:rsidRDefault="00582C20" w:rsidP="00582C20">
      <w:pPr>
        <w:widowControl w:val="0"/>
        <w:spacing w:line="360" w:lineRule="auto"/>
        <w:rPr>
          <w:b/>
          <w:bCs/>
          <w:caps/>
          <w:color w:val="000000" w:themeColor="text1"/>
          <w:sz w:val="16"/>
          <w:szCs w:val="16"/>
          <w:lang w:val="en-US" w:eastAsia="ru-RU"/>
        </w:rPr>
      </w:pPr>
    </w:p>
    <w:p w:rsidR="00582C20" w:rsidRPr="00365F2F" w:rsidRDefault="00582C20" w:rsidP="00582C20">
      <w:pPr>
        <w:widowControl w:val="0"/>
        <w:spacing w:line="360" w:lineRule="auto"/>
        <w:rPr>
          <w:b/>
          <w:bCs/>
          <w:caps/>
          <w:color w:val="000000" w:themeColor="text1"/>
          <w:sz w:val="16"/>
          <w:szCs w:val="16"/>
          <w:lang w:val="en-US" w:eastAsia="ru-RU"/>
        </w:rPr>
      </w:pPr>
    </w:p>
    <w:p w:rsidR="00582C20" w:rsidRPr="00365F2F" w:rsidRDefault="00582C20" w:rsidP="00582C20">
      <w:pPr>
        <w:widowControl w:val="0"/>
        <w:autoSpaceDE w:val="0"/>
        <w:autoSpaceDN w:val="0"/>
        <w:adjustRightInd w:val="0"/>
        <w:ind w:left="1418"/>
        <w:jc w:val="both"/>
        <w:rPr>
          <w:color w:val="000000" w:themeColor="text1"/>
          <w:sz w:val="28"/>
          <w:szCs w:val="28"/>
          <w:lang w:val="uk-UA"/>
        </w:rPr>
      </w:pPr>
      <w:r w:rsidRPr="00365F2F">
        <w:rPr>
          <w:color w:val="000000" w:themeColor="text1"/>
          <w:sz w:val="28"/>
          <w:szCs w:val="28"/>
          <w:lang w:val="uk-UA"/>
        </w:rPr>
        <w:t xml:space="preserve">                       Виконав студент денної форми навчання </w:t>
      </w:r>
    </w:p>
    <w:p w:rsidR="00582C20" w:rsidRPr="00365F2F" w:rsidRDefault="00582C20" w:rsidP="00582C20">
      <w:pPr>
        <w:widowControl w:val="0"/>
        <w:autoSpaceDE w:val="0"/>
        <w:autoSpaceDN w:val="0"/>
        <w:adjustRightInd w:val="0"/>
        <w:ind w:left="1416"/>
        <w:jc w:val="both"/>
        <w:rPr>
          <w:color w:val="000000" w:themeColor="text1"/>
          <w:spacing w:val="-4"/>
          <w:sz w:val="28"/>
          <w:szCs w:val="28"/>
          <w:lang w:val="uk-UA"/>
        </w:rPr>
      </w:pPr>
      <w:r w:rsidRPr="00365F2F">
        <w:rPr>
          <w:color w:val="000000" w:themeColor="text1"/>
          <w:sz w:val="28"/>
          <w:szCs w:val="28"/>
          <w:lang w:val="uk-UA"/>
        </w:rPr>
        <w:t xml:space="preserve">                       </w:t>
      </w:r>
      <w:r w:rsidRPr="00365F2F">
        <w:rPr>
          <w:noProof/>
          <w:color w:val="000000" w:themeColor="text1"/>
          <w:sz w:val="28"/>
          <w:szCs w:val="28"/>
          <w:lang w:val="uk-UA" w:eastAsia="ru-RU"/>
        </w:rPr>
        <w:t>спеціальності 056</w:t>
      </w:r>
    </w:p>
    <w:p w:rsidR="00582C20" w:rsidRPr="00365F2F" w:rsidRDefault="00582C20" w:rsidP="00582C20">
      <w:pPr>
        <w:widowControl w:val="0"/>
        <w:autoSpaceDE w:val="0"/>
        <w:autoSpaceDN w:val="0"/>
        <w:adjustRightInd w:val="0"/>
        <w:ind w:left="1416"/>
        <w:jc w:val="both"/>
        <w:rPr>
          <w:color w:val="000000" w:themeColor="text1"/>
          <w:sz w:val="28"/>
          <w:szCs w:val="28"/>
          <w:lang w:val="uk-UA"/>
        </w:rPr>
      </w:pPr>
      <w:r w:rsidRPr="00365F2F">
        <w:rPr>
          <w:color w:val="000000" w:themeColor="text1"/>
          <w:spacing w:val="-4"/>
          <w:sz w:val="28"/>
          <w:szCs w:val="28"/>
          <w:lang w:val="uk-UA"/>
        </w:rPr>
        <w:t xml:space="preserve">                        </w:t>
      </w:r>
      <w:r w:rsidRPr="00365F2F">
        <w:rPr>
          <w:color w:val="000000" w:themeColor="text1"/>
          <w:sz w:val="28"/>
          <w:szCs w:val="28"/>
          <w:shd w:val="clear" w:color="auto" w:fill="FFFFFF"/>
          <w:lang w:val="uk-UA"/>
        </w:rPr>
        <w:t>«Міжнародні економічні відносини»</w:t>
      </w:r>
    </w:p>
    <w:p w:rsidR="00582C20" w:rsidRPr="00365F2F" w:rsidRDefault="00582C20" w:rsidP="00582C20">
      <w:pPr>
        <w:widowControl w:val="0"/>
        <w:autoSpaceDE w:val="0"/>
        <w:autoSpaceDN w:val="0"/>
        <w:adjustRightInd w:val="0"/>
        <w:ind w:left="1416"/>
        <w:jc w:val="both"/>
        <w:rPr>
          <w:color w:val="000000" w:themeColor="text1"/>
          <w:sz w:val="28"/>
          <w:szCs w:val="28"/>
          <w:lang w:val="uk-UA"/>
        </w:rPr>
      </w:pPr>
      <w:r w:rsidRPr="00365F2F">
        <w:rPr>
          <w:color w:val="000000" w:themeColor="text1"/>
          <w:sz w:val="28"/>
          <w:szCs w:val="28"/>
          <w:lang w:val="uk-UA"/>
        </w:rPr>
        <w:t xml:space="preserve">                       </w:t>
      </w:r>
      <w:r w:rsidRPr="00365F2F">
        <w:rPr>
          <w:color w:val="000000" w:themeColor="text1"/>
          <w:sz w:val="28"/>
          <w:szCs w:val="28"/>
          <w:shd w:val="clear" w:color="auto" w:fill="FFFFFF"/>
          <w:lang w:val="uk-UA"/>
        </w:rPr>
        <w:t>Ромаскевич Георгій Олексійович</w:t>
      </w:r>
    </w:p>
    <w:p w:rsidR="00582C20" w:rsidRPr="00365F2F" w:rsidRDefault="00582C20" w:rsidP="00582C20">
      <w:pPr>
        <w:widowControl w:val="0"/>
        <w:autoSpaceDE w:val="0"/>
        <w:autoSpaceDN w:val="0"/>
        <w:adjustRightInd w:val="0"/>
        <w:ind w:left="708"/>
        <w:jc w:val="both"/>
        <w:rPr>
          <w:noProof/>
          <w:color w:val="000000" w:themeColor="text1"/>
          <w:sz w:val="28"/>
          <w:szCs w:val="28"/>
          <w:lang w:val="uk-UA" w:eastAsia="ru-RU"/>
        </w:rPr>
      </w:pPr>
      <w:r w:rsidRPr="00365F2F">
        <w:rPr>
          <w:color w:val="000000" w:themeColor="text1"/>
          <w:sz w:val="28"/>
          <w:szCs w:val="28"/>
          <w:lang w:val="uk-UA"/>
        </w:rPr>
        <w:t xml:space="preserve">                                 </w:t>
      </w:r>
      <w:r w:rsidRPr="00365F2F">
        <w:rPr>
          <w:noProof/>
          <w:color w:val="000000" w:themeColor="text1"/>
          <w:sz w:val="28"/>
          <w:szCs w:val="28"/>
          <w:lang w:val="uk-UA" w:eastAsia="ru-RU"/>
        </w:rPr>
        <w:t>Науковий керівник: кандидат економічних наук</w:t>
      </w:r>
      <w:r w:rsidRPr="00365F2F">
        <w:rPr>
          <w:noProof/>
          <w:color w:val="000000" w:themeColor="text1"/>
          <w:sz w:val="28"/>
          <w:szCs w:val="28"/>
          <w:lang w:eastAsia="ru-RU"/>
        </w:rPr>
        <w:t>,</w:t>
      </w:r>
    </w:p>
    <w:p w:rsidR="00582C20" w:rsidRPr="00365F2F" w:rsidRDefault="00582C20" w:rsidP="00582C20">
      <w:pPr>
        <w:widowControl w:val="0"/>
        <w:autoSpaceDE w:val="0"/>
        <w:autoSpaceDN w:val="0"/>
        <w:adjustRightInd w:val="0"/>
        <w:ind w:left="708"/>
        <w:jc w:val="both"/>
        <w:rPr>
          <w:noProof/>
          <w:color w:val="000000" w:themeColor="text1"/>
          <w:sz w:val="28"/>
          <w:szCs w:val="28"/>
          <w:lang w:val="uk-UA" w:eastAsia="ru-RU"/>
        </w:rPr>
      </w:pPr>
      <w:r w:rsidRPr="00365F2F">
        <w:rPr>
          <w:noProof/>
          <w:color w:val="000000" w:themeColor="text1"/>
          <w:sz w:val="28"/>
          <w:szCs w:val="28"/>
          <w:lang w:val="uk-UA" w:eastAsia="ru-RU"/>
        </w:rPr>
        <w:t xml:space="preserve">                                 доцент____________ Цевух. Ю.О.</w:t>
      </w:r>
    </w:p>
    <w:p w:rsidR="00582C20" w:rsidRPr="00365F2F" w:rsidRDefault="00582C20" w:rsidP="00582C20">
      <w:pPr>
        <w:widowControl w:val="0"/>
        <w:autoSpaceDE w:val="0"/>
        <w:autoSpaceDN w:val="0"/>
        <w:adjustRightInd w:val="0"/>
        <w:ind w:left="708"/>
        <w:jc w:val="both"/>
        <w:rPr>
          <w:color w:val="000000" w:themeColor="text1"/>
          <w:sz w:val="28"/>
          <w:szCs w:val="28"/>
          <w:lang w:val="uk-UA"/>
        </w:rPr>
      </w:pPr>
      <w:r w:rsidRPr="00365F2F">
        <w:rPr>
          <w:noProof/>
          <w:color w:val="000000" w:themeColor="text1"/>
          <w:sz w:val="28"/>
          <w:szCs w:val="28"/>
          <w:lang w:val="uk-UA" w:eastAsia="ru-RU"/>
        </w:rPr>
        <w:t xml:space="preserve">                                 Рецензент: кандидат економічних наук</w:t>
      </w:r>
      <w:r w:rsidRPr="00365F2F">
        <w:rPr>
          <w:noProof/>
          <w:color w:val="000000" w:themeColor="text1"/>
          <w:sz w:val="28"/>
          <w:szCs w:val="28"/>
          <w:lang w:eastAsia="ru-RU"/>
        </w:rPr>
        <w:t xml:space="preserve">, </w:t>
      </w:r>
      <w:r w:rsidRPr="00365F2F">
        <w:rPr>
          <w:noProof/>
          <w:color w:val="000000" w:themeColor="text1"/>
          <w:sz w:val="28"/>
          <w:szCs w:val="28"/>
          <w:lang w:val="uk-UA" w:eastAsia="ru-RU"/>
        </w:rPr>
        <w:t>доцент</w:t>
      </w:r>
    </w:p>
    <w:p w:rsidR="00582C20" w:rsidRPr="00365F2F" w:rsidRDefault="00582C20" w:rsidP="00582C20">
      <w:pPr>
        <w:widowControl w:val="0"/>
        <w:autoSpaceDE w:val="0"/>
        <w:autoSpaceDN w:val="0"/>
        <w:adjustRightInd w:val="0"/>
        <w:ind w:left="708"/>
        <w:jc w:val="both"/>
        <w:rPr>
          <w:color w:val="000000" w:themeColor="text1"/>
          <w:sz w:val="28"/>
          <w:szCs w:val="28"/>
          <w:u w:val="single"/>
          <w:lang w:val="uk-UA"/>
        </w:rPr>
      </w:pPr>
      <w:r w:rsidRPr="00365F2F">
        <w:rPr>
          <w:color w:val="000000" w:themeColor="text1"/>
          <w:sz w:val="28"/>
          <w:szCs w:val="28"/>
          <w:lang w:val="uk-UA"/>
        </w:rPr>
        <w:t xml:space="preserve">                                 Пічугіна Ю.В.</w:t>
      </w:r>
    </w:p>
    <w:p w:rsidR="00582C20" w:rsidRPr="00365F2F" w:rsidRDefault="00582C20" w:rsidP="00582C20">
      <w:pPr>
        <w:widowControl w:val="0"/>
        <w:rPr>
          <w:color w:val="000000" w:themeColor="text1"/>
          <w:szCs w:val="28"/>
          <w:lang w:val="uk-UA" w:eastAsia="ru-RU"/>
        </w:rPr>
      </w:pPr>
    </w:p>
    <w:p w:rsidR="00582C20" w:rsidRPr="00365F2F" w:rsidRDefault="00582C20" w:rsidP="00582C20">
      <w:pPr>
        <w:widowControl w:val="0"/>
        <w:jc w:val="center"/>
        <w:rPr>
          <w:b/>
          <w:bCs/>
          <w:color w:val="000000" w:themeColor="text1"/>
          <w:sz w:val="16"/>
          <w:szCs w:val="16"/>
          <w:lang w:val="uk-UA" w:eastAsia="ru-RU"/>
        </w:rPr>
      </w:pPr>
      <w:r w:rsidRPr="00365F2F">
        <w:rPr>
          <w:b/>
          <w:bCs/>
          <w:color w:val="000000" w:themeColor="text1"/>
          <w:sz w:val="16"/>
          <w:szCs w:val="16"/>
          <w:lang w:val="uk-UA" w:eastAsia="ru-RU"/>
        </w:rPr>
        <w:t xml:space="preserve">                                     </w:t>
      </w:r>
    </w:p>
    <w:p w:rsidR="00582C20" w:rsidRPr="00365F2F" w:rsidRDefault="00582C20" w:rsidP="00582C20">
      <w:pPr>
        <w:widowControl w:val="0"/>
        <w:jc w:val="center"/>
        <w:rPr>
          <w:b/>
          <w:bCs/>
          <w:color w:val="000000" w:themeColor="text1"/>
          <w:sz w:val="16"/>
          <w:szCs w:val="16"/>
          <w:lang w:val="uk-UA" w:eastAsia="ru-RU"/>
        </w:rPr>
      </w:pPr>
    </w:p>
    <w:p w:rsidR="00582C20" w:rsidRPr="00365F2F" w:rsidRDefault="00582C20" w:rsidP="00582C20">
      <w:pPr>
        <w:jc w:val="both"/>
        <w:rPr>
          <w:noProof/>
          <w:color w:val="000000" w:themeColor="text1"/>
          <w:sz w:val="28"/>
          <w:szCs w:val="28"/>
          <w:lang w:eastAsia="ru-RU"/>
        </w:rPr>
      </w:pPr>
      <w:r w:rsidRPr="00365F2F">
        <w:rPr>
          <w:noProof/>
          <w:color w:val="000000" w:themeColor="text1"/>
          <w:sz w:val="28"/>
          <w:szCs w:val="28"/>
          <w:lang w:val="uk-UA" w:eastAsia="ru-RU"/>
        </w:rPr>
        <w:t xml:space="preserve">Рекомендовано до захисту на                  Захищено на засіданні ЕК № </w:t>
      </w:r>
    </w:p>
    <w:p w:rsidR="00582C20" w:rsidRPr="00365F2F" w:rsidRDefault="00582C20" w:rsidP="00582C20">
      <w:pPr>
        <w:jc w:val="both"/>
        <w:rPr>
          <w:noProof/>
          <w:color w:val="000000" w:themeColor="text1"/>
          <w:sz w:val="28"/>
          <w:szCs w:val="28"/>
          <w:lang w:val="uk-UA" w:eastAsia="ru-RU"/>
        </w:rPr>
      </w:pPr>
      <w:r w:rsidRPr="00365F2F">
        <w:rPr>
          <w:noProof/>
          <w:color w:val="000000" w:themeColor="text1"/>
          <w:sz w:val="28"/>
          <w:szCs w:val="28"/>
          <w:lang w:val="uk-UA" w:eastAsia="ru-RU"/>
        </w:rPr>
        <w:t>засіданні кафедри                                     «__ » ______2020 р., протокол №</w:t>
      </w:r>
    </w:p>
    <w:p w:rsidR="00582C20" w:rsidRPr="00365F2F" w:rsidRDefault="00582C20" w:rsidP="00582C20">
      <w:pPr>
        <w:jc w:val="both"/>
        <w:rPr>
          <w:noProof/>
          <w:color w:val="000000" w:themeColor="text1"/>
          <w:sz w:val="28"/>
          <w:szCs w:val="28"/>
          <w:lang w:val="uk-UA" w:eastAsia="ru-RU"/>
        </w:rPr>
      </w:pPr>
      <w:r w:rsidRPr="00365F2F">
        <w:rPr>
          <w:noProof/>
          <w:color w:val="000000" w:themeColor="text1"/>
          <w:sz w:val="28"/>
          <w:szCs w:val="28"/>
          <w:lang w:val="uk-UA" w:eastAsia="ru-RU"/>
        </w:rPr>
        <w:t xml:space="preserve">«27» травня 2020 р.  </w:t>
      </w:r>
    </w:p>
    <w:p w:rsidR="00582C20" w:rsidRPr="00365F2F" w:rsidRDefault="00582C20" w:rsidP="00582C20">
      <w:pPr>
        <w:jc w:val="both"/>
        <w:rPr>
          <w:noProof/>
          <w:color w:val="000000" w:themeColor="text1"/>
          <w:sz w:val="28"/>
          <w:szCs w:val="28"/>
          <w:lang w:val="uk-UA" w:eastAsia="ru-RU"/>
        </w:rPr>
      </w:pPr>
      <w:r w:rsidRPr="00365F2F">
        <w:rPr>
          <w:noProof/>
          <w:color w:val="000000" w:themeColor="text1"/>
          <w:sz w:val="28"/>
          <w:szCs w:val="28"/>
          <w:lang w:val="uk-UA" w:eastAsia="ru-RU"/>
        </w:rPr>
        <w:t>Протокол №                                              Оцінка_____ /________/________</w:t>
      </w:r>
    </w:p>
    <w:p w:rsidR="00582C20" w:rsidRPr="00365F2F" w:rsidRDefault="00582C20" w:rsidP="00582C20">
      <w:pPr>
        <w:jc w:val="both"/>
        <w:rPr>
          <w:noProof/>
          <w:color w:val="000000" w:themeColor="text1"/>
          <w:sz w:val="28"/>
          <w:szCs w:val="28"/>
          <w:lang w:val="uk-UA" w:eastAsia="ru-RU"/>
        </w:rPr>
      </w:pPr>
      <w:r w:rsidRPr="00365F2F">
        <w:rPr>
          <w:noProof/>
          <w:color w:val="000000" w:themeColor="text1"/>
          <w:sz w:val="28"/>
          <w:szCs w:val="28"/>
          <w:lang w:val="uk-UA" w:eastAsia="ru-RU"/>
        </w:rPr>
        <w:t xml:space="preserve">Завідувач кафедри                                    Голова ЕК </w:t>
      </w:r>
    </w:p>
    <w:p w:rsidR="00582C20" w:rsidRPr="00365F2F" w:rsidRDefault="00582C20" w:rsidP="00582C20">
      <w:pPr>
        <w:jc w:val="both"/>
        <w:rPr>
          <w:noProof/>
          <w:color w:val="000000" w:themeColor="text1"/>
          <w:sz w:val="28"/>
          <w:szCs w:val="28"/>
          <w:lang w:val="uk-UA" w:eastAsia="ru-RU"/>
        </w:rPr>
      </w:pPr>
      <w:r w:rsidRPr="00365F2F">
        <w:rPr>
          <w:noProof/>
          <w:color w:val="000000" w:themeColor="text1"/>
          <w:sz w:val="28"/>
          <w:szCs w:val="28"/>
          <w:lang w:val="uk-UA" w:eastAsia="ru-RU"/>
        </w:rPr>
        <w:t>проф.____Якубовський С. О.                  д.е.н., проф._____ Якубовський С. О.</w:t>
      </w:r>
    </w:p>
    <w:p w:rsidR="00582C20" w:rsidRPr="00365F2F" w:rsidRDefault="00582C20" w:rsidP="00582C20">
      <w:pPr>
        <w:widowControl w:val="0"/>
        <w:rPr>
          <w:bCs/>
          <w:color w:val="000000" w:themeColor="text1"/>
          <w:sz w:val="28"/>
          <w:szCs w:val="28"/>
          <w:lang w:val="uk-UA" w:eastAsia="ru-RU"/>
        </w:rPr>
      </w:pPr>
    </w:p>
    <w:p w:rsidR="00582C20" w:rsidRPr="00365F2F" w:rsidRDefault="00582C20" w:rsidP="00582C20">
      <w:pPr>
        <w:widowControl w:val="0"/>
        <w:rPr>
          <w:bCs/>
          <w:color w:val="000000" w:themeColor="text1"/>
          <w:sz w:val="28"/>
          <w:szCs w:val="28"/>
          <w:lang w:val="uk-UA" w:eastAsia="ru-RU"/>
        </w:rPr>
      </w:pPr>
    </w:p>
    <w:p w:rsidR="00582C20" w:rsidRPr="00365F2F" w:rsidRDefault="00582C20" w:rsidP="00582C20">
      <w:pPr>
        <w:widowControl w:val="0"/>
        <w:rPr>
          <w:bCs/>
          <w:color w:val="000000" w:themeColor="text1"/>
          <w:sz w:val="20"/>
          <w:szCs w:val="20"/>
          <w:lang w:val="uk-UA" w:eastAsia="ru-RU"/>
        </w:rPr>
      </w:pPr>
    </w:p>
    <w:p w:rsidR="00582C20" w:rsidRPr="00365F2F" w:rsidRDefault="00582C20" w:rsidP="00582C20">
      <w:pPr>
        <w:widowControl w:val="0"/>
        <w:rPr>
          <w:bCs/>
          <w:color w:val="000000" w:themeColor="text1"/>
          <w:sz w:val="20"/>
          <w:szCs w:val="20"/>
          <w:lang w:val="uk-UA" w:eastAsia="ru-RU"/>
        </w:rPr>
      </w:pPr>
    </w:p>
    <w:p w:rsidR="00582C20" w:rsidRPr="00365F2F" w:rsidRDefault="00582C20" w:rsidP="00582C20">
      <w:pPr>
        <w:widowControl w:val="0"/>
        <w:rPr>
          <w:bCs/>
          <w:color w:val="000000" w:themeColor="text1"/>
          <w:sz w:val="20"/>
          <w:szCs w:val="20"/>
          <w:lang w:val="uk-UA" w:eastAsia="ru-RU"/>
        </w:rPr>
      </w:pPr>
    </w:p>
    <w:p w:rsidR="00582C20" w:rsidRPr="00365F2F" w:rsidRDefault="00582C20" w:rsidP="00582C20">
      <w:pPr>
        <w:widowControl w:val="0"/>
        <w:jc w:val="center"/>
        <w:rPr>
          <w:bCs/>
          <w:color w:val="000000" w:themeColor="text1"/>
          <w:sz w:val="28"/>
          <w:szCs w:val="28"/>
          <w:lang w:val="uk-UA" w:eastAsia="ru-RU"/>
        </w:rPr>
      </w:pPr>
    </w:p>
    <w:p w:rsidR="00582C20" w:rsidRPr="00492ECC" w:rsidRDefault="00582C20" w:rsidP="00582C20">
      <w:pPr>
        <w:widowControl w:val="0"/>
        <w:jc w:val="center"/>
        <w:rPr>
          <w:bCs/>
          <w:color w:val="000000" w:themeColor="text1"/>
          <w:sz w:val="28"/>
          <w:szCs w:val="28"/>
          <w:lang w:eastAsia="ru-RU"/>
        </w:rPr>
      </w:pPr>
      <w:r w:rsidRPr="00365F2F">
        <w:rPr>
          <w:bCs/>
          <w:color w:val="000000" w:themeColor="text1"/>
          <w:sz w:val="28"/>
          <w:szCs w:val="28"/>
          <w:lang w:val="uk-UA" w:eastAsia="ru-RU"/>
        </w:rPr>
        <w:t>Одеса – 2020</w:t>
      </w:r>
    </w:p>
    <w:p w:rsidR="00582C20" w:rsidRPr="00365F2F" w:rsidRDefault="00582C20" w:rsidP="00582C20">
      <w:pPr>
        <w:widowControl w:val="0"/>
        <w:spacing w:line="329" w:lineRule="auto"/>
        <w:jc w:val="both"/>
        <w:rPr>
          <w:color w:val="000000" w:themeColor="text1"/>
          <w:sz w:val="28"/>
          <w:szCs w:val="28"/>
          <w:lang w:val="uk-UA"/>
        </w:rPr>
      </w:pPr>
    </w:p>
    <w:p w:rsidR="00582C20" w:rsidRPr="00365F2F" w:rsidRDefault="00582C20" w:rsidP="00582C20">
      <w:pPr>
        <w:spacing w:line="360" w:lineRule="auto"/>
        <w:jc w:val="center"/>
        <w:rPr>
          <w:b/>
          <w:color w:val="000000" w:themeColor="text1"/>
          <w:sz w:val="28"/>
          <w:szCs w:val="28"/>
          <w:lang w:val="uk-UA"/>
        </w:rPr>
      </w:pPr>
      <w:r w:rsidRPr="00365F2F">
        <w:rPr>
          <w:b/>
          <w:color w:val="000000" w:themeColor="text1"/>
          <w:sz w:val="28"/>
          <w:szCs w:val="28"/>
          <w:lang w:val="uk-UA"/>
        </w:rPr>
        <w:lastRenderedPageBreak/>
        <w:t>ЗМІСТ</w:t>
      </w:r>
    </w:p>
    <w:p w:rsidR="00582C20" w:rsidRPr="00365F2F" w:rsidRDefault="00582C20" w:rsidP="00582C20">
      <w:pPr>
        <w:spacing w:line="360" w:lineRule="auto"/>
        <w:jc w:val="both"/>
        <w:rPr>
          <w:color w:val="000000" w:themeColor="text1"/>
          <w:sz w:val="28"/>
          <w:szCs w:val="28"/>
          <w:lang w:val="uk-UA"/>
        </w:rPr>
      </w:pP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ВСТУП………………………………………………………………………….….3</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РОЗДІЛ 1 ТЕОРЕТИЧНІ ЗАСАДИ МІЖНАРОДНИХ СТАНДАРТІВ КОРПОРАТИВНОГО УПРАВЛІННЯ…………………...………………………5</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1.1. Сутність та моделі корпоративного управління………………….…………5</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1.2 Оцінка якості корпоративного управління на основі стандартів..…………8</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1.3. Міжнародні стандарти корпоративного управління та їх особливості..…12</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РОЗДІЛ 2 ОЦІНКА РЕІЛІЗАЦІЇ СТАНДАРТІВ КОРПОРАТИВНОГО УПРАВЛІННЯ В ДІЯЛЬНОСТІ МІЖНАРОДНОГО БІЗНЕСУ………………………………………………..……..………………… 17</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2.1. Структура власності компанії та її вплив на якість корпоративного управління……………………………………………………………………..…17</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2.2. Оцінка практик корпоративного управління на прикладі світових  компаній.…………………………………………………………………………19</w:t>
      </w:r>
    </w:p>
    <w:p w:rsidR="00582C20" w:rsidRPr="00365F2F" w:rsidRDefault="00582C20" w:rsidP="00582C20">
      <w:pPr>
        <w:spacing w:line="360" w:lineRule="auto"/>
        <w:jc w:val="both"/>
        <w:rPr>
          <w:color w:val="000000" w:themeColor="text1"/>
          <w:sz w:val="28"/>
          <w:szCs w:val="28"/>
        </w:rPr>
      </w:pPr>
      <w:r w:rsidRPr="00365F2F">
        <w:rPr>
          <w:color w:val="000000" w:themeColor="text1"/>
          <w:sz w:val="28"/>
          <w:szCs w:val="28"/>
          <w:lang w:val="uk-UA"/>
        </w:rPr>
        <w:t>2.3 Вплив якості стандартів корпоративного управління на ефективність діяльності компанії………………………………………………………………2</w:t>
      </w:r>
      <w:r w:rsidRPr="00365F2F">
        <w:rPr>
          <w:color w:val="000000" w:themeColor="text1"/>
          <w:sz w:val="28"/>
          <w:szCs w:val="28"/>
        </w:rPr>
        <w:t>7</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РОЗДІЛ 3 ПРАКТИКА РЕАЛІЗАЦІЇ СТАНДАРТІВ КОРПОРАТИВНОГО УПРАВЛІННЯ В УКРАЇНІ…………………………………...…………………34</w:t>
      </w:r>
    </w:p>
    <w:p w:rsidR="00582C20" w:rsidRPr="00365F2F" w:rsidRDefault="00582C20" w:rsidP="00582C2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color w:val="000000" w:themeColor="text1"/>
          <w:sz w:val="28"/>
          <w:szCs w:val="28"/>
          <w:lang w:val="uk-UA"/>
        </w:rPr>
      </w:pPr>
      <w:r w:rsidRPr="00365F2F">
        <w:rPr>
          <w:color w:val="000000" w:themeColor="text1"/>
          <w:sz w:val="28"/>
          <w:szCs w:val="28"/>
          <w:lang w:val="uk-UA"/>
        </w:rPr>
        <w:t>3.1. Нормативно-правова основа регулювання корпоративних відносин в Україні……………………………………………………………………………34</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 xml:space="preserve">3.2. </w:t>
      </w:r>
      <w:r w:rsidRPr="00365F2F">
        <w:rPr>
          <w:color w:val="000000" w:themeColor="text1"/>
          <w:sz w:val="28"/>
          <w:szCs w:val="28"/>
        </w:rPr>
        <w:t>Імплементація  стандартів корпоративного управління в діяльності національних корпорацій</w:t>
      </w:r>
      <w:r w:rsidRPr="00365F2F">
        <w:rPr>
          <w:color w:val="000000" w:themeColor="text1"/>
          <w:sz w:val="28"/>
          <w:szCs w:val="28"/>
          <w:lang w:val="uk-UA"/>
        </w:rPr>
        <w:t>………………………………………..………………39</w:t>
      </w:r>
    </w:p>
    <w:p w:rsidR="00582C20" w:rsidRPr="00365F2F" w:rsidRDefault="00582C20" w:rsidP="00582C20">
      <w:pPr>
        <w:pStyle w:val="a4"/>
        <w:spacing w:before="0" w:beforeAutospacing="0" w:after="0" w:afterAutospacing="0" w:line="360" w:lineRule="auto"/>
        <w:contextualSpacing/>
        <w:jc w:val="both"/>
        <w:rPr>
          <w:color w:val="000000" w:themeColor="text1"/>
          <w:sz w:val="28"/>
          <w:szCs w:val="28"/>
          <w:lang w:val="uk-UA"/>
        </w:rPr>
      </w:pPr>
      <w:r w:rsidRPr="00365F2F">
        <w:rPr>
          <w:color w:val="000000" w:themeColor="text1"/>
          <w:sz w:val="28"/>
          <w:szCs w:val="28"/>
          <w:lang w:val="uk-UA"/>
        </w:rPr>
        <w:t>ВИСНОВКИ…………………………………………………...…………………44</w:t>
      </w:r>
    </w:p>
    <w:p w:rsidR="00582C20" w:rsidRPr="00365F2F" w:rsidRDefault="00582C20" w:rsidP="00582C20">
      <w:pPr>
        <w:spacing w:line="360" w:lineRule="auto"/>
        <w:jc w:val="both"/>
        <w:rPr>
          <w:color w:val="000000" w:themeColor="text1"/>
          <w:sz w:val="28"/>
          <w:szCs w:val="28"/>
          <w:lang w:val="uk-UA"/>
        </w:rPr>
      </w:pPr>
      <w:r w:rsidRPr="00365F2F">
        <w:rPr>
          <w:color w:val="000000" w:themeColor="text1"/>
          <w:sz w:val="28"/>
          <w:szCs w:val="28"/>
          <w:lang w:val="uk-UA"/>
        </w:rPr>
        <w:t>СПИСОК ВИКОРИСТАНИХ ДЖЕРЕЛ……………………….………………48</w:t>
      </w:r>
    </w:p>
    <w:p w:rsidR="00582C20" w:rsidRPr="00365F2F" w:rsidRDefault="00582C20" w:rsidP="00582C20">
      <w:pPr>
        <w:rPr>
          <w:b/>
          <w:bCs/>
          <w:color w:val="000000" w:themeColor="text1"/>
          <w:sz w:val="28"/>
          <w:szCs w:val="28"/>
          <w:lang w:val="uk-UA"/>
        </w:rPr>
      </w:pPr>
    </w:p>
    <w:p w:rsidR="00582C20" w:rsidRPr="00365F2F" w:rsidRDefault="00582C20" w:rsidP="00582C20">
      <w:pPr>
        <w:rPr>
          <w:b/>
          <w:bCs/>
          <w:color w:val="000000" w:themeColor="text1"/>
          <w:sz w:val="28"/>
          <w:szCs w:val="28"/>
          <w:lang w:val="uk-UA"/>
        </w:rPr>
      </w:pPr>
      <w:r w:rsidRPr="00365F2F">
        <w:rPr>
          <w:b/>
          <w:bCs/>
          <w:color w:val="000000" w:themeColor="text1"/>
          <w:sz w:val="28"/>
          <w:szCs w:val="28"/>
          <w:lang w:val="uk-UA"/>
        </w:rPr>
        <w:br w:type="page"/>
      </w:r>
    </w:p>
    <w:p w:rsidR="00582C20" w:rsidRPr="00365F2F" w:rsidRDefault="00582C20" w:rsidP="00582C20">
      <w:pPr>
        <w:spacing w:line="360" w:lineRule="auto"/>
        <w:ind w:firstLine="720"/>
        <w:contextualSpacing/>
        <w:jc w:val="center"/>
        <w:rPr>
          <w:b/>
          <w:bCs/>
          <w:color w:val="000000" w:themeColor="text1"/>
          <w:sz w:val="28"/>
          <w:szCs w:val="28"/>
          <w:lang w:val="uk-UA"/>
        </w:rPr>
      </w:pPr>
      <w:r w:rsidRPr="00365F2F">
        <w:rPr>
          <w:b/>
          <w:bCs/>
          <w:color w:val="000000" w:themeColor="text1"/>
          <w:sz w:val="28"/>
          <w:szCs w:val="28"/>
          <w:lang w:val="uk-UA"/>
        </w:rPr>
        <w:lastRenderedPageBreak/>
        <w:t>ВСТУП</w:t>
      </w:r>
    </w:p>
    <w:p w:rsidR="00582C20" w:rsidRPr="00365F2F" w:rsidRDefault="00582C20" w:rsidP="00582C20">
      <w:pPr>
        <w:spacing w:line="360" w:lineRule="auto"/>
        <w:ind w:firstLine="720"/>
        <w:contextualSpacing/>
        <w:jc w:val="center"/>
        <w:rPr>
          <w:b/>
          <w:bCs/>
          <w:color w:val="000000" w:themeColor="text1"/>
          <w:sz w:val="28"/>
          <w:szCs w:val="28"/>
          <w:lang w:val="uk-UA"/>
        </w:rPr>
      </w:pPr>
    </w:p>
    <w:p w:rsidR="00582C20" w:rsidRPr="00365F2F" w:rsidRDefault="00582C20" w:rsidP="00582C20">
      <w:pPr>
        <w:spacing w:line="360" w:lineRule="auto"/>
        <w:ind w:firstLine="720"/>
        <w:jc w:val="both"/>
        <w:rPr>
          <w:color w:val="000000" w:themeColor="text1"/>
          <w:sz w:val="28"/>
          <w:szCs w:val="28"/>
          <w:lang w:val="uk-UA"/>
        </w:rPr>
      </w:pPr>
      <w:r w:rsidRPr="00365F2F">
        <w:rPr>
          <w:color w:val="000000" w:themeColor="text1"/>
          <w:sz w:val="28"/>
          <w:szCs w:val="28"/>
          <w:lang w:val="uk-UA"/>
        </w:rPr>
        <w:t>Суть сучасного корпоративного управління полягає в паритетному балансуванні інтересів інвесторів, за допомогою надання акціонерам можливості оцінки і контролю ефективності використання коштів компанії. В результаті добровільного розкриття інформації про корпоративне управління, компанія підвищує свою інвестиційну привабливість серед інвесторів, вважається більш стабільною і ліквідної, що в свою чергу, відкриває для неї нові ринки капіталу.</w:t>
      </w:r>
    </w:p>
    <w:p w:rsidR="00582C20" w:rsidRPr="00365F2F" w:rsidRDefault="00582C20" w:rsidP="00582C20">
      <w:pPr>
        <w:spacing w:line="360" w:lineRule="auto"/>
        <w:ind w:firstLine="720"/>
        <w:jc w:val="both"/>
        <w:rPr>
          <w:color w:val="000000" w:themeColor="text1"/>
          <w:sz w:val="28"/>
          <w:szCs w:val="28"/>
          <w:lang w:val="uk-UA"/>
        </w:rPr>
      </w:pPr>
      <w:r w:rsidRPr="00365F2F">
        <w:rPr>
          <w:color w:val="000000" w:themeColor="text1"/>
          <w:sz w:val="28"/>
          <w:szCs w:val="28"/>
          <w:lang w:val="uk-UA"/>
        </w:rPr>
        <w:t>Актуальність теми корпоративного управління підкреслює факт розкриття політики стійких цілей в звітах компаній. Крім звичних фінансових показників, інформація про корпоративне управління дозволяє скласти враження про компанію в таких сферах як екологія, рівність і відповідальне споживання ресурсів.</w:t>
      </w:r>
    </w:p>
    <w:p w:rsidR="00582C20" w:rsidRPr="00365F2F" w:rsidRDefault="00582C20" w:rsidP="00582C20">
      <w:pPr>
        <w:spacing w:line="360" w:lineRule="auto"/>
        <w:ind w:firstLine="720"/>
        <w:jc w:val="both"/>
        <w:rPr>
          <w:color w:val="000000" w:themeColor="text1"/>
          <w:sz w:val="28"/>
          <w:szCs w:val="28"/>
          <w:lang w:val="uk-UA"/>
        </w:rPr>
      </w:pPr>
      <w:r w:rsidRPr="00365F2F">
        <w:rPr>
          <w:color w:val="000000" w:themeColor="text1"/>
          <w:sz w:val="28"/>
          <w:szCs w:val="28"/>
          <w:lang w:val="uk-UA"/>
        </w:rPr>
        <w:t>Мета роботи – на основі узагальнення теоретичних досліджень щодо міжнародних стандартів корпоративного управління визначити особливості їх реалізації та імплементації в діяльність корпорацій в Україні.</w:t>
      </w:r>
    </w:p>
    <w:p w:rsidR="00582C20" w:rsidRPr="00365F2F" w:rsidRDefault="00582C20" w:rsidP="00582C20">
      <w:pPr>
        <w:spacing w:line="360" w:lineRule="auto"/>
        <w:ind w:firstLine="720"/>
        <w:jc w:val="both"/>
        <w:rPr>
          <w:color w:val="000000" w:themeColor="text1"/>
          <w:sz w:val="28"/>
          <w:szCs w:val="28"/>
          <w:lang w:val="uk-UA"/>
        </w:rPr>
      </w:pPr>
      <w:r w:rsidRPr="00365F2F">
        <w:rPr>
          <w:color w:val="000000" w:themeColor="text1"/>
          <w:sz w:val="28"/>
          <w:szCs w:val="28"/>
          <w:lang w:val="uk-UA"/>
        </w:rPr>
        <w:t>Поставлена мета обумовила вирішення наступних завдань:</w:t>
      </w:r>
    </w:p>
    <w:p w:rsidR="00582C20" w:rsidRPr="00365F2F" w:rsidRDefault="00582C20" w:rsidP="00582C20">
      <w:pPr>
        <w:pStyle w:val="a3"/>
        <w:numPr>
          <w:ilvl w:val="0"/>
          <w:numId w:val="1"/>
        </w:numPr>
        <w:rPr>
          <w:color w:val="000000" w:themeColor="text1"/>
          <w:sz w:val="28"/>
          <w:szCs w:val="28"/>
          <w:lang w:val="uk-UA"/>
        </w:rPr>
      </w:pPr>
      <w:r w:rsidRPr="00365F2F">
        <w:rPr>
          <w:color w:val="000000" w:themeColor="text1"/>
          <w:sz w:val="28"/>
          <w:szCs w:val="28"/>
          <w:lang w:val="uk-UA"/>
        </w:rPr>
        <w:t>розкрити сутність міжнародних стандартів корпоративного управління;</w:t>
      </w:r>
    </w:p>
    <w:p w:rsidR="00582C20" w:rsidRPr="00365F2F" w:rsidRDefault="00582C20" w:rsidP="00582C20">
      <w:pPr>
        <w:pStyle w:val="a3"/>
        <w:numPr>
          <w:ilvl w:val="0"/>
          <w:numId w:val="1"/>
        </w:numPr>
        <w:rPr>
          <w:color w:val="000000" w:themeColor="text1"/>
          <w:sz w:val="28"/>
          <w:szCs w:val="28"/>
          <w:lang w:val="uk-UA"/>
        </w:rPr>
      </w:pPr>
      <w:r w:rsidRPr="00365F2F">
        <w:rPr>
          <w:color w:val="000000" w:themeColor="text1"/>
          <w:sz w:val="28"/>
          <w:szCs w:val="28"/>
          <w:lang w:val="uk-UA"/>
        </w:rPr>
        <w:t>охарактеризувати сучасні моделі корпоративного управління;</w:t>
      </w:r>
    </w:p>
    <w:p w:rsidR="00582C20" w:rsidRPr="00365F2F" w:rsidRDefault="00582C20" w:rsidP="00582C20">
      <w:pPr>
        <w:pStyle w:val="a3"/>
        <w:numPr>
          <w:ilvl w:val="0"/>
          <w:numId w:val="1"/>
        </w:numPr>
        <w:spacing w:line="360" w:lineRule="auto"/>
        <w:jc w:val="both"/>
        <w:rPr>
          <w:color w:val="000000" w:themeColor="text1"/>
          <w:sz w:val="28"/>
          <w:szCs w:val="28"/>
          <w:lang w:val="uk-UA"/>
        </w:rPr>
      </w:pPr>
      <w:r w:rsidRPr="00365F2F">
        <w:rPr>
          <w:color w:val="000000" w:themeColor="text1"/>
          <w:sz w:val="28"/>
          <w:szCs w:val="28"/>
          <w:lang w:val="uk-UA"/>
        </w:rPr>
        <w:t>провести огляд оцінок якості корпоративного управління на основі стандартів;</w:t>
      </w:r>
    </w:p>
    <w:p w:rsidR="00582C20" w:rsidRPr="00365F2F" w:rsidRDefault="00582C20" w:rsidP="00582C20">
      <w:pPr>
        <w:pStyle w:val="a3"/>
        <w:numPr>
          <w:ilvl w:val="0"/>
          <w:numId w:val="1"/>
        </w:numPr>
        <w:spacing w:line="360" w:lineRule="auto"/>
        <w:jc w:val="both"/>
        <w:rPr>
          <w:color w:val="000000" w:themeColor="text1"/>
          <w:sz w:val="28"/>
          <w:szCs w:val="28"/>
          <w:lang w:val="uk-UA"/>
        </w:rPr>
      </w:pPr>
      <w:r w:rsidRPr="00365F2F">
        <w:rPr>
          <w:color w:val="000000" w:themeColor="text1"/>
          <w:sz w:val="28"/>
          <w:szCs w:val="28"/>
          <w:lang w:val="uk-UA"/>
        </w:rPr>
        <w:t>охарактеризувати структуру власності та її вплив на якість корпоративного управління;</w:t>
      </w:r>
    </w:p>
    <w:p w:rsidR="00582C20" w:rsidRPr="00365F2F" w:rsidRDefault="00582C20" w:rsidP="00582C20">
      <w:pPr>
        <w:pStyle w:val="a3"/>
        <w:numPr>
          <w:ilvl w:val="0"/>
          <w:numId w:val="1"/>
        </w:numPr>
        <w:spacing w:line="360" w:lineRule="auto"/>
        <w:jc w:val="both"/>
        <w:rPr>
          <w:color w:val="000000" w:themeColor="text1"/>
          <w:sz w:val="28"/>
          <w:szCs w:val="28"/>
          <w:lang w:val="uk-UA"/>
        </w:rPr>
      </w:pPr>
      <w:r w:rsidRPr="00365F2F">
        <w:rPr>
          <w:color w:val="000000" w:themeColor="text1"/>
          <w:sz w:val="28"/>
          <w:szCs w:val="28"/>
          <w:lang w:val="uk-UA"/>
        </w:rPr>
        <w:t>оцінити практики міжнародного управління на прикладі світових компаній;</w:t>
      </w:r>
    </w:p>
    <w:p w:rsidR="00582C20" w:rsidRPr="00365F2F" w:rsidRDefault="00582C20" w:rsidP="00582C20">
      <w:pPr>
        <w:pStyle w:val="a3"/>
        <w:numPr>
          <w:ilvl w:val="0"/>
          <w:numId w:val="1"/>
        </w:numPr>
        <w:spacing w:line="360" w:lineRule="auto"/>
        <w:jc w:val="both"/>
        <w:rPr>
          <w:color w:val="000000" w:themeColor="text1"/>
          <w:sz w:val="28"/>
          <w:szCs w:val="28"/>
          <w:lang w:val="uk-UA"/>
        </w:rPr>
      </w:pPr>
      <w:r w:rsidRPr="00365F2F">
        <w:rPr>
          <w:color w:val="000000" w:themeColor="text1"/>
          <w:sz w:val="28"/>
          <w:szCs w:val="28"/>
          <w:lang w:val="uk-UA"/>
        </w:rPr>
        <w:t>Прослідити вплив якості стандартів корпоративного управління ефективність компанії;</w:t>
      </w:r>
    </w:p>
    <w:p w:rsidR="00582C20" w:rsidRPr="00365F2F" w:rsidRDefault="00582C20" w:rsidP="00582C20">
      <w:pPr>
        <w:pStyle w:val="a3"/>
        <w:numPr>
          <w:ilvl w:val="0"/>
          <w:numId w:val="1"/>
        </w:numPr>
        <w:spacing w:line="360" w:lineRule="auto"/>
        <w:jc w:val="both"/>
        <w:rPr>
          <w:color w:val="000000" w:themeColor="text1"/>
          <w:sz w:val="28"/>
          <w:szCs w:val="28"/>
          <w:lang w:val="uk-UA"/>
        </w:rPr>
      </w:pPr>
      <w:r w:rsidRPr="00365F2F">
        <w:rPr>
          <w:color w:val="000000" w:themeColor="text1"/>
          <w:sz w:val="28"/>
          <w:szCs w:val="28"/>
          <w:lang w:val="uk-UA"/>
        </w:rPr>
        <w:t>Розкрити нормативно-правову основу регулювання корпоративних відносин в Україні;</w:t>
      </w:r>
    </w:p>
    <w:p w:rsidR="00582C20" w:rsidRPr="00365F2F" w:rsidRDefault="00582C20" w:rsidP="00582C20">
      <w:pPr>
        <w:pStyle w:val="a3"/>
        <w:numPr>
          <w:ilvl w:val="0"/>
          <w:numId w:val="1"/>
        </w:numPr>
        <w:spacing w:line="360" w:lineRule="auto"/>
        <w:jc w:val="both"/>
        <w:rPr>
          <w:color w:val="000000" w:themeColor="text1"/>
          <w:sz w:val="28"/>
          <w:szCs w:val="28"/>
          <w:lang w:val="uk-UA"/>
        </w:rPr>
      </w:pPr>
      <w:r w:rsidRPr="00365F2F">
        <w:rPr>
          <w:color w:val="000000" w:themeColor="text1"/>
          <w:sz w:val="28"/>
          <w:szCs w:val="28"/>
          <w:lang w:val="uk-UA"/>
        </w:rPr>
        <w:lastRenderedPageBreak/>
        <w:t xml:space="preserve">Оцінити імплементацію стандартів корпоративного управління і діяльності національних корпорацій. </w:t>
      </w:r>
    </w:p>
    <w:p w:rsidR="00582C20" w:rsidRPr="00365F2F" w:rsidRDefault="00582C20" w:rsidP="00582C20">
      <w:pPr>
        <w:spacing w:line="360" w:lineRule="auto"/>
        <w:ind w:firstLine="708"/>
        <w:jc w:val="both"/>
        <w:rPr>
          <w:color w:val="000000" w:themeColor="text1"/>
          <w:sz w:val="28"/>
          <w:szCs w:val="28"/>
          <w:lang w:val="uk-UA"/>
        </w:rPr>
      </w:pPr>
      <w:r w:rsidRPr="00365F2F">
        <w:rPr>
          <w:color w:val="000000" w:themeColor="text1"/>
          <w:sz w:val="28"/>
          <w:szCs w:val="28"/>
          <w:lang w:val="uk-UA"/>
        </w:rPr>
        <w:t xml:space="preserve">Об’єктом дослідження є процес імплементації міжнародних стандартів корпоративного управління в діяльність корпорацій. </w:t>
      </w:r>
    </w:p>
    <w:p w:rsidR="00582C20" w:rsidRPr="00365F2F" w:rsidRDefault="00582C20" w:rsidP="00582C20">
      <w:pPr>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Предметом роботи є  комплекс теоретичних та організаційних аспектів щодо впровадження міжнародних стандартів корпоративного управління в діяльність національних корпорацій. </w:t>
      </w:r>
    </w:p>
    <w:p w:rsidR="00582C20" w:rsidRPr="00365F2F" w:rsidRDefault="00582C20" w:rsidP="00582C20">
      <w:pPr>
        <w:spacing w:line="360" w:lineRule="auto"/>
        <w:ind w:firstLine="708"/>
        <w:contextualSpacing/>
        <w:jc w:val="both"/>
        <w:rPr>
          <w:color w:val="000000" w:themeColor="text1"/>
          <w:sz w:val="28"/>
          <w:szCs w:val="28"/>
          <w:lang w:val="uk-UA"/>
        </w:rPr>
      </w:pPr>
      <w:r w:rsidRPr="00365F2F">
        <w:rPr>
          <w:color w:val="000000" w:themeColor="text1"/>
          <w:sz w:val="28"/>
          <w:szCs w:val="28"/>
          <w:lang w:val="uk-UA"/>
        </w:rPr>
        <w:t>Дослідження складається зі вступу, трьох розділів, висновків і списку  використаних джерел та додатків. При написанні роботи були використані порівняльний, статистичний, графічний, дедуктивний методи.</w:t>
      </w:r>
    </w:p>
    <w:p w:rsidR="00582C20" w:rsidRPr="00365F2F" w:rsidRDefault="00582C20" w:rsidP="00582C20">
      <w:pPr>
        <w:spacing w:line="360" w:lineRule="auto"/>
        <w:ind w:firstLine="708"/>
        <w:contextualSpacing/>
        <w:jc w:val="both"/>
        <w:rPr>
          <w:color w:val="000000" w:themeColor="text1"/>
          <w:sz w:val="28"/>
          <w:szCs w:val="28"/>
        </w:rPr>
      </w:pPr>
      <w:r w:rsidRPr="00365F2F">
        <w:rPr>
          <w:color w:val="000000" w:themeColor="text1"/>
          <w:sz w:val="28"/>
          <w:szCs w:val="28"/>
          <w:lang w:val="uk-UA"/>
        </w:rPr>
        <w:t>Дипломна робота пройшла апробацію на Десятій міжнародній науково-практичній конференції «Добробут нації в умовах глобальної нестабільності», - Одеський національний університет ім. І.І. Мечникова (27-28 травня 2020 року).</w:t>
      </w:r>
      <w:r w:rsidRPr="00365F2F">
        <w:rPr>
          <w:color w:val="000000" w:themeColor="text1"/>
          <w:sz w:val="28"/>
          <w:szCs w:val="28"/>
        </w:rPr>
        <w:t xml:space="preserve"> </w:t>
      </w:r>
      <w:r w:rsidRPr="00365F2F">
        <w:rPr>
          <w:rFonts w:hint="cs"/>
          <w:color w:val="000000" w:themeColor="text1"/>
          <w:sz w:val="28"/>
          <w:szCs w:val="28"/>
          <w:lang w:val="uk-UA"/>
        </w:rPr>
        <w:t>А</w:t>
      </w:r>
      <w:r w:rsidRPr="00365F2F">
        <w:rPr>
          <w:color w:val="000000" w:themeColor="text1"/>
          <w:sz w:val="28"/>
          <w:szCs w:val="28"/>
          <w:lang w:val="uk-UA"/>
        </w:rPr>
        <w:t xml:space="preserve"> </w:t>
      </w:r>
      <w:r w:rsidRPr="00365F2F">
        <w:rPr>
          <w:rFonts w:hint="cs"/>
          <w:color w:val="000000" w:themeColor="text1"/>
          <w:sz w:val="28"/>
          <w:szCs w:val="28"/>
          <w:lang w:val="uk-UA"/>
        </w:rPr>
        <w:t>також</w:t>
      </w:r>
      <w:r w:rsidRPr="00365F2F">
        <w:rPr>
          <w:color w:val="000000" w:themeColor="text1"/>
          <w:sz w:val="28"/>
          <w:szCs w:val="28"/>
          <w:lang w:val="uk-UA"/>
        </w:rPr>
        <w:t xml:space="preserve"> </w:t>
      </w:r>
      <w:r w:rsidRPr="00365F2F">
        <w:rPr>
          <w:rFonts w:hint="cs"/>
          <w:color w:val="000000" w:themeColor="text1"/>
          <w:sz w:val="28"/>
          <w:szCs w:val="28"/>
          <w:lang w:val="uk-UA"/>
        </w:rPr>
        <w:t>підготовлена</w:t>
      </w:r>
      <w:r w:rsidRPr="00365F2F">
        <w:rPr>
          <w:color w:val="000000" w:themeColor="text1"/>
          <w:sz w:val="28"/>
          <w:szCs w:val="28"/>
          <w:lang w:val="uk-UA"/>
        </w:rPr>
        <w:t xml:space="preserve"> </w:t>
      </w:r>
      <w:r w:rsidRPr="00365F2F">
        <w:rPr>
          <w:rFonts w:hint="cs"/>
          <w:color w:val="000000" w:themeColor="text1"/>
          <w:sz w:val="28"/>
          <w:szCs w:val="28"/>
          <w:lang w:val="uk-UA"/>
        </w:rPr>
        <w:t>до</w:t>
      </w:r>
      <w:r w:rsidRPr="00365F2F">
        <w:rPr>
          <w:color w:val="000000" w:themeColor="text1"/>
          <w:sz w:val="28"/>
          <w:szCs w:val="28"/>
          <w:lang w:val="uk-UA"/>
        </w:rPr>
        <w:t xml:space="preserve"> </w:t>
      </w:r>
      <w:r w:rsidRPr="00365F2F">
        <w:rPr>
          <w:rFonts w:hint="cs"/>
          <w:color w:val="000000" w:themeColor="text1"/>
          <w:sz w:val="28"/>
          <w:szCs w:val="28"/>
          <w:lang w:val="uk-UA"/>
        </w:rPr>
        <w:t>публікації</w:t>
      </w:r>
      <w:r w:rsidRPr="00365F2F">
        <w:rPr>
          <w:color w:val="000000" w:themeColor="text1"/>
          <w:sz w:val="28"/>
          <w:szCs w:val="28"/>
          <w:lang w:val="uk-UA"/>
        </w:rPr>
        <w:t xml:space="preserve"> </w:t>
      </w:r>
      <w:r w:rsidRPr="00365F2F">
        <w:rPr>
          <w:rFonts w:hint="cs"/>
          <w:color w:val="000000" w:themeColor="text1"/>
          <w:sz w:val="28"/>
          <w:szCs w:val="28"/>
          <w:lang w:val="uk-UA"/>
        </w:rPr>
        <w:t>та</w:t>
      </w:r>
      <w:r w:rsidRPr="00365F2F">
        <w:rPr>
          <w:color w:val="000000" w:themeColor="text1"/>
          <w:sz w:val="28"/>
          <w:szCs w:val="28"/>
          <w:lang w:val="uk-UA"/>
        </w:rPr>
        <w:t xml:space="preserve"> </w:t>
      </w:r>
      <w:r w:rsidRPr="00365F2F">
        <w:rPr>
          <w:rFonts w:hint="cs"/>
          <w:color w:val="000000" w:themeColor="text1"/>
          <w:sz w:val="28"/>
          <w:szCs w:val="28"/>
          <w:lang w:val="uk-UA"/>
        </w:rPr>
        <w:t>прийнята</w:t>
      </w:r>
      <w:r w:rsidRPr="00365F2F">
        <w:rPr>
          <w:color w:val="000000" w:themeColor="text1"/>
          <w:sz w:val="28"/>
          <w:szCs w:val="28"/>
          <w:lang w:val="uk-UA"/>
        </w:rPr>
        <w:t xml:space="preserve"> </w:t>
      </w:r>
      <w:r w:rsidRPr="00365F2F">
        <w:rPr>
          <w:rFonts w:hint="cs"/>
          <w:color w:val="000000" w:themeColor="text1"/>
          <w:sz w:val="28"/>
          <w:szCs w:val="28"/>
          <w:lang w:val="uk-UA"/>
        </w:rPr>
        <w:t>у</w:t>
      </w:r>
      <w:r w:rsidRPr="00365F2F">
        <w:rPr>
          <w:color w:val="000000" w:themeColor="text1"/>
          <w:sz w:val="28"/>
          <w:szCs w:val="28"/>
          <w:lang w:val="uk-UA"/>
        </w:rPr>
        <w:t xml:space="preserve"> </w:t>
      </w:r>
      <w:r w:rsidRPr="00365F2F">
        <w:rPr>
          <w:rFonts w:hint="cs"/>
          <w:color w:val="000000" w:themeColor="text1"/>
          <w:sz w:val="28"/>
          <w:szCs w:val="28"/>
          <w:lang w:val="uk-UA"/>
        </w:rPr>
        <w:t>друк</w:t>
      </w:r>
      <w:r w:rsidRPr="00365F2F">
        <w:rPr>
          <w:color w:val="000000" w:themeColor="text1"/>
          <w:sz w:val="28"/>
          <w:szCs w:val="28"/>
          <w:lang w:val="uk-UA"/>
        </w:rPr>
        <w:t xml:space="preserve"> </w:t>
      </w:r>
      <w:r w:rsidRPr="00365F2F">
        <w:rPr>
          <w:rFonts w:hint="cs"/>
          <w:color w:val="000000" w:themeColor="text1"/>
          <w:sz w:val="28"/>
          <w:szCs w:val="28"/>
          <w:lang w:val="uk-UA"/>
        </w:rPr>
        <w:t>стат</w:t>
      </w:r>
      <w:r w:rsidRPr="00365F2F">
        <w:rPr>
          <w:color w:val="000000" w:themeColor="text1"/>
          <w:sz w:val="28"/>
          <w:szCs w:val="28"/>
          <w:lang w:val="uk-UA"/>
        </w:rPr>
        <w:t xml:space="preserve">тя </w:t>
      </w:r>
      <w:r w:rsidRPr="00365F2F">
        <w:rPr>
          <w:rFonts w:hint="cs"/>
          <w:color w:val="000000" w:themeColor="text1"/>
          <w:sz w:val="28"/>
          <w:szCs w:val="28"/>
          <w:lang w:val="uk-UA"/>
        </w:rPr>
        <w:t>в</w:t>
      </w:r>
      <w:r w:rsidRPr="00365F2F">
        <w:rPr>
          <w:color w:val="000000" w:themeColor="text1"/>
          <w:sz w:val="28"/>
          <w:szCs w:val="28"/>
          <w:lang w:val="uk-UA"/>
        </w:rPr>
        <w:t xml:space="preserve"> науково-практичний журнал  «Інфраструктура ринку»</w:t>
      </w:r>
      <w:r w:rsidRPr="00365F2F">
        <w:rPr>
          <w:b/>
          <w:bCs/>
          <w:color w:val="000000" w:themeColor="text1"/>
          <w:sz w:val="28"/>
          <w:szCs w:val="28"/>
        </w:rPr>
        <w:t xml:space="preserve"> </w:t>
      </w:r>
      <w:r w:rsidRPr="00365F2F">
        <w:rPr>
          <w:color w:val="000000" w:themeColor="text1"/>
          <w:sz w:val="28"/>
          <w:szCs w:val="28"/>
          <w:lang w:val="uk-UA"/>
        </w:rPr>
        <w:t>–</w:t>
      </w:r>
      <w:r w:rsidRPr="00365F2F">
        <w:rPr>
          <w:b/>
          <w:color w:val="000000" w:themeColor="text1"/>
          <w:sz w:val="28"/>
          <w:szCs w:val="28"/>
        </w:rPr>
        <w:t xml:space="preserve"> </w:t>
      </w:r>
      <w:r w:rsidRPr="00365F2F">
        <w:rPr>
          <w:color w:val="000000" w:themeColor="text1"/>
          <w:sz w:val="28"/>
          <w:szCs w:val="28"/>
          <w:lang w:val="uk-UA"/>
        </w:rPr>
        <w:t xml:space="preserve">липень </w:t>
      </w:r>
      <w:r w:rsidRPr="00365F2F">
        <w:rPr>
          <w:bCs/>
          <w:color w:val="000000" w:themeColor="text1"/>
          <w:sz w:val="28"/>
          <w:szCs w:val="28"/>
          <w:lang w:val="uk-UA"/>
        </w:rPr>
        <w:t>2020 року.</w:t>
      </w:r>
    </w:p>
    <w:p w:rsidR="00582C20" w:rsidRPr="00365F2F" w:rsidRDefault="00582C20" w:rsidP="00582C20">
      <w:pPr>
        <w:spacing w:line="360" w:lineRule="auto"/>
        <w:contextualSpacing/>
        <w:jc w:val="both"/>
        <w:rPr>
          <w:color w:val="000000" w:themeColor="text1"/>
          <w:sz w:val="28"/>
          <w:szCs w:val="28"/>
        </w:rPr>
      </w:pPr>
    </w:p>
    <w:p w:rsidR="00582C20" w:rsidRPr="00365F2F" w:rsidRDefault="00582C20" w:rsidP="00582C20">
      <w:pPr>
        <w:rPr>
          <w:b/>
          <w:color w:val="000000" w:themeColor="text1"/>
          <w:sz w:val="28"/>
          <w:szCs w:val="28"/>
          <w:lang w:val="uk-UA"/>
        </w:rPr>
      </w:pPr>
      <w:r w:rsidRPr="00365F2F">
        <w:rPr>
          <w:b/>
          <w:color w:val="000000" w:themeColor="text1"/>
          <w:sz w:val="28"/>
          <w:szCs w:val="28"/>
          <w:lang w:val="uk-UA"/>
        </w:rPr>
        <w:br w:type="page"/>
      </w:r>
    </w:p>
    <w:p w:rsidR="00D03628" w:rsidRPr="00365F2F" w:rsidRDefault="00D03628" w:rsidP="00D03628">
      <w:pPr>
        <w:pStyle w:val="a4"/>
        <w:spacing w:line="360" w:lineRule="auto"/>
        <w:ind w:firstLine="708"/>
        <w:contextualSpacing/>
        <w:jc w:val="center"/>
        <w:rPr>
          <w:b/>
          <w:bCs/>
          <w:color w:val="000000" w:themeColor="text1"/>
          <w:sz w:val="28"/>
          <w:szCs w:val="28"/>
          <w:lang w:val="uk-UA"/>
        </w:rPr>
      </w:pPr>
      <w:r w:rsidRPr="00365F2F">
        <w:rPr>
          <w:b/>
          <w:bCs/>
          <w:color w:val="000000" w:themeColor="text1"/>
          <w:sz w:val="28"/>
          <w:szCs w:val="28"/>
          <w:lang w:val="uk-UA"/>
        </w:rPr>
        <w:lastRenderedPageBreak/>
        <w:t>ВИСНОВКИ</w:t>
      </w:r>
    </w:p>
    <w:p w:rsidR="00D03628" w:rsidRPr="00365F2F" w:rsidRDefault="00D03628" w:rsidP="00D03628">
      <w:pPr>
        <w:pStyle w:val="a4"/>
        <w:spacing w:line="360" w:lineRule="auto"/>
        <w:ind w:firstLine="708"/>
        <w:contextualSpacing/>
        <w:jc w:val="center"/>
        <w:rPr>
          <w:b/>
          <w:bCs/>
          <w:color w:val="000000" w:themeColor="text1"/>
          <w:sz w:val="28"/>
          <w:szCs w:val="28"/>
          <w:lang w:val="uk-UA"/>
        </w:rPr>
      </w:pP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Провівши детальний та кропіткий аналіз міжнародних стандартів корпоративного управління та українських реалій корпоративного сектору. можна прийти до таких висновків.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Існує багато різноманітних поглядів щодо класифікації та оцінки стандартів корпоративного управління. Вагома частина особливостей базується на історичних чи регіональних засадах, що формує три самостійні гілки розвитку КУ: Англо-саксонську, Європейську дворівневу та Японську моделі корпоративного управління. Кожна з моделей створює юридичне поле та низку державних органів, чи організацій, що проводять оцінку та контроль економічних суб’єктів: комісія з цінних паперів і бірж для США, Директива 2017/1132 та Єврокоміссія для країн ЄС та Закон «Про фінансові інструменти та біржі» уряду Японії.</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Виділено, що мета корпоративного управління полягає у паритетному балансуванні інтересів інвесторів, власників, менеджерів, працівників, тощо та, що виконання цієї функції реалізується в рамках створення та дотримання стандартів корпоративного управління. Стандартами корпоративного управління називають кодифіковані норми та рекомендації, що стосуються окремих ланок компанії, пов’язаних із прозорістю і об’єктивністю прийняття рішень та використанням активів компанії. Зазвичай стандарти КУ містять права акціонерів та механізми їх захисту, політику розкриття, принципи обрання посадових осіб, політики щодо структури власності та корпоративної соціальної відповідальності.</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Визначено, що стандарти групуються за територією їх дії, та можуть бути як національні, так і міжнародні. Міжнародні стандарти в свою чергу, базуються на принципах, розроблених світовими організаціями, на кшталт, ОЕСР та ЄБРР, або вираховуються приватними компаніями, такими як </w:t>
      </w:r>
      <w:r w:rsidRPr="00365F2F">
        <w:rPr>
          <w:color w:val="000000" w:themeColor="text1"/>
          <w:sz w:val="28"/>
          <w:szCs w:val="28"/>
          <w:lang w:val="en-US"/>
        </w:rPr>
        <w:t>S</w:t>
      </w:r>
      <w:r w:rsidRPr="00365F2F">
        <w:rPr>
          <w:color w:val="000000" w:themeColor="text1"/>
          <w:sz w:val="28"/>
          <w:szCs w:val="28"/>
          <w:lang w:val="uk-UA"/>
        </w:rPr>
        <w:t>&amp;</w:t>
      </w:r>
      <w:r w:rsidRPr="00365F2F">
        <w:rPr>
          <w:color w:val="000000" w:themeColor="text1"/>
          <w:sz w:val="28"/>
          <w:szCs w:val="28"/>
          <w:lang w:val="en-US"/>
        </w:rPr>
        <w:t>P</w:t>
      </w:r>
      <w:r w:rsidRPr="00365F2F">
        <w:rPr>
          <w:color w:val="000000" w:themeColor="text1"/>
          <w:sz w:val="28"/>
          <w:szCs w:val="28"/>
          <w:lang w:val="uk-UA"/>
        </w:rPr>
        <w:t xml:space="preserve"> у вигляді рейтингів. Сучасні міжнародні рейтинги </w:t>
      </w:r>
      <w:r w:rsidRPr="00365F2F">
        <w:rPr>
          <w:color w:val="000000" w:themeColor="text1"/>
          <w:sz w:val="28"/>
          <w:szCs w:val="28"/>
          <w:lang w:val="en-US"/>
        </w:rPr>
        <w:t>S</w:t>
      </w:r>
      <w:r w:rsidRPr="00365F2F">
        <w:rPr>
          <w:color w:val="000000" w:themeColor="text1"/>
          <w:sz w:val="28"/>
          <w:szCs w:val="28"/>
          <w:lang w:val="uk-UA"/>
        </w:rPr>
        <w:t>&amp;</w:t>
      </w:r>
      <w:r w:rsidRPr="00365F2F">
        <w:rPr>
          <w:color w:val="000000" w:themeColor="text1"/>
          <w:sz w:val="28"/>
          <w:szCs w:val="28"/>
          <w:lang w:val="en-US"/>
        </w:rPr>
        <w:t>P</w:t>
      </w:r>
      <w:r w:rsidRPr="00365F2F">
        <w:rPr>
          <w:color w:val="000000" w:themeColor="text1"/>
          <w:sz w:val="28"/>
          <w:szCs w:val="28"/>
          <w:lang w:val="uk-UA"/>
        </w:rPr>
        <w:t xml:space="preserve"> GAMMA враховують цілу низку особливостей поведінки компанії у напрямках захисту прав </w:t>
      </w:r>
      <w:r w:rsidRPr="00365F2F">
        <w:rPr>
          <w:color w:val="000000" w:themeColor="text1"/>
          <w:sz w:val="28"/>
          <w:szCs w:val="28"/>
          <w:lang w:val="uk-UA"/>
        </w:rPr>
        <w:lastRenderedPageBreak/>
        <w:t xml:space="preserve">акціонерів та структури власності, рейтинги S&amp;P T&amp;D додатково охоплюють фінансову та операційну діяльність компанії.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Порівняно світові та найбільш відомі національні системи оцінки КУ на прикладі рекомендацій ОЕСР та національних кодексів Великобританії, Німеччини, Франції та США.</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Розглянуто взаємозв’язок структури власності компанії та її вплив на якість корпоративного управління. Виділено низку суперечних тверджень, щодо зв’язку концентрації власності та якості КУ. Так позитивний ефекти досягається за рахунок більшої зацікавленості мажоритарних акціонерів у постійному балансованому розвитку компанії та вартості її цінних паперів. З іншого боку, присутні негативні ефекти, пов’язані із зловживанням владою, та створення неправовірних процесів, що дискримінують міноритарних акціонерів, інструментом захисту від негативного ефекту запропонований детальний аналіз трансфертного ціноутворення компанії.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Оцінка практик корпоративного управління присвячена компанія сектору автомобілебудування, що є лідерами індустрії та входять до авторитетного переліку Fortune-500: «Volkswagen AG», «Toyota Motor», «Daimler AG», «Ford Motor», «General Motors». Компанії знаходяться у діапазоні від 9-ї до 32-ї позиції Fortune-500 та обіймають перші 5 позицій цього списку. Сукупний дохід компаній за 2019 рік склав 1 055 855 дол. США, оцінка активів перевищила 1,8 трлн. доларів США. Офіси та виробництва компаній розташовані на 4-х континентах та створюють робочі місця для 1,7 млн. людей по всьому світу.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В компаніях добре видно тенденцію до наближення власних стандартів КУ до міжнародного рівня. Також чітко видаляється дисбаланс компаній за регіональним показником. Компанії</w:t>
      </w:r>
      <w:r w:rsidRPr="00365F2F">
        <w:rPr>
          <w:color w:val="000000" w:themeColor="text1"/>
          <w:sz w:val="28"/>
          <w:szCs w:val="28"/>
        </w:rPr>
        <w:t xml:space="preserve"> </w:t>
      </w:r>
      <w:r w:rsidRPr="00365F2F">
        <w:rPr>
          <w:color w:val="000000" w:themeColor="text1"/>
          <w:sz w:val="28"/>
          <w:szCs w:val="28"/>
          <w:lang w:val="en-US"/>
        </w:rPr>
        <w:t>Ford</w:t>
      </w:r>
      <w:r w:rsidRPr="00365F2F">
        <w:rPr>
          <w:color w:val="000000" w:themeColor="text1"/>
          <w:sz w:val="28"/>
          <w:szCs w:val="28"/>
          <w:lang w:val="uk-UA"/>
        </w:rPr>
        <w:t xml:space="preserve"> та </w:t>
      </w:r>
      <w:r w:rsidRPr="00365F2F">
        <w:rPr>
          <w:color w:val="000000" w:themeColor="text1"/>
          <w:sz w:val="28"/>
          <w:szCs w:val="28"/>
          <w:lang w:val="en-US"/>
        </w:rPr>
        <w:t>GM</w:t>
      </w:r>
      <w:r w:rsidRPr="00365F2F">
        <w:rPr>
          <w:color w:val="000000" w:themeColor="text1"/>
          <w:sz w:val="28"/>
          <w:szCs w:val="28"/>
        </w:rPr>
        <w:t xml:space="preserve"> </w:t>
      </w:r>
      <w:r w:rsidRPr="00365F2F">
        <w:rPr>
          <w:color w:val="000000" w:themeColor="text1"/>
          <w:sz w:val="28"/>
          <w:szCs w:val="28"/>
          <w:lang w:val="uk-UA"/>
        </w:rPr>
        <w:t xml:space="preserve">будують діяльність за законодавством США, до якого саме є більше близькі сучасні міжнародні стандарти корпоративного управління. З іншого боку компанія </w:t>
      </w:r>
      <w:r w:rsidRPr="00365F2F">
        <w:rPr>
          <w:color w:val="000000" w:themeColor="text1"/>
          <w:sz w:val="28"/>
          <w:szCs w:val="28"/>
          <w:lang w:val="en-US"/>
        </w:rPr>
        <w:t>Toyota</w:t>
      </w:r>
      <w:r w:rsidRPr="00365F2F">
        <w:rPr>
          <w:color w:val="000000" w:themeColor="text1"/>
          <w:sz w:val="28"/>
          <w:szCs w:val="28"/>
          <w:lang w:val="uk-UA"/>
        </w:rPr>
        <w:t xml:space="preserve">, що має відносно низькі показники проходить етапи створення відповідних стандартів, що характерно для Японського ринку. Натомість, компанія </w:t>
      </w:r>
      <w:r w:rsidRPr="00365F2F">
        <w:rPr>
          <w:color w:val="000000" w:themeColor="text1"/>
          <w:sz w:val="28"/>
          <w:szCs w:val="28"/>
          <w:lang w:val="en-US"/>
        </w:rPr>
        <w:t>Toyota</w:t>
      </w:r>
      <w:r w:rsidRPr="00365F2F">
        <w:rPr>
          <w:color w:val="000000" w:themeColor="text1"/>
          <w:sz w:val="28"/>
          <w:szCs w:val="28"/>
          <w:lang w:val="uk-UA"/>
        </w:rPr>
        <w:t xml:space="preserve"> має низку </w:t>
      </w:r>
      <w:r w:rsidRPr="00365F2F">
        <w:rPr>
          <w:color w:val="000000" w:themeColor="text1"/>
          <w:sz w:val="28"/>
          <w:szCs w:val="28"/>
          <w:lang w:val="uk-UA"/>
        </w:rPr>
        <w:lastRenderedPageBreak/>
        <w:t xml:space="preserve">власних принципів, що частково перевершують загальноприйняті, хоч і є більш абстрактними.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За допомогою регресії із випадковим ефектом, запропоновано та перевірено припущення щодо кореляції корпоративного управління та ефективності фірми. Запропонована модель із залежною Tobin`s Q Ratio та незалежними </w:t>
      </w:r>
      <w:r w:rsidRPr="00365F2F">
        <w:rPr>
          <w:rFonts w:eastAsiaTheme="minorEastAsia"/>
          <w:color w:val="000000" w:themeColor="text1"/>
          <w:sz w:val="28"/>
          <w:szCs w:val="28"/>
          <w:lang w:val="en-US"/>
        </w:rPr>
        <w:t>Shareholders</w:t>
      </w:r>
      <w:r w:rsidRPr="00365F2F">
        <w:rPr>
          <w:rFonts w:eastAsiaTheme="minorEastAsia"/>
          <w:color w:val="000000" w:themeColor="text1"/>
          <w:sz w:val="28"/>
          <w:szCs w:val="28"/>
          <w:lang w:val="uk-UA"/>
        </w:rPr>
        <w:t xml:space="preserve"> </w:t>
      </w:r>
      <w:r w:rsidRPr="00365F2F">
        <w:rPr>
          <w:rFonts w:eastAsiaTheme="minorEastAsia"/>
          <w:color w:val="000000" w:themeColor="text1"/>
          <w:sz w:val="28"/>
          <w:szCs w:val="28"/>
          <w:lang w:val="en-US"/>
        </w:rPr>
        <w:t>Score</w:t>
      </w:r>
      <w:r w:rsidRPr="00365F2F">
        <w:rPr>
          <w:rFonts w:eastAsiaTheme="minorEastAsia"/>
          <w:color w:val="000000" w:themeColor="text1"/>
          <w:sz w:val="28"/>
          <w:szCs w:val="28"/>
          <w:lang w:val="uk-UA"/>
        </w:rPr>
        <w:t xml:space="preserve">, </w:t>
      </w:r>
      <w:r w:rsidRPr="00365F2F">
        <w:rPr>
          <w:rFonts w:eastAsiaTheme="minorEastAsia"/>
          <w:color w:val="000000" w:themeColor="text1"/>
          <w:sz w:val="28"/>
          <w:szCs w:val="28"/>
          <w:lang w:val="en-US"/>
        </w:rPr>
        <w:t>ESG</w:t>
      </w:r>
      <w:r w:rsidRPr="00365F2F">
        <w:rPr>
          <w:rFonts w:eastAsiaTheme="minorEastAsia"/>
          <w:color w:val="000000" w:themeColor="text1"/>
          <w:sz w:val="28"/>
          <w:szCs w:val="28"/>
          <w:lang w:val="uk-UA"/>
        </w:rPr>
        <w:t xml:space="preserve"> </w:t>
      </w:r>
      <w:r w:rsidRPr="00365F2F">
        <w:rPr>
          <w:rFonts w:eastAsiaTheme="minorEastAsia"/>
          <w:color w:val="000000" w:themeColor="text1"/>
          <w:sz w:val="28"/>
          <w:szCs w:val="28"/>
          <w:lang w:val="en-US"/>
        </w:rPr>
        <w:t>Reporting</w:t>
      </w:r>
      <w:r w:rsidRPr="00365F2F">
        <w:rPr>
          <w:rFonts w:eastAsiaTheme="minorEastAsia"/>
          <w:color w:val="000000" w:themeColor="text1"/>
          <w:sz w:val="28"/>
          <w:szCs w:val="28"/>
          <w:lang w:val="uk-UA"/>
        </w:rPr>
        <w:t xml:space="preserve"> </w:t>
      </w:r>
      <w:r w:rsidRPr="00365F2F">
        <w:rPr>
          <w:rFonts w:eastAsiaTheme="minorEastAsia"/>
          <w:color w:val="000000" w:themeColor="text1"/>
          <w:sz w:val="28"/>
          <w:szCs w:val="28"/>
          <w:lang w:val="en-US"/>
        </w:rPr>
        <w:t>Score</w:t>
      </w:r>
      <w:r w:rsidRPr="00365F2F">
        <w:rPr>
          <w:rFonts w:eastAsiaTheme="minorEastAsia"/>
          <w:color w:val="000000" w:themeColor="text1"/>
          <w:sz w:val="28"/>
          <w:szCs w:val="28"/>
          <w:lang w:val="uk-UA"/>
        </w:rPr>
        <w:t xml:space="preserve"> (Thomson Reuters Business Group) та Leverage,</w:t>
      </w:r>
      <w:r w:rsidRPr="00365F2F">
        <w:rPr>
          <w:color w:val="000000" w:themeColor="text1"/>
          <w:sz w:val="28"/>
          <w:szCs w:val="28"/>
          <w:lang w:val="uk-UA"/>
        </w:rPr>
        <w:t xml:space="preserve"> викрила важливість паритетного відношення компанії до малих та великих груп акціонерів та недосконалість використання агрегованих показників відповідності.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Огляд законодавчого середовища запропонованого НКЦПФР призводить до висновків щодо поступового наближення законодавства України до світових прикладів, за допомогою імплементації рекомендативних кодексів корпоративних відносин і корпоративного управління разом із партнерами. Виділено галузі національного права, що висвітлюють питання пов’язані із корпоративними відносинами так капіталом. </w:t>
      </w:r>
    </w:p>
    <w:p w:rsidR="00D03628" w:rsidRPr="00365F2F" w:rsidRDefault="00D03628" w:rsidP="00D03628">
      <w:pPr>
        <w:pStyle w:val="a4"/>
        <w:spacing w:line="360" w:lineRule="auto"/>
        <w:ind w:firstLine="708"/>
        <w:contextualSpacing/>
        <w:jc w:val="both"/>
        <w:rPr>
          <w:color w:val="000000" w:themeColor="text1"/>
          <w:sz w:val="28"/>
          <w:szCs w:val="28"/>
        </w:rPr>
      </w:pPr>
      <w:r w:rsidRPr="00365F2F">
        <w:rPr>
          <w:color w:val="000000" w:themeColor="text1"/>
          <w:sz w:val="28"/>
          <w:szCs w:val="28"/>
          <w:lang w:val="uk-UA"/>
        </w:rPr>
        <w:tab/>
        <w:t xml:space="preserve">Проведено аналіз імплементації  стандартів корпоративного управління в діяльності національних корпорацій за допомогою огляду особливостей корпоративного управління компанії «Астарта-Київ», </w:t>
      </w:r>
      <w:r w:rsidRPr="00365F2F">
        <w:rPr>
          <w:color w:val="000000" w:themeColor="text1"/>
          <w:sz w:val="28"/>
          <w:szCs w:val="28"/>
        </w:rPr>
        <w:t>од</w:t>
      </w:r>
      <w:r w:rsidRPr="00365F2F">
        <w:rPr>
          <w:color w:val="000000" w:themeColor="text1"/>
          <w:sz w:val="28"/>
          <w:szCs w:val="28"/>
          <w:lang w:val="uk-UA"/>
        </w:rPr>
        <w:t xml:space="preserve">ного </w:t>
      </w:r>
      <w:r w:rsidRPr="00365F2F">
        <w:rPr>
          <w:color w:val="000000" w:themeColor="text1"/>
          <w:sz w:val="28"/>
          <w:szCs w:val="28"/>
        </w:rPr>
        <w:t>з найбільших вертикально інтегрованих агро-індустріальних холдингів в Україні.</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Притято до уваги, що а</w:t>
      </w:r>
      <w:r w:rsidRPr="00365F2F">
        <w:rPr>
          <w:color w:val="000000" w:themeColor="text1"/>
          <w:sz w:val="28"/>
          <w:szCs w:val="28"/>
        </w:rPr>
        <w:t>кції компанії розміщені на Варшавській фондовій біржі</w:t>
      </w:r>
      <w:r w:rsidRPr="00365F2F">
        <w:rPr>
          <w:color w:val="000000" w:themeColor="text1"/>
          <w:sz w:val="28"/>
          <w:szCs w:val="28"/>
          <w:lang w:val="uk-UA"/>
        </w:rPr>
        <w:t xml:space="preserve">, а сама компанія інкорпорована у юрисдикції Королівства Нідерланди, тож руховими важелями імплементації корпоративних стандартів слугують саме юридичні аспекти діяльності компанії. </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У якості результатів корпоративних відносин розглянуто корпоративну соціальну відповідальність компаній «Галнафтогаз», «Carlsberg Ukraine», «ДТЕК», «Вітмарк-Україна». Основним етапом реалізації КСВ в Україні виступає реалізація захисту працівників компаній, їх мотивація та розвиток.</w:t>
      </w:r>
    </w:p>
    <w:p w:rsidR="00D03628" w:rsidRPr="00365F2F" w:rsidRDefault="00D03628" w:rsidP="00D03628">
      <w:pPr>
        <w:pStyle w:val="a4"/>
        <w:spacing w:line="360" w:lineRule="auto"/>
        <w:ind w:firstLine="708"/>
        <w:contextualSpacing/>
        <w:jc w:val="both"/>
        <w:rPr>
          <w:color w:val="000000" w:themeColor="text1"/>
          <w:sz w:val="28"/>
          <w:szCs w:val="28"/>
          <w:lang w:val="uk-UA"/>
        </w:rPr>
      </w:pPr>
      <w:r w:rsidRPr="00365F2F">
        <w:rPr>
          <w:color w:val="000000" w:themeColor="text1"/>
          <w:sz w:val="28"/>
          <w:szCs w:val="28"/>
          <w:lang w:val="uk-UA"/>
        </w:rPr>
        <w:t xml:space="preserve">Окремі компанії, що мають справу із дитячим харчуванням, імплементують, також, процеси прозорості процесу виробництва. Тож ринок </w:t>
      </w:r>
      <w:r w:rsidRPr="00365F2F">
        <w:rPr>
          <w:color w:val="000000" w:themeColor="text1"/>
          <w:sz w:val="28"/>
          <w:szCs w:val="28"/>
          <w:lang w:val="uk-UA"/>
        </w:rPr>
        <w:lastRenderedPageBreak/>
        <w:t xml:space="preserve">корпоративних відносин в Україні знаходиться на початковому рівні та розвивається за рахунок окремих компаній, що бажають та вимушені відповідати нормам країн контрагентів. </w:t>
      </w:r>
    </w:p>
    <w:p w:rsidR="00D03628" w:rsidRPr="00365F2F" w:rsidRDefault="00D03628" w:rsidP="00D03628">
      <w:pPr>
        <w:rPr>
          <w:color w:val="000000" w:themeColor="text1"/>
          <w:sz w:val="28"/>
          <w:szCs w:val="28"/>
          <w:lang w:val="uk-UA"/>
        </w:rPr>
      </w:pPr>
      <w:r w:rsidRPr="00365F2F">
        <w:rPr>
          <w:color w:val="000000" w:themeColor="text1"/>
          <w:sz w:val="28"/>
          <w:szCs w:val="28"/>
          <w:lang w:val="uk-UA"/>
        </w:rPr>
        <w:br w:type="page"/>
      </w:r>
    </w:p>
    <w:p w:rsidR="00D03628" w:rsidRPr="00365F2F" w:rsidRDefault="00D03628" w:rsidP="00D03628">
      <w:pPr>
        <w:spacing w:line="360" w:lineRule="auto"/>
        <w:ind w:firstLine="709"/>
        <w:contextualSpacing/>
        <w:jc w:val="center"/>
        <w:rPr>
          <w:b/>
          <w:color w:val="000000" w:themeColor="text1"/>
          <w:sz w:val="28"/>
          <w:szCs w:val="28"/>
          <w:lang w:val="uk-UA"/>
        </w:rPr>
      </w:pPr>
      <w:r w:rsidRPr="00365F2F">
        <w:rPr>
          <w:b/>
          <w:color w:val="000000" w:themeColor="text1"/>
          <w:sz w:val="28"/>
          <w:szCs w:val="28"/>
          <w:lang w:val="uk-UA"/>
        </w:rPr>
        <w:lastRenderedPageBreak/>
        <w:t>СПИСОК ВИКОРИСТАНИХ ДЖЕРЕЛ</w:t>
      </w:r>
    </w:p>
    <w:p w:rsidR="00D03628" w:rsidRPr="00365F2F" w:rsidRDefault="00D03628" w:rsidP="00D03628">
      <w:pPr>
        <w:spacing w:line="360" w:lineRule="auto"/>
        <w:ind w:firstLine="709"/>
        <w:contextualSpacing/>
        <w:jc w:val="center"/>
        <w:rPr>
          <w:b/>
          <w:color w:val="000000" w:themeColor="text1"/>
          <w:sz w:val="28"/>
          <w:szCs w:val="28"/>
          <w:lang w:val="uk-UA"/>
        </w:rPr>
      </w:pP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rPr>
        <w:t>Махкамова М. А. Основные механизмы корпоративного управления / М. А. Махкамова, Д. Т. Урманова. // Международные Плехановские чтения ФГБОУ ВО "РЭУ им. Г.В. Плеханова". – 2019. – №32. – С. 397–398.</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lang w:val="en-US"/>
        </w:rPr>
        <w:t>Jeffers Е. Corporate Governance: Toward converging models // Global Finance Journal. 2005. Vol. 16. Iss. 2. C. 221—232;</w:t>
      </w:r>
    </w:p>
    <w:p w:rsidR="00D03628" w:rsidRPr="00492ECC" w:rsidRDefault="00D03628" w:rsidP="00D03628">
      <w:pPr>
        <w:pStyle w:val="a5"/>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Arruda W. Five Ways To Identify A Company With A Culture Of Transparency [</w:t>
      </w:r>
      <w:r w:rsidRPr="00365F2F">
        <w:rPr>
          <w:color w:val="000000" w:themeColor="text1"/>
          <w:sz w:val="28"/>
          <w:szCs w:val="28"/>
        </w:rPr>
        <w:t>Електронний</w:t>
      </w:r>
      <w:r w:rsidRPr="00492ECC">
        <w:rPr>
          <w:color w:val="000000" w:themeColor="text1"/>
          <w:sz w:val="28"/>
          <w:szCs w:val="28"/>
          <w:lang w:val="en-US"/>
        </w:rPr>
        <w:t xml:space="preserve"> </w:t>
      </w:r>
      <w:r w:rsidRPr="00365F2F">
        <w:rPr>
          <w:color w:val="000000" w:themeColor="text1"/>
          <w:sz w:val="28"/>
          <w:szCs w:val="28"/>
        </w:rPr>
        <w:t>ресурс</w:t>
      </w:r>
      <w:r w:rsidRPr="00492ECC">
        <w:rPr>
          <w:color w:val="000000" w:themeColor="text1"/>
          <w:sz w:val="28"/>
          <w:szCs w:val="28"/>
          <w:lang w:val="en-US"/>
        </w:rPr>
        <w:t xml:space="preserve">] / William Arruda // Forbes. – 2018. – </w:t>
      </w:r>
      <w:r w:rsidRPr="00365F2F">
        <w:rPr>
          <w:color w:val="000000" w:themeColor="text1"/>
          <w:sz w:val="28"/>
          <w:szCs w:val="28"/>
        </w:rPr>
        <w:t>Режим</w:t>
      </w:r>
      <w:r w:rsidRPr="00492ECC">
        <w:rPr>
          <w:color w:val="000000" w:themeColor="text1"/>
          <w:sz w:val="28"/>
          <w:szCs w:val="28"/>
          <w:lang w:val="en-US"/>
        </w:rPr>
        <w:t xml:space="preserve"> </w:t>
      </w:r>
      <w:r w:rsidRPr="00365F2F">
        <w:rPr>
          <w:color w:val="000000" w:themeColor="text1"/>
          <w:sz w:val="28"/>
          <w:szCs w:val="28"/>
        </w:rPr>
        <w:t>доступу</w:t>
      </w:r>
      <w:r w:rsidRPr="00492ECC">
        <w:rPr>
          <w:color w:val="000000" w:themeColor="text1"/>
          <w:sz w:val="28"/>
          <w:szCs w:val="28"/>
          <w:lang w:val="en-US"/>
        </w:rPr>
        <w:t xml:space="preserve"> </w:t>
      </w:r>
      <w:r w:rsidRPr="00365F2F">
        <w:rPr>
          <w:color w:val="000000" w:themeColor="text1"/>
          <w:sz w:val="28"/>
          <w:szCs w:val="28"/>
        </w:rPr>
        <w:t>до</w:t>
      </w:r>
      <w:r w:rsidRPr="00492ECC">
        <w:rPr>
          <w:color w:val="000000" w:themeColor="text1"/>
          <w:sz w:val="28"/>
          <w:szCs w:val="28"/>
          <w:lang w:val="en-US"/>
        </w:rPr>
        <w:t xml:space="preserve"> </w:t>
      </w:r>
      <w:r w:rsidRPr="00365F2F">
        <w:rPr>
          <w:color w:val="000000" w:themeColor="text1"/>
          <w:sz w:val="28"/>
          <w:szCs w:val="28"/>
        </w:rPr>
        <w:t>ресурсу</w:t>
      </w:r>
      <w:r w:rsidRPr="00492ECC">
        <w:rPr>
          <w:color w:val="000000" w:themeColor="text1"/>
          <w:sz w:val="28"/>
          <w:szCs w:val="28"/>
          <w:lang w:val="en-US"/>
        </w:rPr>
        <w:t xml:space="preserve">: </w:t>
      </w:r>
      <w:hyperlink r:id="rId5" w:history="1">
        <w:r w:rsidRPr="00492ECC">
          <w:rPr>
            <w:rStyle w:val="a7"/>
            <w:color w:val="000000" w:themeColor="text1"/>
            <w:sz w:val="28"/>
            <w:szCs w:val="28"/>
            <w:lang w:val="en-US"/>
          </w:rPr>
          <w:t>https://www.forbes.com/sites/williamarruda/2018/03/11/five-ways-to-identify-a-company-with-a-culture-of-transparency/</w:t>
        </w:r>
      </w:hyperlink>
      <w:r w:rsidRPr="00492ECC">
        <w:rPr>
          <w:color w:val="000000" w:themeColor="text1"/>
          <w:sz w:val="28"/>
          <w:szCs w:val="28"/>
          <w:lang w:val="en-US"/>
        </w:rPr>
        <w:t>.</w:t>
      </w:r>
    </w:p>
    <w:p w:rsidR="00D03628" w:rsidRPr="00492ECC" w:rsidRDefault="00D03628" w:rsidP="00D03628">
      <w:pPr>
        <w:pStyle w:val="a5"/>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Niles S. USA: Corporate Governance 2019 [</w:t>
      </w:r>
      <w:r w:rsidRPr="00365F2F">
        <w:rPr>
          <w:color w:val="000000" w:themeColor="text1"/>
          <w:sz w:val="28"/>
          <w:szCs w:val="28"/>
        </w:rPr>
        <w:t>Електронний</w:t>
      </w:r>
      <w:r w:rsidRPr="00492ECC">
        <w:rPr>
          <w:color w:val="000000" w:themeColor="text1"/>
          <w:sz w:val="28"/>
          <w:szCs w:val="28"/>
          <w:lang w:val="en-US"/>
        </w:rPr>
        <w:t xml:space="preserve"> </w:t>
      </w:r>
      <w:r w:rsidRPr="00365F2F">
        <w:rPr>
          <w:color w:val="000000" w:themeColor="text1"/>
          <w:sz w:val="28"/>
          <w:szCs w:val="28"/>
        </w:rPr>
        <w:t>ресурс</w:t>
      </w:r>
      <w:r w:rsidRPr="00492ECC">
        <w:rPr>
          <w:color w:val="000000" w:themeColor="text1"/>
          <w:sz w:val="28"/>
          <w:szCs w:val="28"/>
          <w:lang w:val="en-US"/>
        </w:rPr>
        <w:t xml:space="preserve">] / Sabastian Niles // ICLG. – 2019. – </w:t>
      </w:r>
      <w:r w:rsidRPr="00365F2F">
        <w:rPr>
          <w:color w:val="000000" w:themeColor="text1"/>
          <w:sz w:val="28"/>
          <w:szCs w:val="28"/>
        </w:rPr>
        <w:t>Режим</w:t>
      </w:r>
      <w:r w:rsidRPr="00492ECC">
        <w:rPr>
          <w:color w:val="000000" w:themeColor="text1"/>
          <w:sz w:val="28"/>
          <w:szCs w:val="28"/>
          <w:lang w:val="en-US"/>
        </w:rPr>
        <w:t xml:space="preserve"> </w:t>
      </w:r>
      <w:r w:rsidRPr="00365F2F">
        <w:rPr>
          <w:color w:val="000000" w:themeColor="text1"/>
          <w:sz w:val="28"/>
          <w:szCs w:val="28"/>
        </w:rPr>
        <w:t>доступу</w:t>
      </w:r>
      <w:r w:rsidRPr="00492ECC">
        <w:rPr>
          <w:color w:val="000000" w:themeColor="text1"/>
          <w:sz w:val="28"/>
          <w:szCs w:val="28"/>
          <w:lang w:val="en-US"/>
        </w:rPr>
        <w:t xml:space="preserve"> </w:t>
      </w:r>
      <w:r w:rsidRPr="00365F2F">
        <w:rPr>
          <w:color w:val="000000" w:themeColor="text1"/>
          <w:sz w:val="28"/>
          <w:szCs w:val="28"/>
        </w:rPr>
        <w:t>до</w:t>
      </w:r>
      <w:r w:rsidRPr="00492ECC">
        <w:rPr>
          <w:color w:val="000000" w:themeColor="text1"/>
          <w:sz w:val="28"/>
          <w:szCs w:val="28"/>
          <w:lang w:val="en-US"/>
        </w:rPr>
        <w:t xml:space="preserve"> </w:t>
      </w:r>
      <w:r w:rsidRPr="00365F2F">
        <w:rPr>
          <w:color w:val="000000" w:themeColor="text1"/>
          <w:sz w:val="28"/>
          <w:szCs w:val="28"/>
        </w:rPr>
        <w:t>ресурсу</w:t>
      </w:r>
      <w:r w:rsidRPr="00492ECC">
        <w:rPr>
          <w:color w:val="000000" w:themeColor="text1"/>
          <w:sz w:val="28"/>
          <w:szCs w:val="28"/>
          <w:lang w:val="en-US"/>
        </w:rPr>
        <w:t>: https://iclg.com/practice-areas/corporate-governance-laws-and-regulations/usa.</w:t>
      </w:r>
    </w:p>
    <w:p w:rsidR="00D03628" w:rsidRPr="00365F2F" w:rsidRDefault="00D03628" w:rsidP="00D03628">
      <w:pPr>
        <w:pStyle w:val="a5"/>
        <w:numPr>
          <w:ilvl w:val="0"/>
          <w:numId w:val="2"/>
        </w:numPr>
        <w:spacing w:line="360" w:lineRule="auto"/>
        <w:jc w:val="both"/>
        <w:rPr>
          <w:color w:val="000000" w:themeColor="text1"/>
          <w:sz w:val="28"/>
          <w:szCs w:val="28"/>
          <w:lang w:val="en-US"/>
        </w:rPr>
      </w:pPr>
      <w:r w:rsidRPr="00365F2F">
        <w:rPr>
          <w:color w:val="000000" w:themeColor="text1"/>
          <w:sz w:val="28"/>
          <w:szCs w:val="28"/>
          <w:lang w:val="en-US"/>
        </w:rPr>
        <w:t>Company Law and Corporate Governance [Електронний ресурс] // European Commission. – 2020. – Режим доступу до ресурсу: https://ec.europa.eu/info/business-economy-euro/doing-business-eu/company-law-and-corporate-governance_en#eu-rules-in-this-area.</w:t>
      </w:r>
    </w:p>
    <w:p w:rsidR="00D03628" w:rsidRPr="00492ECC" w:rsidRDefault="00D03628" w:rsidP="00D03628">
      <w:pPr>
        <w:pStyle w:val="a5"/>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Dallas G. CORPORATE GOVERNANCE POLICY IN THE EUROPEAN UNION [</w:t>
      </w:r>
      <w:r w:rsidRPr="00365F2F">
        <w:rPr>
          <w:color w:val="000000" w:themeColor="text1"/>
          <w:sz w:val="28"/>
          <w:szCs w:val="28"/>
        </w:rPr>
        <w:t>Електронний</w:t>
      </w:r>
      <w:r w:rsidRPr="00492ECC">
        <w:rPr>
          <w:color w:val="000000" w:themeColor="text1"/>
          <w:sz w:val="28"/>
          <w:szCs w:val="28"/>
          <w:lang w:val="en-US"/>
        </w:rPr>
        <w:t xml:space="preserve"> </w:t>
      </w:r>
      <w:r w:rsidRPr="00365F2F">
        <w:rPr>
          <w:color w:val="000000" w:themeColor="text1"/>
          <w:sz w:val="28"/>
          <w:szCs w:val="28"/>
        </w:rPr>
        <w:t>ресурс</w:t>
      </w:r>
      <w:r w:rsidRPr="00492ECC">
        <w:rPr>
          <w:color w:val="000000" w:themeColor="text1"/>
          <w:sz w:val="28"/>
          <w:szCs w:val="28"/>
          <w:lang w:val="en-US"/>
        </w:rPr>
        <w:t xml:space="preserve">] / G. Dallas, D. Pitt-Watson // CFA Institute. – 2016. – </w:t>
      </w:r>
      <w:r w:rsidRPr="00365F2F">
        <w:rPr>
          <w:color w:val="000000" w:themeColor="text1"/>
          <w:sz w:val="28"/>
          <w:szCs w:val="28"/>
        </w:rPr>
        <w:t>Режим</w:t>
      </w:r>
      <w:r w:rsidRPr="00492ECC">
        <w:rPr>
          <w:color w:val="000000" w:themeColor="text1"/>
          <w:sz w:val="28"/>
          <w:szCs w:val="28"/>
          <w:lang w:val="en-US"/>
        </w:rPr>
        <w:t xml:space="preserve"> </w:t>
      </w:r>
      <w:r w:rsidRPr="00365F2F">
        <w:rPr>
          <w:color w:val="000000" w:themeColor="text1"/>
          <w:sz w:val="28"/>
          <w:szCs w:val="28"/>
        </w:rPr>
        <w:t>доступу</w:t>
      </w:r>
      <w:r w:rsidRPr="00492ECC">
        <w:rPr>
          <w:color w:val="000000" w:themeColor="text1"/>
          <w:sz w:val="28"/>
          <w:szCs w:val="28"/>
          <w:lang w:val="en-US"/>
        </w:rPr>
        <w:t xml:space="preserve"> </w:t>
      </w:r>
      <w:r w:rsidRPr="00365F2F">
        <w:rPr>
          <w:color w:val="000000" w:themeColor="text1"/>
          <w:sz w:val="28"/>
          <w:szCs w:val="28"/>
        </w:rPr>
        <w:t>до</w:t>
      </w:r>
      <w:r w:rsidRPr="00492ECC">
        <w:rPr>
          <w:color w:val="000000" w:themeColor="text1"/>
          <w:sz w:val="28"/>
          <w:szCs w:val="28"/>
          <w:lang w:val="en-US"/>
        </w:rPr>
        <w:t xml:space="preserve"> </w:t>
      </w:r>
      <w:r w:rsidRPr="00365F2F">
        <w:rPr>
          <w:color w:val="000000" w:themeColor="text1"/>
          <w:sz w:val="28"/>
          <w:szCs w:val="28"/>
        </w:rPr>
        <w:t>ресурсу</w:t>
      </w:r>
      <w:r w:rsidRPr="00492ECC">
        <w:rPr>
          <w:color w:val="000000" w:themeColor="text1"/>
          <w:sz w:val="28"/>
          <w:szCs w:val="28"/>
          <w:lang w:val="en-US"/>
        </w:rPr>
        <w:t>: https://www.cfainstitute.org/-/media/documents/article/position-paper/corp-gov-policy-in-european-union-through-investor-lens.ashx.</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 xml:space="preserve">Aras G. Regional Perspective and Diversity / Güler Aras // Global Perspectives on Corporate Governance and CSR / Güler Aras., 2016. – (CRC Press). – (Business &amp; Economics). – </w:t>
      </w:r>
      <w:r w:rsidRPr="00365F2F">
        <w:rPr>
          <w:color w:val="000000" w:themeColor="text1"/>
          <w:sz w:val="28"/>
          <w:szCs w:val="28"/>
        </w:rPr>
        <w:t>С</w:t>
      </w:r>
      <w:r w:rsidRPr="00492ECC">
        <w:rPr>
          <w:color w:val="000000" w:themeColor="text1"/>
          <w:sz w:val="28"/>
          <w:szCs w:val="28"/>
          <w:lang w:val="en-US"/>
        </w:rPr>
        <w:t>. 43–45.</w:t>
      </w:r>
    </w:p>
    <w:p w:rsidR="00D03628" w:rsidRPr="00492ECC" w:rsidRDefault="00D03628" w:rsidP="00D03628">
      <w:pPr>
        <w:pStyle w:val="a5"/>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 xml:space="preserve">Kanda H. Corporate Governance in Japanese Law: Recent Trends and Issues / Hideki Kanda. // Hastings Business Law Journal. – 2015. – №11. – </w:t>
      </w:r>
      <w:r w:rsidRPr="00365F2F">
        <w:rPr>
          <w:color w:val="000000" w:themeColor="text1"/>
          <w:sz w:val="28"/>
          <w:szCs w:val="28"/>
        </w:rPr>
        <w:t>С</w:t>
      </w:r>
      <w:r w:rsidRPr="00492ECC">
        <w:rPr>
          <w:color w:val="000000" w:themeColor="text1"/>
          <w:sz w:val="28"/>
          <w:szCs w:val="28"/>
          <w:lang w:val="en-US"/>
        </w:rPr>
        <w:t>. 69–84.</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365F2F">
        <w:rPr>
          <w:color w:val="000000" w:themeColor="text1"/>
          <w:sz w:val="28"/>
          <w:szCs w:val="28"/>
          <w:shd w:val="clear" w:color="auto" w:fill="FFFFFF"/>
        </w:rPr>
        <w:lastRenderedPageBreak/>
        <w:t>Шкільняк</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Навчально</w:t>
      </w:r>
      <w:r w:rsidRPr="00492ECC">
        <w:rPr>
          <w:color w:val="000000" w:themeColor="text1"/>
          <w:sz w:val="28"/>
          <w:szCs w:val="28"/>
          <w:shd w:val="clear" w:color="auto" w:fill="FFFFFF"/>
          <w:lang w:val="en-US"/>
        </w:rPr>
        <w:t>-</w:t>
      </w:r>
      <w:r w:rsidRPr="00365F2F">
        <w:rPr>
          <w:color w:val="000000" w:themeColor="text1"/>
          <w:sz w:val="28"/>
          <w:szCs w:val="28"/>
          <w:shd w:val="clear" w:color="auto" w:fill="FFFFFF"/>
        </w:rPr>
        <w:t>методичний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комплекс</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з</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дисципліни</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Корпоративне</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управління</w:t>
      </w:r>
      <w:r w:rsidRPr="00492ECC">
        <w:rPr>
          <w:color w:val="000000" w:themeColor="text1"/>
          <w:sz w:val="28"/>
          <w:szCs w:val="28"/>
          <w:shd w:val="clear" w:color="auto" w:fill="FFFFFF"/>
          <w:lang w:val="en-US"/>
        </w:rPr>
        <w:t xml:space="preserve">» / </w:t>
      </w:r>
      <w:r w:rsidRPr="00365F2F">
        <w:rPr>
          <w:color w:val="000000" w:themeColor="text1"/>
          <w:sz w:val="28"/>
          <w:szCs w:val="28"/>
          <w:shd w:val="clear" w:color="auto" w:fill="FFFFFF"/>
        </w:rPr>
        <w:t>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Шкільняк</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З</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Апостолюк</w:t>
      </w:r>
      <w:r w:rsidRPr="00492ECC">
        <w:rPr>
          <w:color w:val="000000" w:themeColor="text1"/>
          <w:sz w:val="28"/>
          <w:szCs w:val="28"/>
          <w:shd w:val="clear" w:color="auto" w:fill="FFFFFF"/>
          <w:lang w:val="en-US"/>
        </w:rPr>
        <w:t xml:space="preserve">. – </w:t>
      </w:r>
      <w:r w:rsidRPr="00365F2F">
        <w:rPr>
          <w:color w:val="000000" w:themeColor="text1"/>
          <w:sz w:val="28"/>
          <w:szCs w:val="28"/>
          <w:shd w:val="clear" w:color="auto" w:fill="FFFFFF"/>
        </w:rPr>
        <w:t>Тернопіль</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Тернопільський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національний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економічний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університет</w:t>
      </w:r>
      <w:r w:rsidRPr="00492ECC">
        <w:rPr>
          <w:color w:val="000000" w:themeColor="text1"/>
          <w:sz w:val="28"/>
          <w:szCs w:val="28"/>
          <w:shd w:val="clear" w:color="auto" w:fill="FFFFFF"/>
          <w:lang w:val="en-US"/>
        </w:rPr>
        <w:t>, 2016.</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Standard &amp; Poor’s Corporate Governance Scores and Evaluations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McGraw-Hill Companies Inc.. – 2004.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https://pdf4pro.com/cdn/standard-amp-poor-s-corporate-governance-scores-2e0f9.pdf</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CORPORATE GOVERNANCE AND THE FINANCIAL FAILURE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Al-Momani, A. Azzam, Abou-Moghli, S. Momani.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https://www.researchgate.net/publication/337801712_CORPORATE_GOVERNANCE_AND_THE_FINANCIAL_FAILURE.</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Toma</w:t>
      </w:r>
      <w:r w:rsidRPr="00365F2F">
        <w:rPr>
          <w:color w:val="000000" w:themeColor="text1"/>
          <w:sz w:val="28"/>
          <w:szCs w:val="28"/>
          <w:shd w:val="clear" w:color="auto" w:fill="FFFFFF"/>
          <w:lang w:val="en-US"/>
        </w:rPr>
        <w:t>s</w:t>
      </w:r>
      <w:r w:rsidRPr="00492ECC">
        <w:rPr>
          <w:color w:val="000000" w:themeColor="text1"/>
          <w:sz w:val="28"/>
          <w:szCs w:val="28"/>
          <w:shd w:val="clear" w:color="auto" w:fill="FFFFFF"/>
          <w:lang w:val="en-US"/>
        </w:rPr>
        <w:t>-Miskin S. Implementation of corporate governance standards for company growth and development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S. Tomaš-Miskin, B. Milosevic-Snjegota // International Review. – 2017.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https://www.researchgate.net/publication/320250785_Implementation_of_corporate_governance_standards_for_company_growth_and_development.</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Бичкова Н. В. Корпоративне управління: механізми та умови реалізації / Н. В. Бичкова. // XVIІ Міжнародна науково-практична конференція «Конкурентоспроможність національної економіки» КНУ. – 2017. – №17. – С. 511–514.</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Rehman A. Is corporate governance maturity measurable?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A. Rehman, F. Hashim // Corporate Governance International Journal of Business in Society ahead-of-print. – 2020.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w:t>
      </w:r>
      <w:r w:rsidRPr="00365F2F">
        <w:rPr>
          <w:color w:val="000000" w:themeColor="text1"/>
          <w:sz w:val="28"/>
          <w:szCs w:val="28"/>
          <w:shd w:val="clear" w:color="auto" w:fill="FFFFFF"/>
          <w:lang w:val="en-US"/>
        </w:rPr>
        <w:t xml:space="preserve"> </w:t>
      </w:r>
      <w:r w:rsidRPr="00492ECC">
        <w:rPr>
          <w:color w:val="000000" w:themeColor="text1"/>
          <w:sz w:val="28"/>
          <w:szCs w:val="28"/>
          <w:shd w:val="clear" w:color="auto" w:fill="FFFFFF"/>
          <w:lang w:val="en-US"/>
        </w:rPr>
        <w:t>https://www.researchgate.net/publication/340608418_Is_corporate_governance_maturity_measurable.</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Berglund T. Liquidity and Corporate Governance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Berglund // J. Risk Financial Manag. – 2020.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https://www.mdpi.com/1911-8074/13/3/54.</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lastRenderedPageBreak/>
        <w:t>Wooseok C</w:t>
      </w:r>
      <w:r w:rsidRPr="00365F2F">
        <w:rPr>
          <w:color w:val="000000" w:themeColor="text1"/>
          <w:sz w:val="28"/>
          <w:szCs w:val="28"/>
          <w:shd w:val="clear" w:color="auto" w:fill="FFFFFF"/>
          <w:lang w:val="en-US"/>
        </w:rPr>
        <w:t>h</w:t>
      </w:r>
      <w:r w:rsidRPr="00492ECC">
        <w:rPr>
          <w:color w:val="000000" w:themeColor="text1"/>
          <w:sz w:val="28"/>
          <w:szCs w:val="28"/>
          <w:shd w:val="clear" w:color="auto" w:fill="FFFFFF"/>
          <w:lang w:val="en-US"/>
        </w:rPr>
        <w:t>. Excess Compensation and Corporate Governance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C. Wooseok, M. Leach-López // Korea Open Access Journals.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https://www.researchgate.net/publication/335721354_Excess_Compensation_and_Corporate_Governance.</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Ивашковская И. В. Финансовая архитектура компаний / И. В. Ивашковская, А. Н. Степанова, М. С. Кокорева. – Москва, 2013. – 238 с. – (ИНФРА-М). – (Научная мысль).</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Annual Report and Accounts 2018/19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Financial Conduct Authority.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https://www.fca.org.uk/annual-report-and-accounts-2018-19.</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Deutscher Corporate Governance Kodex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Regierungskommission. – 2020. – https://www.sec.gov/#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https://www.dcgk.de/en/home.html.</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Corporate Governance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The U.S. Securities and Exchange Commission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https://www.sec.gov.</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Djehane Y. Corporate governance and directors' duties in France: overview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Djehane // Thomson Reuters Practical Law.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https://uk.practicallaw.thomsonreuters.com/8-502-1296?transitionType=Default&amp;contextData=(sc.Default)&amp;firstPage=true&amp;bhcp=1.</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rPr>
        <w:t>Ромаскевич Г.О., Особливості моделей корпоративного управління: світова практика та українська сучасність / Ромаскевич Г.О., Цевух Ю.О. // Добробут націй в умовах глобальної нестабільності: зб. наук. пр. Десятої міжнар. наук-практ. конф. – Одеса: - Одес. нац.. ун-т ім. І.І. Мечникова, 2020. – с. 71-74</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Holderness, C.G.,</w:t>
      </w:r>
      <w:r w:rsidRPr="00365F2F">
        <w:rPr>
          <w:color w:val="000000" w:themeColor="text1"/>
          <w:sz w:val="28"/>
          <w:szCs w:val="28"/>
          <w:lang w:val="en-US"/>
        </w:rPr>
        <w:t xml:space="preserve"> </w:t>
      </w:r>
      <w:r w:rsidRPr="00492ECC">
        <w:rPr>
          <w:color w:val="000000" w:themeColor="text1"/>
          <w:sz w:val="28"/>
          <w:szCs w:val="28"/>
          <w:lang w:val="en-US"/>
        </w:rPr>
        <w:t xml:space="preserve"> A Survey of Blockholders and Corporate Control. Economic Policy Review, Federal Reserve Bank of New York, Policy Review 9 (1),</w:t>
      </w:r>
      <w:r w:rsidRPr="00365F2F">
        <w:rPr>
          <w:color w:val="000000" w:themeColor="text1"/>
          <w:sz w:val="28"/>
          <w:szCs w:val="28"/>
          <w:lang w:val="en-US"/>
        </w:rPr>
        <w:t xml:space="preserve"> </w:t>
      </w:r>
      <w:r w:rsidRPr="00492ECC">
        <w:rPr>
          <w:color w:val="000000" w:themeColor="text1"/>
          <w:sz w:val="28"/>
          <w:szCs w:val="28"/>
          <w:lang w:val="en-US"/>
        </w:rPr>
        <w:t>2003</w:t>
      </w:r>
      <w:r w:rsidRPr="00365F2F">
        <w:rPr>
          <w:color w:val="000000" w:themeColor="text1"/>
          <w:sz w:val="28"/>
          <w:szCs w:val="28"/>
          <w:lang w:val="en-US"/>
        </w:rPr>
        <w:t>,</w:t>
      </w:r>
      <w:r w:rsidRPr="00492ECC">
        <w:rPr>
          <w:color w:val="000000" w:themeColor="text1"/>
          <w:sz w:val="28"/>
          <w:szCs w:val="28"/>
          <w:lang w:val="en-US"/>
        </w:rPr>
        <w:t xml:space="preserve"> 51 - 64.</w:t>
      </w:r>
    </w:p>
    <w:p w:rsidR="00D03628" w:rsidRPr="00492ECC" w:rsidRDefault="00D03628" w:rsidP="00D03628">
      <w:pPr>
        <w:pStyle w:val="a5"/>
        <w:numPr>
          <w:ilvl w:val="0"/>
          <w:numId w:val="2"/>
        </w:numPr>
        <w:spacing w:line="360" w:lineRule="auto"/>
        <w:contextualSpacing/>
        <w:jc w:val="both"/>
        <w:rPr>
          <w:color w:val="000000" w:themeColor="text1"/>
          <w:sz w:val="28"/>
          <w:szCs w:val="28"/>
          <w:lang w:val="en-US"/>
        </w:rPr>
      </w:pPr>
      <w:r w:rsidRPr="00492ECC">
        <w:rPr>
          <w:color w:val="000000" w:themeColor="text1"/>
          <w:sz w:val="28"/>
          <w:szCs w:val="28"/>
          <w:lang w:val="en-US"/>
        </w:rPr>
        <w:t xml:space="preserve">Young, M.NReview Paper: Corporate Governance in Emerging Economies: A Review of the Principal-Principal Perspective. Young, M.N., Peng, M.W., </w:t>
      </w:r>
      <w:r w:rsidRPr="00492ECC">
        <w:rPr>
          <w:color w:val="000000" w:themeColor="text1"/>
          <w:sz w:val="28"/>
          <w:szCs w:val="28"/>
          <w:lang w:val="en-US"/>
        </w:rPr>
        <w:lastRenderedPageBreak/>
        <w:t>Ahlstrom, D., Bruton, G.D., and Jiang, Y.</w:t>
      </w:r>
      <w:r w:rsidRPr="00365F2F">
        <w:rPr>
          <w:color w:val="000000" w:themeColor="text1"/>
          <w:sz w:val="28"/>
          <w:szCs w:val="28"/>
          <w:lang w:val="en-US"/>
        </w:rPr>
        <w:t xml:space="preserve"> </w:t>
      </w:r>
      <w:r w:rsidRPr="00492ECC">
        <w:rPr>
          <w:color w:val="000000" w:themeColor="text1"/>
          <w:sz w:val="28"/>
          <w:szCs w:val="28"/>
          <w:lang w:val="en-US"/>
        </w:rPr>
        <w:t>Journal of Management Studies 45 (1),</w:t>
      </w:r>
      <w:r w:rsidRPr="00365F2F">
        <w:rPr>
          <w:color w:val="000000" w:themeColor="text1"/>
          <w:sz w:val="28"/>
          <w:szCs w:val="28"/>
          <w:lang w:val="en-US"/>
        </w:rPr>
        <w:t xml:space="preserve"> 2008,</w:t>
      </w:r>
      <w:r w:rsidRPr="00492ECC">
        <w:rPr>
          <w:color w:val="000000" w:themeColor="text1"/>
          <w:sz w:val="28"/>
          <w:szCs w:val="28"/>
          <w:lang w:val="en-US"/>
        </w:rPr>
        <w:t xml:space="preserve"> 196 - 220.</w:t>
      </w:r>
    </w:p>
    <w:p w:rsidR="00D03628" w:rsidRPr="00365F2F" w:rsidRDefault="00D03628" w:rsidP="00D03628">
      <w:pPr>
        <w:pStyle w:val="a4"/>
        <w:numPr>
          <w:ilvl w:val="0"/>
          <w:numId w:val="2"/>
        </w:numPr>
        <w:spacing w:line="360" w:lineRule="auto"/>
        <w:contextualSpacing/>
        <w:jc w:val="both"/>
        <w:rPr>
          <w:color w:val="000000" w:themeColor="text1"/>
          <w:sz w:val="28"/>
          <w:szCs w:val="28"/>
        </w:rPr>
      </w:pPr>
      <w:r w:rsidRPr="00492ECC">
        <w:rPr>
          <w:color w:val="000000" w:themeColor="text1"/>
          <w:sz w:val="28"/>
          <w:szCs w:val="28"/>
          <w:lang w:val="en-US"/>
        </w:rPr>
        <w:t xml:space="preserve">Zerni, M., Kallunki, J.P., and Nilsson, H., 2010. The Entrenchment Problem, Corporate Governance Mechanisms, and Firm Value. </w:t>
      </w:r>
      <w:r w:rsidRPr="00365F2F">
        <w:rPr>
          <w:color w:val="000000" w:themeColor="text1"/>
          <w:sz w:val="28"/>
          <w:szCs w:val="28"/>
        </w:rPr>
        <w:t xml:space="preserve">Contemporary Accounting Research 27 (4), 1169 - 1206. </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Welch, E. The relationship between ownership structure and performance in listed Australian companies, Australian Journal of Management, 28(3), 287-305</w:t>
      </w:r>
      <w:r w:rsidRPr="00365F2F">
        <w:rPr>
          <w:color w:val="000000" w:themeColor="text1"/>
          <w:sz w:val="28"/>
          <w:szCs w:val="28"/>
          <w:lang w:val="en-US"/>
        </w:rPr>
        <w:t xml:space="preserve">, </w:t>
      </w:r>
      <w:r w:rsidRPr="00492ECC">
        <w:rPr>
          <w:color w:val="000000" w:themeColor="text1"/>
          <w:sz w:val="28"/>
          <w:szCs w:val="28"/>
          <w:lang w:val="en-US"/>
        </w:rPr>
        <w:t>2003.</w:t>
      </w:r>
    </w:p>
    <w:p w:rsidR="00D03628" w:rsidRPr="00365F2F" w:rsidRDefault="00D03628" w:rsidP="00D03628">
      <w:pPr>
        <w:pStyle w:val="a3"/>
        <w:numPr>
          <w:ilvl w:val="0"/>
          <w:numId w:val="2"/>
        </w:numPr>
        <w:spacing w:line="360" w:lineRule="auto"/>
        <w:jc w:val="both"/>
        <w:rPr>
          <w:color w:val="000000" w:themeColor="text1"/>
          <w:sz w:val="28"/>
          <w:szCs w:val="28"/>
        </w:rPr>
      </w:pPr>
      <w:r w:rsidRPr="00492ECC">
        <w:rPr>
          <w:color w:val="000000" w:themeColor="text1"/>
          <w:sz w:val="28"/>
          <w:szCs w:val="28"/>
          <w:lang w:val="en-US"/>
        </w:rPr>
        <w:t xml:space="preserve">Leal, R. and Carvalhal-Da-Silva, A. 2005. Corporate Governance and Value in Brazil (And in Chile). </w:t>
      </w:r>
      <w:r w:rsidRPr="00365F2F">
        <w:rPr>
          <w:color w:val="000000" w:themeColor="text1"/>
          <w:sz w:val="28"/>
          <w:szCs w:val="28"/>
        </w:rPr>
        <w:t>Inter-American Development Bank Research Network Working Paper No. R-514</w:t>
      </w:r>
    </w:p>
    <w:p w:rsidR="00D03628" w:rsidRPr="00365F2F" w:rsidRDefault="00D03628" w:rsidP="00D03628">
      <w:pPr>
        <w:pStyle w:val="a5"/>
        <w:numPr>
          <w:ilvl w:val="0"/>
          <w:numId w:val="2"/>
        </w:numPr>
        <w:spacing w:line="360" w:lineRule="auto"/>
        <w:contextualSpacing/>
        <w:jc w:val="both"/>
        <w:rPr>
          <w:color w:val="000000" w:themeColor="text1"/>
          <w:sz w:val="28"/>
          <w:szCs w:val="28"/>
          <w:lang w:val="en-US"/>
        </w:rPr>
      </w:pPr>
      <w:r w:rsidRPr="00492ECC">
        <w:rPr>
          <w:color w:val="000000" w:themeColor="text1"/>
          <w:sz w:val="28"/>
          <w:szCs w:val="28"/>
          <w:lang w:val="en-US"/>
        </w:rPr>
        <w:t>Earle, J. S. Ownership concentration and corporate performance on the Budapest Stock Exchange: do too many cooks spoil the goulash?</w:t>
      </w:r>
      <w:r w:rsidRPr="00365F2F">
        <w:rPr>
          <w:color w:val="000000" w:themeColor="text1"/>
          <w:sz w:val="28"/>
          <w:szCs w:val="28"/>
          <w:lang w:val="en-US"/>
        </w:rPr>
        <w:t xml:space="preserve"> </w:t>
      </w:r>
      <w:r w:rsidRPr="00365F2F">
        <w:rPr>
          <w:color w:val="000000" w:themeColor="text1"/>
          <w:sz w:val="28"/>
          <w:szCs w:val="28"/>
        </w:rPr>
        <w:t>Earle, J. S., Kucsera, C., Teledgy, A.</w:t>
      </w:r>
    </w:p>
    <w:p w:rsidR="00D03628" w:rsidRPr="00365F2F" w:rsidRDefault="00D03628" w:rsidP="00D03628">
      <w:pPr>
        <w:pStyle w:val="a5"/>
        <w:numPr>
          <w:ilvl w:val="0"/>
          <w:numId w:val="2"/>
        </w:numPr>
        <w:spacing w:line="360" w:lineRule="auto"/>
        <w:contextualSpacing/>
        <w:jc w:val="both"/>
        <w:rPr>
          <w:color w:val="000000" w:themeColor="text1"/>
          <w:sz w:val="28"/>
          <w:szCs w:val="28"/>
        </w:rPr>
      </w:pPr>
      <w:r w:rsidRPr="00365F2F">
        <w:rPr>
          <w:color w:val="000000" w:themeColor="text1"/>
          <w:sz w:val="28"/>
          <w:szCs w:val="28"/>
        </w:rPr>
        <w:t>Journal of Corporate governance,</w:t>
      </w:r>
      <w:r w:rsidRPr="00365F2F">
        <w:rPr>
          <w:color w:val="000000" w:themeColor="text1"/>
          <w:sz w:val="28"/>
          <w:szCs w:val="28"/>
          <w:lang w:val="en-US"/>
        </w:rPr>
        <w:t xml:space="preserve"> 2005,</w:t>
      </w:r>
      <w:r w:rsidRPr="00365F2F">
        <w:rPr>
          <w:color w:val="000000" w:themeColor="text1"/>
          <w:sz w:val="28"/>
          <w:szCs w:val="28"/>
        </w:rPr>
        <w:t xml:space="preserve"> 13(2), 254-264</w:t>
      </w:r>
    </w:p>
    <w:p w:rsidR="00D03628" w:rsidRPr="00492ECC" w:rsidRDefault="00D03628" w:rsidP="00D03628">
      <w:pPr>
        <w:pStyle w:val="a5"/>
        <w:numPr>
          <w:ilvl w:val="0"/>
          <w:numId w:val="2"/>
        </w:numPr>
        <w:spacing w:line="360" w:lineRule="auto"/>
        <w:contextualSpacing/>
        <w:jc w:val="both"/>
        <w:rPr>
          <w:color w:val="000000" w:themeColor="text1"/>
          <w:sz w:val="28"/>
          <w:szCs w:val="28"/>
          <w:lang w:val="en-US"/>
        </w:rPr>
      </w:pPr>
      <w:r w:rsidRPr="00492ECC">
        <w:rPr>
          <w:color w:val="000000" w:themeColor="text1"/>
          <w:sz w:val="28"/>
          <w:szCs w:val="28"/>
          <w:lang w:val="en-US"/>
        </w:rPr>
        <w:t>Brouthers, K.D., Gelderman M., and Arens P. 2007. The influence of ownership on performance: Stakeholders and strategic contingency perspectives, Schmalenbach Business Review, 59, 225-242.</w:t>
      </w:r>
    </w:p>
    <w:p w:rsidR="00D03628" w:rsidRPr="00365F2F" w:rsidRDefault="00D03628" w:rsidP="00D03628">
      <w:pPr>
        <w:pStyle w:val="a5"/>
        <w:numPr>
          <w:ilvl w:val="0"/>
          <w:numId w:val="2"/>
        </w:numPr>
        <w:spacing w:line="360" w:lineRule="auto"/>
        <w:contextualSpacing/>
        <w:jc w:val="both"/>
        <w:rPr>
          <w:color w:val="000000" w:themeColor="text1"/>
          <w:sz w:val="28"/>
          <w:szCs w:val="28"/>
        </w:rPr>
      </w:pPr>
      <w:r w:rsidRPr="00492ECC">
        <w:rPr>
          <w:color w:val="000000" w:themeColor="text1"/>
          <w:sz w:val="28"/>
          <w:szCs w:val="28"/>
          <w:lang w:val="en-US"/>
        </w:rPr>
        <w:t xml:space="preserve">Wahba, H. </w:t>
      </w:r>
      <w:r w:rsidRPr="00365F2F">
        <w:rPr>
          <w:color w:val="000000" w:themeColor="text1"/>
          <w:sz w:val="28"/>
          <w:szCs w:val="28"/>
          <w:lang w:val="en-US"/>
        </w:rPr>
        <w:t xml:space="preserve"> </w:t>
      </w:r>
      <w:r w:rsidRPr="00492ECC">
        <w:rPr>
          <w:color w:val="000000" w:themeColor="text1"/>
          <w:sz w:val="28"/>
          <w:szCs w:val="28"/>
          <w:lang w:val="en-US"/>
        </w:rPr>
        <w:t xml:space="preserve">Capital structure, managerial ownership and firm performance: evidence from Egypt. </w:t>
      </w:r>
      <w:r w:rsidRPr="00365F2F">
        <w:rPr>
          <w:color w:val="000000" w:themeColor="text1"/>
          <w:sz w:val="28"/>
          <w:szCs w:val="28"/>
        </w:rPr>
        <w:t>Journal of Management and Governance</w:t>
      </w:r>
      <w:r w:rsidRPr="00365F2F">
        <w:rPr>
          <w:color w:val="000000" w:themeColor="text1"/>
          <w:sz w:val="28"/>
          <w:szCs w:val="28"/>
          <w:lang w:val="en-US"/>
        </w:rPr>
        <w:t xml:space="preserve">, 2014 </w:t>
      </w:r>
      <w:r w:rsidRPr="00365F2F">
        <w:rPr>
          <w:color w:val="000000" w:themeColor="text1"/>
          <w:sz w:val="28"/>
          <w:szCs w:val="28"/>
        </w:rPr>
        <w:t>18(4), pp. 1041-1061.</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Abdallah A. Corporate Governance Practices, Ownership Structure, and Corporate Performance in the GCC Countries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A. Abdallah, A. Ismail // Journal of International Financial Markets Institutions and Money 46:98-115. – 2017.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xml:space="preserve">: </w:t>
      </w:r>
      <w:hyperlink r:id="rId6" w:history="1">
        <w:r w:rsidRPr="00492ECC">
          <w:rPr>
            <w:rStyle w:val="a7"/>
            <w:color w:val="000000" w:themeColor="text1"/>
            <w:sz w:val="28"/>
            <w:szCs w:val="28"/>
            <w:shd w:val="clear" w:color="auto" w:fill="FFFFFF"/>
            <w:lang w:val="en-US"/>
          </w:rPr>
          <w:t>https://www.researchgate.net/publication/306292915_Corporate_Governance_Practices_Ownership_Structure_and_Corporate_Performance_in_the_GCC_Countries</w:t>
        </w:r>
      </w:hyperlink>
      <w:r w:rsidRPr="00492ECC">
        <w:rPr>
          <w:color w:val="000000" w:themeColor="text1"/>
          <w:sz w:val="28"/>
          <w:szCs w:val="28"/>
          <w:shd w:val="clear" w:color="auto" w:fill="FFFFFF"/>
          <w:lang w:val="en-US"/>
        </w:rPr>
        <w:t>.</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Fortune Global 500 for Motor and Parts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Fortune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xml:space="preserve">: </w:t>
      </w:r>
      <w:r w:rsidRPr="00492ECC">
        <w:rPr>
          <w:color w:val="000000" w:themeColor="text1"/>
          <w:sz w:val="28"/>
          <w:szCs w:val="28"/>
          <w:shd w:val="clear" w:color="auto" w:fill="FFFFFF"/>
          <w:lang w:val="en-US"/>
        </w:rPr>
        <w:lastRenderedPageBreak/>
        <w:t>https://fortune.com/global500/2019/search/?sector=Motor%20Vehicles%20%26%20Parts.</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Thomson Reuters Eikon Database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Thomson Reuters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https://eikon.thomsonreuters.com/.</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 xml:space="preserve">Volkswagen Group [Електронний ресурс] – Режим доступу до ресурсу: </w:t>
      </w:r>
      <w:hyperlink r:id="rId7" w:history="1">
        <w:r w:rsidRPr="00365F2F">
          <w:rPr>
            <w:rStyle w:val="a7"/>
            <w:color w:val="000000" w:themeColor="text1"/>
            <w:sz w:val="28"/>
            <w:szCs w:val="28"/>
            <w:shd w:val="clear" w:color="auto" w:fill="FFFFFF"/>
          </w:rPr>
          <w:t>https://www.volkswagenag.com/content/onkomm/brands/corporate/world/presence/en/group.html</w:t>
        </w:r>
      </w:hyperlink>
      <w:r w:rsidRPr="00365F2F">
        <w:rPr>
          <w:color w:val="000000" w:themeColor="text1"/>
          <w:sz w:val="28"/>
          <w:szCs w:val="28"/>
          <w:shd w:val="clear" w:color="auto" w:fill="FFFFFF"/>
        </w:rPr>
        <w:t>.</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Corporate Governance Report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MANDATORY PUBLICATIONS OF VOLKSWAGEN AG.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xml:space="preserve">: </w:t>
      </w:r>
      <w:hyperlink r:id="rId8" w:history="1">
        <w:r w:rsidRPr="00492ECC">
          <w:rPr>
            <w:rStyle w:val="a7"/>
            <w:color w:val="000000" w:themeColor="text1"/>
            <w:sz w:val="28"/>
            <w:szCs w:val="28"/>
            <w:shd w:val="clear" w:color="auto" w:fill="FFFFFF"/>
            <w:lang w:val="en-US"/>
          </w:rPr>
          <w:t>www.volkswagenag.com/en/InvestorRelations/news-and-publications.html</w:t>
        </w:r>
      </w:hyperlink>
      <w:r w:rsidRPr="00492ECC">
        <w:rPr>
          <w:color w:val="000000" w:themeColor="text1"/>
          <w:sz w:val="28"/>
          <w:szCs w:val="28"/>
          <w:shd w:val="clear" w:color="auto" w:fill="FFFFFF"/>
          <w:lang w:val="en-US"/>
        </w:rPr>
        <w:t>.</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Toyota Company Profile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Toyota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https://global.toyota/en/company/profile/.</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Toyoda A. orporate governance at Toyota Motor Corporation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Toyoda // TOYOTA MOTOR CORPORATION.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https://global.toyota/en/ir/library/corporate-governance/.</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The Daimler Group [Електронний ресурс] // Daimler – Режим доступу до ресурсу: https://www.daimler.com/company/.</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Annual Report of Corporate Governance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xml:space="preserve">: </w:t>
      </w:r>
      <w:hyperlink r:id="rId9" w:history="1">
        <w:r w:rsidRPr="00492ECC">
          <w:rPr>
            <w:rStyle w:val="a7"/>
            <w:color w:val="000000" w:themeColor="text1"/>
            <w:sz w:val="28"/>
            <w:szCs w:val="28"/>
            <w:shd w:val="clear" w:color="auto" w:fill="FFFFFF"/>
            <w:lang w:val="en-US"/>
          </w:rPr>
          <w:t>https://www.daimler.com/investors/</w:t>
        </w:r>
      </w:hyperlink>
      <w:r w:rsidRPr="00492ECC">
        <w:rPr>
          <w:color w:val="000000" w:themeColor="text1"/>
          <w:sz w:val="28"/>
          <w:szCs w:val="28"/>
          <w:shd w:val="clear" w:color="auto" w:fill="FFFFFF"/>
          <w:lang w:val="en-US"/>
        </w:rPr>
        <w:t>.</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 xml:space="preserve">Ford for Investors [Електронний ресурс] – Режим доступу до ресурсу: </w:t>
      </w:r>
      <w:hyperlink r:id="rId10" w:history="1">
        <w:r w:rsidRPr="00365F2F">
          <w:rPr>
            <w:rStyle w:val="a7"/>
            <w:color w:val="000000" w:themeColor="text1"/>
            <w:sz w:val="28"/>
            <w:szCs w:val="28"/>
            <w:shd w:val="clear" w:color="auto" w:fill="FFFFFF"/>
          </w:rPr>
          <w:t>https://shareholder.ford.com/investors/overview/default.aspx</w:t>
        </w:r>
      </w:hyperlink>
      <w:r w:rsidRPr="00365F2F">
        <w:rPr>
          <w:color w:val="000000" w:themeColor="text1"/>
          <w:sz w:val="28"/>
          <w:szCs w:val="28"/>
          <w:shd w:val="clear" w:color="auto" w:fill="FFFFFF"/>
        </w:rPr>
        <w:t>.</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lang w:val="en-US"/>
        </w:rPr>
        <w:t>Ford Environmental, Social, and Governance Review [</w:t>
      </w:r>
      <w:r w:rsidRPr="00365F2F">
        <w:rPr>
          <w:color w:val="000000" w:themeColor="text1"/>
          <w:sz w:val="28"/>
          <w:szCs w:val="28"/>
        </w:rPr>
        <w:t>Електронний</w:t>
      </w:r>
      <w:r w:rsidRPr="00492ECC">
        <w:rPr>
          <w:color w:val="000000" w:themeColor="text1"/>
          <w:sz w:val="28"/>
          <w:szCs w:val="28"/>
          <w:lang w:val="en-US"/>
        </w:rPr>
        <w:t xml:space="preserve"> </w:t>
      </w:r>
      <w:r w:rsidRPr="00365F2F">
        <w:rPr>
          <w:color w:val="000000" w:themeColor="text1"/>
          <w:sz w:val="28"/>
          <w:szCs w:val="28"/>
        </w:rPr>
        <w:t>ресурс</w:t>
      </w:r>
      <w:r w:rsidRPr="00492ECC">
        <w:rPr>
          <w:color w:val="000000" w:themeColor="text1"/>
          <w:sz w:val="28"/>
          <w:szCs w:val="28"/>
          <w:lang w:val="en-US"/>
        </w:rPr>
        <w:t xml:space="preserve">] // 2019 – </w:t>
      </w:r>
      <w:r w:rsidRPr="00365F2F">
        <w:rPr>
          <w:color w:val="000000" w:themeColor="text1"/>
          <w:sz w:val="28"/>
          <w:szCs w:val="28"/>
        </w:rPr>
        <w:t>Режим</w:t>
      </w:r>
      <w:r w:rsidRPr="00492ECC">
        <w:rPr>
          <w:color w:val="000000" w:themeColor="text1"/>
          <w:sz w:val="28"/>
          <w:szCs w:val="28"/>
          <w:lang w:val="en-US"/>
        </w:rPr>
        <w:t xml:space="preserve"> </w:t>
      </w:r>
      <w:r w:rsidRPr="00365F2F">
        <w:rPr>
          <w:color w:val="000000" w:themeColor="text1"/>
          <w:sz w:val="28"/>
          <w:szCs w:val="28"/>
        </w:rPr>
        <w:t>доступу</w:t>
      </w:r>
      <w:r w:rsidRPr="00492ECC">
        <w:rPr>
          <w:color w:val="000000" w:themeColor="text1"/>
          <w:sz w:val="28"/>
          <w:szCs w:val="28"/>
          <w:lang w:val="en-US"/>
        </w:rPr>
        <w:t xml:space="preserve"> </w:t>
      </w:r>
      <w:r w:rsidRPr="00365F2F">
        <w:rPr>
          <w:color w:val="000000" w:themeColor="text1"/>
          <w:sz w:val="28"/>
          <w:szCs w:val="28"/>
        </w:rPr>
        <w:t>до</w:t>
      </w:r>
      <w:r w:rsidRPr="00492ECC">
        <w:rPr>
          <w:color w:val="000000" w:themeColor="text1"/>
          <w:sz w:val="28"/>
          <w:szCs w:val="28"/>
          <w:lang w:val="en-US"/>
        </w:rPr>
        <w:t xml:space="preserve"> </w:t>
      </w:r>
      <w:r w:rsidRPr="00365F2F">
        <w:rPr>
          <w:color w:val="000000" w:themeColor="text1"/>
          <w:sz w:val="28"/>
          <w:szCs w:val="28"/>
        </w:rPr>
        <w:t>ресурсу</w:t>
      </w:r>
      <w:r w:rsidRPr="00492ECC">
        <w:rPr>
          <w:color w:val="000000" w:themeColor="text1"/>
          <w:sz w:val="28"/>
          <w:szCs w:val="28"/>
          <w:lang w:val="en-US"/>
        </w:rPr>
        <w:t xml:space="preserve">: </w:t>
      </w:r>
      <w:hyperlink r:id="rId11" w:history="1">
        <w:r w:rsidRPr="00492ECC">
          <w:rPr>
            <w:rStyle w:val="a7"/>
            <w:color w:val="000000" w:themeColor="text1"/>
            <w:sz w:val="28"/>
            <w:szCs w:val="28"/>
            <w:lang w:val="en-US"/>
          </w:rPr>
          <w:t>https://s23.q4cdn.com/799033206/files/doc_downloads/governance/Ford-ESG-Review-Nov-2019.pdf</w:t>
        </w:r>
      </w:hyperlink>
      <w:r w:rsidRPr="00492ECC">
        <w:rPr>
          <w:color w:val="000000" w:themeColor="text1"/>
          <w:sz w:val="28"/>
          <w:szCs w:val="28"/>
          <w:lang w:val="en-US"/>
        </w:rPr>
        <w:t>.</w:t>
      </w:r>
    </w:p>
    <w:p w:rsidR="00D03628" w:rsidRPr="00492ECC" w:rsidRDefault="00D03628" w:rsidP="00D03628">
      <w:pPr>
        <w:pStyle w:val="a3"/>
        <w:numPr>
          <w:ilvl w:val="0"/>
          <w:numId w:val="2"/>
        </w:numPr>
        <w:spacing w:line="360" w:lineRule="auto"/>
        <w:jc w:val="both"/>
        <w:rPr>
          <w:color w:val="000000" w:themeColor="text1"/>
          <w:sz w:val="28"/>
          <w:szCs w:val="28"/>
          <w:lang w:val="en-US"/>
        </w:rPr>
      </w:pPr>
      <w:r w:rsidRPr="00492ECC">
        <w:rPr>
          <w:color w:val="000000" w:themeColor="text1"/>
          <w:sz w:val="28"/>
          <w:szCs w:val="28"/>
          <w:shd w:val="clear" w:color="auto" w:fill="FFFFFF"/>
          <w:lang w:val="en-US"/>
        </w:rPr>
        <w:t>Governance and corporate responsibility committee charter [</w:t>
      </w:r>
      <w:r w:rsidRPr="00365F2F">
        <w:rPr>
          <w:color w:val="000000" w:themeColor="text1"/>
          <w:sz w:val="28"/>
          <w:szCs w:val="28"/>
          <w:shd w:val="clear" w:color="auto" w:fill="FFFFFF"/>
        </w:rPr>
        <w:t>Електронний</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w:t>
      </w:r>
      <w:r w:rsidRPr="00492ECC">
        <w:rPr>
          <w:color w:val="000000" w:themeColor="text1"/>
          <w:sz w:val="28"/>
          <w:szCs w:val="28"/>
          <w:shd w:val="clear" w:color="auto" w:fill="FFFFFF"/>
          <w:lang w:val="en-US"/>
        </w:rPr>
        <w:t xml:space="preserve">] // GM. – 2019. – </w:t>
      </w:r>
      <w:r w:rsidRPr="00365F2F">
        <w:rPr>
          <w:color w:val="000000" w:themeColor="text1"/>
          <w:sz w:val="28"/>
          <w:szCs w:val="28"/>
          <w:shd w:val="clear" w:color="auto" w:fill="FFFFFF"/>
        </w:rPr>
        <w:t>Режим</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доступу</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до</w:t>
      </w:r>
      <w:r w:rsidRPr="00492ECC">
        <w:rPr>
          <w:color w:val="000000" w:themeColor="text1"/>
          <w:sz w:val="28"/>
          <w:szCs w:val="28"/>
          <w:shd w:val="clear" w:color="auto" w:fill="FFFFFF"/>
          <w:lang w:val="en-US"/>
        </w:rPr>
        <w:t xml:space="preserve"> </w:t>
      </w:r>
      <w:r w:rsidRPr="00365F2F">
        <w:rPr>
          <w:color w:val="000000" w:themeColor="text1"/>
          <w:sz w:val="28"/>
          <w:szCs w:val="28"/>
          <w:shd w:val="clear" w:color="auto" w:fill="FFFFFF"/>
        </w:rPr>
        <w:t>ресурсу</w:t>
      </w:r>
      <w:r w:rsidRPr="00492ECC">
        <w:rPr>
          <w:color w:val="000000" w:themeColor="text1"/>
          <w:sz w:val="28"/>
          <w:szCs w:val="28"/>
          <w:shd w:val="clear" w:color="auto" w:fill="FFFFFF"/>
          <w:lang w:val="en-US"/>
        </w:rPr>
        <w:t>: https://investor.gm.com/resources.</w:t>
      </w:r>
    </w:p>
    <w:p w:rsidR="00D03628" w:rsidRPr="00365F2F" w:rsidRDefault="00D03628" w:rsidP="00D03628">
      <w:pPr>
        <w:pStyle w:val="a5"/>
        <w:numPr>
          <w:ilvl w:val="0"/>
          <w:numId w:val="2"/>
        </w:numPr>
        <w:spacing w:line="360" w:lineRule="auto"/>
        <w:jc w:val="both"/>
        <w:rPr>
          <w:color w:val="000000" w:themeColor="text1"/>
          <w:sz w:val="28"/>
          <w:szCs w:val="28"/>
          <w:lang w:val="uk-UA"/>
        </w:rPr>
      </w:pPr>
      <w:r w:rsidRPr="00365F2F">
        <w:rPr>
          <w:iCs/>
          <w:color w:val="000000" w:themeColor="text1"/>
          <w:sz w:val="28"/>
          <w:szCs w:val="28"/>
          <w:lang w:val="uk-UA"/>
        </w:rPr>
        <w:lastRenderedPageBreak/>
        <w:t xml:space="preserve">Ромаскевич Г.О., </w:t>
      </w:r>
      <w:r w:rsidRPr="00365F2F">
        <w:rPr>
          <w:color w:val="000000" w:themeColor="text1"/>
          <w:sz w:val="28"/>
          <w:szCs w:val="28"/>
          <w:lang w:val="uk-UA"/>
        </w:rPr>
        <w:t xml:space="preserve">Вплив якості корпоративного управління на ефективність діяльності компаній / </w:t>
      </w:r>
      <w:r w:rsidRPr="00365F2F">
        <w:rPr>
          <w:iCs/>
          <w:color w:val="000000" w:themeColor="text1"/>
          <w:sz w:val="28"/>
          <w:szCs w:val="28"/>
          <w:lang w:val="uk-UA"/>
        </w:rPr>
        <w:t xml:space="preserve">Ромаскевич Г.О., Цевух Ю.О., Бичкова Н.В. </w:t>
      </w:r>
      <w:r w:rsidRPr="00365F2F">
        <w:rPr>
          <w:color w:val="000000" w:themeColor="text1"/>
          <w:sz w:val="28"/>
          <w:szCs w:val="28"/>
          <w:lang w:val="uk-UA"/>
        </w:rPr>
        <w:t>// Інфраструктура ринку. – 2020. – №      . –  (у друці).</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rPr>
        <w:t xml:space="preserve">Національний кодекс корпоративного управління затверджено [Електронний ресурс] // Прес-Центр НКЦПФР. – 2020. – Режим доступу до ресурсу: </w:t>
      </w:r>
      <w:hyperlink r:id="rId12" w:history="1">
        <w:r w:rsidRPr="00365F2F">
          <w:rPr>
            <w:rStyle w:val="a7"/>
            <w:color w:val="000000" w:themeColor="text1"/>
            <w:sz w:val="28"/>
            <w:szCs w:val="28"/>
          </w:rPr>
          <w:t>https://www.nssmc.gov.ua/natsionalnyi-kodeks-korporatyvnoho-upravlinnia-zatverdzheno/</w:t>
        </w:r>
      </w:hyperlink>
      <w:r w:rsidRPr="00365F2F">
        <w:rPr>
          <w:color w:val="000000" w:themeColor="text1"/>
          <w:sz w:val="28"/>
          <w:szCs w:val="28"/>
        </w:rPr>
        <w:t>.</w:t>
      </w:r>
    </w:p>
    <w:p w:rsidR="00D03628" w:rsidRPr="00365F2F" w:rsidRDefault="00D03628" w:rsidP="00D03628">
      <w:pPr>
        <w:pStyle w:val="a3"/>
        <w:numPr>
          <w:ilvl w:val="0"/>
          <w:numId w:val="2"/>
        </w:numPr>
        <w:spacing w:line="360" w:lineRule="auto"/>
        <w:jc w:val="both"/>
        <w:rPr>
          <w:rFonts w:eastAsiaTheme="minorHAnsi"/>
          <w:color w:val="000000" w:themeColor="text1"/>
          <w:sz w:val="28"/>
          <w:szCs w:val="28"/>
        </w:rPr>
      </w:pPr>
      <w:r w:rsidRPr="00365F2F">
        <w:rPr>
          <w:color w:val="000000" w:themeColor="text1"/>
          <w:sz w:val="28"/>
          <w:szCs w:val="28"/>
          <w:shd w:val="clear" w:color="auto" w:fill="FFFFFF"/>
        </w:rPr>
        <w:t>Кодекс корпоративного управління: ключові вимоги і рекомендації [Електронний ресурс] // НКЦПФР. – 2020. – Режим доступу до ресурсу: https://www.nssmc.gov.ua/wp-content/uploads/2020/03/corporate-governance-code_final_ukr.pdf.</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Annual Report 2019 [Електронний ресурс]. – 2020. – Режим доступу до ресурсу: https://astartaholding.com/files/uploads/05aa506b00850e6e053d10b98af73e5e.pdf.</w:t>
      </w:r>
    </w:p>
    <w:p w:rsidR="00D03628" w:rsidRPr="00365F2F" w:rsidRDefault="00D03628" w:rsidP="00D03628">
      <w:pPr>
        <w:pStyle w:val="a3"/>
        <w:numPr>
          <w:ilvl w:val="0"/>
          <w:numId w:val="2"/>
        </w:numPr>
        <w:spacing w:line="360" w:lineRule="auto"/>
        <w:jc w:val="both"/>
        <w:rPr>
          <w:color w:val="000000" w:themeColor="text1"/>
          <w:sz w:val="28"/>
          <w:szCs w:val="28"/>
        </w:rPr>
      </w:pPr>
      <w:r w:rsidRPr="00365F2F">
        <w:rPr>
          <w:color w:val="000000" w:themeColor="text1"/>
          <w:sz w:val="28"/>
          <w:szCs w:val="28"/>
          <w:shd w:val="clear" w:color="auto" w:fill="FFFFFF"/>
        </w:rPr>
        <w:t>Олійник О. О. Корпоративна соціальна відповідальність в системі управління персоналом підприємства [Електронний ресурс] / О. О. Олійник. – 2015. – Режим доступу до ресурсу: http://irbis-nbuv.gov.ua/cgi-bin/irbis_nbuv/cgiirbis_64.exe?C21COM=2&amp;I21DBN=UJRN&amp;P21DBN=UJRN&amp;IMAGE_FILE_DOWNLOAD=1&amp;Image_file_name=PDF/stvttp_2015_1_17.pdf.</w:t>
      </w:r>
    </w:p>
    <w:p w:rsidR="00D03628" w:rsidRPr="00162DF6" w:rsidRDefault="00D03628" w:rsidP="00D03628">
      <w:pPr>
        <w:pStyle w:val="a4"/>
        <w:spacing w:line="360" w:lineRule="auto"/>
        <w:ind w:firstLine="708"/>
        <w:contextualSpacing/>
        <w:jc w:val="both"/>
        <w:rPr>
          <w:color w:val="000000" w:themeColor="text1"/>
          <w:sz w:val="28"/>
          <w:szCs w:val="28"/>
          <w:lang w:val="uk-UA"/>
        </w:rPr>
      </w:pPr>
    </w:p>
    <w:p w:rsidR="002C5976" w:rsidRPr="00582C20" w:rsidRDefault="002C5976">
      <w:pPr>
        <w:rPr>
          <w:lang w:val="uk-UA"/>
        </w:rPr>
      </w:pPr>
      <w:bookmarkStart w:id="0" w:name="_GoBack"/>
      <w:bookmarkEnd w:id="0"/>
    </w:p>
    <w:sectPr w:rsidR="002C5976" w:rsidRPr="00582C2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D4022F"/>
    <w:multiLevelType w:val="hybridMultilevel"/>
    <w:tmpl w:val="ACE0A25C"/>
    <w:lvl w:ilvl="0" w:tplc="E70C50FE">
      <w:start w:val="1"/>
      <w:numFmt w:val="decimal"/>
      <w:lvlText w:val="%1."/>
      <w:lvlJc w:val="left"/>
      <w:pPr>
        <w:ind w:left="0" w:firstLine="0"/>
      </w:pPr>
      <w:rPr>
        <w:rFonts w:hint="default"/>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1">
    <w:nsid w:val="57726D90"/>
    <w:multiLevelType w:val="hybridMultilevel"/>
    <w:tmpl w:val="C3481C16"/>
    <w:lvl w:ilvl="0" w:tplc="677A1960">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cs="Wingdings" w:hint="default"/>
      </w:rPr>
    </w:lvl>
    <w:lvl w:ilvl="3" w:tplc="04090001" w:tentative="1">
      <w:start w:val="1"/>
      <w:numFmt w:val="bullet"/>
      <w:lvlText w:val=""/>
      <w:lvlJc w:val="left"/>
      <w:pPr>
        <w:ind w:left="3600" w:hanging="360"/>
      </w:pPr>
      <w:rPr>
        <w:rFonts w:ascii="Symbol" w:hAnsi="Symbol" w:cs="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cs="Wingdings" w:hint="default"/>
      </w:rPr>
    </w:lvl>
    <w:lvl w:ilvl="6" w:tplc="04090001" w:tentative="1">
      <w:start w:val="1"/>
      <w:numFmt w:val="bullet"/>
      <w:lvlText w:val=""/>
      <w:lvlJc w:val="left"/>
      <w:pPr>
        <w:ind w:left="5760" w:hanging="360"/>
      </w:pPr>
      <w:rPr>
        <w:rFonts w:ascii="Symbol" w:hAnsi="Symbol" w:cs="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87A"/>
    <w:rsid w:val="002C5976"/>
    <w:rsid w:val="00582C20"/>
    <w:rsid w:val="00AA587A"/>
    <w:rsid w:val="00D036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3A254C-0D6F-441D-AD89-D9A55B90B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2C20"/>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2C20"/>
    <w:pPr>
      <w:ind w:left="720"/>
      <w:contextualSpacing/>
    </w:pPr>
  </w:style>
  <w:style w:type="paragraph" w:styleId="a4">
    <w:name w:val="Normal (Web)"/>
    <w:basedOn w:val="a"/>
    <w:uiPriority w:val="99"/>
    <w:unhideWhenUsed/>
    <w:rsid w:val="00582C20"/>
    <w:pPr>
      <w:spacing w:before="100" w:beforeAutospacing="1" w:after="100" w:afterAutospacing="1"/>
    </w:pPr>
  </w:style>
  <w:style w:type="paragraph" w:styleId="a5">
    <w:name w:val="footnote text"/>
    <w:basedOn w:val="a"/>
    <w:link w:val="a6"/>
    <w:uiPriority w:val="99"/>
    <w:unhideWhenUsed/>
    <w:rsid w:val="00D03628"/>
    <w:rPr>
      <w:sz w:val="20"/>
      <w:szCs w:val="20"/>
    </w:rPr>
  </w:style>
  <w:style w:type="character" w:customStyle="1" w:styleId="a6">
    <w:name w:val="Текст сноски Знак"/>
    <w:basedOn w:val="a0"/>
    <w:link w:val="a5"/>
    <w:uiPriority w:val="99"/>
    <w:rsid w:val="00D03628"/>
    <w:rPr>
      <w:rFonts w:ascii="Times New Roman" w:eastAsia="Times New Roman" w:hAnsi="Times New Roman" w:cs="Times New Roman"/>
      <w:sz w:val="20"/>
      <w:szCs w:val="20"/>
    </w:rPr>
  </w:style>
  <w:style w:type="character" w:styleId="a7">
    <w:name w:val="Hyperlink"/>
    <w:basedOn w:val="a0"/>
    <w:uiPriority w:val="99"/>
    <w:unhideWhenUsed/>
    <w:rsid w:val="00D0362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olkswagenag.com/en/InvestorRelations/news-and-publications.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volkswagenag.com/content/onkomm/brands/corporate/world/presence/en/group.html" TargetMode="External"/><Relationship Id="rId12" Type="http://schemas.openxmlformats.org/officeDocument/2006/relationships/hyperlink" Target="https://www.nssmc.gov.ua/natsionalnyi-kodeks-korporatyvnoho-upravlinnia-zatverdzhen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researchgate.net/publication/306292915_Corporate_Governance_Practices_Ownership_Structure_and_Corporate_Performance_in_the_GCC_Countries" TargetMode="External"/><Relationship Id="rId11" Type="http://schemas.openxmlformats.org/officeDocument/2006/relationships/hyperlink" Target="https://s23.q4cdn.com/799033206/files/doc_downloads/governance/Ford-ESG-Review-Nov-2019.pdf" TargetMode="External"/><Relationship Id="rId5" Type="http://schemas.openxmlformats.org/officeDocument/2006/relationships/hyperlink" Target="https://www.forbes.com/sites/williamarruda/2018/03/11/five-ways-to-identify-a-company-with-a-culture-of-transparency/" TargetMode="External"/><Relationship Id="rId10" Type="http://schemas.openxmlformats.org/officeDocument/2006/relationships/hyperlink" Target="https://shareholder.ford.com/investors/overview/default.aspx" TargetMode="External"/><Relationship Id="rId4" Type="http://schemas.openxmlformats.org/officeDocument/2006/relationships/webSettings" Target="webSettings.xml"/><Relationship Id="rId9" Type="http://schemas.openxmlformats.org/officeDocument/2006/relationships/hyperlink" Target="https://www.daimler.com/investors/"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14</Pages>
  <Words>3236</Words>
  <Characters>18449</Characters>
  <Application>Microsoft Office Word</Application>
  <DocSecurity>0</DocSecurity>
  <Lines>153</Lines>
  <Paragraphs>43</Paragraphs>
  <ScaleCrop>false</ScaleCrop>
  <Company/>
  <LinksUpToDate>false</LinksUpToDate>
  <CharactersWithSpaces>21642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2020-11-10T10:05:00Z</dcterms:created>
  <dcterms:modified xsi:type="dcterms:W3CDTF">2020-11-10T10:26:00Z</dcterms:modified>
</cp:coreProperties>
</file>