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CEFB3">
      <w:pPr>
        <w:keepNext w:val="0"/>
        <w:keepLines w:val="0"/>
        <w:pageBreakBefore w:val="0"/>
        <w:widowControl/>
        <w:pBdr>
          <w:bottom w:val="single" w:color="000000" w:sz="4" w:space="1"/>
        </w:pBdr>
        <w:kinsoku/>
        <w:wordWrap/>
        <w:overflowPunct/>
        <w:topLinePunct w:val="0"/>
        <w:autoSpaceDE/>
        <w:autoSpaceDN/>
        <w:bidi w:val="0"/>
        <w:adjustRightInd/>
        <w:snapToGrid/>
        <w:spacing w:after="0" w:line="22" w:lineRule="atLeast"/>
        <w:jc w:val="center"/>
        <w:textAlignment w:val="auto"/>
        <w:rPr>
          <w:rFonts w:ascii="Times New Roman" w:hAnsi="Times New Roman" w:cs="Times New Roman"/>
          <w:kern w:val="0"/>
          <w:sz w:val="28"/>
          <w:szCs w:val="28"/>
          <w14:ligatures w14:val="none"/>
        </w:rPr>
      </w:pPr>
      <w:r>
        <w:rPr>
          <w:rFonts w:ascii="Times New Roman" w:hAnsi="Times New Roman" w:cs="Times New Roman"/>
          <w:sz w:val="28"/>
          <w:szCs w:val="28"/>
        </w:rPr>
        <w:t>Одеський національний університет імені І. І. Мечникова</w:t>
      </w:r>
    </w:p>
    <w:p w14:paraId="6909E6E4">
      <w:pPr>
        <w:keepNext w:val="0"/>
        <w:keepLines w:val="0"/>
        <w:pageBreakBefore w:val="0"/>
        <w:widowControl/>
        <w:kinsoku/>
        <w:wordWrap/>
        <w:overflowPunct/>
        <w:topLinePunct w:val="0"/>
        <w:autoSpaceDE/>
        <w:autoSpaceDN/>
        <w:bidi w:val="0"/>
        <w:adjustRightInd/>
        <w:snapToGrid/>
        <w:spacing w:after="0" w:line="22" w:lineRule="atLeast"/>
        <w:jc w:val="center"/>
        <w:textAlignment w:val="auto"/>
        <w:rPr>
          <w:rFonts w:ascii="Times New Roman" w:hAnsi="Times New Roman" w:cs="Times New Roman"/>
          <w:sz w:val="24"/>
          <w:szCs w:val="24"/>
        </w:rPr>
      </w:pPr>
      <w:r>
        <w:rPr>
          <w:rFonts w:ascii="Times New Roman" w:hAnsi="Times New Roman" w:cs="Times New Roman"/>
          <w:sz w:val="24"/>
          <w:szCs w:val="24"/>
        </w:rPr>
        <w:t>(повне найменування вищого навчального закладу)</w:t>
      </w:r>
    </w:p>
    <w:p w14:paraId="21B79924">
      <w:pPr>
        <w:keepNext w:val="0"/>
        <w:keepLines w:val="0"/>
        <w:pageBreakBefore w:val="0"/>
        <w:widowControl/>
        <w:pBdr>
          <w:bottom w:val="single" w:color="000000" w:sz="4" w:space="1"/>
        </w:pBdr>
        <w:kinsoku/>
        <w:wordWrap/>
        <w:overflowPunct/>
        <w:topLinePunct w:val="0"/>
        <w:autoSpaceDE/>
        <w:autoSpaceDN/>
        <w:bidi w:val="0"/>
        <w:adjustRightInd/>
        <w:snapToGrid/>
        <w:spacing w:after="0" w:line="22" w:lineRule="atLeast"/>
        <w:jc w:val="center"/>
        <w:textAlignment w:val="auto"/>
        <w:rPr>
          <w:rFonts w:ascii="Times New Roman" w:hAnsi="Times New Roman" w:cs="Times New Roman"/>
          <w:sz w:val="28"/>
          <w:szCs w:val="28"/>
        </w:rPr>
      </w:pPr>
      <w:r>
        <w:rPr>
          <w:rFonts w:ascii="Times New Roman" w:hAnsi="Times New Roman" w:cs="Times New Roman"/>
          <w:sz w:val="28"/>
          <w:szCs w:val="28"/>
        </w:rPr>
        <w:t>Факультет міжнародних відносин, політології та соціології</w:t>
      </w:r>
    </w:p>
    <w:p w14:paraId="58B57055">
      <w:pPr>
        <w:keepNext w:val="0"/>
        <w:keepLines w:val="0"/>
        <w:pageBreakBefore w:val="0"/>
        <w:widowControl/>
        <w:kinsoku/>
        <w:wordWrap/>
        <w:overflowPunct/>
        <w:topLinePunct w:val="0"/>
        <w:autoSpaceDE/>
        <w:autoSpaceDN/>
        <w:bidi w:val="0"/>
        <w:adjustRightInd/>
        <w:snapToGrid/>
        <w:spacing w:after="0" w:line="22" w:lineRule="atLeast"/>
        <w:jc w:val="center"/>
        <w:textAlignment w:val="auto"/>
        <w:rPr>
          <w:rFonts w:ascii="Times New Roman" w:hAnsi="Times New Roman" w:cs="Times New Roman"/>
          <w:sz w:val="28"/>
          <w:szCs w:val="28"/>
        </w:rPr>
      </w:pPr>
      <w:r>
        <w:rPr>
          <w:rFonts w:ascii="Times New Roman" w:hAnsi="Times New Roman" w:cs="Times New Roman"/>
          <w:sz w:val="24"/>
          <w:szCs w:val="24"/>
        </w:rPr>
        <w:t>(повне найменування інституту/факультету)</w:t>
      </w:r>
    </w:p>
    <w:p w14:paraId="72870548">
      <w:pPr>
        <w:keepNext w:val="0"/>
        <w:keepLines w:val="0"/>
        <w:pageBreakBefore w:val="0"/>
        <w:widowControl/>
        <w:pBdr>
          <w:bottom w:val="single" w:color="000000" w:sz="4" w:space="1"/>
        </w:pBdr>
        <w:kinsoku/>
        <w:wordWrap/>
        <w:overflowPunct/>
        <w:topLinePunct w:val="0"/>
        <w:autoSpaceDE/>
        <w:autoSpaceDN/>
        <w:bidi w:val="0"/>
        <w:adjustRightInd/>
        <w:snapToGrid/>
        <w:spacing w:after="0" w:line="22" w:lineRule="atLeast"/>
        <w:jc w:val="center"/>
        <w:textAlignment w:val="auto"/>
        <w:rPr>
          <w:rFonts w:ascii="Times New Roman" w:hAnsi="Times New Roman" w:cs="Times New Roman"/>
          <w:sz w:val="28"/>
          <w:szCs w:val="28"/>
        </w:rPr>
      </w:pPr>
      <w:r>
        <w:rPr>
          <w:rFonts w:ascii="Times New Roman" w:hAnsi="Times New Roman" w:cs="Times New Roman"/>
          <w:sz w:val="28"/>
          <w:szCs w:val="28"/>
        </w:rPr>
        <w:t>Кафедра міжнародних відносин</w:t>
      </w:r>
    </w:p>
    <w:p w14:paraId="0CF5AE89">
      <w:pPr>
        <w:keepNext w:val="0"/>
        <w:keepLines w:val="0"/>
        <w:pageBreakBefore w:val="0"/>
        <w:widowControl/>
        <w:kinsoku/>
        <w:wordWrap/>
        <w:overflowPunct/>
        <w:topLinePunct w:val="0"/>
        <w:autoSpaceDE/>
        <w:autoSpaceDN/>
        <w:bidi w:val="0"/>
        <w:adjustRightInd/>
        <w:snapToGrid/>
        <w:spacing w:after="0" w:line="22" w:lineRule="atLeast"/>
        <w:jc w:val="center"/>
        <w:textAlignment w:val="auto"/>
        <w:rPr>
          <w:rFonts w:ascii="Times New Roman" w:hAnsi="Times New Roman" w:cs="Times New Roman"/>
          <w:sz w:val="24"/>
          <w:szCs w:val="24"/>
        </w:rPr>
      </w:pPr>
      <w:r>
        <w:rPr>
          <w:rFonts w:ascii="Times New Roman" w:hAnsi="Times New Roman" w:cs="Times New Roman"/>
          <w:sz w:val="24"/>
          <w:szCs w:val="24"/>
        </w:rPr>
        <w:t>(повна назва кафедри)</w:t>
      </w:r>
    </w:p>
    <w:p w14:paraId="0FD6A4D8">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b/>
          <w:sz w:val="28"/>
          <w:szCs w:val="28"/>
        </w:rPr>
      </w:pPr>
    </w:p>
    <w:p w14:paraId="14F7F644">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b/>
          <w:sz w:val="28"/>
          <w:szCs w:val="28"/>
        </w:rPr>
      </w:pPr>
    </w:p>
    <w:p w14:paraId="433AB01E">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sz w:val="28"/>
          <w:szCs w:val="28"/>
        </w:rPr>
      </w:pPr>
      <w:r>
        <w:rPr>
          <w:rFonts w:ascii="Times New Roman" w:hAnsi="Times New Roman" w:cs="Times New Roman"/>
          <w:b/>
          <w:sz w:val="28"/>
          <w:szCs w:val="28"/>
        </w:rPr>
        <w:t xml:space="preserve">Кваліфікаційна робота </w:t>
      </w:r>
    </w:p>
    <w:p w14:paraId="4802923B">
      <w:pPr>
        <w:keepNext w:val="0"/>
        <w:keepLines w:val="0"/>
        <w:pageBreakBefore w:val="0"/>
        <w:pBdr>
          <w:bottom w:val="single" w:color="000000" w:sz="4" w:space="1"/>
        </w:pBdr>
        <w:kinsoku/>
        <w:overflowPunct/>
        <w:topLinePunct w:val="0"/>
        <w:autoSpaceDE/>
        <w:autoSpaceDN/>
        <w:bidi w:val="0"/>
        <w:adjustRightInd/>
        <w:snapToGrid/>
        <w:spacing w:after="0" w:line="22" w:lineRule="atLeast"/>
        <w:ind w:left="1134" w:right="850"/>
        <w:jc w:val="center"/>
        <w:textAlignment w:val="auto"/>
        <w:rPr>
          <w:rFonts w:ascii="Times New Roman" w:hAnsi="Times New Roman" w:cs="Times New Roman"/>
          <w:sz w:val="28"/>
          <w:szCs w:val="28"/>
        </w:rPr>
      </w:pPr>
      <w:r>
        <w:rPr>
          <w:rFonts w:ascii="Times New Roman" w:hAnsi="Times New Roman" w:cs="Times New Roman"/>
          <w:sz w:val="28"/>
          <w:szCs w:val="28"/>
        </w:rPr>
        <w:t>на здобуття ступеня вищої освіти «магістр»</w:t>
      </w:r>
    </w:p>
    <w:p w14:paraId="207A71FF">
      <w:pPr>
        <w:keepNext w:val="0"/>
        <w:keepLines w:val="0"/>
        <w:pageBreakBefore w:val="0"/>
        <w:tabs>
          <w:tab w:val="right" w:pos="9355"/>
        </w:tabs>
        <w:kinsoku/>
        <w:overflowPunct/>
        <w:topLinePunct w:val="0"/>
        <w:autoSpaceDE/>
        <w:autoSpaceDN/>
        <w:bidi w:val="0"/>
        <w:adjustRightInd/>
        <w:snapToGrid/>
        <w:spacing w:after="0" w:line="22" w:lineRule="atLeast"/>
        <w:jc w:val="center"/>
        <w:textAlignment w:val="auto"/>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b/>
          <w:sz w:val="28"/>
          <w:szCs w:val="28"/>
          <w:u w:val="single"/>
        </w:rPr>
        <w:t>«</w:t>
      </w:r>
      <w:r>
        <w:rPr>
          <w:rFonts w:ascii="Times New Roman" w:hAnsi="Times New Roman" w:cs="Times New Roman"/>
          <w:b/>
          <w:sz w:val="28"/>
          <w:szCs w:val="28"/>
          <w:u w:val="single"/>
          <w:lang w:val="uk-UA"/>
        </w:rPr>
        <w:t>Політика</w:t>
      </w:r>
      <w:r>
        <w:rPr>
          <w:rFonts w:hint="default" w:ascii="Times New Roman" w:hAnsi="Times New Roman" w:cs="Times New Roman"/>
          <w:b/>
          <w:sz w:val="28"/>
          <w:szCs w:val="28"/>
          <w:u w:val="single"/>
          <w:lang w:val="uk-UA"/>
        </w:rPr>
        <w:t xml:space="preserve"> РФ щодо країн Балтії (2014-2025)</w:t>
      </w:r>
      <w:r>
        <w:rPr>
          <w:rFonts w:ascii="Times New Roman" w:hAnsi="Times New Roman" w:cs="Times New Roman"/>
          <w:b/>
          <w:sz w:val="28"/>
          <w:szCs w:val="28"/>
          <w:u w:val="single"/>
        </w:rPr>
        <w:t>»</w:t>
      </w:r>
    </w:p>
    <w:p w14:paraId="04B09954">
      <w:pPr>
        <w:keepNext w:val="0"/>
        <w:keepLines w:val="0"/>
        <w:pageBreakBefore w:val="0"/>
        <w:tabs>
          <w:tab w:val="right" w:pos="9355"/>
        </w:tabs>
        <w:kinsoku/>
        <w:overflowPunct/>
        <w:topLinePunct w:val="0"/>
        <w:autoSpaceDE/>
        <w:autoSpaceDN/>
        <w:bidi w:val="0"/>
        <w:adjustRightInd/>
        <w:snapToGrid/>
        <w:spacing w:after="0" w:line="22" w:lineRule="atLeast"/>
        <w:jc w:val="center"/>
        <w:textAlignment w:val="auto"/>
        <w:rPr>
          <w:rFonts w:ascii="Times New Roman" w:hAnsi="Times New Roman" w:cs="Times New Roman"/>
          <w:sz w:val="28"/>
          <w:szCs w:val="28"/>
          <w:u w:val="single"/>
          <w:lang w:val="en-GB"/>
        </w:rPr>
      </w:pPr>
      <w:r>
        <w:rPr>
          <w:rFonts w:ascii="Times New Roman" w:hAnsi="Times New Roman" w:cs="Times New Roman"/>
          <w:sz w:val="28"/>
          <w:szCs w:val="28"/>
          <w:u w:val="single"/>
          <w:lang w:val="en-GB"/>
        </w:rPr>
        <w:t>«</w:t>
      </w:r>
      <w:r>
        <w:rPr>
          <w:rFonts w:hint="default" w:ascii="Times New Roman" w:hAnsi="Times New Roman" w:cs="Times New Roman"/>
          <w:sz w:val="28"/>
          <w:szCs w:val="28"/>
          <w:u w:val="single"/>
          <w:lang w:val="en-US"/>
        </w:rPr>
        <w:t>Russian Federation’s policy towards the Baltic States (2014-2025)</w:t>
      </w:r>
      <w:r>
        <w:rPr>
          <w:rFonts w:ascii="Times New Roman" w:hAnsi="Times New Roman" w:cs="Times New Roman"/>
          <w:sz w:val="28"/>
          <w:szCs w:val="28"/>
          <w:u w:val="single"/>
          <w:lang w:val="en-GB"/>
        </w:rPr>
        <w:t>»</w:t>
      </w:r>
    </w:p>
    <w:p w14:paraId="6EED0845">
      <w:pPr>
        <w:keepNext w:val="0"/>
        <w:keepLines w:val="0"/>
        <w:pageBreakBefore w:val="0"/>
        <w:tabs>
          <w:tab w:val="right" w:pos="9355"/>
        </w:tabs>
        <w:kinsoku/>
        <w:overflowPunct/>
        <w:topLinePunct w:val="0"/>
        <w:autoSpaceDE/>
        <w:autoSpaceDN/>
        <w:bidi w:val="0"/>
        <w:adjustRightInd/>
        <w:snapToGrid/>
        <w:spacing w:after="0" w:line="22" w:lineRule="atLeast"/>
        <w:jc w:val="center"/>
        <w:textAlignment w:val="auto"/>
        <w:rPr>
          <w:rFonts w:ascii="Times New Roman" w:hAnsi="Times New Roman" w:cs="Times New Roman"/>
          <w:sz w:val="28"/>
          <w:szCs w:val="28"/>
          <w:u w:val="single"/>
        </w:rPr>
      </w:pPr>
    </w:p>
    <w:p w14:paraId="6AD8E945">
      <w:pPr>
        <w:keepNext w:val="0"/>
        <w:keepLines w:val="0"/>
        <w:pageBreakBefore w:val="0"/>
        <w:kinsoku/>
        <w:overflowPunct/>
        <w:topLinePunct w:val="0"/>
        <w:autoSpaceDE/>
        <w:autoSpaceDN/>
        <w:bidi w:val="0"/>
        <w:adjustRightInd/>
        <w:snapToGrid/>
        <w:spacing w:after="0" w:line="22" w:lineRule="atLeast"/>
        <w:jc w:val="right"/>
        <w:textAlignment w:val="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Виконала: студентка денної форми навчання</w:t>
      </w:r>
    </w:p>
    <w:p w14:paraId="2F53188A">
      <w:pPr>
        <w:keepNext w:val="0"/>
        <w:keepLines w:val="0"/>
        <w:pageBreakBefore w:val="0"/>
        <w:kinsoku/>
        <w:overflowPunct/>
        <w:topLinePunct w:val="0"/>
        <w:autoSpaceDE/>
        <w:autoSpaceDN/>
        <w:bidi w:val="0"/>
        <w:adjustRightInd/>
        <w:snapToGrid/>
        <w:spacing w:after="0" w:line="22" w:lineRule="atLeast"/>
        <w:jc w:val="right"/>
        <w:textAlignment w:val="auto"/>
        <w:rPr>
          <w:rFonts w:ascii="Times New Roman" w:hAnsi="Times New Roman" w:cs="Times New Roman"/>
          <w:sz w:val="28"/>
          <w:szCs w:val="28"/>
          <w:u w:val="single"/>
        </w:rPr>
      </w:pPr>
      <w:r>
        <w:rPr>
          <w:rFonts w:ascii="Times New Roman" w:hAnsi="Times New Roman" w:cs="Times New Roman"/>
          <w:sz w:val="28"/>
          <w:szCs w:val="28"/>
          <w:u w:val="single"/>
        </w:rPr>
        <w:t xml:space="preserve">спеціальності 291 –  Міжнародні відносини, </w:t>
      </w:r>
    </w:p>
    <w:p w14:paraId="55C89A25">
      <w:pPr>
        <w:keepNext w:val="0"/>
        <w:keepLines w:val="0"/>
        <w:pageBreakBefore w:val="0"/>
        <w:kinsoku/>
        <w:overflowPunct/>
        <w:topLinePunct w:val="0"/>
        <w:autoSpaceDE/>
        <w:autoSpaceDN/>
        <w:bidi w:val="0"/>
        <w:adjustRightInd/>
        <w:snapToGrid/>
        <w:spacing w:after="0" w:line="22" w:lineRule="atLeast"/>
        <w:ind w:left="2835"/>
        <w:jc w:val="right"/>
        <w:textAlignment w:val="auto"/>
        <w:rPr>
          <w:rFonts w:ascii="Times New Roman" w:hAnsi="Times New Roman" w:cs="Times New Roman"/>
          <w:sz w:val="28"/>
          <w:szCs w:val="28"/>
          <w:u w:val="single"/>
          <w:vertAlign w:val="subscript"/>
        </w:rPr>
      </w:pPr>
      <w:r>
        <w:rPr>
          <w:rFonts w:ascii="Times New Roman" w:hAnsi="Times New Roman" w:cs="Times New Roman"/>
          <w:sz w:val="28"/>
          <w:szCs w:val="28"/>
          <w:u w:val="single"/>
        </w:rPr>
        <w:t>суспільні комунікації та регіональні студії</w:t>
      </w:r>
    </w:p>
    <w:p w14:paraId="7896BE1A">
      <w:pPr>
        <w:keepNext w:val="0"/>
        <w:keepLines w:val="0"/>
        <w:pageBreakBefore w:val="0"/>
        <w:kinsoku/>
        <w:overflowPunct/>
        <w:topLinePunct w:val="0"/>
        <w:autoSpaceDE/>
        <w:autoSpaceDN/>
        <w:bidi w:val="0"/>
        <w:adjustRightInd/>
        <w:snapToGrid/>
        <w:spacing w:after="0" w:line="22" w:lineRule="atLeast"/>
        <w:ind w:left="2829"/>
        <w:jc w:val="right"/>
        <w:textAlignment w:val="auto"/>
        <w:rPr>
          <w:rFonts w:ascii="Times New Roman" w:hAnsi="Times New Roman" w:cs="Times New Roman"/>
          <w:sz w:val="28"/>
          <w:szCs w:val="28"/>
          <w:vertAlign w:val="subscript"/>
        </w:rPr>
      </w:pPr>
      <w:r>
        <w:rPr>
          <w:rFonts w:ascii="Times New Roman" w:hAnsi="Times New Roman" w:cs="Times New Roman"/>
          <w:sz w:val="28"/>
          <w:szCs w:val="28"/>
        </w:rPr>
        <w:tab/>
      </w:r>
    </w:p>
    <w:p w14:paraId="6E95A5C6">
      <w:pPr>
        <w:keepNext w:val="0"/>
        <w:keepLines w:val="0"/>
        <w:pageBreakBefore w:val="0"/>
        <w:kinsoku/>
        <w:wordWrap w:val="0"/>
        <w:overflowPunct/>
        <w:topLinePunct w:val="0"/>
        <w:autoSpaceDE/>
        <w:autoSpaceDN/>
        <w:bidi w:val="0"/>
        <w:adjustRightInd/>
        <w:snapToGrid/>
        <w:spacing w:after="0" w:line="22" w:lineRule="atLeast"/>
        <w:jc w:val="right"/>
        <w:textAlignment w:val="auto"/>
        <w:rPr>
          <w:rFonts w:hint="default" w:ascii="Times New Roman" w:hAnsi="Times New Roman" w:cs="Times New Roman"/>
          <w:sz w:val="28"/>
          <w:szCs w:val="28"/>
          <w:lang w:val="uk-UA"/>
        </w:rPr>
      </w:pPr>
      <w:r>
        <w:rPr>
          <w:vertAlign w:val="subscript"/>
        </w:rPr>
        <w:tab/>
      </w:r>
      <w:r>
        <w:rPr>
          <w:vertAlign w:val="subscript"/>
        </w:rPr>
        <w:tab/>
      </w:r>
      <w:r>
        <w:rPr>
          <w:vertAlign w:val="subscript"/>
        </w:rPr>
        <w:tab/>
      </w:r>
      <w:r>
        <w:rPr>
          <w:rFonts w:ascii="Times New Roman" w:hAnsi="Times New Roman" w:cs="Times New Roman"/>
          <w:sz w:val="28"/>
          <w:szCs w:val="28"/>
          <w:lang/>
        </w:rPr>
        <w:t>Воронк</w:t>
      </w:r>
      <w:r>
        <w:rPr>
          <w:rFonts w:hint="default" w:ascii="Times New Roman" w:hAnsi="Times New Roman" w:cs="Times New Roman"/>
          <w:sz w:val="28"/>
          <w:szCs w:val="28"/>
          <w:lang w:val="uk-UA"/>
        </w:rPr>
        <w:t>іна Станіслава Дмитрівна</w:t>
      </w:r>
    </w:p>
    <w:p w14:paraId="66CEA265">
      <w:pPr>
        <w:keepNext w:val="0"/>
        <w:keepLines w:val="0"/>
        <w:pageBreakBefore w:val="0"/>
        <w:kinsoku/>
        <w:overflowPunct/>
        <w:topLinePunct w:val="0"/>
        <w:autoSpaceDE/>
        <w:autoSpaceDN/>
        <w:bidi w:val="0"/>
        <w:adjustRightInd/>
        <w:snapToGrid/>
        <w:spacing w:after="0" w:line="22" w:lineRule="atLeast"/>
        <w:ind w:left="2124" w:firstLine="707"/>
        <w:jc w:val="right"/>
        <w:textAlignment w:val="auto"/>
        <w:rPr>
          <w:rFonts w:ascii="Times New Roman" w:hAnsi="Times New Roman" w:cs="Times New Roman"/>
          <w:sz w:val="28"/>
          <w:szCs w:val="28"/>
        </w:rPr>
      </w:pPr>
    </w:p>
    <w:p w14:paraId="47C6174C">
      <w:pPr>
        <w:keepNext w:val="0"/>
        <w:keepLines w:val="0"/>
        <w:pageBreakBefore w:val="0"/>
        <w:kinsoku/>
        <w:overflowPunct/>
        <w:topLinePunct w:val="0"/>
        <w:autoSpaceDE/>
        <w:autoSpaceDN/>
        <w:bidi w:val="0"/>
        <w:adjustRightInd/>
        <w:snapToGrid/>
        <w:spacing w:after="0" w:line="22" w:lineRule="atLeast"/>
        <w:ind w:left="2124" w:firstLine="707"/>
        <w:jc w:val="right"/>
        <w:textAlignment w:val="auto"/>
        <w:rPr>
          <w:rFonts w:ascii="Times New Roman" w:hAnsi="Times New Roman" w:cs="Times New Roman"/>
          <w:sz w:val="28"/>
          <w:szCs w:val="28"/>
        </w:rPr>
      </w:pPr>
      <w:r>
        <w:rPr>
          <w:rFonts w:ascii="Times New Roman" w:hAnsi="Times New Roman" w:cs="Times New Roman"/>
          <w:sz w:val="28"/>
          <w:szCs w:val="28"/>
        </w:rPr>
        <w:t>Керівник  док. політ.</w:t>
      </w:r>
    </w:p>
    <w:p w14:paraId="0D9C3297">
      <w:pPr>
        <w:keepNext w:val="0"/>
        <w:keepLines w:val="0"/>
        <w:pageBreakBefore w:val="0"/>
        <w:kinsoku/>
        <w:wordWrap w:val="0"/>
        <w:overflowPunct/>
        <w:topLinePunct w:val="0"/>
        <w:autoSpaceDE/>
        <w:autoSpaceDN/>
        <w:bidi w:val="0"/>
        <w:adjustRightInd/>
        <w:snapToGrid/>
        <w:spacing w:after="0" w:line="22" w:lineRule="atLeast"/>
        <w:ind w:left="2124" w:firstLine="707"/>
        <w:jc w:val="right"/>
        <w:textAlignment w:val="auto"/>
        <w:rPr>
          <w:rFonts w:hint="default" w:ascii="Times New Roman" w:hAnsi="Times New Roman" w:cs="Times New Roman"/>
          <w:sz w:val="28"/>
          <w:szCs w:val="28"/>
          <w:lang/>
        </w:rPr>
      </w:pPr>
      <w:r>
        <w:rPr>
          <w:rFonts w:ascii="Times New Roman" w:hAnsi="Times New Roman" w:cs="Times New Roman"/>
          <w:sz w:val="28"/>
          <w:szCs w:val="28"/>
        </w:rPr>
        <w:t xml:space="preserve"> доц.</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lang/>
        </w:rPr>
        <w:t>Глебов С. В.</w:t>
      </w:r>
    </w:p>
    <w:p w14:paraId="3C28B602">
      <w:pPr>
        <w:keepNext w:val="0"/>
        <w:keepLines w:val="0"/>
        <w:pageBreakBefore w:val="0"/>
        <w:kinsoku/>
        <w:overflowPunct/>
        <w:topLinePunct w:val="0"/>
        <w:autoSpaceDE/>
        <w:autoSpaceDN/>
        <w:bidi w:val="0"/>
        <w:adjustRightInd/>
        <w:snapToGrid/>
        <w:spacing w:after="0" w:line="22" w:lineRule="atLeast"/>
        <w:ind w:left="2124" w:firstLine="707"/>
        <w:jc w:val="right"/>
        <w:textAlignment w:val="auto"/>
        <w:rPr>
          <w:rFonts w:ascii="Times New Roman" w:hAnsi="Times New Roman" w:cs="Times New Roman"/>
          <w:sz w:val="28"/>
          <w:szCs w:val="28"/>
          <w:vertAlign w:val="subscript"/>
        </w:rPr>
      </w:pPr>
      <w:r>
        <w:rPr>
          <w:rFonts w:ascii="Times New Roman" w:hAnsi="Times New Roman" w:cs="Times New Roman"/>
          <w:sz w:val="28"/>
          <w:szCs w:val="28"/>
        </w:rPr>
        <w:t xml:space="preserve">                                           </w:t>
      </w:r>
    </w:p>
    <w:p w14:paraId="38ACEB2B">
      <w:pPr>
        <w:keepNext w:val="0"/>
        <w:keepLines w:val="0"/>
        <w:pageBreakBefore w:val="0"/>
        <w:kinsoku/>
        <w:overflowPunct/>
        <w:topLinePunct w:val="0"/>
        <w:autoSpaceDE/>
        <w:autoSpaceDN/>
        <w:bidi w:val="0"/>
        <w:adjustRightInd/>
        <w:snapToGrid/>
        <w:spacing w:after="0" w:line="22" w:lineRule="atLeast"/>
        <w:ind w:left="2124" w:firstLine="707"/>
        <w:jc w:val="right"/>
        <w:textAlignment w:val="auto"/>
        <w:rPr>
          <w:rFonts w:ascii="Times New Roman" w:hAnsi="Times New Roman" w:cs="Times New Roman"/>
          <w:sz w:val="28"/>
          <w:szCs w:val="28"/>
          <w:vertAlign w:val="subscript"/>
        </w:rPr>
      </w:pPr>
      <w:r>
        <w:rPr>
          <w:rFonts w:ascii="Times New Roman" w:hAnsi="Times New Roman" w:cs="Times New Roman"/>
          <w:sz w:val="28"/>
          <w:szCs w:val="28"/>
        </w:rPr>
        <w:t xml:space="preserve">Рецензент  к. політ. н., </w:t>
      </w:r>
    </w:p>
    <w:p w14:paraId="5B5AF38E">
      <w:pPr>
        <w:keepNext w:val="0"/>
        <w:keepLines w:val="0"/>
        <w:pageBreakBefore w:val="0"/>
        <w:kinsoku/>
        <w:overflowPunct/>
        <w:topLinePunct w:val="0"/>
        <w:autoSpaceDE/>
        <w:autoSpaceDN/>
        <w:bidi w:val="0"/>
        <w:adjustRightInd/>
        <w:snapToGrid/>
        <w:spacing w:after="0" w:line="22" w:lineRule="atLeast"/>
        <w:ind w:left="2124" w:firstLine="707"/>
        <w:jc w:val="right"/>
        <w:textAlignment w:val="auto"/>
        <w:rPr>
          <w:rFonts w:ascii="Times New Roman" w:hAnsi="Times New Roman" w:cs="Times New Roman"/>
          <w:sz w:val="28"/>
          <w:szCs w:val="28"/>
          <w:vertAlign w:val="subscript"/>
        </w:rPr>
      </w:pPr>
      <w:r>
        <w:rPr>
          <w:rFonts w:ascii="Times New Roman" w:hAnsi="Times New Roman" w:cs="Times New Roman"/>
          <w:sz w:val="28"/>
          <w:szCs w:val="28"/>
        </w:rPr>
        <w:t>доц. Грабіна А.В.</w:t>
      </w:r>
    </w:p>
    <w:p w14:paraId="60BFBFC1">
      <w:pPr>
        <w:keepNext w:val="0"/>
        <w:keepLines w:val="0"/>
        <w:pageBreakBefore w:val="0"/>
        <w:kinsoku/>
        <w:overflowPunct/>
        <w:topLinePunct w:val="0"/>
        <w:autoSpaceDE/>
        <w:autoSpaceDN/>
        <w:bidi w:val="0"/>
        <w:adjustRightInd/>
        <w:snapToGrid/>
        <w:spacing w:after="0" w:line="22" w:lineRule="atLeast"/>
        <w:ind w:left="2124" w:firstLine="707"/>
        <w:jc w:val="right"/>
        <w:textAlignment w:val="auto"/>
        <w:rPr>
          <w:rFonts w:ascii="Times New Roman" w:hAnsi="Times New Roman" w:cs="Times New Roman"/>
          <w:sz w:val="28"/>
          <w:szCs w:val="28"/>
          <w:vertAlign w:val="subscript"/>
        </w:rPr>
      </w:pPr>
    </w:p>
    <w:tbl>
      <w:tblPr>
        <w:tblStyle w:val="12"/>
        <w:tblW w:w="9870" w:type="dxa"/>
        <w:jc w:val="center"/>
        <w:tblLayout w:type="fixed"/>
        <w:tblCellMar>
          <w:top w:w="0" w:type="dxa"/>
          <w:left w:w="108" w:type="dxa"/>
          <w:bottom w:w="0" w:type="dxa"/>
          <w:right w:w="108" w:type="dxa"/>
        </w:tblCellMar>
      </w:tblPr>
      <w:tblGrid>
        <w:gridCol w:w="5084"/>
        <w:gridCol w:w="4786"/>
      </w:tblGrid>
      <w:tr w14:paraId="7E0B3D5B">
        <w:tblPrEx>
          <w:tblCellMar>
            <w:top w:w="0" w:type="dxa"/>
            <w:left w:w="108" w:type="dxa"/>
            <w:bottom w:w="0" w:type="dxa"/>
            <w:right w:w="108" w:type="dxa"/>
          </w:tblCellMar>
        </w:tblPrEx>
        <w:trPr>
          <w:jc w:val="center"/>
        </w:trPr>
        <w:tc>
          <w:tcPr>
            <w:tcW w:w="5083" w:type="dxa"/>
          </w:tcPr>
          <w:p w14:paraId="0F1164A4">
            <w:pPr>
              <w:keepNext w:val="0"/>
              <w:keepLines w:val="0"/>
              <w:pageBreakBefore w:val="0"/>
              <w:widowControl w:val="0"/>
              <w:kinsoku/>
              <w:overflowPunct/>
              <w:topLinePunct w:val="0"/>
              <w:autoSpaceDE/>
              <w:autoSpaceDN/>
              <w:bidi w:val="0"/>
              <w:adjustRightInd/>
              <w:snapToGrid/>
              <w:spacing w:after="0" w:line="22" w:lineRule="atLeast"/>
              <w:textAlignment w:val="auto"/>
              <w:rPr>
                <w:rFonts w:ascii="Times New Roman" w:hAnsi="Times New Roman" w:cs="Times New Roman"/>
                <w:sz w:val="28"/>
                <w:szCs w:val="28"/>
                <w:lang w:bidi="hi-IN"/>
              </w:rPr>
            </w:pPr>
            <w:r>
              <w:rPr>
                <w:rFonts w:ascii="Times New Roman" w:hAnsi="Times New Roman" w:cs="Times New Roman"/>
                <w:sz w:val="28"/>
                <w:szCs w:val="28"/>
                <w:lang w:bidi="hi-IN"/>
              </w:rPr>
              <w:t>Рекомендовано до захисту:</w:t>
            </w:r>
          </w:p>
          <w:p w14:paraId="464553A7">
            <w:pPr>
              <w:keepNext w:val="0"/>
              <w:keepLines w:val="0"/>
              <w:pageBreakBefore w:val="0"/>
              <w:widowControl w:val="0"/>
              <w:kinsoku/>
              <w:overflowPunct/>
              <w:topLinePunct w:val="0"/>
              <w:autoSpaceDE/>
              <w:autoSpaceDN/>
              <w:bidi w:val="0"/>
              <w:adjustRightInd/>
              <w:snapToGrid/>
              <w:spacing w:after="0" w:line="22" w:lineRule="atLeast"/>
              <w:textAlignment w:val="auto"/>
              <w:rPr>
                <w:rFonts w:ascii="Times New Roman" w:hAnsi="Times New Roman" w:cs="Times New Roman"/>
                <w:sz w:val="28"/>
                <w:szCs w:val="28"/>
                <w:lang w:bidi="hi-IN"/>
              </w:rPr>
            </w:pPr>
            <w:r>
              <w:rPr>
                <w:rFonts w:ascii="Times New Roman" w:hAnsi="Times New Roman" w:cs="Times New Roman"/>
                <w:sz w:val="28"/>
                <w:szCs w:val="28"/>
                <w:lang w:bidi="hi-IN"/>
              </w:rPr>
              <w:t>Протокол засідання кафедри</w:t>
            </w:r>
          </w:p>
          <w:p w14:paraId="67C26AD3">
            <w:pPr>
              <w:keepNext w:val="0"/>
              <w:keepLines w:val="0"/>
              <w:pageBreakBefore w:val="0"/>
              <w:widowControl w:val="0"/>
              <w:kinsoku/>
              <w:overflowPunct/>
              <w:topLinePunct w:val="0"/>
              <w:autoSpaceDE/>
              <w:autoSpaceDN/>
              <w:bidi w:val="0"/>
              <w:adjustRightInd/>
              <w:snapToGrid/>
              <w:spacing w:after="0" w:line="22" w:lineRule="atLeast"/>
              <w:textAlignment w:val="auto"/>
              <w:rPr>
                <w:rFonts w:ascii="Times New Roman" w:hAnsi="Times New Roman" w:cs="Times New Roman"/>
                <w:sz w:val="28"/>
                <w:szCs w:val="28"/>
                <w:lang w:bidi="hi-IN"/>
              </w:rPr>
            </w:pPr>
            <w:r>
              <w:rPr>
                <w:rFonts w:ascii="Times New Roman" w:hAnsi="Times New Roman" w:cs="Times New Roman"/>
                <w:sz w:val="28"/>
                <w:szCs w:val="28"/>
                <w:lang w:bidi="hi-IN"/>
              </w:rPr>
              <w:t>№ ___  від _    _ 2025 р.</w:t>
            </w:r>
          </w:p>
          <w:p w14:paraId="0D3C940B">
            <w:pPr>
              <w:keepNext w:val="0"/>
              <w:keepLines w:val="0"/>
              <w:pageBreakBefore w:val="0"/>
              <w:widowControl w:val="0"/>
              <w:kinsoku/>
              <w:overflowPunct/>
              <w:topLinePunct w:val="0"/>
              <w:autoSpaceDE/>
              <w:autoSpaceDN/>
              <w:bidi w:val="0"/>
              <w:adjustRightInd/>
              <w:snapToGrid/>
              <w:spacing w:after="0" w:line="22" w:lineRule="atLeast"/>
              <w:textAlignment w:val="auto"/>
              <w:rPr>
                <w:rFonts w:ascii="Times New Roman" w:hAnsi="Times New Roman" w:cs="Times New Roman"/>
                <w:sz w:val="28"/>
                <w:szCs w:val="28"/>
                <w:lang w:bidi="hi-IN"/>
              </w:rPr>
            </w:pPr>
            <w:r>
              <w:rPr>
                <w:rFonts w:ascii="Times New Roman" w:hAnsi="Times New Roman" w:cs="Times New Roman"/>
                <w:sz w:val="28"/>
                <w:szCs w:val="28"/>
                <w:lang w:bidi="hi-IN"/>
              </w:rPr>
              <w:t>Завідувач кафедри</w:t>
            </w:r>
          </w:p>
          <w:p w14:paraId="15AF245A">
            <w:pPr>
              <w:keepNext w:val="0"/>
              <w:keepLines w:val="0"/>
              <w:pageBreakBefore w:val="0"/>
              <w:widowControl w:val="0"/>
              <w:tabs>
                <w:tab w:val="left" w:pos="1168"/>
                <w:tab w:val="left" w:pos="3861"/>
              </w:tabs>
              <w:kinsoku/>
              <w:overflowPunct/>
              <w:topLinePunct w:val="0"/>
              <w:autoSpaceDE/>
              <w:autoSpaceDN/>
              <w:bidi w:val="0"/>
              <w:adjustRightInd/>
              <w:snapToGrid/>
              <w:spacing w:after="0" w:line="22" w:lineRule="atLeast"/>
              <w:textAlignment w:val="auto"/>
              <w:rPr>
                <w:rFonts w:ascii="Times New Roman" w:hAnsi="Times New Roman" w:cs="Times New Roman"/>
                <w:sz w:val="28"/>
                <w:szCs w:val="28"/>
                <w:u w:val="single"/>
                <w:lang w:bidi="hi-IN"/>
              </w:rPr>
            </w:pPr>
            <w:r>
              <w:rPr>
                <w:rFonts w:ascii="Times New Roman" w:hAnsi="Times New Roman" w:cs="Times New Roman"/>
                <w:sz w:val="28"/>
                <w:szCs w:val="28"/>
                <w:u w:val="single"/>
                <w:lang w:bidi="hi-IN"/>
              </w:rPr>
              <w:tab/>
            </w:r>
            <w:r>
              <w:rPr>
                <w:rFonts w:ascii="Times New Roman" w:hAnsi="Times New Roman" w:cs="Times New Roman"/>
                <w:sz w:val="28"/>
                <w:szCs w:val="28"/>
                <w:lang w:bidi="hi-IN"/>
              </w:rPr>
              <w:t xml:space="preserve">            </w:t>
            </w:r>
            <w:r>
              <w:rPr>
                <w:rFonts w:ascii="Times New Roman" w:hAnsi="Times New Roman" w:cs="Times New Roman"/>
                <w:sz w:val="28"/>
                <w:szCs w:val="28"/>
                <w:lang w:val="uk-UA" w:bidi="hi-IN"/>
              </w:rPr>
              <w:t>Глебов</w:t>
            </w:r>
            <w:r>
              <w:rPr>
                <w:rFonts w:hint="default" w:ascii="Times New Roman" w:hAnsi="Times New Roman" w:cs="Times New Roman"/>
                <w:sz w:val="28"/>
                <w:szCs w:val="28"/>
                <w:lang w:val="uk-UA" w:bidi="hi-IN"/>
              </w:rPr>
              <w:t xml:space="preserve"> С.В.</w:t>
            </w:r>
          </w:p>
          <w:p w14:paraId="339AAFEA">
            <w:pPr>
              <w:keepNext w:val="0"/>
              <w:keepLines w:val="0"/>
              <w:pageBreakBefore w:val="0"/>
              <w:widowControl w:val="0"/>
              <w:tabs>
                <w:tab w:val="left" w:pos="284"/>
                <w:tab w:val="left" w:pos="1767"/>
              </w:tabs>
              <w:kinsoku/>
              <w:overflowPunct/>
              <w:topLinePunct w:val="0"/>
              <w:autoSpaceDE/>
              <w:autoSpaceDN/>
              <w:bidi w:val="0"/>
              <w:adjustRightInd/>
              <w:snapToGrid/>
              <w:spacing w:after="0" w:line="22" w:lineRule="atLeast"/>
              <w:textAlignment w:val="auto"/>
              <w:rPr>
                <w:rFonts w:ascii="Times New Roman" w:hAnsi="Times New Roman" w:cs="Times New Roman"/>
                <w:sz w:val="28"/>
                <w:szCs w:val="28"/>
                <w:lang w:bidi="hi-IN"/>
              </w:rPr>
            </w:pPr>
            <w:r>
              <w:rPr>
                <w:rFonts w:ascii="Times New Roman" w:hAnsi="Times New Roman" w:cs="Times New Roman"/>
                <w:sz w:val="28"/>
                <w:szCs w:val="28"/>
                <w:lang w:bidi="hi-IN"/>
              </w:rPr>
              <w:tab/>
            </w:r>
            <w:r>
              <w:rPr>
                <w:rFonts w:ascii="Times New Roman" w:hAnsi="Times New Roman" w:cs="Times New Roman"/>
                <w:sz w:val="28"/>
                <w:szCs w:val="28"/>
                <w:lang w:bidi="hi-IN"/>
              </w:rPr>
              <w:t>(підпис)</w:t>
            </w:r>
          </w:p>
        </w:tc>
        <w:tc>
          <w:tcPr>
            <w:tcW w:w="4786" w:type="dxa"/>
          </w:tcPr>
          <w:p w14:paraId="3C4298AE">
            <w:pPr>
              <w:keepNext w:val="0"/>
              <w:keepLines w:val="0"/>
              <w:pageBreakBefore w:val="0"/>
              <w:widowControl w:val="0"/>
              <w:tabs>
                <w:tab w:val="right" w:pos="4462"/>
              </w:tabs>
              <w:kinsoku/>
              <w:overflowPunct/>
              <w:topLinePunct w:val="0"/>
              <w:autoSpaceDE/>
              <w:autoSpaceDN/>
              <w:bidi w:val="0"/>
              <w:adjustRightInd/>
              <w:snapToGrid/>
              <w:spacing w:after="0" w:line="22" w:lineRule="atLeast"/>
              <w:textAlignment w:val="auto"/>
              <w:rPr>
                <w:rFonts w:ascii="Times New Roman" w:hAnsi="Times New Roman" w:cs="Times New Roman"/>
                <w:sz w:val="28"/>
                <w:szCs w:val="28"/>
                <w:u w:val="single"/>
                <w:lang w:bidi="hi-IN"/>
              </w:rPr>
            </w:pPr>
            <w:r>
              <w:rPr>
                <w:rFonts w:ascii="Times New Roman" w:hAnsi="Times New Roman" w:cs="Times New Roman"/>
                <w:sz w:val="28"/>
                <w:szCs w:val="28"/>
                <w:lang w:bidi="hi-IN"/>
              </w:rPr>
              <w:t>Захищено на засіданні ЕК №</w:t>
            </w:r>
            <w:r>
              <w:rPr>
                <w:rFonts w:ascii="Times New Roman" w:hAnsi="Times New Roman" w:cs="Times New Roman"/>
                <w:sz w:val="28"/>
                <w:szCs w:val="28"/>
                <w:u w:val="single"/>
                <w:lang w:bidi="hi-IN"/>
              </w:rPr>
              <w:t xml:space="preserve">  7</w:t>
            </w:r>
          </w:p>
          <w:p w14:paraId="26948EDE">
            <w:pPr>
              <w:keepNext w:val="0"/>
              <w:keepLines w:val="0"/>
              <w:pageBreakBefore w:val="0"/>
              <w:widowControl w:val="0"/>
              <w:tabs>
                <w:tab w:val="right" w:pos="4462"/>
              </w:tabs>
              <w:kinsoku/>
              <w:overflowPunct/>
              <w:topLinePunct w:val="0"/>
              <w:autoSpaceDE/>
              <w:autoSpaceDN/>
              <w:bidi w:val="0"/>
              <w:adjustRightInd/>
              <w:snapToGrid/>
              <w:spacing w:after="0" w:line="22" w:lineRule="atLeast"/>
              <w:textAlignment w:val="auto"/>
              <w:rPr>
                <w:rFonts w:ascii="Times New Roman" w:hAnsi="Times New Roman" w:cs="Times New Roman"/>
                <w:sz w:val="28"/>
                <w:szCs w:val="28"/>
                <w:lang w:bidi="hi-IN"/>
              </w:rPr>
            </w:pPr>
            <w:r>
              <w:rPr>
                <w:rFonts w:ascii="Times New Roman" w:hAnsi="Times New Roman" w:cs="Times New Roman"/>
                <w:sz w:val="28"/>
                <w:szCs w:val="28"/>
                <w:lang w:bidi="hi-IN"/>
              </w:rPr>
              <w:t>протокол № ___ від ______2025 р.</w:t>
            </w:r>
          </w:p>
          <w:p w14:paraId="72141EAD">
            <w:pPr>
              <w:keepNext w:val="0"/>
              <w:keepLines w:val="0"/>
              <w:pageBreakBefore w:val="0"/>
              <w:widowControl w:val="0"/>
              <w:tabs>
                <w:tab w:val="right" w:pos="4462"/>
              </w:tabs>
              <w:kinsoku/>
              <w:overflowPunct/>
              <w:topLinePunct w:val="0"/>
              <w:autoSpaceDE/>
              <w:autoSpaceDN/>
              <w:bidi w:val="0"/>
              <w:adjustRightInd/>
              <w:snapToGrid/>
              <w:spacing w:after="0" w:line="22" w:lineRule="atLeast"/>
              <w:textAlignment w:val="auto"/>
              <w:rPr>
                <w:rFonts w:ascii="Times New Roman" w:hAnsi="Times New Roman" w:cs="Times New Roman"/>
                <w:sz w:val="28"/>
                <w:szCs w:val="28"/>
                <w:lang w:bidi="hi-IN"/>
              </w:rPr>
            </w:pPr>
            <w:r>
              <w:rPr>
                <w:rFonts w:ascii="Times New Roman" w:hAnsi="Times New Roman" w:cs="Times New Roman"/>
                <w:sz w:val="28"/>
                <w:szCs w:val="28"/>
                <w:lang w:bidi="hi-IN"/>
              </w:rPr>
              <w:t>Оцінка______________/___</w:t>
            </w:r>
            <w:r>
              <w:rPr>
                <w:rFonts w:ascii="Times New Roman" w:hAnsi="Times New Roman" w:cs="Times New Roman"/>
                <w:sz w:val="28"/>
                <w:szCs w:val="28"/>
                <w:lang w:bidi="hi-IN"/>
              </w:rPr>
              <w:tab/>
            </w:r>
            <w:r>
              <w:rPr>
                <w:rFonts w:ascii="Times New Roman" w:hAnsi="Times New Roman" w:cs="Times New Roman"/>
                <w:sz w:val="28"/>
                <w:szCs w:val="28"/>
                <w:lang w:bidi="hi-IN"/>
              </w:rPr>
              <w:t>___/____</w:t>
            </w:r>
          </w:p>
          <w:p w14:paraId="24A0A09E">
            <w:pPr>
              <w:keepNext w:val="0"/>
              <w:keepLines w:val="0"/>
              <w:pageBreakBefore w:val="0"/>
              <w:widowControl w:val="0"/>
              <w:kinsoku/>
              <w:overflowPunct/>
              <w:topLinePunct w:val="0"/>
              <w:autoSpaceDE/>
              <w:autoSpaceDN/>
              <w:bidi w:val="0"/>
              <w:adjustRightInd/>
              <w:snapToGrid/>
              <w:spacing w:after="0" w:line="22" w:lineRule="atLeast"/>
              <w:jc w:val="center"/>
              <w:textAlignment w:val="auto"/>
              <w:rPr>
                <w:rFonts w:ascii="Times New Roman" w:hAnsi="Times New Roman" w:cs="Times New Roman"/>
                <w:sz w:val="28"/>
                <w:szCs w:val="28"/>
                <w:lang w:bidi="hi-IN"/>
              </w:rPr>
            </w:pPr>
            <w:r>
              <w:rPr>
                <w:rFonts w:ascii="Times New Roman" w:hAnsi="Times New Roman" w:cs="Times New Roman"/>
                <w:sz w:val="28"/>
                <w:szCs w:val="28"/>
                <w:lang w:bidi="hi-IN"/>
              </w:rPr>
              <w:t>(за національною шкалою, шкалою ЕСТS, бали)</w:t>
            </w:r>
          </w:p>
          <w:p w14:paraId="05FEB4AE">
            <w:pPr>
              <w:keepNext w:val="0"/>
              <w:keepLines w:val="0"/>
              <w:pageBreakBefore w:val="0"/>
              <w:widowControl w:val="0"/>
              <w:kinsoku/>
              <w:overflowPunct/>
              <w:topLinePunct w:val="0"/>
              <w:autoSpaceDE/>
              <w:autoSpaceDN/>
              <w:bidi w:val="0"/>
              <w:adjustRightInd/>
              <w:snapToGrid/>
              <w:spacing w:after="0" w:line="22" w:lineRule="atLeast"/>
              <w:textAlignment w:val="auto"/>
              <w:rPr>
                <w:rFonts w:ascii="Times New Roman" w:hAnsi="Times New Roman" w:cs="Times New Roman"/>
                <w:sz w:val="28"/>
                <w:szCs w:val="28"/>
                <w:lang w:bidi="hi-IN"/>
              </w:rPr>
            </w:pPr>
            <w:r>
              <w:rPr>
                <w:rFonts w:ascii="Times New Roman" w:hAnsi="Times New Roman" w:cs="Times New Roman"/>
                <w:sz w:val="28"/>
                <w:szCs w:val="28"/>
                <w:lang w:bidi="hi-IN"/>
              </w:rPr>
              <w:t>Голова ЕК</w:t>
            </w:r>
          </w:p>
          <w:p w14:paraId="5BA1A35F">
            <w:pPr>
              <w:keepNext w:val="0"/>
              <w:keepLines w:val="0"/>
              <w:pageBreakBefore w:val="0"/>
              <w:widowControl w:val="0"/>
              <w:tabs>
                <w:tab w:val="left" w:pos="1446"/>
                <w:tab w:val="right" w:pos="4462"/>
              </w:tabs>
              <w:kinsoku/>
              <w:overflowPunct/>
              <w:topLinePunct w:val="0"/>
              <w:autoSpaceDE/>
              <w:autoSpaceDN/>
              <w:bidi w:val="0"/>
              <w:adjustRightInd/>
              <w:snapToGrid/>
              <w:spacing w:after="0" w:line="22" w:lineRule="atLeast"/>
              <w:textAlignment w:val="auto"/>
              <w:rPr>
                <w:rFonts w:ascii="Times New Roman" w:hAnsi="Times New Roman" w:cs="Times New Roman"/>
                <w:sz w:val="28"/>
                <w:szCs w:val="28"/>
                <w:u w:val="single"/>
                <w:lang w:bidi="hi-IN"/>
              </w:rPr>
            </w:pPr>
            <w:r>
              <w:rPr>
                <w:rFonts w:ascii="Times New Roman" w:hAnsi="Times New Roman" w:cs="Times New Roman"/>
                <w:sz w:val="28"/>
                <w:szCs w:val="28"/>
                <w:u w:val="single"/>
                <w:lang w:bidi="hi-IN"/>
              </w:rPr>
              <w:tab/>
            </w:r>
            <w:r>
              <w:rPr>
                <w:rFonts w:ascii="Times New Roman" w:hAnsi="Times New Roman" w:cs="Times New Roman"/>
                <w:sz w:val="28"/>
                <w:szCs w:val="28"/>
                <w:u w:val="single"/>
                <w:lang w:bidi="hi-IN"/>
              </w:rPr>
              <w:t xml:space="preserve">     </w:t>
            </w:r>
            <w:r>
              <w:rPr>
                <w:rFonts w:ascii="Times New Roman" w:hAnsi="Times New Roman" w:cs="Times New Roman"/>
                <w:sz w:val="28"/>
                <w:szCs w:val="28"/>
                <w:lang w:val="uk-UA" w:bidi="hi-IN"/>
              </w:rPr>
              <w:t>Глебов</w:t>
            </w:r>
            <w:r>
              <w:rPr>
                <w:rFonts w:ascii="Times New Roman" w:hAnsi="Times New Roman" w:cs="Times New Roman"/>
                <w:sz w:val="28"/>
                <w:szCs w:val="28"/>
                <w:lang w:bidi="hi-IN"/>
              </w:rPr>
              <w:t xml:space="preserve"> </w:t>
            </w:r>
            <w:r>
              <w:rPr>
                <w:rFonts w:ascii="Times New Roman" w:hAnsi="Times New Roman" w:cs="Times New Roman"/>
                <w:sz w:val="28"/>
                <w:szCs w:val="28"/>
                <w:lang w:val="uk-UA" w:bidi="hi-IN"/>
              </w:rPr>
              <w:t>В</w:t>
            </w:r>
            <w:r>
              <w:rPr>
                <w:rFonts w:hint="default" w:ascii="Times New Roman" w:hAnsi="Times New Roman" w:cs="Times New Roman"/>
                <w:sz w:val="28"/>
                <w:szCs w:val="28"/>
                <w:lang w:val="uk-UA" w:bidi="hi-IN"/>
              </w:rPr>
              <w:t>.В</w:t>
            </w:r>
            <w:r>
              <w:rPr>
                <w:rFonts w:ascii="Times New Roman" w:hAnsi="Times New Roman" w:cs="Times New Roman"/>
                <w:sz w:val="28"/>
                <w:szCs w:val="28"/>
                <w:lang w:bidi="hi-IN"/>
              </w:rPr>
              <w:t>.</w:t>
            </w:r>
          </w:p>
          <w:p w14:paraId="30E877BC">
            <w:pPr>
              <w:keepNext w:val="0"/>
              <w:keepLines w:val="0"/>
              <w:pageBreakBefore w:val="0"/>
              <w:widowControl w:val="0"/>
              <w:tabs>
                <w:tab w:val="left" w:pos="454"/>
                <w:tab w:val="left" w:pos="2155"/>
              </w:tabs>
              <w:kinsoku/>
              <w:overflowPunct/>
              <w:topLinePunct w:val="0"/>
              <w:autoSpaceDE/>
              <w:autoSpaceDN/>
              <w:bidi w:val="0"/>
              <w:adjustRightInd/>
              <w:snapToGrid/>
              <w:spacing w:after="0" w:line="22" w:lineRule="atLeast"/>
              <w:textAlignment w:val="auto"/>
              <w:rPr>
                <w:rFonts w:ascii="Times New Roman" w:hAnsi="Times New Roman" w:cs="Times New Roman"/>
                <w:sz w:val="28"/>
                <w:szCs w:val="28"/>
                <w:lang w:bidi="hi-IN"/>
              </w:rPr>
            </w:pPr>
            <w:r>
              <w:rPr>
                <w:rFonts w:ascii="Times New Roman" w:hAnsi="Times New Roman" w:cs="Times New Roman"/>
                <w:sz w:val="28"/>
                <w:szCs w:val="28"/>
                <w:lang w:bidi="hi-IN"/>
              </w:rPr>
              <w:tab/>
            </w:r>
            <w:r>
              <w:rPr>
                <w:rFonts w:ascii="Times New Roman" w:hAnsi="Times New Roman" w:cs="Times New Roman"/>
                <w:sz w:val="28"/>
                <w:szCs w:val="28"/>
                <w:lang w:bidi="hi-IN"/>
              </w:rPr>
              <w:t>(підпис)</w:t>
            </w:r>
          </w:p>
        </w:tc>
      </w:tr>
      <w:tr w14:paraId="586B1741">
        <w:tblPrEx>
          <w:tblCellMar>
            <w:top w:w="0" w:type="dxa"/>
            <w:left w:w="108" w:type="dxa"/>
            <w:bottom w:w="0" w:type="dxa"/>
            <w:right w:w="108" w:type="dxa"/>
          </w:tblCellMar>
        </w:tblPrEx>
        <w:trPr>
          <w:jc w:val="center"/>
        </w:trPr>
        <w:tc>
          <w:tcPr>
            <w:tcW w:w="5083" w:type="dxa"/>
          </w:tcPr>
          <w:p w14:paraId="09D85DEB">
            <w:pPr>
              <w:keepNext w:val="0"/>
              <w:keepLines w:val="0"/>
              <w:pageBreakBefore w:val="0"/>
              <w:widowControl w:val="0"/>
              <w:kinsoku/>
              <w:overflowPunct/>
              <w:topLinePunct w:val="0"/>
              <w:autoSpaceDE/>
              <w:autoSpaceDN/>
              <w:bidi w:val="0"/>
              <w:adjustRightInd/>
              <w:snapToGrid/>
              <w:spacing w:after="0" w:line="22" w:lineRule="atLeast"/>
              <w:textAlignment w:val="auto"/>
              <w:rPr>
                <w:rFonts w:ascii="Times New Roman" w:hAnsi="Times New Roman" w:cs="Times New Roman"/>
                <w:sz w:val="28"/>
                <w:szCs w:val="28"/>
                <w:lang w:bidi="hi-IN"/>
              </w:rPr>
            </w:pPr>
          </w:p>
        </w:tc>
        <w:tc>
          <w:tcPr>
            <w:tcW w:w="4786" w:type="dxa"/>
          </w:tcPr>
          <w:p w14:paraId="708466C1">
            <w:pPr>
              <w:keepNext w:val="0"/>
              <w:keepLines w:val="0"/>
              <w:pageBreakBefore w:val="0"/>
              <w:widowControl w:val="0"/>
              <w:kinsoku/>
              <w:overflowPunct/>
              <w:topLinePunct w:val="0"/>
              <w:autoSpaceDE/>
              <w:autoSpaceDN/>
              <w:bidi w:val="0"/>
              <w:adjustRightInd/>
              <w:snapToGrid/>
              <w:spacing w:after="0" w:line="22" w:lineRule="atLeast"/>
              <w:textAlignment w:val="auto"/>
              <w:rPr>
                <w:rFonts w:ascii="Times New Roman" w:hAnsi="Times New Roman" w:cs="Times New Roman"/>
                <w:sz w:val="28"/>
                <w:szCs w:val="28"/>
                <w:lang w:bidi="hi-IN"/>
              </w:rPr>
            </w:pPr>
          </w:p>
        </w:tc>
      </w:tr>
    </w:tbl>
    <w:p w14:paraId="15DA0461">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b/>
          <w:sz w:val="28"/>
          <w:szCs w:val="28"/>
        </w:rPr>
      </w:pPr>
    </w:p>
    <w:p w14:paraId="6EA8CC4D">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b/>
          <w:sz w:val="28"/>
          <w:szCs w:val="28"/>
        </w:rPr>
      </w:pPr>
    </w:p>
    <w:p w14:paraId="54E019DA">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b/>
          <w:sz w:val="28"/>
          <w:szCs w:val="28"/>
        </w:rPr>
      </w:pPr>
    </w:p>
    <w:p w14:paraId="0957244C">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b/>
          <w:sz w:val="28"/>
          <w:szCs w:val="28"/>
        </w:rPr>
      </w:pPr>
    </w:p>
    <w:p w14:paraId="31C9ECDC">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b/>
          <w:sz w:val="28"/>
          <w:szCs w:val="28"/>
        </w:rPr>
      </w:pPr>
    </w:p>
    <w:p w14:paraId="4EB70DBC">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b/>
          <w:sz w:val="28"/>
          <w:szCs w:val="28"/>
        </w:rPr>
      </w:pPr>
    </w:p>
    <w:p w14:paraId="36048232">
      <w:pPr>
        <w:keepNext w:val="0"/>
        <w:keepLines w:val="0"/>
        <w:pageBreakBefore w:val="0"/>
        <w:kinsoku/>
        <w:overflowPunct/>
        <w:topLinePunct w:val="0"/>
        <w:autoSpaceDE/>
        <w:autoSpaceDN/>
        <w:bidi w:val="0"/>
        <w:adjustRightInd/>
        <w:snapToGrid/>
        <w:spacing w:after="0" w:line="22" w:lineRule="atLeast"/>
        <w:jc w:val="both"/>
        <w:textAlignment w:val="auto"/>
        <w:rPr>
          <w:rFonts w:hint="default" w:ascii="Times New Roman" w:hAnsi="Times New Roman" w:cs="Times New Roman"/>
          <w:b/>
          <w:sz w:val="28"/>
          <w:szCs w:val="28"/>
          <w:lang w:val="uk-UA"/>
        </w:rPr>
      </w:pPr>
    </w:p>
    <w:p w14:paraId="6B0454C1">
      <w:pPr>
        <w:keepNext w:val="0"/>
        <w:keepLines w:val="0"/>
        <w:pageBreakBefore w:val="0"/>
        <w:kinsoku/>
        <w:overflowPunct/>
        <w:topLinePunct w:val="0"/>
        <w:autoSpaceDE/>
        <w:autoSpaceDN/>
        <w:bidi w:val="0"/>
        <w:adjustRightInd/>
        <w:snapToGrid/>
        <w:spacing w:after="0" w:line="22" w:lineRule="atLeast"/>
        <w:jc w:val="both"/>
        <w:textAlignment w:val="auto"/>
        <w:rPr>
          <w:rFonts w:ascii="Times New Roman" w:hAnsi="Times New Roman" w:cs="Times New Roman"/>
          <w:b/>
          <w:sz w:val="28"/>
          <w:szCs w:val="28"/>
        </w:rPr>
      </w:pPr>
    </w:p>
    <w:p w14:paraId="1F09D708">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b/>
          <w:sz w:val="28"/>
          <w:szCs w:val="28"/>
        </w:rPr>
      </w:pPr>
    </w:p>
    <w:p w14:paraId="5DA4C3E6">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b/>
          <w:sz w:val="28"/>
          <w:szCs w:val="28"/>
        </w:rPr>
      </w:pPr>
    </w:p>
    <w:p w14:paraId="10C66722">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b/>
          <w:sz w:val="28"/>
          <w:szCs w:val="28"/>
        </w:rPr>
      </w:pPr>
    </w:p>
    <w:p w14:paraId="3F53578C">
      <w:pPr>
        <w:keepNext w:val="0"/>
        <w:keepLines w:val="0"/>
        <w:pageBreakBefore w:val="0"/>
        <w:kinsoku/>
        <w:overflowPunct/>
        <w:topLinePunct w:val="0"/>
        <w:autoSpaceDE/>
        <w:autoSpaceDN/>
        <w:bidi w:val="0"/>
        <w:adjustRightInd/>
        <w:snapToGrid/>
        <w:spacing w:after="0" w:line="22" w:lineRule="atLeast"/>
        <w:jc w:val="center"/>
        <w:textAlignment w:val="auto"/>
        <w:rPr>
          <w:rFonts w:ascii="Times New Roman" w:hAnsi="Times New Roman" w:cs="Times New Roman"/>
          <w:sz w:val="28"/>
          <w:szCs w:val="28"/>
          <w:lang w:val="ru-RU"/>
        </w:rPr>
      </w:pPr>
      <w:r>
        <w:rPr>
          <w:rFonts w:ascii="Times New Roman" w:hAnsi="Times New Roman" w:cs="Times New Roman"/>
          <w:b/>
          <w:sz w:val="28"/>
          <w:szCs w:val="28"/>
        </w:rPr>
        <w:t>Одеса 2025</w:t>
      </w:r>
    </w:p>
    <w:p w14:paraId="43FFBA5A">
      <w:pPr>
        <w:spacing w:after="0" w:line="360" w:lineRule="auto"/>
        <w:jc w:val="center"/>
        <w:rPr>
          <w:rFonts w:asciiTheme="majorBidi" w:hAnsiTheme="majorBidi" w:cstheme="majorBidi"/>
          <w:b/>
          <w:bCs/>
          <w:sz w:val="28"/>
          <w:szCs w:val="28"/>
          <w:lang w:val="ru-RU"/>
        </w:rPr>
      </w:pPr>
      <w:r>
        <w:rPr>
          <w:rFonts w:asciiTheme="majorBidi" w:hAnsiTheme="majorBidi" w:cstheme="majorBidi"/>
          <w:b/>
          <w:bCs/>
          <w:sz w:val="28"/>
          <w:szCs w:val="28"/>
          <w:lang w:val="ru-RU"/>
        </w:rPr>
        <w:br w:type="column"/>
      </w:r>
      <w:r>
        <w:rPr>
          <w:rFonts w:asciiTheme="majorBidi" w:hAnsiTheme="majorBidi" w:cstheme="majorBidi"/>
          <w:b w:val="0"/>
          <w:bCs w:val="0"/>
          <w:sz w:val="28"/>
          <w:szCs w:val="28"/>
          <w:lang w:val="ru-RU"/>
        </w:rPr>
        <w:t xml:space="preserve">ЗМІСТ </w:t>
      </w:r>
      <w:r>
        <w:rPr>
          <w:rFonts w:asciiTheme="majorBidi" w:hAnsiTheme="majorBidi" w:cstheme="majorBidi"/>
          <w:b/>
          <w:bCs/>
          <w:sz w:val="28"/>
          <w:szCs w:val="28"/>
          <w:lang w:val="ru-RU"/>
        </w:rPr>
        <w:t xml:space="preserve">        </w:t>
      </w:r>
    </w:p>
    <w:sdt>
      <w:sdtPr>
        <w:rPr>
          <w:lang w:val="ru-RU"/>
        </w:rPr>
        <w:id w:val="515350091"/>
        <w:docPartObj>
          <w:docPartGallery w:val="Table of Contents"/>
          <w:docPartUnique/>
        </w:docPartObj>
      </w:sdtPr>
      <w:sdtEndPr>
        <w:rPr>
          <w:rFonts w:asciiTheme="majorBidi" w:hAnsiTheme="majorBidi" w:cstheme="majorBidi"/>
          <w:b/>
          <w:bCs/>
          <w:sz w:val="28"/>
          <w:szCs w:val="28"/>
          <w:lang w:val="ru-RU"/>
        </w:rPr>
      </w:sdtEndPr>
      <w:sdtContent>
        <w:p w14:paraId="4B41424A">
          <w:pPr>
            <w:spacing w:after="0" w:line="276" w:lineRule="auto"/>
            <w:rPr>
              <w:rFonts w:asciiTheme="majorBidi" w:hAnsiTheme="majorBidi" w:cstheme="majorBidi"/>
              <w:b/>
              <w:bCs/>
              <w:sz w:val="28"/>
              <w:szCs w:val="28"/>
              <w:lang w:val="ru-RU"/>
            </w:rPr>
          </w:pPr>
        </w:p>
        <w:p w14:paraId="2D48B1AB">
          <w:pPr>
            <w:pStyle w:val="15"/>
            <w:tabs>
              <w:tab w:val="right" w:leader="dot" w:pos="9345"/>
            </w:tabs>
            <w:spacing w:line="276" w:lineRule="auto"/>
            <w:jc w:val="both"/>
            <w:rPr>
              <w:rFonts w:asciiTheme="majorBidi" w:hAnsiTheme="majorBidi" w:eastAsiaTheme="minorEastAsia" w:cstheme="majorBidi"/>
              <w:b w:val="0"/>
              <w:bCs w:val="0"/>
              <w:sz w:val="28"/>
              <w:szCs w:val="28"/>
            </w:rPr>
          </w:pPr>
          <w:r>
            <w:rPr>
              <w:rFonts w:asciiTheme="majorBidi" w:hAnsiTheme="majorBidi" w:cstheme="majorBidi"/>
              <w:sz w:val="28"/>
              <w:szCs w:val="28"/>
            </w:rPr>
            <w:fldChar w:fldCharType="begin"/>
          </w:r>
          <w:r>
            <w:rPr>
              <w:rFonts w:asciiTheme="majorBidi" w:hAnsiTheme="majorBidi" w:cstheme="majorBidi"/>
              <w:sz w:val="28"/>
              <w:szCs w:val="28"/>
            </w:rPr>
            <w:instrText xml:space="preserve"> TOC \o "1-3" \h \z \u </w:instrText>
          </w:r>
          <w:r>
            <w:rPr>
              <w:rFonts w:asciiTheme="majorBidi" w:hAnsiTheme="majorBidi" w:cstheme="majorBidi"/>
              <w:sz w:val="28"/>
              <w:szCs w:val="28"/>
            </w:rPr>
            <w:fldChar w:fldCharType="separate"/>
          </w:r>
          <w:r>
            <w:rPr>
              <w:b w:val="0"/>
              <w:bCs w:val="0"/>
            </w:rPr>
            <w:fldChar w:fldCharType="begin"/>
          </w:r>
          <w:r>
            <w:rPr>
              <w:b w:val="0"/>
              <w:bCs w:val="0"/>
            </w:rPr>
            <w:instrText xml:space="preserve"> HYPERLINK \l "_Toc208397123" </w:instrText>
          </w:r>
          <w:r>
            <w:rPr>
              <w:b w:val="0"/>
              <w:bCs w:val="0"/>
            </w:rPr>
            <w:fldChar w:fldCharType="separate"/>
          </w:r>
          <w:r>
            <w:rPr>
              <w:rStyle w:val="13"/>
              <w:rFonts w:asciiTheme="majorBidi" w:hAnsiTheme="majorBidi" w:cstheme="majorBidi"/>
              <w:b w:val="0"/>
              <w:bCs w:val="0"/>
              <w:caps/>
              <w:sz w:val="28"/>
              <w:szCs w:val="28"/>
            </w:rPr>
            <w:t>Вступ</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_Toc208397123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3</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70FF354B">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"_Toc208397124" </w:instrText>
          </w:r>
          <w:r>
            <w:rPr>
              <w:b w:val="0"/>
              <w:bCs w:val="0"/>
            </w:rPr>
            <w:fldChar w:fldCharType="separate"/>
          </w:r>
          <w:r>
            <w:rPr>
              <w:rStyle w:val="13"/>
              <w:rFonts w:asciiTheme="majorBidi" w:hAnsiTheme="majorBidi" w:cstheme="majorBidi"/>
              <w:b w:val="0"/>
              <w:bCs w:val="0"/>
              <w:caps/>
              <w:sz w:val="28"/>
              <w:szCs w:val="28"/>
              <w:lang w:val="ru-RU"/>
            </w:rPr>
            <w:t>Розділ І.</w:t>
          </w:r>
          <w:r>
            <w:rPr>
              <w:rStyle w:val="13"/>
              <w:rFonts w:asciiTheme="majorBidi" w:hAnsiTheme="majorBidi" w:cstheme="majorBidi"/>
              <w:b w:val="0"/>
              <w:bCs w:val="0"/>
              <w:caps/>
              <w:sz w:val="28"/>
              <w:szCs w:val="28"/>
              <w:lang w:val="ru-RU"/>
            </w:rPr>
            <w:fldChar w:fldCharType="end"/>
          </w:r>
          <w:r>
            <w:rPr>
              <w:rFonts w:asciiTheme="majorBidi" w:hAnsiTheme="majorBidi" w:eastAsiaTheme="minorEastAsia" w:cstheme="majorBidi"/>
              <w:b w:val="0"/>
              <w:bCs w:val="0"/>
              <w:sz w:val="28"/>
              <w:szCs w:val="28"/>
            </w:rPr>
            <w:t xml:space="preserve"> </w:t>
          </w:r>
          <w:r>
            <w:rPr>
              <w:b w:val="0"/>
              <w:bCs w:val="0"/>
            </w:rPr>
            <w:fldChar w:fldCharType="begin"/>
          </w:r>
          <w:r>
            <w:rPr>
              <w:b w:val="0"/>
              <w:bCs w:val="0"/>
            </w:rPr>
            <w:instrText xml:space="preserve"> HYPERLINK \l "_Toc208397125" </w:instrText>
          </w:r>
          <w:r>
            <w:rPr>
              <w:b w:val="0"/>
              <w:bCs w:val="0"/>
            </w:rPr>
            <w:fldChar w:fldCharType="separate"/>
          </w:r>
          <w:r>
            <w:rPr>
              <w:rStyle w:val="13"/>
              <w:rFonts w:asciiTheme="majorBidi" w:hAnsiTheme="majorBidi" w:cstheme="majorBidi"/>
              <w:b w:val="0"/>
              <w:bCs w:val="0"/>
              <w:caps/>
              <w:sz w:val="28"/>
              <w:szCs w:val="28"/>
              <w:lang w:val="uk-UA"/>
            </w:rPr>
            <w:t>Теоретико-методологічні засади дослідження політики Російської Федерації щодо країн Балтії</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_Toc208397125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7</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09AC7396">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"_Toc208397126" </w:instrText>
          </w:r>
          <w:r>
            <w:rPr>
              <w:b w:val="0"/>
              <w:bCs w:val="0"/>
            </w:rPr>
            <w:fldChar w:fldCharType="separate"/>
          </w:r>
          <w:r>
            <w:rPr>
              <w:rStyle w:val="13"/>
              <w:rFonts w:asciiTheme="majorBidi" w:hAnsiTheme="majorBidi" w:cstheme="majorBidi"/>
              <w:b w:val="0"/>
              <w:bCs w:val="0"/>
              <w:sz w:val="28"/>
              <w:szCs w:val="28"/>
              <w:lang w:val="ru-RU"/>
            </w:rPr>
            <w:t xml:space="preserve">1.1. </w:t>
          </w:r>
          <w:r>
            <w:rPr>
              <w:rStyle w:val="13"/>
              <w:rFonts w:hint="default" w:asciiTheme="majorBidi" w:hAnsiTheme="majorBidi"/>
              <w:b w:val="0"/>
              <w:bCs w:val="0"/>
              <w:sz w:val="28"/>
              <w:szCs w:val="28"/>
              <w:lang w:val="ru-RU"/>
            </w:rPr>
            <w:t xml:space="preserve">Поструктуралістський підхід в контексті аналізу політики РФ щодо країн Балтії </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_Toc208397126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7</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37DB065A">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"_Toc208397127" </w:instrText>
          </w:r>
          <w:r>
            <w:rPr>
              <w:b w:val="0"/>
              <w:bCs w:val="0"/>
            </w:rPr>
            <w:fldChar w:fldCharType="separate"/>
          </w:r>
          <w:r>
            <w:rPr>
              <w:rStyle w:val="13"/>
              <w:rFonts w:asciiTheme="majorBidi" w:hAnsiTheme="majorBidi" w:cstheme="majorBidi"/>
              <w:b w:val="0"/>
              <w:bCs w:val="0"/>
              <w:sz w:val="28"/>
              <w:szCs w:val="28"/>
              <w:lang w:val="uk-UA"/>
            </w:rPr>
            <w:t>1.2. Характеристика наукової розробки проблеми</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_Toc208397127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17</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688F81C3">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"_Toc208397128" </w:instrText>
          </w:r>
          <w:r>
            <w:rPr>
              <w:b w:val="0"/>
              <w:bCs w:val="0"/>
            </w:rPr>
            <w:fldChar w:fldCharType="separate"/>
          </w:r>
          <w:r>
            <w:rPr>
              <w:rStyle w:val="13"/>
              <w:rFonts w:asciiTheme="majorBidi" w:hAnsiTheme="majorBidi" w:cstheme="majorBidi"/>
              <w:b w:val="0"/>
              <w:bCs w:val="0"/>
              <w:sz w:val="28"/>
              <w:szCs w:val="28"/>
              <w:lang w:val="uk-UA"/>
            </w:rPr>
            <w:t>Висновки до І розділу</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_Toc208397128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28</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0266737D">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"_Toc208397129" </w:instrText>
          </w:r>
          <w:r>
            <w:rPr>
              <w:b w:val="0"/>
              <w:bCs w:val="0"/>
            </w:rPr>
            <w:fldChar w:fldCharType="separate"/>
          </w:r>
          <w:r>
            <w:rPr>
              <w:rStyle w:val="13"/>
              <w:rFonts w:asciiTheme="majorBidi" w:hAnsiTheme="majorBidi" w:cstheme="majorBidi"/>
              <w:b w:val="0"/>
              <w:bCs w:val="0"/>
              <w:caps/>
              <w:sz w:val="28"/>
              <w:szCs w:val="28"/>
              <w:lang w:val="ru-RU"/>
            </w:rPr>
            <w:t>Розділ ІІ.</w:t>
          </w:r>
          <w:r>
            <w:rPr>
              <w:rStyle w:val="13"/>
              <w:rFonts w:asciiTheme="majorBidi" w:hAnsiTheme="majorBidi" w:cstheme="majorBidi"/>
              <w:b w:val="0"/>
              <w:bCs w:val="0"/>
              <w:caps/>
              <w:sz w:val="28"/>
              <w:szCs w:val="28"/>
              <w:lang w:val="ru-RU"/>
            </w:rPr>
            <w:fldChar w:fldCharType="end"/>
          </w:r>
          <w:r>
            <w:rPr>
              <w:rFonts w:asciiTheme="majorBidi" w:hAnsiTheme="majorBidi" w:eastAsiaTheme="minorEastAsia" w:cstheme="majorBidi"/>
              <w:b w:val="0"/>
              <w:bCs w:val="0"/>
              <w:sz w:val="28"/>
              <w:szCs w:val="28"/>
            </w:rPr>
            <w:t xml:space="preserve"> </w:t>
          </w:r>
          <w:r>
            <w:rPr>
              <w:b w:val="0"/>
              <w:bCs w:val="0"/>
            </w:rPr>
            <w:fldChar w:fldCharType="begin"/>
          </w:r>
          <w:r>
            <w:rPr>
              <w:b w:val="0"/>
              <w:bCs w:val="0"/>
            </w:rPr>
            <w:instrText xml:space="preserve"> HYPERLINK \l "_Toc208397130" </w:instrText>
          </w:r>
          <w:r>
            <w:rPr>
              <w:b w:val="0"/>
              <w:bCs w:val="0"/>
            </w:rPr>
            <w:fldChar w:fldCharType="separate"/>
          </w:r>
          <w:r>
            <w:rPr>
              <w:rStyle w:val="13"/>
              <w:rFonts w:asciiTheme="majorBidi" w:hAnsiTheme="majorBidi" w:cstheme="majorBidi"/>
              <w:b w:val="0"/>
              <w:bCs w:val="0"/>
              <w:caps/>
              <w:sz w:val="28"/>
              <w:szCs w:val="28"/>
              <w:lang w:val="ru-RU"/>
            </w:rPr>
            <w:t>Інструменти формування політики РФ щодо країн Балтії</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_Toc208397130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29</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2F6942C6">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"_Toc208397131" </w:instrText>
          </w:r>
          <w:r>
            <w:rPr>
              <w:b w:val="0"/>
              <w:bCs w:val="0"/>
            </w:rPr>
            <w:fldChar w:fldCharType="separate"/>
          </w:r>
          <w:r>
            <w:rPr>
              <w:rStyle w:val="13"/>
              <w:rFonts w:asciiTheme="majorBidi" w:hAnsiTheme="majorBidi" w:cstheme="majorBidi"/>
              <w:b w:val="0"/>
              <w:bCs w:val="0"/>
              <w:sz w:val="28"/>
              <w:szCs w:val="28"/>
              <w:lang w:val="ru-RU"/>
            </w:rPr>
            <w:t>2.1. Історичні та культурні наративи у політичній стратегії РФ щодо країн Балтії</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_Toc208397131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29</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743380E4">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"_Toc208397132" </w:instrText>
          </w:r>
          <w:r>
            <w:rPr>
              <w:b w:val="0"/>
              <w:bCs w:val="0"/>
            </w:rPr>
            <w:fldChar w:fldCharType="separate"/>
          </w:r>
          <w:r>
            <w:rPr>
              <w:rStyle w:val="13"/>
              <w:rFonts w:asciiTheme="majorBidi" w:hAnsiTheme="majorBidi" w:cstheme="majorBidi"/>
              <w:b w:val="0"/>
              <w:bCs w:val="0"/>
              <w:sz w:val="28"/>
              <w:szCs w:val="28"/>
              <w:lang w:val="ru-RU"/>
            </w:rPr>
            <w:t>2.2. Інформаційно-комунікативний аспект політики РФ щодо країн Балтії</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_Toc208397132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37</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76E4AF4C">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"_Toc208397133" </w:instrText>
          </w:r>
          <w:r>
            <w:rPr>
              <w:b w:val="0"/>
              <w:bCs w:val="0"/>
            </w:rPr>
            <w:fldChar w:fldCharType="separate"/>
          </w:r>
          <w:r>
            <w:rPr>
              <w:rStyle w:val="13"/>
              <w:rFonts w:asciiTheme="majorBidi" w:hAnsiTheme="majorBidi" w:cstheme="majorBidi"/>
              <w:b w:val="0"/>
              <w:bCs w:val="0"/>
              <w:sz w:val="28"/>
              <w:szCs w:val="28"/>
              <w:lang w:val="ru-RU"/>
            </w:rPr>
            <w:t>2.3. Геополітичний вимір впливу Російської Федерації на країни Балтії</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_Toc208397133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45</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3E25FC35">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"_Toc208397134" </w:instrText>
          </w:r>
          <w:r>
            <w:rPr>
              <w:b w:val="0"/>
              <w:bCs w:val="0"/>
            </w:rPr>
            <w:fldChar w:fldCharType="separate"/>
          </w:r>
          <w:r>
            <w:rPr>
              <w:rStyle w:val="13"/>
              <w:rFonts w:asciiTheme="majorBidi" w:hAnsiTheme="majorBidi" w:cstheme="majorBidi"/>
              <w:b w:val="0"/>
              <w:bCs w:val="0"/>
              <w:sz w:val="28"/>
              <w:szCs w:val="28"/>
              <w:lang w:val="uk-UA"/>
            </w:rPr>
            <w:t>Висновки до ІІ розділу</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_Toc208397134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53</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61DB8E2F">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"_Toc208397135" </w:instrText>
          </w:r>
          <w:r>
            <w:rPr>
              <w:b w:val="0"/>
              <w:bCs w:val="0"/>
            </w:rPr>
            <w:fldChar w:fldCharType="separate"/>
          </w:r>
          <w:r>
            <w:rPr>
              <w:rStyle w:val="13"/>
              <w:rFonts w:asciiTheme="majorBidi" w:hAnsiTheme="majorBidi" w:cstheme="majorBidi"/>
              <w:b w:val="0"/>
              <w:bCs w:val="0"/>
              <w:sz w:val="28"/>
              <w:szCs w:val="28"/>
              <w:lang w:val="uk-UA"/>
            </w:rPr>
            <w:t>РОЗДІЛ ІІІ.</w:t>
          </w:r>
          <w:r>
            <w:rPr>
              <w:rStyle w:val="13"/>
              <w:rFonts w:asciiTheme="majorBidi" w:hAnsiTheme="majorBidi" w:cstheme="majorBidi"/>
              <w:b w:val="0"/>
              <w:bCs w:val="0"/>
              <w:sz w:val="28"/>
              <w:szCs w:val="28"/>
              <w:lang w:val="uk-UA"/>
            </w:rPr>
            <w:fldChar w:fldCharType="end"/>
          </w:r>
          <w:r>
            <w:rPr>
              <w:rFonts w:asciiTheme="majorBidi" w:hAnsiTheme="majorBidi" w:eastAsiaTheme="minorEastAsia" w:cstheme="majorBidi"/>
              <w:b w:val="0"/>
              <w:bCs w:val="0"/>
              <w:sz w:val="28"/>
              <w:szCs w:val="28"/>
            </w:rPr>
            <w:t xml:space="preserve"> </w:t>
          </w:r>
          <w:r>
            <w:rPr>
              <w:b w:val="0"/>
              <w:bCs w:val="0"/>
            </w:rPr>
            <w:fldChar w:fldCharType="begin"/>
          </w:r>
          <w:r>
            <w:rPr>
              <w:b w:val="0"/>
              <w:bCs w:val="0"/>
            </w:rPr>
            <w:instrText xml:space="preserve"> HYPERLINK \l "_Toc208397136" </w:instrText>
          </w:r>
          <w:r>
            <w:rPr>
              <w:b w:val="0"/>
              <w:bCs w:val="0"/>
            </w:rPr>
            <w:fldChar w:fldCharType="separate"/>
          </w:r>
          <w:r>
            <w:rPr>
              <w:rStyle w:val="13"/>
              <w:rFonts w:asciiTheme="majorBidi" w:hAnsiTheme="majorBidi" w:cstheme="majorBidi"/>
              <w:b w:val="0"/>
              <w:bCs w:val="0"/>
              <w:sz w:val="28"/>
              <w:szCs w:val="28"/>
              <w:lang w:val="uk-UA"/>
            </w:rPr>
            <w:t>МЕХАНІЗМИ ВПЛИВУ РОСІЙСЬКОЇ ФЕДЕРАЦІЇ ЯК ЧИННИК ПОЛІТИЧНОЇ ДИНАМІКИ У КРАЇНАХ БАЛТІЇ 2014-202</w:t>
          </w:r>
          <w:r>
            <w:rPr>
              <w:rStyle w:val="13"/>
              <w:rFonts w:hint="default" w:asciiTheme="majorBidi" w:hAnsiTheme="majorBidi" w:cstheme="majorBidi"/>
              <w:b w:val="0"/>
              <w:bCs w:val="0"/>
              <w:sz w:val="28"/>
              <w:szCs w:val="28"/>
              <w:lang w:val="uk-UA"/>
            </w:rPr>
            <w:t>5</w:t>
          </w:r>
          <w:r>
            <w:rPr>
              <w:rStyle w:val="13"/>
              <w:rFonts w:asciiTheme="majorBidi" w:hAnsiTheme="majorBidi" w:cstheme="majorBidi"/>
              <w:b w:val="0"/>
              <w:bCs w:val="0"/>
              <w:sz w:val="28"/>
              <w:szCs w:val="28"/>
              <w:lang w:val="uk-UA"/>
            </w:rPr>
            <w:t xml:space="preserve"> РОКІВ: КЕЙС-СТАДІ ЕСТОНІЇ ТА ЛАТВІЇ</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_Toc208397136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55</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46296148">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"_Toc208397138" </w:instrText>
          </w:r>
          <w:r>
            <w:rPr>
              <w:b w:val="0"/>
              <w:bCs w:val="0"/>
            </w:rPr>
            <w:fldChar w:fldCharType="separate"/>
          </w:r>
          <w:r>
            <w:rPr>
              <w:rStyle w:val="13"/>
              <w:rFonts w:asciiTheme="majorBidi" w:hAnsiTheme="majorBidi" w:cstheme="majorBidi"/>
              <w:b w:val="0"/>
              <w:bCs w:val="0"/>
              <w:sz w:val="28"/>
              <w:szCs w:val="28"/>
              <w:lang w:val="uk-UA"/>
            </w:rPr>
            <w:t>3.1. Інструменталізація історичної пам’яті та гібридні інструменти впливу РФ на Естонію</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_Toc208397138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55</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3C85DC33">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"_Toc208397139" </w:instrText>
          </w:r>
          <w:r>
            <w:rPr>
              <w:b w:val="0"/>
              <w:bCs w:val="0"/>
            </w:rPr>
            <w:fldChar w:fldCharType="separate"/>
          </w:r>
          <w:r>
            <w:rPr>
              <w:rStyle w:val="13"/>
              <w:rFonts w:asciiTheme="majorBidi" w:hAnsiTheme="majorBidi" w:cstheme="majorBidi"/>
              <w:b w:val="0"/>
              <w:bCs w:val="0"/>
              <w:sz w:val="28"/>
              <w:szCs w:val="28"/>
              <w:lang w:val="uk-UA"/>
            </w:rPr>
            <w:t>3.2. Сек’юритизація російськомовних меншин та безпековий дискурс в Латвії</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_Toc208397139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61</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765D7095">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"_Toc208397140" </w:instrText>
          </w:r>
          <w:r>
            <w:rPr>
              <w:b w:val="0"/>
              <w:bCs w:val="0"/>
            </w:rPr>
            <w:fldChar w:fldCharType="separate"/>
          </w:r>
          <w:r>
            <w:rPr>
              <w:rStyle w:val="13"/>
              <w:rFonts w:asciiTheme="majorBidi" w:hAnsiTheme="majorBidi" w:cstheme="majorBidi"/>
              <w:b w:val="0"/>
              <w:bCs w:val="0"/>
              <w:sz w:val="28"/>
              <w:szCs w:val="28"/>
              <w:lang w:val="uk-UA"/>
            </w:rPr>
            <w:t>Висновки до ІІІ розділу</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_Toc208397140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69</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2FAACBAE">
          <w:pPr>
            <w:pStyle w:val="15"/>
            <w:tabs>
              <w:tab w:val="right" w:leader="dot" w:pos="9345"/>
            </w:tabs>
            <w:spacing w:line="276" w:lineRule="auto"/>
            <w:jc w:val="both"/>
            <w:rPr>
              <w:rFonts w:asciiTheme="majorBidi" w:hAnsiTheme="majorBidi" w:eastAsiaTheme="minorEastAsia" w:cstheme="majorBidi"/>
              <w:b w:val="0"/>
              <w:bCs w:val="0"/>
              <w:sz w:val="28"/>
              <w:szCs w:val="28"/>
            </w:rPr>
          </w:pPr>
          <w:r>
            <w:rPr>
              <w:b w:val="0"/>
              <w:bCs w:val="0"/>
            </w:rPr>
            <w:fldChar w:fldCharType="begin"/>
          </w:r>
          <w:r>
            <w:rPr>
              <w:b w:val="0"/>
              <w:bCs w:val="0"/>
            </w:rPr>
            <w:instrText xml:space="preserve"> HYPERLINK \l "_Toc208397141" </w:instrText>
          </w:r>
          <w:r>
            <w:rPr>
              <w:b w:val="0"/>
              <w:bCs w:val="0"/>
            </w:rPr>
            <w:fldChar w:fldCharType="separate"/>
          </w:r>
          <w:r>
            <w:rPr>
              <w:rStyle w:val="13"/>
              <w:rFonts w:asciiTheme="majorBidi" w:hAnsiTheme="majorBidi" w:cstheme="majorBidi"/>
              <w:b w:val="0"/>
              <w:bCs w:val="0"/>
              <w:sz w:val="28"/>
              <w:szCs w:val="28"/>
              <w:lang w:val="uk-UA"/>
            </w:rPr>
            <w:t>ВИСНОВКИ</w:t>
          </w:r>
          <w:r>
            <w:rPr>
              <w:rFonts w:asciiTheme="majorBidi" w:hAnsiTheme="majorBidi" w:cstheme="majorBidi"/>
              <w:b w:val="0"/>
              <w:bCs w:val="0"/>
              <w:sz w:val="28"/>
              <w:szCs w:val="28"/>
            </w:rPr>
            <w:tab/>
          </w:r>
          <w:r>
            <w:rPr>
              <w:rFonts w:asciiTheme="majorBidi" w:hAnsiTheme="majorBidi" w:cstheme="majorBidi"/>
              <w:b w:val="0"/>
              <w:bCs w:val="0"/>
              <w:sz w:val="28"/>
              <w:szCs w:val="28"/>
              <w:lang w:val="ru-RU"/>
            </w:rPr>
            <w:t>72</w:t>
          </w:r>
          <w:r>
            <w:rPr>
              <w:rFonts w:asciiTheme="majorBidi" w:hAnsiTheme="majorBidi" w:cstheme="majorBidi"/>
              <w:b w:val="0"/>
              <w:bCs w:val="0"/>
              <w:sz w:val="28"/>
              <w:szCs w:val="28"/>
              <w:lang w:val="ru-RU"/>
            </w:rPr>
            <w:fldChar w:fldCharType="end"/>
          </w:r>
          <w:r>
            <w:rPr>
              <w:rFonts w:asciiTheme="majorBidi" w:hAnsiTheme="majorBidi" w:eastAsiaTheme="minorEastAsia" w:cstheme="majorBidi"/>
              <w:b w:val="0"/>
              <w:bCs w:val="0"/>
              <w:sz w:val="28"/>
              <w:szCs w:val="28"/>
            </w:rPr>
            <w:t xml:space="preserve"> </w:t>
          </w:r>
        </w:p>
        <w:p w14:paraId="4654A036">
          <w:pPr>
            <w:pStyle w:val="15"/>
            <w:tabs>
              <w:tab w:val="right" w:leader="dot" w:pos="9345"/>
            </w:tabs>
            <w:spacing w:line="276" w:lineRule="auto"/>
            <w:jc w:val="both"/>
            <w:rPr>
              <w:rFonts w:asciiTheme="majorBidi" w:hAnsiTheme="majorBidi" w:eastAsiaTheme="minorEastAsia" w:cstheme="majorBidi"/>
              <w:b/>
              <w:bCs/>
              <w:sz w:val="28"/>
              <w:szCs w:val="28"/>
            </w:rPr>
          </w:pPr>
          <w:r>
            <w:rPr>
              <w:b w:val="0"/>
              <w:bCs w:val="0"/>
            </w:rPr>
            <w:fldChar w:fldCharType="begin"/>
          </w:r>
          <w:r>
            <w:rPr>
              <w:b w:val="0"/>
              <w:bCs w:val="0"/>
            </w:rPr>
            <w:instrText xml:space="preserve"> HYPERLINK \l "_Toc208397143" </w:instrText>
          </w:r>
          <w:r>
            <w:rPr>
              <w:b w:val="0"/>
              <w:bCs w:val="0"/>
            </w:rPr>
            <w:fldChar w:fldCharType="separate"/>
          </w:r>
          <w:r>
            <w:rPr>
              <w:rStyle w:val="13"/>
              <w:rFonts w:asciiTheme="majorBidi" w:hAnsiTheme="majorBidi" w:cstheme="majorBidi"/>
              <w:b w:val="0"/>
              <w:bCs w:val="0"/>
              <w:caps/>
              <w:sz w:val="28"/>
              <w:szCs w:val="28"/>
              <w:lang w:val="uk-UA"/>
            </w:rPr>
            <w:t>Список ВИКОРИСТАНИХ джерел</w:t>
          </w:r>
          <w:r>
            <w:rPr>
              <w:rFonts w:asciiTheme="majorBidi" w:hAnsiTheme="majorBidi" w:cstheme="majorBidi"/>
              <w:b w:val="0"/>
              <w:bCs w:val="0"/>
              <w:sz w:val="28"/>
              <w:szCs w:val="28"/>
            </w:rPr>
            <w:tab/>
          </w:r>
          <w:r>
            <w:rPr>
              <w:rFonts w:asciiTheme="majorBidi" w:hAnsiTheme="majorBidi" w:cstheme="majorBidi"/>
              <w:b w:val="0"/>
              <w:bCs w:val="0"/>
              <w:sz w:val="28"/>
              <w:szCs w:val="28"/>
            </w:rPr>
            <w:fldChar w:fldCharType="begin"/>
          </w:r>
          <w:r>
            <w:rPr>
              <w:rFonts w:asciiTheme="majorBidi" w:hAnsiTheme="majorBidi" w:cstheme="majorBidi"/>
              <w:b w:val="0"/>
              <w:bCs w:val="0"/>
              <w:sz w:val="28"/>
              <w:szCs w:val="28"/>
            </w:rPr>
            <w:instrText xml:space="preserve"> PAGEREF _Toc208397143 \h </w:instrText>
          </w:r>
          <w:r>
            <w:rPr>
              <w:rFonts w:asciiTheme="majorBidi" w:hAnsiTheme="majorBidi" w:cstheme="majorBidi"/>
              <w:b w:val="0"/>
              <w:bCs w:val="0"/>
              <w:sz w:val="28"/>
              <w:szCs w:val="28"/>
            </w:rPr>
            <w:fldChar w:fldCharType="separate"/>
          </w:r>
          <w:r>
            <w:rPr>
              <w:rFonts w:asciiTheme="majorBidi" w:hAnsiTheme="majorBidi" w:cstheme="majorBidi"/>
              <w:b w:val="0"/>
              <w:bCs w:val="0"/>
              <w:sz w:val="28"/>
              <w:szCs w:val="28"/>
            </w:rPr>
            <w:t>72</w:t>
          </w:r>
          <w:r>
            <w:rPr>
              <w:rFonts w:asciiTheme="majorBidi" w:hAnsiTheme="majorBidi" w:cstheme="majorBidi"/>
              <w:b w:val="0"/>
              <w:bCs w:val="0"/>
              <w:sz w:val="28"/>
              <w:szCs w:val="28"/>
            </w:rPr>
            <w:fldChar w:fldCharType="end"/>
          </w:r>
          <w:r>
            <w:rPr>
              <w:rFonts w:asciiTheme="majorBidi" w:hAnsiTheme="majorBidi" w:cstheme="majorBidi"/>
              <w:b w:val="0"/>
              <w:bCs w:val="0"/>
              <w:sz w:val="28"/>
              <w:szCs w:val="28"/>
            </w:rPr>
            <w:fldChar w:fldCharType="end"/>
          </w:r>
        </w:p>
        <w:p w14:paraId="2198DBF7">
          <w:pPr>
            <w:spacing w:after="0" w:line="276" w:lineRule="auto"/>
            <w:jc w:val="both"/>
            <w:rPr>
              <w:rFonts w:asciiTheme="majorBidi" w:hAnsiTheme="majorBidi" w:cstheme="majorBidi"/>
              <w:sz w:val="28"/>
              <w:szCs w:val="28"/>
            </w:rPr>
          </w:pPr>
          <w:r>
            <w:rPr>
              <w:rFonts w:asciiTheme="majorBidi" w:hAnsiTheme="majorBidi" w:cstheme="majorBidi"/>
              <w:sz w:val="28"/>
              <w:szCs w:val="28"/>
              <w:lang w:val="ru-RU"/>
            </w:rPr>
            <w:fldChar w:fldCharType="end"/>
          </w:r>
        </w:p>
      </w:sdtContent>
    </w:sdt>
    <w:p w14:paraId="2AF8BF3A">
      <w:pPr>
        <w:rPr>
          <w:rFonts w:ascii="Times New Roman Полужирный" w:hAnsi="Times New Roman Полужирный" w:cs="Times New Roman" w:eastAsiaTheme="majorEastAsia"/>
          <w:b/>
          <w:bCs/>
          <w:caps/>
          <w:color w:val="000000" w:themeColor="text1"/>
          <w:sz w:val="28"/>
          <w:szCs w:val="28"/>
          <w14:textFill>
            <w14:solidFill>
              <w14:schemeClr w14:val="tx1"/>
            </w14:solidFill>
          </w14:textFill>
        </w:rPr>
      </w:pPr>
      <w:r>
        <w:rPr>
          <w:rFonts w:ascii="Times New Roman Полужирный" w:hAnsi="Times New Roman Полужирный" w:cs="Times New Roman"/>
          <w:b/>
          <w:bCs/>
          <w:caps/>
          <w:color w:val="000000" w:themeColor="text1"/>
          <w:sz w:val="28"/>
          <w:szCs w:val="28"/>
          <w14:textFill>
            <w14:solidFill>
              <w14:schemeClr w14:val="tx1"/>
            </w14:solidFill>
          </w14:textFill>
        </w:rPr>
        <w:br w:type="page"/>
      </w:r>
    </w:p>
    <w:p w14:paraId="363AE770">
      <w:pPr>
        <w:pStyle w:val="2"/>
        <w:spacing w:before="0" w:after="0" w:line="360" w:lineRule="auto"/>
        <w:ind w:firstLine="720"/>
        <w:jc w:val="center"/>
        <w:rPr>
          <w:rFonts w:ascii="Times New Roman Полужирный" w:hAnsi="Times New Roman Полужирный" w:cs="Times New Roman"/>
          <w:b/>
          <w:bCs/>
          <w:caps/>
          <w:color w:val="000000" w:themeColor="text1"/>
          <w:sz w:val="28"/>
          <w:szCs w:val="28"/>
          <w:lang w:val="uk-UA"/>
          <w14:textFill>
            <w14:solidFill>
              <w14:schemeClr w14:val="tx1"/>
            </w14:solidFill>
          </w14:textFill>
        </w:rPr>
      </w:pPr>
      <w:bookmarkStart w:id="0" w:name="_Toc208397123"/>
      <w:r>
        <w:rPr>
          <w:rFonts w:ascii="Times New Roman Полужирный" w:hAnsi="Times New Roman Полужирный" w:cs="Times New Roman"/>
          <w:b/>
          <w:bCs/>
          <w:caps/>
          <w:color w:val="000000" w:themeColor="text1"/>
          <w:sz w:val="28"/>
          <w:szCs w:val="28"/>
          <w14:textFill>
            <w14:solidFill>
              <w14:schemeClr w14:val="tx1"/>
            </w14:solidFill>
          </w14:textFill>
        </w:rPr>
        <w:t>Вступ</w:t>
      </w:r>
      <w:bookmarkEnd w:id="0"/>
      <w:r>
        <w:rPr>
          <w:rFonts w:ascii="Times New Roman Полужирный" w:hAnsi="Times New Roman Полужирный" w:cs="Times New Roman"/>
          <w:b/>
          <w:bCs/>
          <w:caps/>
          <w:color w:val="000000" w:themeColor="text1"/>
          <w:sz w:val="28"/>
          <w:szCs w:val="28"/>
          <w:lang w:val="uk-UA"/>
          <w14:textFill>
            <w14:solidFill>
              <w14:schemeClr w14:val="tx1"/>
            </w14:solidFill>
          </w14:textFill>
        </w:rPr>
        <w:t xml:space="preserve"> </w:t>
      </w:r>
    </w:p>
    <w:p w14:paraId="4037F6C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4AB70BB6">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 xml:space="preserve">Темою магістерської роботи є політика РФ щодо країн Балтії (2014-2025). </w:t>
      </w:r>
    </w:p>
    <w:p w14:paraId="349175F6">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Наукова актуальність роботи зумовлена потребою глибшого теоретичного осмислення специфіки, причин та наслідків політики Російської Федерації щодо країн Балтії в контексті трансформації пострадянського простору. Після 2014 року, а особливо з початком повномасштабної агресії проти України у 2022 році, Балтійський регіон посів одне з центральних місць у системі європейської безпеки, поєднуючи в собі нерозв’язані історичні конфлікти пам’яті, практики гібридного впливу та конкуренцію за інтерпретацію політичної ідентичності. За цих умов постає необхідність комплексного аналізу дискурсивних і матеріальних вимірів політики РФ щодо країн Балтії, які дотепер вивчалися переважно фрагментарно, зокрема в аспекті еволюції російських наративів після вступу Латвії, Литви та Естонії до ЄС і НАТО. Важливою прогалиною залишається обмежене застосування постструктуралістських підходів до аналізу російських дискурсів щодо регіону, що створює можливості для оновлення теоретико-методологічної рамки та поглиблення розуміння механізмів і стратегій зовнішньої політики РФ стосовно прикордонних держав.</w:t>
      </w:r>
    </w:p>
    <w:p w14:paraId="26DFB20B">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Практична актуальність дослідження обумовлена необхідністю стратегічної оцінки потенційних загроз з боку РФ та формування дієвих механізмів реагування на виклики національній безпеці держав Балтійського регіону. Особливо це стосується Латвії та Естонії, які, з огляду на їхнє географічне розташування, демографічні особливості та найбільшу протяжність спільних сухопутних кордонів з РФ, залишаються одними з найбільш військово-стратегічно вразливих щодо можливого розширення російської експансії після України та подальшої ескалації військової агресії на пострадянському просторі. Членство цих країн у ЄС та НАТО робить їх не лише об’єктами тиску, а й потенційним полігоном для випробування РФ “червоних ліній” обох організацій та ефективності механізмів колективної безпеки через гібридні атаки, інформаційно-психологічні операції та інші інструменти неконвенційного впливу. У цьому контексті результати дослідження мають практичну цінність як для самих балтійських держав, так і для України, пропонуючи інструменти для удосконалення політичних стратегій, зовнішньополітичних підходів та методів протидії гібридним загрозам у регіональному вимірі з метою забезпечення стабільності й безпеки.</w:t>
      </w:r>
    </w:p>
    <w:p w14:paraId="4C98759E">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i/>
          <w:iCs/>
          <w:color w:val="000000" w:themeColor="text1"/>
          <w:sz w:val="28"/>
          <w:szCs w:val="28"/>
          <w:lang w:val="uk-UA"/>
          <w14:textFill>
            <w14:solidFill>
              <w14:schemeClr w14:val="tx1"/>
            </w14:solidFill>
          </w14:textFill>
        </w:rPr>
        <w:t>Дане дослідження є емпіричним</w:t>
      </w:r>
      <w:r>
        <w:rPr>
          <w:rFonts w:hint="default" w:ascii="Times New Roman" w:hAnsi="Times New Roman"/>
          <w:color w:val="000000" w:themeColor="text1"/>
          <w:sz w:val="28"/>
          <w:szCs w:val="28"/>
          <w:lang w:val="uk-UA"/>
          <w14:textFill>
            <w14:solidFill>
              <w14:schemeClr w14:val="tx1"/>
            </w14:solidFill>
          </w14:textFill>
        </w:rPr>
        <w:t xml:space="preserve"> і базується на аналізі конкретних даних, що відображають реальні події, політичні рішення та дії, спрямовані на вплив Росії на країни Балтії. Основною залежною змінною в цьому дослідженні є ситуація в країнах Балтії, зокрема їхня регіональна безпека, політична стабільність та соціальна згуртованість. Незалежною змінною виступає політика Російської Федерації, включаючи використання економічного та політичного тиску, інформаційного впливу, а також культурних та історичних інструментів для реалізації своїх зовнішньополітичних інтересів. Дослідження є змішаним, оскільки окремі політичні агенти, такі як Володимир Путін та інші ключові представники російської політичної еліти, є важливими суб’єктами, які формують та реалізують цю політику, мають індивідуальний характер, але їх дії є структурними, оскільки вони відображають системну державну стратегію РФ щодо країн Балтії.</w:t>
      </w:r>
    </w:p>
    <w:p w14:paraId="08AF116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i/>
          <w:iCs/>
          <w:color w:val="000000" w:themeColor="text1"/>
          <w:sz w:val="28"/>
          <w:szCs w:val="28"/>
          <w:lang w:val="uk-UA"/>
          <w14:textFill>
            <w14:solidFill>
              <w14:schemeClr w14:val="tx1"/>
            </w14:solidFill>
          </w14:textFill>
        </w:rPr>
        <w:t>Дослідницьке питання</w:t>
      </w:r>
      <w:r>
        <w:rPr>
          <w:rFonts w:hint="default" w:ascii="Times New Roman" w:hAnsi="Times New Roman" w:cs="Times New Roman"/>
          <w:i/>
          <w:iCs/>
          <w:color w:val="000000" w:themeColor="text1"/>
          <w:sz w:val="28"/>
          <w:szCs w:val="28"/>
          <w:lang w:val="uk-UA"/>
          <w14:textFill>
            <w14:solidFill>
              <w14:schemeClr w14:val="tx1"/>
            </w14:solidFill>
          </w14:textFill>
        </w:rPr>
        <w:t xml:space="preserve"> роботи формулюється наступним чином</w:t>
      </w:r>
      <w:r>
        <w:rPr>
          <w:rFonts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s="Times New Roman"/>
          <w:color w:val="000000" w:themeColor="text1"/>
          <w:sz w:val="28"/>
          <w:szCs w:val="28"/>
          <w:lang w:val="uk-UA"/>
          <w14:textFill>
            <w14:solidFill>
              <w14:schemeClr w14:val="tx1"/>
            </w14:solidFill>
          </w14:textFill>
        </w:rPr>
        <w:t>“Я</w:t>
      </w:r>
      <w:r>
        <w:rPr>
          <w:rFonts w:ascii="Times New Roman" w:hAnsi="Times New Roman" w:cs="Times New Roman"/>
          <w:color w:val="000000" w:themeColor="text1"/>
          <w:sz w:val="28"/>
          <w:szCs w:val="28"/>
          <w:lang w:val="uk-UA"/>
          <w14:textFill>
            <w14:solidFill>
              <w14:schemeClr w14:val="tx1"/>
            </w14:solidFill>
          </w14:textFill>
        </w:rPr>
        <w:t>к дискурсивні практики та гібридні інструменти політики Російської Федерації впливають на політичну динаміку країн Балтії в період 2014–202</w:t>
      </w:r>
      <w:r>
        <w:rPr>
          <w:rFonts w:hint="default" w:ascii="Times New Roman" w:hAnsi="Times New Roman" w:cs="Times New Roman"/>
          <w:color w:val="000000" w:themeColor="text1"/>
          <w:sz w:val="28"/>
          <w:szCs w:val="28"/>
          <w:lang w:val="uk-UA"/>
          <w14:textFill>
            <w14:solidFill>
              <w14:schemeClr w14:val="tx1"/>
            </w14:solidFill>
          </w14:textFill>
        </w:rPr>
        <w:t>5</w:t>
      </w:r>
      <w:r>
        <w:rPr>
          <w:rFonts w:ascii="Times New Roman" w:hAnsi="Times New Roman" w:cs="Times New Roman"/>
          <w:color w:val="000000" w:themeColor="text1"/>
          <w:sz w:val="28"/>
          <w:szCs w:val="28"/>
          <w:lang w:val="uk-UA"/>
          <w14:textFill>
            <w14:solidFill>
              <w14:schemeClr w14:val="tx1"/>
            </w14:solidFill>
          </w14:textFill>
        </w:rPr>
        <w:t xml:space="preserve"> років?</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Даного роду питання виникло з необхідності зрозуміти, як РФ</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використовує не лише військову чи економічну силу, а й символічні ресурси для конструювання регіональної реальності, що впливає на стабільність Естонії та Латвії.</w:t>
      </w:r>
    </w:p>
    <w:p w14:paraId="4C4CC677">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i/>
          <w:iCs/>
          <w:color w:val="000000" w:themeColor="text1"/>
          <w:sz w:val="28"/>
          <w:szCs w:val="28"/>
          <w:lang w:val="uk-UA"/>
          <w14:textFill>
            <w14:solidFill>
              <w14:schemeClr w14:val="tx1"/>
            </w14:solidFill>
          </w14:textFill>
        </w:rPr>
        <w:t>Метою дослідження</w:t>
      </w:r>
      <w:r>
        <w:rPr>
          <w:rFonts w:ascii="Times New Roman" w:hAnsi="Times New Roman" w:cs="Times New Roman"/>
          <w:color w:val="000000" w:themeColor="text1"/>
          <w:sz w:val="28"/>
          <w:szCs w:val="28"/>
          <w:lang w:val="uk-UA"/>
          <w14:textFill>
            <w14:solidFill>
              <w14:schemeClr w14:val="tx1"/>
            </w14:solidFill>
          </w14:textFill>
        </w:rPr>
        <w:t xml:space="preserve"> є розкриття механізмів формування політики РФ щодо країн Балтії через аналіз дискурсивних практик і гібридних інструментів у контексті історичних, інформаційних та геополітичних вимірів. </w:t>
      </w:r>
    </w:p>
    <w:p w14:paraId="7039BBED">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Для досягнення цієї мети поставлені </w:t>
      </w:r>
      <w:r>
        <w:rPr>
          <w:rFonts w:ascii="Times New Roman" w:hAnsi="Times New Roman" w:cs="Times New Roman"/>
          <w:i/>
          <w:iCs/>
          <w:color w:val="000000" w:themeColor="text1"/>
          <w:sz w:val="28"/>
          <w:szCs w:val="28"/>
          <w:lang w:val="uk-UA"/>
          <w14:textFill>
            <w14:solidFill>
              <w14:schemeClr w14:val="tx1"/>
            </w14:solidFill>
          </w14:textFill>
        </w:rPr>
        <w:t>завдання</w:t>
      </w:r>
      <w:r>
        <w:rPr>
          <w:rFonts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olor w:val="000000" w:themeColor="text1"/>
          <w:sz w:val="28"/>
          <w:szCs w:val="28"/>
          <w:lang w:val="uk-UA"/>
          <w14:textFill>
            <w14:solidFill>
              <w14:schemeClr w14:val="tx1"/>
            </w14:solidFill>
          </w14:textFill>
        </w:rPr>
        <w:t xml:space="preserve">проаналізувати поструктуралістський підхід в контексті політики РФ щодо країн Балтії, </w:t>
      </w:r>
      <w:r>
        <w:rPr>
          <w:rFonts w:ascii="Times New Roman" w:hAnsi="Times New Roman" w:cs="Times New Roman"/>
          <w:color w:val="000000" w:themeColor="text1"/>
          <w:sz w:val="28"/>
          <w:szCs w:val="28"/>
          <w:lang w:val="uk-UA"/>
          <w14:textFill>
            <w14:solidFill>
              <w14:schemeClr w14:val="tx1"/>
            </w14:solidFill>
          </w14:textFill>
        </w:rPr>
        <w:t>дослідити</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історичні та культурні наративи у політичній стратегії РФ щодо країн Балтії;</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оцінити інформаційно-комунікативний аспект політики РФ щодо країн Балтії;</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розкрити геополітичний вимір впливу Російської Федерації на країни Балтії;</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описати інструменталізацію історичної пам’яті та гібридні інструменти впливу РФ на Естонію;</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проаналізувати сек’юритизацію російськомовних меншин та безпековий дискурс в Латвії.</w:t>
      </w:r>
    </w:p>
    <w:p w14:paraId="76BE59A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i/>
          <w:iCs/>
          <w:color w:val="000000" w:themeColor="text1"/>
          <w:sz w:val="28"/>
          <w:szCs w:val="28"/>
          <w:lang w:val="uk-UA"/>
          <w14:textFill>
            <w14:solidFill>
              <w14:schemeClr w14:val="tx1"/>
            </w14:solidFill>
          </w14:textFill>
        </w:rPr>
        <w:t>Об’єктом дослідження</w:t>
      </w:r>
      <w:r>
        <w:rPr>
          <w:rFonts w:ascii="Times New Roman" w:hAnsi="Times New Roman" w:cs="Times New Roman"/>
          <w:color w:val="000000" w:themeColor="text1"/>
          <w:sz w:val="28"/>
          <w:szCs w:val="28"/>
          <w:lang w:val="uk-UA"/>
          <w14:textFill>
            <w14:solidFill>
              <w14:schemeClr w14:val="tx1"/>
            </w14:solidFill>
          </w14:textFill>
        </w:rPr>
        <w:t xml:space="preserve"> є регіональна система країн Балтії.</w:t>
      </w:r>
    </w:p>
    <w:p w14:paraId="3C94DA4F">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i/>
          <w:iCs/>
          <w:color w:val="000000" w:themeColor="text1"/>
          <w:sz w:val="28"/>
          <w:szCs w:val="28"/>
          <w:lang w:val="uk-UA"/>
          <w14:textFill>
            <w14:solidFill>
              <w14:schemeClr w14:val="tx1"/>
            </w14:solidFill>
          </w14:textFill>
        </w:rPr>
        <w:t>Предметом</w:t>
      </w:r>
      <w:r>
        <w:rPr>
          <w:rFonts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i/>
          <w:iCs/>
          <w:color w:val="000000" w:themeColor="text1"/>
          <w:sz w:val="28"/>
          <w:szCs w:val="28"/>
          <w:lang w:val="uk-UA"/>
          <w14:textFill>
            <w14:solidFill>
              <w14:schemeClr w14:val="tx1"/>
            </w14:solidFill>
          </w14:textFill>
        </w:rPr>
        <w:t>дослідження</w:t>
      </w:r>
      <w:r>
        <w:rPr>
          <w:rFonts w:ascii="Times New Roman" w:hAnsi="Times New Roman" w:cs="Times New Roman"/>
          <w:color w:val="000000" w:themeColor="text1"/>
          <w:sz w:val="28"/>
          <w:szCs w:val="28"/>
          <w:lang w:val="uk-UA"/>
          <w14:textFill>
            <w14:solidFill>
              <w14:schemeClr w14:val="tx1"/>
            </w14:solidFill>
          </w14:textFill>
        </w:rPr>
        <w:t xml:space="preserve"> є політика РФ щодо країн Балтії.</w:t>
      </w:r>
    </w:p>
    <w:p w14:paraId="38E4A050">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Перша гіпотеза дослідження полягає в тому, що інструменти, які використовує Російська Федерація у формуванні політики та впливу на країни Балтії, є ефективним механізмом, що здатен істотно впливати на суспільно-політичні настрої в регіоні.</w:t>
      </w:r>
    </w:p>
    <w:p w14:paraId="4CE4D600">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Друга гіпотеза полягає в тому, що, попри активне застосування Росією гібридних механізмів у політиці щодо країн Балтії, їхній реальний вплив на політичні процеси та суспільну думку є обмеженим.</w:t>
      </w:r>
    </w:p>
    <w:p w14:paraId="189C581A">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i/>
          <w:iCs/>
          <w:color w:val="000000" w:themeColor="text1"/>
          <w:sz w:val="28"/>
          <w:szCs w:val="28"/>
          <w:lang w:val="uk-UA"/>
          <w14:textFill>
            <w14:solidFill>
              <w14:schemeClr w14:val="tx1"/>
            </w14:solidFill>
          </w14:textFill>
        </w:rPr>
        <w:t>Хронологічні рамки дослідження</w:t>
      </w:r>
      <w:r>
        <w:rPr>
          <w:rFonts w:ascii="Times New Roman" w:hAnsi="Times New Roman" w:cs="Times New Roman"/>
          <w:color w:val="000000" w:themeColor="text1"/>
          <w:sz w:val="28"/>
          <w:szCs w:val="28"/>
          <w:lang w:val="uk-UA"/>
          <w14:textFill>
            <w14:solidFill>
              <w14:schemeClr w14:val="tx1"/>
            </w14:solidFill>
          </w14:textFill>
        </w:rPr>
        <w:t xml:space="preserve"> охоплюють період з 2014 року до </w:t>
      </w:r>
      <w:r>
        <w:rPr>
          <w:rFonts w:hint="default" w:ascii="Times New Roman" w:hAnsi="Times New Roman" w:cs="Times New Roman"/>
          <w:color w:val="000000" w:themeColor="text1"/>
          <w:sz w:val="28"/>
          <w:szCs w:val="28"/>
          <w:lang w:val="uk-UA"/>
          <w14:textFill>
            <w14:solidFill>
              <w14:schemeClr w14:val="tx1"/>
            </w14:solidFill>
          </w14:textFill>
        </w:rPr>
        <w:t>2025 року</w:t>
      </w:r>
      <w:r>
        <w:rPr>
          <w:rFonts w:ascii="Times New Roman" w:hAnsi="Times New Roman" w:cs="Times New Roman"/>
          <w:color w:val="000000" w:themeColor="text1"/>
          <w:sz w:val="28"/>
          <w:szCs w:val="28"/>
          <w:lang w:val="uk-UA"/>
          <w14:textFill>
            <w14:solidFill>
              <w14:schemeClr w14:val="tx1"/>
            </w14:solidFill>
          </w14:textFill>
        </w:rPr>
        <w:t>. Початкова дата зумовлена окупацією</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 xml:space="preserve">Криму, яка позначила новий етап у російській зовнішній політиці, активізувавши гібридні стратегії в Балтії. Кінцева дата відображає початок і процес повномасштабного вторгнення в Україну, що радикально змінило регіональну безпеку. </w:t>
      </w:r>
    </w:p>
    <w:p w14:paraId="71D71785">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 xml:space="preserve">Методологічна база дослідження поєднує комплекс </w:t>
      </w:r>
      <w:r>
        <w:rPr>
          <w:rFonts w:hint="default" w:ascii="Times New Roman" w:hAnsi="Times New Roman"/>
          <w:i w:val="0"/>
          <w:iCs w:val="0"/>
          <w:color w:val="000000" w:themeColor="text1"/>
          <w:sz w:val="28"/>
          <w:szCs w:val="28"/>
          <w:lang/>
          <w14:textFill>
            <w14:solidFill>
              <w14:schemeClr w14:val="tx1"/>
            </w14:solidFill>
          </w14:textFill>
        </w:rPr>
        <w:t>як</w:t>
      </w:r>
      <w:r>
        <w:rPr>
          <w:rFonts w:hint="default" w:ascii="Times New Roman" w:hAnsi="Times New Roman"/>
          <w:i w:val="0"/>
          <w:iCs w:val="0"/>
          <w:color w:val="000000" w:themeColor="text1"/>
          <w:sz w:val="28"/>
          <w:szCs w:val="28"/>
          <w:lang w:val="uk-UA"/>
          <w14:textFill>
            <w14:solidFill>
              <w14:schemeClr w14:val="tx1"/>
            </w14:solidFill>
          </w14:textFill>
        </w:rPr>
        <w:t>існих методів і методів аналізу, що дають змогу простежити, як Російська Федерація вибудовує політику впливу на країни Балтії та які механізми цього впливу виявляються визначальними для формування внутрішньополітичної та безпекової динаміки Естонії й Латвії. Основним методом виступає метод кейс-стаді, який забезпечує поглиблене вивчення країни як окремого випадку та дозволяє виявити відмінності й типологічні риси російської зовнішньої політики у близьких за контекстом державах.</w:t>
      </w:r>
    </w:p>
    <w:p w14:paraId="407AC11C">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На загальнонауковому рівні застосовуються аналіз і синтез, індукція та дедукція, що забезпечують перехід від конкретних подій, політичних рішень і окремих інформаційних кампаній до узагальнених висновків щодо логіки поведінки Росії в Балтійському регіоні. Додатково використовуються історичний метод (для реконструкції еволюції російської політики щодо Балтії від початку 2010-х років), соціологічний (для інтерпретації даних опитувань у питаннях ідентичності та безпеки), статистичний (для аналізу кількісних показників, пов’язаних із безпековими інцидентами, енергетичною залежністю чи динамікою громадської думки), а також нормативно-ціннісний аналіз, що дозволяє простежити, як ідеологічні уявлення Росії корелюють із реакціями різних соціальних груп у країнах Балтії.</w:t>
      </w:r>
    </w:p>
    <w:p w14:paraId="32F20AB7">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У першому розділі дослідження використано аналіз наукової літератури та вторинних джерел, що дало змогу сформувати постструктуралістські рамки вивчення політики впливу та визначити ключові аналітичні категорії для подальшої інтерпретації дій Російської Федерації. Додатково використано інтернет-дослідження для систематизації актуальних академічних, експертних та аналітичних матеріалів.</w:t>
      </w:r>
    </w:p>
    <w:p w14:paraId="45BF3F5A">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У другому розділі застосовано аналіз вторинних джерел, офіційних документів, відкритих даних, медійних матеріалів і міжнародних звітів для реконструкції інструментів російської політики у сферах інформації, безпеки, енергетики, історичної пам’яті та гуманітарного впливу. Ці матеріали дозволяють вибудувати комплексний контекст, у межах якого функціонують російські інструменти впливу.</w:t>
      </w:r>
    </w:p>
    <w:p w14:paraId="034E9E05">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 xml:space="preserve">У третьому розділі </w:t>
      </w:r>
      <w:r>
        <w:rPr>
          <w:rFonts w:hint="default" w:ascii="Times New Roman" w:hAnsi="Times New Roman"/>
          <w:i w:val="0"/>
          <w:iCs w:val="0"/>
          <w:color w:val="000000" w:themeColor="text1"/>
          <w:sz w:val="28"/>
          <w:szCs w:val="28"/>
          <w:lang/>
          <w14:textFill>
            <w14:solidFill>
              <w14:schemeClr w14:val="tx1"/>
            </w14:solidFill>
          </w14:textFill>
        </w:rPr>
        <w:t xml:space="preserve">головним </w:t>
      </w:r>
      <w:r>
        <w:rPr>
          <w:rFonts w:hint="default" w:ascii="Times New Roman" w:hAnsi="Times New Roman"/>
          <w:i w:val="0"/>
          <w:iCs w:val="0"/>
          <w:color w:val="000000" w:themeColor="text1"/>
          <w:sz w:val="28"/>
          <w:szCs w:val="28"/>
          <w:lang w:val="uk-UA"/>
          <w14:textFill>
            <w14:solidFill>
              <w14:schemeClr w14:val="tx1"/>
            </w14:solidFill>
          </w14:textFill>
        </w:rPr>
        <w:t>є метод кейс-стаді, доповнений дискурс-аналізом. Така комбінація дозволяє дослідити, як Естонія та Латвія реагують на російські дії, які дискурси (державні, медійні, безпекові) формуються у відповідь, яким чином відбувається сек’юритизація російського фактору та які результати мають російські спроби впливу у кожній окремій країні.</w:t>
      </w:r>
    </w:p>
    <w:p w14:paraId="5D7BEDEF">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Збір даних здійснюється через аналіз наукових праць, офіційних документів, матеріалів урядових установ, аналітичних центрів, а також інтернет-дослідження, що забезпечує доступ до медійних матеріалів, експертних звітів, даних міжнародних організацій та статистичних показників. Додатково враховуються результати соціологічних опитувань, що відображають ставлення населення до питань безпеки, ідентичності, історичної пам’яті та оцінки російської політики.</w:t>
      </w:r>
    </w:p>
    <w:p w14:paraId="04E4F7EA">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Безпосередній аналіз текстових матеріалів здійснюється за допомогою дискурс-аналізу, який дає змогу виявити способи конструювання загроз, легітимації російської політики, формування образу «іншого», а також механізми, за допомогою яких російська риторика намагається впливати на внутрішньополітичні процеси в країнах Балтії.</w:t>
      </w:r>
    </w:p>
    <w:p w14:paraId="59BAEEEC">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Поєднання методу кейс-стаді, дискурс-аналізу, загальнонаукових методів та різних груп емпіричних джерел забезпечує тріангуляцію дослідження. Це дозволяє зіставляти якісні інтерпретації з кількісними даними, порівнювати результати між двома кейсами та уникати однобічності у висновках щодо механізмів і впливу політики Російської Федерації на Естонію та Латвію у 2014–2025 роках.</w:t>
      </w:r>
    </w:p>
    <w:p w14:paraId="05817EA2">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ascii="Times New Roman" w:hAnsi="Times New Roman" w:cs="Times New Roman"/>
          <w:i/>
          <w:iCs/>
          <w:color w:val="000000" w:themeColor="text1"/>
          <w:sz w:val="28"/>
          <w:szCs w:val="28"/>
          <w:lang w:val="uk-UA"/>
          <w14:textFill>
            <w14:solidFill>
              <w14:schemeClr w14:val="tx1"/>
            </w14:solidFill>
          </w14:textFill>
        </w:rPr>
        <w:t xml:space="preserve">Наукова новизна </w:t>
      </w:r>
      <w:r>
        <w:rPr>
          <w:rFonts w:hint="default" w:ascii="Times New Roman" w:hAnsi="Times New Roman"/>
          <w:color w:val="000000" w:themeColor="text1"/>
          <w:sz w:val="28"/>
          <w:szCs w:val="28"/>
          <w:lang w:val="uk-UA"/>
          <w14:textFill>
            <w14:solidFill>
              <w14:schemeClr w14:val="tx1"/>
            </w14:solidFill>
          </w14:textFill>
        </w:rPr>
        <w:t>дослідження полягає в тому, що вперше політика Російської Федерації щодо Естонії та Латвії у 2014–2025 роках розглядається як єдине, але внутрішньо диференційоване поле дії гібридних та дискурсивних інструментів у постструктуралістській рамці. Подальшого розвитку набули уявлення про взаємозв’язок політики пам’яті, сек’юритизації «російського фактора» та формування національних наративів у країнах Балтії з урахуванням відмінностей їхніх політичних та соціальних контекстів. Уточнено ефективність і межі російських механізмів впливу, показано їхню трансформацію після 2022 року та здатність спричиняти протилежні до очікуваних РФ результати - зміцнення євроатлантичної інтеграції, деколонізацію простору пам’яті та посилення безпекових підходів в Естонії та Латвії. Таким чином, дослідження робить внесок у наукове розуміння того, як саме дискурсивні та гібридні практики Росії формують і трансформують політичні реакції держав Балтії, а також які структурні чинники обмежують або нівелюють вплив російської стратегії у довгостроковій перспективі.</w:t>
      </w:r>
    </w:p>
    <w:p w14:paraId="26AFCD74">
      <w:pPr>
        <w:spacing w:after="0" w:line="360" w:lineRule="auto"/>
        <w:ind w:firstLine="720"/>
        <w:jc w:val="both"/>
        <w:rPr>
          <w:rFonts w:hint="default" w:ascii="Times New Roman" w:hAnsi="Times New Roman"/>
          <w:i w:val="0"/>
          <w:iCs w:val="0"/>
          <w:color w:val="000000" w:themeColor="text1"/>
          <w:sz w:val="28"/>
          <w:szCs w:val="28"/>
          <w:highlight w:val="none"/>
          <w:shd w:val="clear" w:color="auto" w:fill="auto"/>
          <w:lang w:val="uk-UA"/>
          <w14:textFill>
            <w14:solidFill>
              <w14:schemeClr w14:val="tx1"/>
            </w14:solidFill>
          </w14:textFill>
        </w:rPr>
      </w:pPr>
      <w:r>
        <w:rPr>
          <w:rFonts w:hint="default" w:ascii="Times New Roman" w:hAnsi="Times New Roman"/>
          <w:i/>
          <w:iCs/>
          <w:color w:val="000000" w:themeColor="text1"/>
          <w:sz w:val="28"/>
          <w:szCs w:val="28"/>
          <w:highlight w:val="none"/>
          <w:shd w:val="clear" w:color="auto" w:fill="auto"/>
          <w:lang w:val="uk-UA"/>
          <w14:textFill>
            <w14:solidFill>
              <w14:schemeClr w14:val="tx1"/>
            </w14:solidFill>
          </w14:textFill>
        </w:rPr>
        <w:t>Апробація</w:t>
      </w:r>
      <w:r>
        <w:rPr>
          <w:rFonts w:hint="default" w:ascii="Times New Roman" w:hAnsi="Times New Roman"/>
          <w:i w:val="0"/>
          <w:iCs w:val="0"/>
          <w:color w:val="000000" w:themeColor="text1"/>
          <w:sz w:val="28"/>
          <w:szCs w:val="28"/>
          <w:highlight w:val="none"/>
          <w:shd w:val="clear" w:color="auto" w:fill="auto"/>
          <w:lang w:val="uk-UA"/>
          <w14:textFill>
            <w14:solidFill>
              <w14:schemeClr w14:val="tx1"/>
            </w14:solidFill>
          </w14:textFill>
        </w:rPr>
        <w:t xml:space="preserve"> основних результатів дослідження здійснена у формі виступу на VII науковій конференції «Політичні проблеми міжнародних систем та глобального розвитку» та тез (Тези наукової конференції для викладачів, здобувачів PhD та магістрантів, 28 травня 2025 р., ОНУ імені І. І. Мечникова. – Одеса: Астропринт, 2025. – С. 13-15).</w:t>
      </w:r>
    </w:p>
    <w:p w14:paraId="6674CFC3">
      <w:pPr>
        <w:spacing w:after="0" w:line="360" w:lineRule="auto"/>
        <w:ind w:firstLine="720"/>
        <w:jc w:val="both"/>
        <w:rPr>
          <w:rFonts w:hint="default" w:ascii="Times New Roman" w:hAnsi="Times New Roman"/>
          <w:i w:val="0"/>
          <w:iCs w:val="0"/>
          <w:color w:val="000000" w:themeColor="text1"/>
          <w:sz w:val="28"/>
          <w:szCs w:val="28"/>
          <w:lang w:val="uk-UA"/>
          <w14:textFill>
            <w14:solidFill>
              <w14:schemeClr w14:val="tx1"/>
            </w14:solidFill>
          </w14:textFill>
        </w:rPr>
      </w:pPr>
      <w:r>
        <w:rPr>
          <w:rFonts w:hint="default" w:ascii="Times New Roman" w:hAnsi="Times New Roman"/>
          <w:i w:val="0"/>
          <w:iCs w:val="0"/>
          <w:color w:val="000000" w:themeColor="text1"/>
          <w:sz w:val="28"/>
          <w:szCs w:val="28"/>
          <w:lang w:val="uk-UA"/>
          <w14:textFill>
            <w14:solidFill>
              <w14:schemeClr w14:val="tx1"/>
            </w14:solidFill>
          </w14:textFill>
        </w:rPr>
        <w:t>Перший розділ присвячено теоретико-методологічним засадам дослідження політики Російської Федерації щодо країн Балтії, зокрема аналізу постструктуралістських підходів, концептів безпеки та гібридної війни, а також специфіки використання історичної пам’яті й пропаганди як інструментів зовнішньополітичного впливу. Другий розділ зосереджено на аналізі основних напрямів і механізмів політики РФ щодо Балтії, включно з інструменталізацією радянського минулого, інформаційно-комунікативними практиками, енергетичними та військово-безпековими важелями, що дозволяє виокремити ключові дискурси та гібридні інструменти впливу. У третьому розділі розглянуто політику Російської Федерації щодо країн Балтії на основі кейс-стаді Естонії та Латвії, де проаналізовано специфіку російських наративів, реакцію на них з боку національних еліт і суспільств, а також наслідки для безпекової архітектури та політичної динаміки регіону.</w:t>
      </w:r>
    </w:p>
    <w:p w14:paraId="47DC672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Магістерська робота складається зі вступу, трьох основних розділів, висновків і списку використаних джерел. Загальний обсяг роботи становить </w:t>
      </w:r>
      <w:r>
        <w:rPr>
          <w:rFonts w:hint="default" w:ascii="Times New Roman" w:hAnsi="Times New Roman" w:cs="Times New Roman"/>
          <w:color w:val="000000" w:themeColor="text1"/>
          <w:sz w:val="28"/>
          <w:szCs w:val="28"/>
          <w:lang w:val="uk-UA"/>
          <w14:textFill>
            <w14:solidFill>
              <w14:schemeClr w14:val="tx1"/>
            </w14:solidFill>
          </w14:textFill>
        </w:rPr>
        <w:t>82</w:t>
      </w:r>
      <w:r>
        <w:rPr>
          <w:rFonts w:ascii="Times New Roman" w:hAnsi="Times New Roman" w:cs="Times New Roman"/>
          <w:color w:val="000000" w:themeColor="text1"/>
          <w:sz w:val="28"/>
          <w:szCs w:val="28"/>
          <w:lang w:val="uk-UA"/>
          <w14:textFill>
            <w14:solidFill>
              <w14:schemeClr w14:val="tx1"/>
            </w14:solidFill>
          </w14:textFill>
        </w:rPr>
        <w:t xml:space="preserve"> сторінок без урахування списку джерел. </w:t>
      </w:r>
    </w:p>
    <w:p w14:paraId="38BECB4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15E9B44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4BC8256E">
      <w:pPr>
        <w:rPr>
          <w:rFonts w:ascii="Times New Roman" w:hAnsi="Times New Roman" w:cs="Times New Roman" w:eastAsiaTheme="majorEastAsia"/>
          <w:color w:val="000000" w:themeColor="text1"/>
          <w:sz w:val="28"/>
          <w:szCs w:val="28"/>
          <w:lang w:val="ru-RU"/>
          <w14:textFill>
            <w14:solidFill>
              <w14:schemeClr w14:val="tx1"/>
            </w14:solidFill>
          </w14:textFill>
        </w:rPr>
      </w:pPr>
      <w:r>
        <w:rPr>
          <w:rFonts w:ascii="Times New Roman" w:hAnsi="Times New Roman" w:cs="Times New Roman"/>
          <w:color w:val="000000" w:themeColor="text1"/>
          <w:sz w:val="28"/>
          <w:szCs w:val="28"/>
          <w:lang w:val="ru-RU"/>
          <w14:textFill>
            <w14:solidFill>
              <w14:schemeClr w14:val="tx1"/>
            </w14:solidFill>
          </w14:textFill>
        </w:rPr>
        <w:br w:type="page"/>
      </w:r>
    </w:p>
    <w:p w14:paraId="782F91B6">
      <w:pPr>
        <w:pStyle w:val="2"/>
        <w:spacing w:before="0" w:after="0" w:line="360" w:lineRule="auto"/>
        <w:jc w:val="center"/>
        <w:rPr>
          <w:rFonts w:cs="Times New Roman" w:asciiTheme="minorHAnsi" w:hAnsiTheme="minorHAnsi"/>
          <w:b/>
          <w:bCs/>
          <w:caps/>
          <w:color w:val="000000" w:themeColor="text1"/>
          <w:sz w:val="28"/>
          <w:szCs w:val="28"/>
          <w:lang w:val="uk-UA"/>
          <w14:textFill>
            <w14:solidFill>
              <w14:schemeClr w14:val="tx1"/>
            </w14:solidFill>
          </w14:textFill>
        </w:rPr>
      </w:pPr>
      <w:bookmarkStart w:id="1" w:name="_Toc208397124"/>
      <w:r>
        <w:rPr>
          <w:rFonts w:ascii="Times New Roman Полужирный" w:hAnsi="Times New Roman Полужирный" w:cs="Times New Roman"/>
          <w:b/>
          <w:bCs/>
          <w:caps/>
          <w:color w:val="000000" w:themeColor="text1"/>
          <w:sz w:val="28"/>
          <w:szCs w:val="28"/>
          <w:lang w:val="ru-RU"/>
          <w14:textFill>
            <w14:solidFill>
              <w14:schemeClr w14:val="tx1"/>
            </w14:solidFill>
          </w14:textFill>
        </w:rPr>
        <w:t>Розділ І.</w:t>
      </w:r>
      <w:bookmarkEnd w:id="1"/>
    </w:p>
    <w:p w14:paraId="0CCD7B3F">
      <w:pPr>
        <w:pStyle w:val="2"/>
        <w:spacing w:before="0" w:after="0" w:line="360" w:lineRule="auto"/>
        <w:jc w:val="center"/>
        <w:rPr>
          <w:rFonts w:ascii="Times New Roman Полужирный" w:hAnsi="Times New Roman Полужирный" w:cs="Times New Roman"/>
          <w:b/>
          <w:bCs/>
          <w:caps/>
          <w:color w:val="000000" w:themeColor="text1"/>
          <w:sz w:val="28"/>
          <w:szCs w:val="28"/>
          <w:lang w:val="uk-UA"/>
          <w14:textFill>
            <w14:solidFill>
              <w14:schemeClr w14:val="tx1"/>
            </w14:solidFill>
          </w14:textFill>
        </w:rPr>
      </w:pPr>
      <w:bookmarkStart w:id="2" w:name="_Toc208397125"/>
      <w:r>
        <w:rPr>
          <w:rFonts w:ascii="Times New Roman Полужирный" w:hAnsi="Times New Roman Полужирный" w:cs="Times New Roman"/>
          <w:b/>
          <w:bCs/>
          <w:caps/>
          <w:color w:val="000000" w:themeColor="text1"/>
          <w:sz w:val="28"/>
          <w:szCs w:val="28"/>
          <w:lang w:val="uk-UA"/>
          <w14:textFill>
            <w14:solidFill>
              <w14:schemeClr w14:val="tx1"/>
            </w14:solidFill>
          </w14:textFill>
        </w:rPr>
        <w:t>Теоретико-методологічні засади дослідження політики Російської Федерації щодо країн Балтії</w:t>
      </w:r>
      <w:bookmarkEnd w:id="2"/>
    </w:p>
    <w:p w14:paraId="76FC6D6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41FDE545">
      <w:pPr>
        <w:pStyle w:val="2"/>
        <w:spacing w:before="0" w:after="0" w:line="360" w:lineRule="auto"/>
        <w:ind w:firstLine="720"/>
        <w:jc w:val="both"/>
        <w:rPr>
          <w:rFonts w:ascii="Times New Roman" w:hAnsi="Times New Roman" w:cs="Times New Roman"/>
          <w:b/>
          <w:bCs/>
          <w:color w:val="000000" w:themeColor="text1"/>
          <w:sz w:val="28"/>
          <w:szCs w:val="28"/>
          <w:lang w:val="uk-UA"/>
          <w14:textFill>
            <w14:solidFill>
              <w14:schemeClr w14:val="tx1"/>
            </w14:solidFill>
          </w14:textFill>
        </w:rPr>
      </w:pPr>
      <w:bookmarkStart w:id="3" w:name="_Toc208397126"/>
      <w:r>
        <w:rPr>
          <w:rFonts w:ascii="Times New Roman" w:hAnsi="Times New Roman" w:cs="Times New Roman"/>
          <w:b/>
          <w:bCs/>
          <w:color w:val="000000" w:themeColor="text1"/>
          <w:sz w:val="28"/>
          <w:szCs w:val="28"/>
          <w:lang w:val="ru-RU"/>
          <w14:textFill>
            <w14:solidFill>
              <w14:schemeClr w14:val="tx1"/>
            </w14:solidFill>
          </w14:textFill>
        </w:rPr>
        <w:t xml:space="preserve">1.1. </w:t>
      </w:r>
      <w:bookmarkEnd w:id="3"/>
      <w:r>
        <w:rPr>
          <w:rFonts w:hint="default" w:ascii="Times New Roman" w:hAnsi="Times New Roman"/>
          <w:b/>
          <w:bCs/>
          <w:color w:val="000000" w:themeColor="text1"/>
          <w:sz w:val="28"/>
          <w:szCs w:val="28"/>
          <w:lang w:val="ru-RU"/>
          <w14:textFill>
            <w14:solidFill>
              <w14:schemeClr w14:val="tx1"/>
            </w14:solidFill>
          </w14:textFill>
        </w:rPr>
        <w:t xml:space="preserve">Поструктуралістський підхід в контексті аналізу політики РФ щодо країн Балтії </w:t>
      </w:r>
      <w:r>
        <w:rPr>
          <w:rFonts w:ascii="Times New Roman" w:hAnsi="Times New Roman" w:cs="Times New Roman"/>
          <w:b/>
          <w:bCs/>
          <w:color w:val="000000" w:themeColor="text1"/>
          <w:sz w:val="28"/>
          <w:szCs w:val="28"/>
          <w:lang w:val="ru-RU"/>
          <w14:textFill>
            <w14:solidFill>
              <w14:schemeClr w14:val="tx1"/>
            </w14:solidFill>
          </w14:textFill>
        </w:rPr>
        <w:t xml:space="preserve"> </w:t>
      </w:r>
    </w:p>
    <w:p w14:paraId="2D46285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688D622F">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Постструктуралізм як інтелектуальний рух виник у французькій філософській традиції 1960-х років і поступово трансформувався в потужну теоретичну парадигму, що радикально переосмислила підходи до розуміння мови, влади, знання та соціальної реальності. Формування постструктуралістської школи відбувалося як критична відповідь на обмеження структуралістського підходу, зокрема його прагнення до виявлення універсальних структур та стабільних значень. Провідні представники напряму – Ж. Дерріда, М. Фуко, Ж. Дельоз, Ф. Гваттарі, Ж. Лакан – створили концептуальний апарат, що дозволив по-новому поглянути на процеси конструювання ідентичностей, формування дискурсів та механізми функціонування влади в сучасному суспільстві.</w:t>
      </w:r>
    </w:p>
    <w:p w14:paraId="71D33BC6">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Деконструктивістська філософія Ж. Дерріда стала одним із найвпливовіших інтелектуальних проектів другої половини ХХ століття, запропонувавши радикально новий підхід до читання текстів та критики західної метафізичної традиції. Ж. Дерріда піддав сумніву можливість існування стабільних значень та фіксованих ідентичностей, демонструючи внутрішню суперечливість будь-яких смислових конструкцій через практику деконструкції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_Ref208260854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38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Визначальна ж інновація Ж. Дерріди полягала в розробці концепції différance – неологізму, що поєднує французькі дієслова «différer» (відрізнятися) та «différer» (відкладати), підкреслюючи темпоральний та просторовий характер смислоутворення.</w:t>
      </w:r>
    </w:p>
    <w:p w14:paraId="796E21B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Деконструкція не є простим руйнуванням чи запереченням певних концепцій, а становить складну методологічну процедуру виявлення внутрішніх напружень та суперечностей у текстах. Ж. Дерріда описував, як бінарні опозиції, що структурують західне мислення (присутність/відсутність, мова/письмо, природа/культура), завжди містять ієрархічний елемент, де один термін домінує над іншим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_Ref208260860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37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Застосування деконструктивістської методології до аналізу політичних дискурсів дає змогу виявити приховані припущення, на яких базуються офіційні наративи держав про власні цілі та мотиви в міжнародних відносинах.</w:t>
      </w:r>
    </w:p>
    <w:p w14:paraId="78D23B9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Концепція інтертекстуальності, розвинута Ж. Дерріда, підкреслює неможливість існування ізольованих текстів та вказує на постійну циркуляцію смислів між різними дискурсивними контекстами; будь-який текст містить сліди інших текстів, створюючи безкінечну мережу відсилань та запозичень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_Ref208260864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36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Відтак політичні дискурси функціонують подібним чином, постійно звертаючись до історичних прецедентів, ідеологічних конструкцій та культурних образів для легітимації певних позицій. </w:t>
      </w:r>
    </w:p>
    <w:p w14:paraId="085969D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Зазначені підходи радикально відрізняються від реалістичних моделей, де держави діють раціонально в анархічному середовищі; навпаки, постструктуралісти бачать у зовнішній політиці мережу дискурсів, що формують суб’єкти через повторювані наративи. Для російської дипломатії щодо Балтії це означає, що концепція «російського світу» слугує не лише ідеологічним інструментом, а й способом артикуляції суверенітету, де балтійські руські громади позиціонуються як жертви «західного тиску», тим самим виправдовуючи втручання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_Ref208261164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Дослідження показують, як у пострадянський період московські медіа реконструювали образ балтійських країн від «радянського Заходу» – символу прогресу – до «західного Сходу», де вони зображені як занепадницькі території, залежні від ЄС, але ворожі до Росії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_Ref208261164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Такого роду зсув у дискурсі, зафіксований у державних трансляціях і аналітичних матеріалах, ілюструє, як постструктуралістські інструменти дозволяють розкривати владні динаміки, де мова стає полем битви за легітимність.</w:t>
      </w:r>
    </w:p>
    <w:p w14:paraId="2CAE047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Інтелектуальна спадщина М. Фуко справила революційний вплив на розуміння механізмів функціонування влади в сучасних суспільствах та сформулювала нові підходи до аналізу знання як форми політичної практики. Його концепція дискурсу як системи висловлювань, що формують об’єкти знання та створюють умови можливості для певних форм суб’єктивності, кардинально змінила уявлення про зв’язок між мовою та реальністю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_Ref208260869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Дискурс у М. Фуко не просто описує наявну реальність, а активно конструює її через встановлення правил того, що може бути сказано, ким та за яких обставин.</w:t>
      </w:r>
    </w:p>
    <w:p w14:paraId="4441CB16">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Генеалогічний метод, запропонований М. Фуко, передбачає дослідження історичних умов появи певних дискурсивних формацій без пошуку єдиного джерела чи телеологічної логіки розвитку. У свою чергу, генеалогія спрямована на виявлення розривів, трансформацій та випадковостей в історичному процесі, демонструючи контингентний характер того, що здається природним чи необхідним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_Ref208260873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329F2D4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Концепція біополітики стала однією з найвпливовіших ідей пізнього М. Фуко, що описує нові форми управління, спрямовані на регулювання життєвих процесів популяцій. На відміну від традиційних форм суверенної влади, що функціонували через заборони та покарання, біополітика діє через позитивні механізми стимулювання, нормалізації та оптимізації життєвої активності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_Ref208260878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50</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Сучасні держави управляють населенням через статистику, демографічну політику, охорону здоров’я, освітні програми, створюючи специфічні форми суб’єктивності та ідентичності. Археологічний підхід М. Фуко до аналізу дискурсивних формацій розкриває правила, що визначають можливості висловлювання в певних історичних епохах. Археологія не шукає прихованих смислів чи авторських інтенцій, а досліджує поверхневі структури дискурсів, їхню граматику та синтаксис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_Ref208260881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51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Подібний підхід дозволяє виявити логіку функціонування дискурсів, не вдаючись до психологічних інтерпретацій мотивів політичних лідерів чи пошуків «справжніх» намірів.</w:t>
      </w:r>
    </w:p>
    <w:p w14:paraId="4E0AFAB1">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Творча співпраця Ж. Дельоза та Ф. Гваттарі призвела до створення радикально нової онтології, що відходить від ієрархічних структур на користь горизонтальних, мережевих зв’язків. Концепція ризоми стала центральним елементом їхньої філософської системи, пропонуючи альтернативну модель організації знання та соціальної реальності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_Ref208260886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32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Ризома характеризується принципами зв’язку та гетерогенності (будь-яка точка може бути з’єднана з будь-якою іншою), множинності (відсутність єдиного центру чи ієрархії), асигніфікантного розриву (можливість переривання та відновлення зв’язків) та картографії (створення карт замість копіювання оригіналів).</w:t>
      </w:r>
    </w:p>
    <w:p w14:paraId="7EE67616">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Шизоаналіз як альтернатива психоаналізу запропонував нове розуміння процесів суб’єктивації, що не базується на едиповій структурі чи символічному порядку. Ж. Дельоз та Ф. Гваттарі розглядали суб’єктивність як результат складних процесів складання (agencement), де різнорідні елементи – тілесні, технічні, семіотичні – вступають у тимчасові конфігурації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_Ref208260889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33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Власне такий підхід уможливлює аналізувати державну суб’єктивність не як дану сутність з фіксованими інтересами, а як динамічний процес конституювання через взаємодії з різними акторами та середовищами.</w:t>
      </w:r>
    </w:p>
    <w:p w14:paraId="4E9FE32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Концепція машин бажання розкриває продуктивний характер несвідомого, що не обмежується репресивними механізмами, а активно генерує нові форми реальності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_Ref208260895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34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Соціальні формації функціонують як складні машини, що кодують та декодують потоки бажання, створюючи специфічні режими знакування та значення. Зовнішня політика відтак розглядається як елемент більш широкої машини, що обробляє геополітичні потоки через специфічні коди історичної пам’яті, національної гордості та безпекових дискурсів.</w:t>
      </w:r>
    </w:p>
    <w:p w14:paraId="656EBBA5">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Пізня філософія Ж Дельоза, зокрема концепція складки, запропонувала оригінальний підхід до розуміння процесів індивідуації та формування суб’єктивності. Складка як топологічна фігура дозволяє мислити відношення між внутрішнім та зовнішнім не через жорсткі кордони, а через постійні процеси згортання та розгортання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_Ref208260899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31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тобто суб’єкт конституюється через інкорпорацію зовнішніх сил та їхню трансформацію у внутрішню структуру, що постійно змінюється під впливом нових зустрічей та взаємодій.</w:t>
      </w:r>
    </w:p>
    <w:p w14:paraId="6421A69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Застосування концепції складки до аналізу міжнародних відносин дозволяє уникнути есенціалістських уявлень про державні ідентичності та зосередитися на процесах їхнього постійного відтворення через взаємодію з іншими акторами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_Ref208260904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Кожна нова ситуація створює можливості для трансформації цих ідентичностей та виникнення нових конфігурацій відносин.</w:t>
      </w:r>
    </w:p>
    <w:p w14:paraId="2ED27CA6">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Хоча постколоніальні студії формально не належать до постструктуралістської школи, вони активно використовують її методологічний арсенал для критики домінуючих дискурсів та виявлення маргіналізованих голосів. Е. Саїд у своїй класичній праці «Орієнталізм» продемонстрував, як західна наука та література створювали специфічний образ Сходу, що виправдовував колоніальне панування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_Ref208260908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112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Орієнталізм функціонував як дискурсивна практика, що конструювала "Іншого" через систему стереотипів, екзотизації та інфантилізації.</w:t>
      </w:r>
    </w:p>
    <w:p w14:paraId="5C04A5B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Г. Співак розвинула концепцію субальтерн – підпорядкованих груп, що не мають доступу до домінуючих дискурсивних практик та не можуть артикулювати власні інтереси в прийнятних для влади формах. Г. Співак поставила фундаментальне питання: «Чи може суб-альтерн говорити?», вказуючи на структурні обмеження, що перешкоджають артикуляції альтернативних позицій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_Ref208260911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125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Зазначимо, що подібні підходи продуктивно застосовуються для аналізу маргіналізації критичних голосів у суспільстві та способів конструювання «патріотичного» дискурсу.</w:t>
      </w:r>
    </w:p>
    <w:p w14:paraId="1B3EC276">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Адаптація постструктуралістських ідей до сфери міжнародних відносин відбувалася через праці таких дослідників як Д. Дер Деріан, Д. Кемпбелл, М. Шапіро, Р. Блейкер. Д. Дер Деріан запропонував генеалогічний аналіз дипломатії як інституту, що медіює відносини між політичними спільнотами через створення специфічних форм репрезентації та комунікації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_Ref208260914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35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Дипломатичні практики не просто відображають наявні інтереси держав, а активно конструюють їх через церемоніальні форми, протокольні процедури та риторичні стратегії. Д. Кемпбелл розвинув концепцію зовнішньої політики як практики «написання держави» через постійне відтворення кордонів між внутрішнім та зовнішнім простором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_Ref208260916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23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Держава не передує зовнішній політиці як готовий суб’єкт з визначеними інтересами, а конституюється через неї в процесі ідентифікації загроз, визначення союзників та ворогів. У цьому випадку відбувається аналіз політики не просто як реалізації геополітичних інтересів, а як елемента більш широкого процесу конструювання державної ідентичності.</w:t>
      </w:r>
    </w:p>
    <w:p w14:paraId="70CB9F7D">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М. Шапіро запропонував текстуальну стратегію аналізу політичних феноменів, що передбачає увагу до жанрових особливостей, наративних структур та риторичних прийомів у політичних дискурсах. Політика розглядається як сукупність текстуальних практик, що створюють специфічні способи бачення та інтерпретації соціальної реальності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_Ref208260919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119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ru-RU"/>
          <w14:textFill>
            <w14:solidFill>
              <w14:schemeClr w14:val="tx1"/>
            </w14:solidFill>
          </w14:textFill>
        </w:rPr>
        <w:t>Попри</w:t>
      </w:r>
      <w:r>
        <w:rPr>
          <w:rFonts w:ascii="Times New Roman" w:hAnsi="Times New Roman" w:cs="Times New Roman"/>
          <w:color w:val="000000" w:themeColor="text1"/>
          <w:sz w:val="28"/>
          <w:szCs w:val="28"/>
          <w:lang w:val="uk-UA"/>
          <w14:textFill>
            <w14:solidFill>
              <w14:schemeClr w14:val="tx1"/>
            </w14:solidFill>
          </w14:textFill>
        </w:rPr>
        <w:t xml:space="preserve"> значний евристичний потенціал, постструктуралістські підходи не позбавлені обмежень та викликають обґрунтовану критику з боку представників інших теоретичних традицій. Основні закиди стосуються релятивістських тенденцій, що можуть призводити до неможливості формування нормативних оцінок політичних явищ. Критики ж вказують на небезпеку «текстуального ідеалізму», коли надмірна увага до дискурсивних аспектів затьмарює матеріальні виміри влади та нерівності.</w:t>
      </w:r>
    </w:p>
    <w:p w14:paraId="4EB2727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Постструктуралістська критика суб’єкта може призводити до аналітичної відмови, коли неможливість фіксації стабільних ідентичностей ускладнює розуміння мотивів політичних дій та прогнозування майбутньої поведінки держав. Проблематичною є також тенденція до фрагментації аналізу, коли увага до мікропроцесів та локальних контекстів перешкоджає розумінню більш широких структурних закономірностей. Застосування постструктуралістської методології до конкретних кейсів вимагає ретельного балансування між критичною деконструкцією та збереженням аналітичної продуктивності.</w:t>
      </w:r>
    </w:p>
    <w:p w14:paraId="5B763FDE">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Автори Е. Лаклау та Ш. Муфф у своїй праці розвивають поняття гегемонії як процесу артикуляції різноманітних елементів у єдиний дискурс, де певні значення фіксуються тимчасово, але завжди під загрозою перегляду через антагонізми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_Ref208398335 \r \h  \* MERGEFORMAT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Автори підкреслюють, що гегемонія не є статичною владою, а радше динамічним конструюванням, де домінуюча група намагається універсалізувати власні інтереси, залучаючи інші соціальні сили. Власне саме у контексті російської політики щодо Балтії подібна артикуляція проявляється в наративах про «історичну справедливість», де події Другої світової війни інтерпретуються як основа для сучасних претензій. Відтак Кремль часто апелює до спадщини Радянського Союзу, позиціонуючи Балтійські держави як «відступників» від спільної історії, що дозволяє Москві легітимізувати втручання в їхні внутрішні справи, від мовної політики до енергетичної залежності. Такий дискурс, за Е. Лаклау та Ш. Муфф, функціонує через ланцюги еквівалентностей, де «російська ідентичність» з’єднується з «захистом прав людини», маскуючи імперські наміри під універсальними цінностями.</w:t>
      </w:r>
    </w:p>
    <w:p w14:paraId="627D0FC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Постструктуралістський погляд розкриває антагонізми в цих наративах, де балтійські уряди протистоять російському дискурсу через власні конструкції суверенітету та європейської інтеграції. Російська Федерація, намагаючись встановити гегемонію, використовує медіа та дипломатію для фіксації значень, наприклад, трактуючи НАТО як «агресивний блок», що загрожує «мирному співіснуванню». Однак, як зазначають Е.Лаклау та Ш.Муфф, така гегемонія завжди неповна, оскільки залежить випадкових подій, які можуть розхитати фіксовані значення. У випадку Балтії це видно в реакціях на кризи, як енергетичні блокади чи кібератаки, приписувані Москві, де місцеві дискурси про «російську загрозу» створюють контр-гегемонію, підкріплену підтримкою ЄС та США. Таким чином, постструктуралізм дозволяє побачити політику не як фіксовану гру інтересів, а як поле боротьби за сенси, де Росія прагне перевизначити кордони «свого» простору, але стикається з опором, що підриває її домінування.</w:t>
      </w:r>
    </w:p>
    <w:p w14:paraId="5128917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Подібний підхід також висвітлює суть та роль ідентичностей у формуванні політики, де постструктуралісти наголошують на їхній конструйованій природі, позбавленій сутнісної основи. У російському дискурсі щодо Балтії «російськомовні» позиціонуються як маргіналізована група, що потребує «братньої» допомоги, що слугує для артикуляції ширшого антизахідного наративу. Автори надають опис подібним процесам як створення «порожніх сигніфікаторів» – термінів на кшталт «суверенітет» чи «історія», які наповнюються змістом залежно від контексту, дозволяючи гегемонічним силам мобілізувати підтримку. У практиці це проявляється в пропагандистських кампаніях, де події на кшталт демонтажів радянських пам’ятників у Естонії тлумачаться як «фашизм», що резонує з внутрішньою аудиторією в РФ та діаспорою. Водночас, балтійські держави відповідають через власні дискурси демократії та незалежності, намагаючись дестабілізувати російську гегемонію шляхом апеляції до глобальних норм.</w:t>
      </w:r>
    </w:p>
    <w:p w14:paraId="336AA81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Застосування постструктуралістських концепцій до аналізу російської політики щодо балтійських країн дозволяє виявити приховані механізми конструювання «іншості» та легітимації геополітичних амбіцій. Як приклад зазначимо, що фукальдіанське розуміння дискурсу як системи знань, яке формує соціальну реальність, набуває особливої актуальності при дослідженні російських наративів про історичну приналежність балтійського регіону до сфери впливу Москви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_Ref208260869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Дискурсивні стратегії Кремля демонструють складну взаємодію між історичною пам’яттю, геополітичними інтересами та символічною боротьбою за право інтерпретувати минуле. </w:t>
      </w:r>
    </w:p>
    <w:p w14:paraId="382307F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Метод дискурс-аналізу, інтегрований у постструктуралістську рамку, передбачає систематичне вивчення текстів – від офіційних декларацій до медійних публікацій – для виявлення, як вони структурують політичні реальності. Ж. Міллікен підкреслює, що такий аналіз не шукає "істини" в подіях, а фіксує, як дискурси обмежують можливі інтерпретації, роблячи певні політики «природними»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_Ref208261378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практиці це означає розбір риторики, де ключові терміни, такі як «близьке зарубіжжя», трансформують балтійські держави в зону російських інтересів, виправдовуючи економічний і культурний тиск.</w:t>
      </w:r>
    </w:p>
    <w:p w14:paraId="1DBE815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Дослідники застосовують згаданий метод для деконструкції безпекових дискурсів, де загроза з боку НАТО в Балтії не є об’єктивною, а конструюється через історичні міфи про «втрачену імперію». Ю. Нікітіна демонструє, як радянська спадщина в російському дискурсі перешкоджає нормальним відносинам, представляючи РФ як спадкоємця СРСР і балтійські країни як «невдячних» сусідів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_Ref208261441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Подібні практики, зафіксовані в аналізах 2010-х років, показують еволюцію: від визнання незалежності до наративів про «русофобію», що легітимізують гібридні операції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_Ref208261378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ширшому сенсі дискурс-аналіз розкриває інтертекстуальність – зв’язки між минулими й теперішніми текстами – де радянські стереотипи про балтійську «західність» переосмислюються для критики ЄС, позиціонуючи Росію як захисника «традиційних цінностей»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_Ref208261378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30B26BC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Застосування постструктуралізму до конкретних аспектів російської політики щодо Естонії, Латвії та Литви дозволяє відзначити, як дискурси конструюють регіональну ідентичність, роблячи балтійський простір ареною для артикуляції російської величі. У працях Д. Праваторау аналізується, як після 2004 року московська риторика перевертає радянські уявлення про Балтію, перетворюючи її з «вікна в Європу» на символ занепаду, де економічні невдачі приписуються відриву від Росії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_Ref208261164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Даний процес, що спирається на метафори і припущення, слугує для невизнання окупації, представляючи СРСР як джерело процвітання. Більше того, постструктуралістський погляд розкриває, як такі наративи впливають на практичні дії: від енергетичного шантажу до підтримки сепаратистських настроїв серед етнічних росіян. Метод Л. Хансена, що адаптований до цього контексту, показує, що безпека РФ конструюється через образ «загрози з Заходу» в Балтії, де НАТО постає не як альянс, а як інструмент денацифікації «русского мира» [4]. Дослідження радянської спадщини підкреслюють, що спотворені дискурси блокують діалог, перетворюючи історичні травми на інструменти сучасної геополітики [5].</w:t>
      </w:r>
    </w:p>
    <w:p w14:paraId="28A6779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Отже, підсумуємо, що постструктуралізм не лише критикує домінуючі наративи, а й пропонує шлях до альтернативних інтерпретацій, де балтійські держави можуть бути партнерами, а не об’єктами домінування, хоча в російській практиці цей потенціал залишається нереалізованим через жорсткість дискурсивних структур.</w:t>
      </w:r>
    </w:p>
    <w:p w14:paraId="2128814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У сучасному контексті, коли геополітичні напруження посилюються через події в Україні, постструктуралістські інструменти набувають ще більшої гостроти для розбору еволюції московських наративів щодо Балтії, де образ регіону як «буферної зони» проти Заходу конструюється через повторювані акценти на культурній спорідненості та історичних претензіях. Аналізи медійних практик демонструють, як російські ЗМІ, оперуючи риторикою «захисту співвітчизників», перетворюють етнічні меншини в балтійських країнах на символи опору «європейській дегуманізації», тим самим виправдовуючи інформаційні кампанії та кібервтручання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_Ref208311744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Такий процес, що спирається на теорії М.Фуко, розкриває, як дискурсивні розриви – від пострадянського оптимізму до нинішньої конфронтації – формують сприйняття Балтії не як незалежних суб’єктів, а як фрагментів «єдиного простору», де Москва позиціонує себе як єдиного арбітра справедливості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_Ref208311744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29F4F3F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Більш детальний огляд безпекових дискурсів у балтійському вимірі через призму постструктуралізму підкреслює, як риторика Кремля про «нацистські режими» в Естонії чи Латвії слугує для деконструкції європейської інтеграції, представляючи НАТО як агресивну силу, що загрожує «історичній гармонії» регіону. Дослідження, що використовують деррідівську інтертекстуальність, ілюструють зв’язки між радянськими архівами та сучасними заявами, де минулі стереотипи про «буржуазний націоналізм" переосмислюються для критики санкцій ЄС, роблячи балтійські уряди втіленням «західного імперіалізму»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_Ref208311754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цій перспективі зовнішня політика РФ постає не як реакція на матеріальні загрози, а як динамічна практика конструювання ідентичності, де ризоматичні зв’язки – через соціальні мережі та пропаганду – розмивають кордони між інформацією та маніпуляцією, посилюючи гібридні впливи на регіон.</w:t>
      </w:r>
    </w:p>
    <w:p w14:paraId="276879D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Подібні аналізи, застосовані до конкретних подій, наприклад, до скандалів навколо «зелених чоловічків» чи енергетичних криз, дозволяють побачити, як постструктуралістська рамка розкриває приховані бінарності – «суверенітет проти окупації» – що підтримують ієрархію Москви над сусідами. Критики такого підходу, однак, наголошують на ризику недооцінки емпіричних факторів, як-от військові маневри чи економічні залежності, але прихильники стверджують, що саме фокус на дискурсивних практиках відкриває шлях до емансипації, де балтійські наративи можуть протистояти домінуванню через власні контрдискурси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_Ref208311758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90</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Таким чином, постструктуралізм не тільки деконструює російські стратегії, але й намагається шукати множинні голоси у регіональній динаміці, перетворюючи аналіз на інструмент потенційного діалогу.</w:t>
      </w:r>
    </w:p>
    <w:p w14:paraId="36308FA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4451698C">
      <w:pPr>
        <w:pStyle w:val="2"/>
        <w:spacing w:before="0" w:after="0" w:line="360" w:lineRule="auto"/>
        <w:ind w:firstLine="720"/>
        <w:jc w:val="both"/>
        <w:rPr>
          <w:rFonts w:ascii="Times New Roman" w:hAnsi="Times New Roman" w:cs="Times New Roman"/>
          <w:b/>
          <w:bCs/>
          <w:color w:val="000000" w:themeColor="text1"/>
          <w:sz w:val="28"/>
          <w:szCs w:val="28"/>
          <w:lang w:val="uk-UA"/>
          <w14:textFill>
            <w14:solidFill>
              <w14:schemeClr w14:val="tx1"/>
            </w14:solidFill>
          </w14:textFill>
        </w:rPr>
      </w:pPr>
      <w:bookmarkStart w:id="4" w:name="_Toc208397127"/>
      <w:r>
        <w:rPr>
          <w:rFonts w:ascii="Times New Roman" w:hAnsi="Times New Roman" w:cs="Times New Roman"/>
          <w:b/>
          <w:bCs/>
          <w:color w:val="000000" w:themeColor="text1"/>
          <w:sz w:val="28"/>
          <w:szCs w:val="28"/>
          <w:lang w:val="uk-UA"/>
          <w14:textFill>
            <w14:solidFill>
              <w14:schemeClr w14:val="tx1"/>
            </w14:solidFill>
          </w14:textFill>
        </w:rPr>
        <w:t>1.2. Характеристика наукової розробки проблеми</w:t>
      </w:r>
      <w:bookmarkEnd w:id="4"/>
    </w:p>
    <w:p w14:paraId="1815FB71">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37CDC37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Наукова розробка питань російської політики щодо країн Балтії характеризується різноманітністю підходів, що відображає складність і багатоаспектність досліджуваної проблематики. Аналіз наукової літератури дозволяє виділити основні групи досліджень, які різняться як теоретико-методологічними підходами, так і фокусом на конкретних аспектах російсько-балтійських відносин. </w:t>
      </w:r>
    </w:p>
    <w:p w14:paraId="409C651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Реалістична традиція дослідження російської політики щодо країн Балтії представлена фундаментальними працями Д. Міршаймера, який розглядає російську активність у регіоні через призму структурного реалізму та концепції наступальної геополітики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_Ref208333118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своїй статті «Why the Ukraine Crisis Is the West’s Fault», опублікованій у 2014 році, Д. Міршаймер аргументує, що розширення НАТО на схід, включно з інтеграцією балтійських держав у 2004 році, неминуче мало призвести до посилення російського опору, оскільки великі держави природно прагнуть домінувати у своїх регіональних сферах впливу. Автор, спираючись на ключові принципи наступального реалізму, підкреслює, що Москва сприймає присутність Альянсу біля своїх кордонів як екзистенційну загрозу, яка руйнує баланс сил у пострадянському просторі. Д. Міршаймер детально розбирає, як західні лідери, ігноруючи уроки історії – від Мюнхенської угоди до Ялтинських домовленостей – спровокували реваншистські настрої в Кремлі, перетворюючи Балтію на передній край геополітичної конфронтації. Автор відкидає наратив про імперіалістичні амбіції Путіна, представляючи його кроки – від окупації</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Криму до підтримки сепаратистів – як раціональну оборону стратегічних інтересів, і застерігає, що подальше ігнорування російських побоювань може призвести до конфронтації, де Балтія опиниться на передовій через свою близькість до кордонів. Ця робота, з її чітким акцентом на раціональність державних дій в анархічній системі, надає потужний інструментарій для розуміння мотивів РФ, хоча критики закидають автору надмірний детермінізм, що недооцінює внутрішні ідеологічні фактори, як-от концепцію «російського світу».</w:t>
      </w:r>
    </w:p>
    <w:p w14:paraId="48780B4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Подібну позицію займає С. Волт, чия теорія балансування загроз пропонує пояснення російської реакції на зростання західного впливу в балтійському регіоні через призму сприйняття загроз національній безпеці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_Ref208333134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134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Держави формують альянси не лише через ідеологічну близькість, а через загрози, і в постбіполярному світі, де Росія сприймає розширення Альянсу як оточення, балтійські держави стають символом цієї загрози; автор наводить історичні аналогії, як-от баланс у Європі XIX століття, щоб показати, що ігнорування балансу сил веде до війн, і застосовує це до сучасності, де російська мілітаризація Калінінграда слугує відповіддю на присутність НАТО в регіоні. К. Уолц у своїй класичній праці «Теорія міжнародної політики» закладає теоретичні основи для розуміння російської поведінки як природної реакції на зміни в міжнародній системі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_Ref208333141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135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r>
        <w:rPr>
          <w:lang w:val="uk-UA"/>
        </w:rPr>
        <w:t xml:space="preserve"> </w:t>
      </w:r>
      <w:r>
        <w:rPr>
          <w:rFonts w:ascii="Times New Roman" w:hAnsi="Times New Roman" w:cs="Times New Roman"/>
          <w:color w:val="000000" w:themeColor="text1"/>
          <w:sz w:val="28"/>
          <w:szCs w:val="28"/>
          <w:lang w:val="uk-UA"/>
          <w14:textFill>
            <w14:solidFill>
              <w14:schemeClr w14:val="tx1"/>
            </w14:solidFill>
          </w14:textFill>
        </w:rPr>
        <w:t xml:space="preserve">Він стверджує, що розпад СРСР створив біполярний вакуум, заповнений однополярним домінуванням США, що провокувало РФ на відновлення статусу великої держави через контроль над «ближнім зарубіжжям», включно з Балтією. На його думку російські доктрини, як-от 2010-го про "зони привілейованих інтересів", є системними адаптаціями, а не ідеологічними примхами, де регіональні домінування слугують буфером проти системних тисків. </w:t>
      </w:r>
    </w:p>
    <w:p w14:paraId="6D538FFE">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Структурний реалізм знаходить своє продовження у роботах Б. Бузана та О. Вейвера, які розвивають концепцію регіональних безпекових комплексів та аналізують російську політику як спробу відновлення контролю над пострадянським простором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_Ref208333301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21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r>
        <w:rPr>
          <w:lang w:val="ru-RU"/>
        </w:rPr>
        <w:t xml:space="preserve"> </w:t>
      </w:r>
      <w:r>
        <w:rPr>
          <w:rFonts w:ascii="Times New Roman" w:hAnsi="Times New Roman" w:cs="Times New Roman"/>
          <w:color w:val="000000" w:themeColor="text1"/>
          <w:sz w:val="28"/>
          <w:szCs w:val="28"/>
          <w:lang w:val="uk-UA"/>
          <w14:textFill>
            <w14:solidFill>
              <w14:schemeClr w14:val="tx1"/>
            </w14:solidFill>
          </w14:textFill>
        </w:rPr>
        <w:t>У книзі «Regions and Powers: The Structure of International Security» автори пропонують модель RSC (Regional Security Complexes), де Балтійський регіон постає як перехідна зона: економічно та ідентифікаційно орієнтована на Європу, але безпеково прив’язана до Росії через історичні зв’язки та Калінінград. Б. Бузан і О. Вейвер аргументують, що вступ Балтії до НАТО у 2004 році створив спроби провокувати Москву на асиметричні відповіді – від мілітаризації до інформаційних кампаній – аби зберегти домінування в «центрованому RSC» навколо РФ.</w:t>
      </w:r>
    </w:p>
    <w:p w14:paraId="39C7EE6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 Гілпін у праці «Війна і зміни у світовій політиці» пропонує циклічну теорію піднесення та занепаду великих держав, що дозволяє інтерпретувати російську активність у балтійському регіоні як прояв прагнення відновити втрачені позиції після розпаду СРСР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_Ref208333328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55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Його підхід до гегемоністських циклів знаходить підтримку в працях А. Циганкова, російського дослідника, який аналізує трансформацію російської зовнішньої політики через призму зміни співвідношення сил у міжнародній системі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_Ref208333342 \r \h  \* MERGEFORMAT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128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r>
        <w:rPr>
          <w:rFonts w:ascii="Times New Roman" w:hAnsi="Times New Roman" w:cs="Times New Roman"/>
          <w:sz w:val="28"/>
          <w:szCs w:val="28"/>
          <w:lang w:val="uk-UA"/>
        </w:rPr>
        <w:t xml:space="preserve"> Його робота простежує еволюцію від Єльцина до Путіна, показуючи, як реалізм формує наративи про «близьке зарубіжжя», і аналізує, як Кремль використовує меншини в Естонії та Латвії для легітимації тиску, відкидаючи звинувачення в агресії як західну пропаганду. </w:t>
      </w:r>
      <w:r>
        <w:rPr>
          <w:rFonts w:ascii="Times New Roman" w:hAnsi="Times New Roman" w:cs="Times New Roman"/>
          <w:color w:val="000000" w:themeColor="text1"/>
          <w:sz w:val="28"/>
          <w:szCs w:val="28"/>
          <w:lang w:val="uk-UA"/>
          <w14:textFill>
            <w14:solidFill>
              <w14:schemeClr w14:val="tx1"/>
            </w14:solidFill>
          </w14:textFill>
        </w:rPr>
        <w:t>У книзі «Russian Realism: Defending ‘Derzhava’ in International Relations» він визначає російський реалізм як оборону «держави» – імперської ідентичності – проти західного тиску, де Балтія постає як периферія, що загрожує суверенітету через НАТО. Автор, спираючись на дискурс-аналіз елітних дебатів, показує, як Москва адаптує реалізм до унікального геополітичного контексту, балансуючи між ізоляцією та альянсами (ЄАЕС).</w:t>
      </w:r>
    </w:p>
    <w:p w14:paraId="2785BB0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Науковець Р. Пайпс у своїх історичних дослідженнях демонструє континуїтет російської експансіоністської традиції, яка проявляється незалежно від політичного режиму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_Ref208333438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Піпс розкриває, як більшовики успадкували імперські структури царату, застосовуючи це до окупації Балтії в 1940-х як колоніального акту. На його думку радянська/російська політика – це вічний імперіалізм, де регіон слугує «вікном на Захід», але джерелом конфліктів через етнічні меншини. Пізніші есе, як у «Russia Under the Bolshevik Regime» (1994), підкреслюють, як путінська РФ продовжує цю традицію через «м’яку окупацію» – культурний тиск. Схожі аргументи висуває Р. Каплан, який розглядає російську політику через призму географічного детермінізму та геополітичних імперативів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_Ref208333462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що малює Росію як «степову імперію», де Балтія – стратегічний коридор до Європи, змушуючи Кремль до контролю для виживання. Автор, інтегруючи картографію з історією, аргументує, що рівнини від Москви до Балтії диктують оборонні доктрини, як-от "фортеця Росія".</w:t>
      </w:r>
    </w:p>
    <w:p w14:paraId="4D31DE21">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 Значний внесок у реалістичну інтерпретацію російської політики зробили британські дослідники Р. Купер та Л. Фрідман, які аналізують російську стратегію як раціональну відповідь на виклики однополярної системи міжнародних відносин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_Ref208333535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28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_Ref208333544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52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Р. Купер розвиває концепцію «постмодерної імперії», що дозволяє зрозуміти специфіку російського впливу в умовах глобалізації.</w:t>
      </w:r>
    </w:p>
    <w:p w14:paraId="360B09D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Конструктивістська парадигма в дослідженні російсько-балтійських відносин представлена роботами А. Вендта, чия соціальна теорія міжнародних відносин підкреслює роль ідей та ідентичностей у формуванні державної поведінки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_Ref208333526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136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Він детально аргументує, що ролі, які держави обирають – від ворогів до союзників, – виникають не з об’єктивних структур, а з колективних інтерпретацій, ілюструючи приклади з історії, де ідентичності еволюціонували під впливом культурних наративів. У застосуванні до російсько-балтійських відносин така теорія дозволяє пояснити, чому Москва сприймає Естонію, Латвію та Литву не лише як геополітичні сусідів, а як об’єкти, що втілюють конфлікт ідентичностей – спадщину імперії проти західної інтеграції.</w:t>
      </w:r>
    </w:p>
    <w:p w14:paraId="22517505">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Конструктивізм знаходить конкретне застосування у працях Т. Хопфа, який досліджує еволюцію російської зовнішньополітичної ідентичності після розпаду СРСР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_Ref208333563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 Хопф, спираючись на архівні матеріали та пресу, показує, як у 1999 році, після кризи 1998-го, домінуючим став наратив «повернення до коренів», де балтійські країни зображуються як відірвані частини «російського світу», що потребують реінтеграції. Автор розкриває механізми, через які внутрішні дебати про національну самобутність Москви – від ліберальних до евразійських – проектуються на зовнішню політику, перетворюючи сприйняття Балтії на арену ідентичностних зіткнень, де «чужість» західного простору посилюється історичними травмами розпаду СРСР. Такий підхід не лише описує, але й пояснює стійкість антибалтійських настроїв у кремлівських колах, де ідентичність стає інструментом легітимації агресивних дій.</w:t>
      </w:r>
    </w:p>
    <w:p w14:paraId="2A0302FB">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Автор М. Малксоо у своїй докторській дисертації та подальших публікаціях розвиває постколоніальний підхід до аналізу російсько-балтійських відносин, демонструючи, як радянська спадщина продовжує впливати на взаємосприйняття сторін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_Ref208333596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Дослідник, аналізуючи офіційні документи та публічний дискурс, демонструє, як Москва продовжує колоніалізувати балтійські наративи, представляючи окупацію 1940-х як «визволення», а незалежність 1991-го – як «невдячність» за модернізацію. У подальших статтях, таких як «Росія та «східне питання»: постколоніальна перспектива» (2009), авторка розкриває, як такі міфи слугують інструментом для сучасного впливу, де колоніальна логіка маскується під культурну близькість, впливаючи на взаємне сприйняття сторін як на рівні еліт, так і серед громадськості. Такого роду аналіз не обмежується описом, а пропонує рамку для розуміння, чому балтійські держави реагують на російські ініціативи з позиції деколонізації, посилюючи євроінтеграцію як акт опору.</w:t>
      </w:r>
    </w:p>
    <w:p w14:paraId="5096199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А. Снетер у спільних працях з іншими дослідниками розробляє інтерсекціональний підхід до аналізу гендерних аспектів російської політики пам’яті щодо країн Балтії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_Ref208333612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124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Авторка, опираючись на феміністську теорію, ілюструє, як образи «маскулінного воїна-визволителя» з радянської епохи перетинаються з «фемінними" метафорами «невдячної дочки» для балтійських націй, перетворюючи історичні події на гендеровані наративи, що легітимізують домінування Москви. У цій роботі авторка аналізує медійні тексти та меморіальні практики, показуючи, як такі конструкти не лише формують російське сприйняття, але й провокують балтійські контрнаративи жіночої емансипації через НАТО, роблячи гендер ключовим у ідентичностних конфліктах.</w:t>
      </w:r>
      <w:r>
        <w:rPr>
          <w:lang w:val="uk-UA"/>
        </w:rPr>
        <w:t xml:space="preserve"> </w:t>
      </w:r>
      <w:r>
        <w:rPr>
          <w:rFonts w:ascii="Times New Roman" w:hAnsi="Times New Roman" w:cs="Times New Roman"/>
          <w:color w:val="000000" w:themeColor="text1"/>
          <w:sz w:val="28"/>
          <w:szCs w:val="28"/>
          <w:lang w:val="uk-UA"/>
          <w14:textFill>
            <w14:solidFill>
              <w14:schemeClr w14:val="tx1"/>
            </w14:solidFill>
          </w14:textFill>
        </w:rPr>
        <w:t>Х. Ербсен у статті «Орієнталізм і російськомовні регіони в Європі: Представлення Нарви» застосовує постколоніальну теорію до стереотипів, де Нарва зображується як «орієнталізована» зона, орієнтована на Росію, розкриваючи механізми маргіналізації меншин в естонському дискурсі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_Ref208333672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1A0711FF">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Паралельно А. Грігас розвиває ідею «енергетичної зброї» як стратегії, що поєднує історичні міфи з сучасним контролем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_Ref208333680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Вона аналізує, як Москва використовує спадщину радянських мереж для створення залежності, ілюструючи прикладами, як газопровід, де відмова від диверсифікації трактується як «історична справедливість». У роботі авторка також розглядає балтійські контрзаходи, як-от LNG-термінали в Клайпеді, показуючи еволюцію від вразливості до resilience, де енергетика стає ареною ширшого конфлікту суверенітету.</w:t>
      </w:r>
    </w:p>
    <w:p w14:paraId="179FC235">
      <w:pPr>
        <w:spacing w:after="0" w:line="360" w:lineRule="auto"/>
        <w:ind w:firstLine="720"/>
        <w:jc w:val="both"/>
        <w:rPr>
          <w:lang w:val="uk-UA"/>
        </w:rPr>
      </w:pPr>
      <w:r>
        <w:rPr>
          <w:rFonts w:ascii="Times New Roman" w:hAnsi="Times New Roman" w:cs="Times New Roman"/>
          <w:color w:val="000000" w:themeColor="text1"/>
          <w:sz w:val="28"/>
          <w:szCs w:val="28"/>
          <w:lang w:val="uk-UA"/>
          <w14:textFill>
            <w14:solidFill>
              <w14:schemeClr w14:val="tx1"/>
            </w14:solidFill>
          </w14:textFill>
        </w:rPr>
        <w:t>Фундаментальним внеском у розуміння російсько-балтійських відносин стала праця М. Галеотті, який через призму постструктуралістського аналізу розглядає російську зовнішньополітичну стратегію як систему дискурсивних практик, спрямованих на підтримання символічного домінування у пострадянському просторі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_Ref208780088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53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Дослідник демонструє, як Москва використовує наративи про «історичну справедливість» та «захист співвітчизників» для легітимації своїх геополітичних амбіцій у Балтійському регіоні. Роботи підкреслюють значущость символічного виміру політики, показуючи, як конструювання образу «зовнішньої загрози» служить інструментом внутрішньої мобілізації російського суспільства.</w:t>
      </w:r>
      <w:r>
        <w:rPr>
          <w:lang w:val="uk-UA"/>
        </w:rPr>
        <w:t xml:space="preserve"> </w:t>
      </w:r>
    </w:p>
    <w:p w14:paraId="2E7C750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Гібридні методології, що поєднують елементи реалізму з конструктивістськими поглядами, пропонують складний інструментарій для розкриття російської політики в Балтії, особливо після подій 2014 та 2022 років, коли військові маневри переплітаються з інформаційними кампаніями та економічним тиском. Такі підходи дозволяють розглядати стратегії Москви не як ізольовані акти сили, а як багаторівневі процеси, де матеріальні інтереси перетинаються з соціально сконструйованими реальностями. У статті «Російська м’яка сила в балтійському регіоні: Неоліберальні рамки та культурні ініціативи» О. Сергунін та Л. Карабешкін детально розбирають механізми, через які програми на кшталт «Русич» активізують етнічні меншини. Автори, спираючись на емпіричні дані з культурних подій та опитувань, ілюструють, як Москва імплементує неоліберальні наративи в ці ініціативи, аби формувати альтернативні ідентичності серед російськомовного населення, тим самим послаблюючи зв’язки з Заходом. Вони акцентують увагу на тому, що ці зусилля спрямовані переважно на сегмент меншин, а не на широкі маси, що робить стратегію точковою та ефективною в контексті балтійської фрагментації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_Ref208334257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118</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77A1924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 Кучинська-Зонік у своїй праці розкриває нюанси неформальних каналів впливу, які уникають традиційних дипломатичних протокіл. Вона наводить конкретні приклади пропагандистських кампаній та економічного тиску, демонструючи, як ці методи посилюють регіональну напругу, легітимізуючи московські претензії попри риторику демократичних цінностей з боку Кремля. Фокус на антидипломатичні практики підкреслює, що такі тактики не лише обминають офіційні структури, але й експлуатують вразливості балтійських демократій, створюючи паралельні мережі лояльності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_Ref208334297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86</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0C75DC1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Група авторів К. Касчан, В. Денисенко, І. Матонітє застосовують метод дискурс-аналізу для розкриття невдач у подоланні історичної залежності. Автори, аналізуючи офіційні документи та медійні наративи, показують, як концепт «російської загрози» слугує каталізатором трансформацій, але не доводить їх до повного завершення, залишаючи простір для гібридних втручань. Їхня робота, збагачена кейсами з Латвії та Естонії, підкреслює структурні бар’єри в еволюції ідентичностей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_Ref208334338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81</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p>
    <w:p w14:paraId="2088B1E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Л. Хартвелл, британський економіст з Лондонської школи економіки, спеціаліст з пострадянської економіки, разом з Анне Rakštytė у звіті LSE «Балтія та війна Росії з Україною» 2022 року, оцінюють економічні реперкусії конфлікту. Вони фокусуються на енергетичній безпеці, надаючи статистичні дані про процеси диверсифікації джерел постачань та адаптаційні стратегії, і пояснюють, як солідарність з Україною посилює сприйняття загроз для всього регіону. Звіт також висвітлює зростання оборонних витрат до 3% від ВВП в Естонії та частоту кібератак, походження яких пов’язане з російськими акторами, пропонуючи рекомендації для посилення стійкості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_Ref208778116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67</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371E8F9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Бергмане у статті «Згасання російського впливу в Балтійських державах» аргументує поступове ослаблення московських позицій з моменту вступу до ЄС та НАТО у 2004 році. Вона детально описує еволюцію тенденцій серед етнічних меншин, спираючись на опитування та історичні дані, і демонструє, як західна інтеграція ерозує традиційні канали впливу, перетворюючи Балтію на форпост опору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_Ref208334436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13</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2A775A1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Л. Фрідман простежує еволюцію стратегічного мислення від класичних теорій Карла фон Клаузевіца до сучасних гібридних форм, включаючи кібервійни. Застосовуючи цей історичний огляд до російських дій у Балтії, Фрідман ілюструє, як регіон вписується в ширшу наративну історію конфліктів, де традиційна сила поєднується з асиметричними методами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_Ref208333544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52</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3FC6F93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 Купер прогнозує хаотичні конфігурації XXI століття, позиціонуючи Балтію як арену постмодерної вразливості. Він контрастує "постсучасні" держави Заходу з "сучасною" Росією, аргументуючи необхідність сили для протидії безладу, і аналізує, як геополітичні зрушення посилюють конфлікти в регіоні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_Ref208333535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28</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59D15AF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 Каплан описує Балтійське море як одночасно бар’єр і місток, він деталізує вразливості Сувалкського коридору і передбачає майбутні сутички, де топографія диктує стратегічні ходи, спираючись на історичні аналогії та картографічні аналізи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_Ref208333462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78</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О. Філіпек розбирає дезінформацію та міграційні потоки як комбінацію матеріальних і ідейних інструментів, застосовуючи це до балтійського контексту з прикладами з 2014 року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_Ref208334522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47</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0ACEC14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 Мялксоо аналізує трансформації безпеки з фокусуванням на ролі НАТО в реконфігураціях, пропонуючи перспективи з балтійського погляду на трансатлантичні альянси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_Ref208311754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94</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Й. Екман демонструє зростання антиросійських настроїв та солідарність з національними спільнотами, інтерпретуючи ці тенденції як реакцію на гібридні загрози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_Ref211370412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42</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2983C257">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систематичному огляді «A Systematic Review on Post-Cold War Eastern European Patterns Led by Constructivism» охоплені патерни в Східній Європі. Автори пояснюють, як про-західні орієнтації формуються через ідентичності, застосовуючи це до балтійських кейсів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_Ref208334738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104</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В роботі Г. Бордин the European наводиться порівняльний аналіз дискурсів РФ та ЄС. Фокусуючись на Балтії, вона розбирає втручання в Сирію та Україну як приклади гібридних стратегій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_Ref208334768 \r \h  \* MERGEFORMAT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15</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5211B3F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Робота науковців Д. Джіоє разом із М. Міроном пропонує критичний огляд оборонної постава альянсу. Автори, спираючись на сценарії гібридних загроз, включаючи кібератаки та інформаційні операції, аргументують необхідність переорієнтації ресурсів від традиційних конвенційних сил до асиметричних інструментів, ілюструючи прикладами з Калінінграду, де російські маневри тестують вразливості НАТО. Їхній підхід, що інтегрує реалітні оцінки матеріальних спроможностей з конструктивістським розумінням сприйняття загроз, підкреслює, як балтійські держави можуть стати ареною для ширших трансатлантичних конфронтацій, пропонуючи рекомендації щодо посилення логістики та розвідки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_Ref208335079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56</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0C3180B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згадаємо роботу Е. Гьотц, який застосовує неокласичний реалізм для розкриття мотивів Москви. Він детально розбирає, як внутрішні фактори, такі як сприйняття в Кремлі, взаємодіють із системними факторами, наприклад, розширенням НАТО, аби пояснити агресивні кроки в регіоні, від військових навчань до економічних санкцій. Е. Гьотц, відомий своєю емпіричною методологією, що поєднує архівні дані з моделями прийняття рішень, демонструє, як російська політика в Балтії слугує інструментом внутрішньої консолідації влади, одночасно тестуючи західні альянси, і прогнозує ескалацію, якщо не врахувати ці дуалістичні рівні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_Ref208335144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60</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6222D31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звіті CEPA Е. Лукас та Б. Годжесом, відставним лейтенант-генералом армії США, «Близько до вітру: Чого хоче Росія» окреслюють амбіції Москви щодо домінування в Євразії. Вони позиціонують Балтійський регіон як ключовий важіль для тиску на НАТО, аналізуючи гібридні тактики від дезінформації до військових провокацій, і пропонують стратегії для Заходу, спираючись на реальні кейси з 2014 року. Автори, збагачуючи текст особистими інсайтами з дипломатії та поля, підкреслюють, як економічна залежність від російських енергоносіїв посилює вразливості, закликаючи до диверсифікації та посилення альянсів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_Ref208335193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89</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6D096D4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М. Галеотті Москва використовує Балтію в «політичній війні» проти Заходу. Робота глибоко описує тактики дестабілізації, включаючи підтримку сепаратистських настроїв серед меншин і кібероперації, інтегруючи реалітні матеріальні інтереси з конструктивістським аналізом наративів. Галеотті, з його унікальним доступом до джерел у Москві, ілюструє, як регіон слугує тестовим майданчиком для ширших геополітичних амбіцій, пропонуючи рекомендації щодо контрзаходів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_Ref208780088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53</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1DB1242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публікації «Стратегічні інтереси та дії Росії в Балтійському регіоні» Х. Брауб, німецький генерал-лейтенант у відставці з Бундесверу, колишній помічник генерального секретаря НАТО з оборонної політики з 2013 по 2018 рік, нині старший радник у Німецькій раді з зовнішніх відносин з співатором, акцентують на ролі Калінінграду як форпосту гібридних тактик. Автори, спираючись на німецьку перспективу з доступом до натовських даних, розбирають комбінацію військових маневрів, енергетичного шантажу та інформаційних кампаній, демонструючи, як ці елементи слугують для підриву єдності ЄС. Вони пропонують моделі протидії, підкреслюючи необхідність інтеграції цивільних і військових ресурсів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_Ref208335531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18</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5D34EA1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Викладач Датського інституту міжнародних досліджень Ф. С. Гансен аналізує еволюцію доктрин Москви. Він детально простежує, як стратегії дестабілізації моря інтегрують традиційні флоти з гібридними елементами, такими як підводні диверсії та артилерійські удари, застосовуючи конструктивістські лінзи для розуміння нормальних зрушень. Автор, з його фокусом на скандинавські імплікації, ілюструє, як Арктика посилює балтійські ризики, закликаючи до багатосторонніх угод [</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_Ref208335557 \r \h </w:instrText>
      </w:r>
      <w:r>
        <w:rPr>
          <w:rFonts w:ascii="Times New Roman" w:hAnsi="Times New Roman" w:cs="Times New Roman"/>
          <w:sz w:val="28"/>
          <w:szCs w:val="28"/>
          <w:lang w:val="uk-UA"/>
        </w:rPr>
        <w:fldChar w:fldCharType="separate"/>
      </w:r>
      <w:r>
        <w:rPr>
          <w:rFonts w:ascii="Times New Roman" w:hAnsi="Times New Roman" w:cs="Times New Roman"/>
          <w:sz w:val="28"/>
          <w:szCs w:val="28"/>
          <w:lang w:val="uk-UA"/>
        </w:rPr>
        <w:t>63</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w:t>
      </w:r>
    </w:p>
    <w:p w14:paraId="62CA57CB">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Угорський економіст А. Хартвіг із Б. Кісс-Доброні у статті «Економічні та енергетичні імплікації російського вторгнення в Україну» оцінюють наслідки для Балтії. Вони надають кількісні моделі залежності від енергоносіїв, демонструючи, як вторгнення прискорило диверсифікацію, але посилило короткострокові кризи, інтегруючи реалітні дані з конструктивістським поглядом на сприйняття ризиків. Автори пропонують сценарії для стійкості, підкреслюючи роль ЄС у пом’якшенні гібридних економічних атак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_Ref208335627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0796F545">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У статті «Відносини Балтійських держав з Росією: Історичний контекст і ліберальні теорії залежності» К. Метьюз простежує еволюцію відносин від часів царської Росії. Він застосовує ліберальні рамки для пояснення холодних зв’язків, показуючи, як історичні травми формують сучасні гібридні взаємодії, від торгівельних угод до культурних конфліктів, і аргументує за посилення інтеграції як контрзахід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_Ref208335652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w:t>
      </w:r>
    </w:p>
    <w:p w14:paraId="6CD1C917">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Автор робіт про енергетичну дипломатію З. Хенсон розглядає інтеграцію як фактор трансформації ідентичностей. Він аналізує, як вступ до ЄС послаблює російський вплив, фокусуючи на енергетичних аспектах як гібридному інструменті, і наводить приклади з Латвії для ілюстрації зрушень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_Ref208335673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w:t>
      </w:r>
    </w:p>
    <w:p w14:paraId="1DD0DA5B">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Отже, проведений огляд наукової літератури дає змогу говорити про високий ступінь уваги дослідників до проблематики російської політики щодо країн Балтії.</w:t>
      </w:r>
    </w:p>
    <w:p w14:paraId="211A0BAD">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11DF354A">
      <w:pPr>
        <w:pStyle w:val="2"/>
        <w:spacing w:before="0" w:after="0" w:line="360" w:lineRule="auto"/>
        <w:ind w:firstLine="709"/>
        <w:rPr>
          <w:rFonts w:ascii="Times New Roman" w:hAnsi="Times New Roman" w:cs="Times New Roman"/>
          <w:b/>
          <w:bCs/>
          <w:color w:val="000000" w:themeColor="text1"/>
          <w:sz w:val="28"/>
          <w:szCs w:val="28"/>
          <w:lang w:val="uk-UA"/>
          <w14:textFill>
            <w14:solidFill>
              <w14:schemeClr w14:val="tx1"/>
            </w14:solidFill>
          </w14:textFill>
        </w:rPr>
      </w:pPr>
      <w:bookmarkStart w:id="5" w:name="_Toc208397128"/>
      <w:r>
        <w:rPr>
          <w:rFonts w:ascii="Times New Roman" w:hAnsi="Times New Roman" w:cs="Times New Roman"/>
          <w:b/>
          <w:bCs/>
          <w:color w:val="000000" w:themeColor="text1"/>
          <w:sz w:val="28"/>
          <w:szCs w:val="28"/>
          <w:lang w:val="uk-UA"/>
          <w14:textFill>
            <w14:solidFill>
              <w14:schemeClr w14:val="tx1"/>
            </w14:solidFill>
          </w14:textFill>
        </w:rPr>
        <w:t>Висновки до І розділу</w:t>
      </w:r>
      <w:bookmarkEnd w:id="5"/>
      <w:r>
        <w:rPr>
          <w:rFonts w:ascii="Times New Roman" w:hAnsi="Times New Roman" w:cs="Times New Roman"/>
          <w:b/>
          <w:bCs/>
          <w:color w:val="000000" w:themeColor="text1"/>
          <w:sz w:val="28"/>
          <w:szCs w:val="28"/>
          <w:lang w:val="uk-UA"/>
          <w14:textFill>
            <w14:solidFill>
              <w14:schemeClr w14:val="tx1"/>
            </w14:solidFill>
          </w14:textFill>
        </w:rPr>
        <w:t xml:space="preserve"> </w:t>
      </w:r>
    </w:p>
    <w:p w14:paraId="00DAC6AF">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12EC4E25">
      <w:pPr>
        <w:spacing w:after="0" w:line="360" w:lineRule="auto"/>
        <w:ind w:firstLine="720"/>
        <w:jc w:val="both"/>
        <w:rPr>
          <w:rFonts w:ascii="Times New Roman" w:hAnsi="Times New Roman" w:cs="Times New Roman"/>
          <w:color w:val="000000" w:themeColor="text1"/>
          <w:sz w:val="28"/>
          <w:szCs w:val="28"/>
          <w:lang w:val="ru-RU"/>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Визначено, що здійснений аналіз наукових праць засвідчує значний інтерес дослідників до проблематики російської політики щодо країн Балтії. </w:t>
      </w:r>
      <w:r>
        <w:rPr>
          <w:rFonts w:ascii="Times New Roman" w:hAnsi="Times New Roman" w:cs="Times New Roman"/>
          <w:color w:val="000000" w:themeColor="text1"/>
          <w:sz w:val="28"/>
          <w:szCs w:val="28"/>
          <w:lang w:val="ru-RU"/>
          <w14:textFill>
            <w14:solidFill>
              <w14:schemeClr w14:val="tx1"/>
            </w14:solidFill>
          </w14:textFill>
        </w:rPr>
        <w:t xml:space="preserve">У сучасному дискурсі особливо опрацьованими постають питання енергетичної безпеки, політики історичної пам’яті та інформаційного протистояння. Застосування конструктивістських та дискурсивних підходів демонструє відчутний евристичний потенціал у дослідженні символічних вимірів російської зовнішньої політики; водночас зазначені підходи нерідко залишають поза увагою матеріальні чинники впливу, що формують реальну архітектуру відносин у регіоні. </w:t>
      </w:r>
    </w:p>
    <w:p w14:paraId="2951CAFA">
      <w:pPr>
        <w:spacing w:after="0" w:line="360" w:lineRule="auto"/>
        <w:ind w:firstLine="720"/>
        <w:jc w:val="both"/>
        <w:rPr>
          <w:rFonts w:ascii="Times New Roman" w:hAnsi="Times New Roman" w:cs="Times New Roman"/>
          <w:color w:val="000000" w:themeColor="text1"/>
          <w:sz w:val="28"/>
          <w:szCs w:val="28"/>
          <w:lang w:val="ru-RU"/>
          <w14:textFill>
            <w14:solidFill>
              <w14:schemeClr w14:val="tx1"/>
            </w14:solidFill>
          </w14:textFill>
        </w:rPr>
      </w:pPr>
      <w:r>
        <w:rPr>
          <w:rFonts w:ascii="Times New Roman" w:hAnsi="Times New Roman" w:cs="Times New Roman"/>
          <w:color w:val="000000" w:themeColor="text1"/>
          <w:sz w:val="28"/>
          <w:szCs w:val="28"/>
          <w:lang w:val="ru-RU"/>
          <w14:textFill>
            <w14:solidFill>
              <w14:schemeClr w14:val="tx1"/>
            </w14:solidFill>
          </w14:textFill>
        </w:rPr>
        <w:t>Натомість теорії політичного реалізму забезпечують ефективні аналітичні інструменти для виявлення геополітичних мотивів та стратегічних інтересів Росії, однак схильні до спрощення складності внутрішніх механізмів формування політичних рішень.</w:t>
      </w:r>
    </w:p>
    <w:p w14:paraId="4BF3DFBA">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Досить суттєвою прогалиною залишається недостатня увага до постструктуралістських підходів у конкретному контексті російсько-балтійських відносин для аналізу гібридних дискурсів після 2022 року, особливо щодо еволюції «русского мира» в балтійському контексті. Поточне дослідження заповнює цю прогалину, пропонуючи дискурс-аналіз з постструктуралістською рамкою, аби розкрити альтернативні інтерпретації, сприяючи діалогу замість конфронтації. </w:t>
      </w:r>
    </w:p>
    <w:p w14:paraId="2FA0206D">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1D96D874">
      <w:pPr>
        <w:rPr>
          <w:rFonts w:ascii="Times New Roman" w:hAnsi="Times New Roman" w:cs="Times New Roman" w:eastAsiaTheme="majorEastAsia"/>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br w:type="page"/>
      </w:r>
    </w:p>
    <w:p w14:paraId="5614DBB4">
      <w:pPr>
        <w:pStyle w:val="2"/>
        <w:spacing w:before="0" w:after="0" w:line="360" w:lineRule="auto"/>
        <w:jc w:val="center"/>
        <w:rPr>
          <w:rFonts w:ascii="Times New Roman Полужирный" w:hAnsi="Times New Roman Полужирный" w:cs="Times New Roman"/>
          <w:b/>
          <w:bCs/>
          <w:caps/>
          <w:color w:val="000000" w:themeColor="text1"/>
          <w:sz w:val="28"/>
          <w:szCs w:val="28"/>
          <w:lang w:val="uk-UA"/>
          <w14:textFill>
            <w14:solidFill>
              <w14:schemeClr w14:val="tx1"/>
            </w14:solidFill>
          </w14:textFill>
        </w:rPr>
      </w:pPr>
      <w:bookmarkStart w:id="6" w:name="_Toc208397129"/>
      <w:r>
        <w:rPr>
          <w:rFonts w:ascii="Times New Roman Полужирный" w:hAnsi="Times New Roman Полужирный" w:cs="Times New Roman"/>
          <w:b/>
          <w:bCs/>
          <w:caps/>
          <w:color w:val="000000" w:themeColor="text1"/>
          <w:sz w:val="28"/>
          <w:szCs w:val="28"/>
          <w:lang w:val="uk-UA"/>
          <w14:textFill>
            <w14:solidFill>
              <w14:schemeClr w14:val="tx1"/>
            </w14:solidFill>
          </w14:textFill>
        </w:rPr>
        <w:t>Розділ ІІ.</w:t>
      </w:r>
      <w:bookmarkEnd w:id="6"/>
    </w:p>
    <w:p w14:paraId="024B05C4">
      <w:pPr>
        <w:pStyle w:val="2"/>
        <w:spacing w:before="0" w:after="0" w:line="360" w:lineRule="auto"/>
        <w:jc w:val="center"/>
        <w:rPr>
          <w:rFonts w:ascii="Times New Roman Полужирный" w:hAnsi="Times New Roman Полужирный" w:cs="Times New Roman"/>
          <w:b/>
          <w:bCs/>
          <w:caps/>
          <w:color w:val="000000" w:themeColor="text1"/>
          <w:sz w:val="28"/>
          <w:szCs w:val="28"/>
          <w:lang w:val="uk-UA"/>
          <w14:textFill>
            <w14:solidFill>
              <w14:schemeClr w14:val="tx1"/>
            </w14:solidFill>
          </w14:textFill>
        </w:rPr>
      </w:pPr>
      <w:bookmarkStart w:id="7" w:name="_Toc208397130"/>
      <w:r>
        <w:rPr>
          <w:rFonts w:ascii="Times New Roman Полужирный" w:hAnsi="Times New Roman Полужирный" w:cs="Times New Roman"/>
          <w:b/>
          <w:bCs/>
          <w:caps/>
          <w:color w:val="000000" w:themeColor="text1"/>
          <w:sz w:val="28"/>
          <w:szCs w:val="28"/>
          <w:lang w:val="uk-UA"/>
          <w14:textFill>
            <w14:solidFill>
              <w14:schemeClr w14:val="tx1"/>
            </w14:solidFill>
          </w14:textFill>
        </w:rPr>
        <w:t>Інструменти формування політики РФ щодо країн Балтії</w:t>
      </w:r>
      <w:bookmarkEnd w:id="7"/>
    </w:p>
    <w:p w14:paraId="7C094FCE">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25218E00">
      <w:pPr>
        <w:pStyle w:val="2"/>
        <w:spacing w:before="0" w:after="0" w:line="360" w:lineRule="auto"/>
        <w:ind w:firstLine="720"/>
        <w:jc w:val="both"/>
        <w:rPr>
          <w:rFonts w:ascii="Times New Roman" w:hAnsi="Times New Roman" w:cs="Times New Roman"/>
          <w:b/>
          <w:bCs/>
          <w:color w:val="000000" w:themeColor="text1"/>
          <w:sz w:val="28"/>
          <w:szCs w:val="28"/>
          <w:lang w:val="uk-UA"/>
          <w14:textFill>
            <w14:solidFill>
              <w14:schemeClr w14:val="tx1"/>
            </w14:solidFill>
          </w14:textFill>
        </w:rPr>
      </w:pPr>
      <w:bookmarkStart w:id="8" w:name="_Toc208397131"/>
      <w:r>
        <w:rPr>
          <w:rFonts w:ascii="Times New Roman" w:hAnsi="Times New Roman" w:cs="Times New Roman"/>
          <w:b/>
          <w:bCs/>
          <w:color w:val="000000" w:themeColor="text1"/>
          <w:sz w:val="28"/>
          <w:szCs w:val="28"/>
          <w:lang w:val="ru-RU"/>
          <w14:textFill>
            <w14:solidFill>
              <w14:schemeClr w14:val="tx1"/>
            </w14:solidFill>
          </w14:textFill>
        </w:rPr>
        <w:t>2.1. Історичні та культурні наративи у політичній стратегії РФ щодо країн Балтії</w:t>
      </w:r>
      <w:bookmarkEnd w:id="8"/>
    </w:p>
    <w:p w14:paraId="3276883B">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481054EA">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У формуванні зовнішньополітичного курсу Російської Федерації стосовно балтійських держав визначальне значення мають наративи, що спираються на історичні та культурні конструкти, які слугують інструментом легітимації дій Москви в регіоні. Подібні наративи не просто відтворюють минуле, а активно переосмислюють його, аби підкреслити тяглість радянської спадщини як основи для сучасних претензій. Зокрема, акцент на Великій Вітчизняній війні як символі спільної перемоги над фашизмом дозволяє російській владі позиціонувати себе захисником «історичної справедливості», де балтійські країни постають як невдячні нащадки, що спотворюють колективну пам’ять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_Ref208261441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Такий підхід, глибоко вкорінений у дискурсивних практиках, перетворює історичні події на арену геополітичної боротьби, де культурна близькість з російськомовними спільнотами слугує мостом для втручання. Дослідники, які вивчають еволюцію зовнішньої політики РФ, підкреслюють, що подібні конструкти не є статичними; вони адаптуються до поточних викликів, наприклад, після повномасштабного вторгнення в Україну у 2022 році, коли наративи про «захист від нацизму» набули нового виміру, пов’язаного з регіональною безпекою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_Ref208778116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Вони досліджують, як Москва, через державні ЗМІ та дипломатичні заяви, малює картину, де Литва, Латвія та Естонія не просто сусіди, а спадкоємці тих, хто нібито зрадив антигітлерівську коаліцію, тим самим виправдовуючи ескалацію гібридних загроз.</w:t>
      </w:r>
    </w:p>
    <w:p w14:paraId="7FB4F2A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Інші дослідники зазначають, що стратегія РФ у балтійському напрямку еволюціонує від жорстких історичних претензій до м’якших культурних ініціатив, які маскують амбіції під турботу про «своїх». Відтак наратив про «близьке зарубіжжя» як простір, де Москва має моральне право на вплив, черпає сили з пострадянської ідентичності, де балтійські держави зображуються частиною єдиного культурного континууму, порушеного розпадом СРСР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_Ref208335719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40</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w:t>
      </w:r>
    </w:p>
    <w:p w14:paraId="359665EE">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У працях, присвячених конструктивістським аспектам, підкреслюється, як такі конструкти формують зовнішню політику через процеси ідентифікації: Росія бачить у балтійських меншинах відлуння власної нарації про «загублені землі», що виправдовує антидипломатичні кроки, спрямовані на дестабілізацію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_Ref208334297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Варіюючи інтенсивність, Москва чергувала прямі звинувачення в «переписуванні історії» з культурними проектами, такими як підтримка російськомовних ЗМІ, аби посилити відчуття причетності до «материнської» культури. Подібного роду тактика особливо ефективна в контексті виборчих кампаній, де російські агенти впливають на меншини через Telegram-канали та псевдо-НГО, поширюючи історії про культурне придушення, що резонують з локальними скаргами на мовні політики. Відтак у Латвії такі кампанії під час парламентських виборів 2022 року акцентували увагу на «дискримінації» російськомовних, представляючи уряд як ворожий до традиційних цінностей, що Москва позиціонує як оплот проти «західного декадансу».</w:t>
      </w:r>
    </w:p>
    <w:p w14:paraId="65D13BE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Якщо досліджувати це питання глибше, стає очевидним, як орієнталізм у російському сприйнятті балтійського регіону перетворює його на периферійний простір, де «західна» орієнтація Литви, Латвії та Естонії трактується як зрада спільних коренів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_Ref208333672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Науковець Д. Правоторау, аналізуючи дискурси, вказує на те, що з 2004 роком, з початком інтеграцією балтійських країн до ЄС і НАТО, спонукав РФ до відродження наративів: від «СРСР як цивілізатор» до «захисту від західного неоколоніалізму»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_Ref208261164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Подібна трансформація не випадкова; вона відображає ширшу стратегію, де культурні артефакти – від меморіалів Другої світової до освітніх програм – слугують знаряддями гібридного впливу, дозволяючи уникати ескалації при збереженні тиску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_Ref208334522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контексті війни в Україні такі наративи набули нової гостроти, позиціонуючи балтійські держави як потенційний фланг «русского мира», де історична пам’ять про окупацію слугує аргументом для превентивних загроз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_Ref208778116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Нещодавні приклади, на кшалт прогнозів російських політологів про «гібридні атаки» на Балтію восени 2024 року, ілюструють, як Москва використовує страх перед НАТО для створення паніки, поширюючи чутки про будівництво баз у Нарві чи депопуляцію регіону. Валерій Соловій, наприклад, у інтерв’ю Юлії Латиніної, малював сценарії успішних операцій, що резонують з історичними аналогіями до окупації</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Криму, тим самим тестуючи реакцію Заходу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_Ref208761737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280A44B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Конструктивістські підходи розкривають, як ідентичність формує політику: у випадку РФ балтійський регіон постає не стільки географічним, скільки символічним полем, де наративи про «втрачену велич» легітимізують агресивні кроки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_Ref208333563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Дискурсивний аналіз показує, що Москва майстерно використовує бінарні опозиції – «ми проти них» – аби мобілізувати внутрішню підтримку, водночас проектуючи культурну домінацію назовні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_Ref208334768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Особливо помітно це в речах про енергію та пам’ять, де історичні травми переплетені з сучасними залежностями, створюючи лабіринт залежностей, що ускладнює балтійську автономію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_Ref208333680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Фінальний акорд у цій стратегії – апеляція до «європейської інтеграції як пастки», де РФ позиціонує себе рятівником від «американського гегемонізму», черпаючи з неокласичного реалізму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_Ref208335144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60</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Як приклад, у статті 2020 року Володимир Путін стверджує, що приєднання Латвії, Литви та Естонії до СРСР у 1939–1940 роках відбулося «на договірній основі, з урахуванням згоди обраних урядових органів», ігноруючи роль пакту Молотова-Ріббентропа як примусового інструменту окупації. Така інтерпретація слугує для підриву легітимності незалежності балтійських держав, представляючи їх як історично «природну» частину радянського (а отже, російського) простору, що потребує «відновлення справедливості» </w:t>
      </w:r>
      <w:r>
        <w:rPr>
          <w:rFonts w:ascii="Times New Roman" w:hAnsi="Times New Roman" w:cs="Times New Roman"/>
          <w:color w:val="000000" w:themeColor="text1"/>
          <w:sz w:val="28"/>
          <w:szCs w:val="28"/>
          <w:lang w:val="ru-RU"/>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lang w:val="ru-RU"/>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ru-RU"/>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ru-RU"/>
          <w14:textFill>
            <w14:solidFill>
              <w14:schemeClr w14:val="tx1"/>
            </w14:solidFill>
          </w14:textFill>
        </w:rPr>
        <w:instrText xml:space="preserve">208762064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ru-RU"/>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ru-RU"/>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lang w:val="ru-RU"/>
          <w14:textFill>
            <w14:solidFill>
              <w14:schemeClr w14:val="tx1"/>
            </w14:solidFill>
          </w14:textFill>
        </w:rPr>
        <w:t>131</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lang w:val="ru-RU"/>
          <w14:textFill>
            <w14:solidFill>
              <w14:schemeClr w14:val="tx1"/>
            </w14:solidFill>
          </w14:textFill>
        </w:rPr>
        <w:t>]</w:t>
      </w:r>
      <w:r>
        <w:rPr>
          <w:rFonts w:ascii="Times New Roman" w:hAnsi="Times New Roman" w:cs="Times New Roman"/>
          <w:color w:val="000000" w:themeColor="text1"/>
          <w:sz w:val="28"/>
          <w:szCs w:val="28"/>
          <w:lang w:val="uk-UA"/>
          <w14:textFill>
            <w14:solidFill>
              <w14:schemeClr w14:val="tx1"/>
            </w14:solidFill>
          </w14:textFill>
        </w:rPr>
        <w:t xml:space="preserve">. </w:t>
      </w:r>
    </w:p>
    <w:p w14:paraId="09969D9D">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Розглянутий підхід не лише стримують нормалізацію відносин, а й тримає кордони в стані невизначеності, як у випадку з естонсько-російським договором 2005 року, який Москва використовує для провокацій, таких як видалення буїв на Нарві чи порушення повітряного простору.</w:t>
      </w:r>
    </w:p>
    <w:p w14:paraId="4FB2715E">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Отже, історичні та культурні наративи слугують РФ не лише ідеологічним каркасом, а й практичним механізмом, що адаптується до змін у регіональній безпекості, забезпечуючи стійкість впливу попри опір балтійських еліт. Розглядаючи ширший контекст, стає зрозумілим, що ці конструкти не ізольовані; вони переплітаються з глобальними дискурсами, де Росія позиціонує себе як антагоніст Заходу, а Балтію – як жертву «натівської експансії». У працях про стратегічні культури підкреслюється, як Москва уникає прямого протистояння, натомість покладаючись на «психологічні операції», що експлуатують етнічні розколи, подібно до подій з «Бронзовим солдатом» у Таллінні 2007 року. Конструктивісти, як Тед Хопф, аргументують, що ідентичність тут не фіксована, а конструюється через дискурси, де РФ позиціонує себе «матір’ю-нацією», а Балтію – «бунтівними дітьми»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_Ref208333563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контексті 2022–2025 років, з війною в Україні, цей міф набув воєнного забарвлення: заборона символіки СРСР у балтійських столицях трактується як «нацистська реваншистська», спонукаючи до кібератак та фейкових новин про «етнічні чистки».</w:t>
      </w:r>
    </w:p>
    <w:p w14:paraId="1B1B3087">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Аналізуючи вплив на суспільства, варто відзначити, як радянська спадщина переплітається з мультикультуралізмом. У балтійських музеях окупацій – від Вільнюса до Риги – наративи фокусуються на стражданнях титульних націй, маргіналізуючи досвід росіян, що Москва використовує для звинувачень у «ксенофобії». Зміни, як-от експозиція 2018 року в Таллінні, що включила перспективи меншин, свідчать про спроби діалогу, але російська пропаганда їх ігнорує, акцентуючи на «придушенні голосу». У Латвії це призводить до зростання підтримки проросійських партій, де виборці, вплинуті Telegram-каналами, бачать у політиках мови загрозу культурній ідентичності. Проведений збір та аналіз наукових джерел вказують, що така стратегія не лише дестабілізує, а й блокує інтеграцію меншин, створюючи «паралельні суспільства», де радянські міфи слугують клеєм для лояльності до Москви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_Ref208334297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Філософи на кшталт М. Фуко говорили б про «археологію знання», де влада формує, що є «правдою» про минуле, і в цьому сенсі РФ майстерно переписує балтійську історію як главу російської саги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_Ref208260869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74CF088F">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Розширюючи погляд, радянська спадщина впливає на геополітичні кордони: нератифікований договір з Естонією 2014 року тримається як заручник наративу про «втрачені землі», де 5% довоєнної території – це не просто земля, а символічна рана. Москва неодноразово посилалася на Тартуський мирний договір (підписаний 2 лютого 1920 року між РРФСР та Естонією, який визнав незалежність Естонії та встановив кордон, включаючи території на схід від Нарви та Пеїпусського озера, які РФ анексувала в 1940-х). Російська сторона, включаючи заяви Путіна та МЗС РФ, трактує договір як «недійсний» після радянської окупації, використовуючи це для блокування ратифікації сучасних прикордонних угод (наприклад, у 2005 році РФ відмовилася ратифікувати угоду через преамбулу, де Естонія згадувала Тартуський договір)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_Ref208764930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57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Власне це стимулює естонських націоналістів (наприклад, з Консервативної народної партії Естонії, EKRE) протистояти компромісам, паралізуючи безпеку, оскільки відсутність ратифікованого кордону дозволяє РФ маніпулювати територіальними претензіями. В. Путін неодноразово апелював до цього в промовах, наприклад, у контексті «історичної справедливості» (як у статті 2020 року про Другу світову), де Естонія зображується як «провінція», що потребує «відновлення» кордонів за радянськими моделями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_Ref208764937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126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4C3A62F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У культурному плані це проявляється в підтримці сетів – етнічної групи на кордоні – як «загублених росіян», подібно до «русского мира» в Молдові </w:t>
      </w:r>
      <w:r>
        <w:rPr>
          <w:rFonts w:ascii="Times New Roman" w:hAnsi="Times New Roman" w:cs="Times New Roman"/>
          <w:color w:val="000000" w:themeColor="text1"/>
          <w:sz w:val="28"/>
          <w:szCs w:val="28"/>
          <w:lang w:val="ru-RU"/>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lang w:val="ru-RU"/>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ru-RU"/>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ru-RU"/>
          <w14:textFill>
            <w14:solidFill>
              <w14:schemeClr w14:val="tx1"/>
            </w14:solidFill>
          </w14:textFill>
        </w:rPr>
        <w:instrText xml:space="preserve">208765154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ru-RU"/>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ru-RU"/>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lang w:val="ru-RU"/>
          <w14:textFill>
            <w14:solidFill>
              <w14:schemeClr w14:val="tx1"/>
            </w14:solidFill>
          </w14:textFill>
        </w:rPr>
        <w:t>100</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lang w:val="ru-RU"/>
          <w14:textFill>
            <w14:solidFill>
              <w14:schemeClr w14:val="tx1"/>
            </w14:solidFill>
          </w14:textFill>
        </w:rPr>
        <w:t>]</w:t>
      </w:r>
      <w:r>
        <w:rPr>
          <w:rFonts w:ascii="Times New Roman" w:hAnsi="Times New Roman" w:cs="Times New Roman"/>
          <w:color w:val="000000" w:themeColor="text1"/>
          <w:sz w:val="28"/>
          <w:szCs w:val="28"/>
          <w:lang w:val="uk-UA"/>
          <w14:textFill>
            <w14:solidFill>
              <w14:schemeClr w14:val="tx1"/>
            </w14:solidFill>
          </w14:textFill>
        </w:rPr>
        <w:t>. Сети (Setos) – етнорелігійна група (близько 10–15 тис. осіб) на естонсько-російському кордоні (регіон Сетомаа, біля Печор), православні фіньо-угорці, культурно близькі до естонців, але історично пов’язані з Росією (багато живуть у Псковській області РФ). Порівняння з Молдовою стосується подібної стратегії: у Молдові (зокрема в Гагаузії та Придністров’ї) РФ підтримує російськомовні меншини як «захищених» від «західного тиску», блокуючи євроінтеграцію через сепаратизм та дезінформацію [</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208765160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75</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11E2194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Дослідження стратегічних наративів серед молоді в Латвії показують, що прийом таких конструктів залежить від емоційного резонансу: історії про «радянське процвітання» викликають ностальгію, тоді як антизахідні мотиви – страх. Дане твердження базується на соціологічних опитуваннях та дискурс-аналізі, де радянська ностальгія серед латвійської молоді (особливо російськомовної, 25–30%) формується емоційно: історії про «процвітання» (стабільність, соціальні гарантії) викликають ностальгію, а антизахідні наративи (про «загрозу від ЄС/НАТО») – страх маргіналізації. Дослідження показують кореляцію з етнічним походженням та економічним станом, де стратегічні наративи РФ (через медіа) адаптуються для емоційного впливу [</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208765261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129</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0AC5BC30">
      <w:pPr>
        <w:spacing w:after="0" w:line="360" w:lineRule="auto"/>
        <w:ind w:firstLine="720"/>
        <w:jc w:val="both"/>
        <w:rPr>
          <w:lang w:val="uk-UA"/>
        </w:rPr>
      </w:pPr>
      <w:r>
        <w:rPr>
          <w:rFonts w:ascii="Times New Roman" w:hAnsi="Times New Roman" w:cs="Times New Roman"/>
          <w:color w:val="000000" w:themeColor="text1"/>
          <w:sz w:val="28"/>
          <w:szCs w:val="28"/>
          <w:lang w:val="uk-UA"/>
          <w14:textFill>
            <w14:solidFill>
              <w14:schemeClr w14:val="tx1"/>
            </w14:solidFill>
          </w14:textFill>
        </w:rPr>
        <w:t>У 2023–2024 роках, під час виборів у Естонії, фейкові акаунти поширювали чутки про «мовчання» російськомовних в е-голосу, посилюючи відчуття маргіналізації. Під час парламентських виборів 2023 року (де вперше понад 50% голосів подано онлайн) та місцевих/європейських 2024 року проросійські фейкові акаунти (часто з РФ) поширювали чутки про «мовчання» (ігнорування) російськомовних у e-voting, ніби система дискримінує меншини, що посилювало маргіналізацію (25% населення – російськомовні). Така частина ширшої дезінформації, де EKRE та інші партії під сумнівом ставили i-voting, посилаючись на «аномалії»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208765499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39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r>
        <w:rPr>
          <w:lang w:val="uk-UA"/>
        </w:rPr>
        <w:t xml:space="preserve"> </w:t>
      </w:r>
    </w:p>
    <w:p w14:paraId="30A2C53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Радянська спадщина адаптується через цифрові інструменти, де deepfakes (AI-відео) еродують довіру до інститутів. Приклад – deepfake з латвійським політиком (наприклад, Rihards Kols у 2021; deepfakes у балтійському регіоні для впливу на вибори, як у Словаччині чи Україні) [</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208765611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130</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Таким чином, спадщина не є реліктом; вона – живий інструмент, що адаптується до цифрової ери, де AI-генеровані відео, як deepfake латвійського політика, еродують довіру.</w:t>
      </w:r>
    </w:p>
    <w:p w14:paraId="26EEA62D">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Велика Вітчизняна війна в російському дискурсі слугує не лише пам’яттю, а й зброєю в арсеналі проти балтійських наративів, де перемога 1945 року трактується як спільна, попри локальні колабораціонізми та окупації. Москва звинувачує Естонію, Латвію та Литву в «реабілітації колаборантів», посилаючись на легалізацію лісних братів чи латвійських легіонерів СС як «борців за незалежність», що нібито принижує радянських ветеранів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_Ref208261441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Такого роду наратив, культивований через 9 травня як «День Перемоги», проникає в регіон через російськомовні спільноти, де акції пам’яті стають ареною конфронтацій, як у Нарві 2023 року, коли протести проти демонтажу пам’ятників переросли в сутички. Дослідники дискурсу відзначають, що така риторика створює біполярність: «ми – переможці, ви – зрадники», легітимізуючи втручання як «захист честі»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_Ref208334768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Наводяться як приклад ТБ-репортажі, де балтійські музеї зображуються як «пропаганда нацизму», а меморіали – руйнуванням «спільної спадщини».</w:t>
      </w:r>
    </w:p>
    <w:p w14:paraId="2C69C2F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Еволюція цього елемента помітна в пост-2014 періоді: окупація</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Криму надихнула на акцентування «боротьби з реваншизмом», де Балтія постає як «другий фронт»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_Ref208780088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53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Литві, з її сильною антирадянською традицією, РФ підтримує православні громади, де проповіді отців акцентують на «святій війні», протистоячи «ліберальному Заходу». Аналіз джерел вказує на те, що серед меншин у Ризі 40% сприймають війну як «російську перемогу», що Москва використовує для мобілізації. Конструктивістські рамки, як у Венді, пояснюють, як ідентичність тут упізнається: війна стає «моментом впізнавання» для РФ, де Балтія – «інший», що загрожує єдності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_Ref208333526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136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2024–2025 роках, з прогнозами про «атаки на НАТО», наративи ескалюють: Дмитро Рогозін у Telegram закликав до «коридору» до Калінінграду, посилаючись на «провокації» Литви з школами. Подібні заклики не ізольовані; вони переплітаються з культурними, де фільми про війну, як «Битва за Севастополь», поширюються онлайн, формуючи альтернативну реальність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_Ref208334257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118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70698DE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Війна впливає на мультикультурний діалог: балтійські нації пам’ятають 1941–1944 як «другу окупацію», з толерантнішими нацистами, але з колаборацією, що Москва узагальнює як «фашизм». Музеї, фокусуючись на подвійних окупаціях, маргіналізують радянських «визволителів», спонукаючи РФ до кампаній у ООН про «дискримінацію ветеранів». У Естонії це призводить до кібератак на сайти пам’яті, де хакери замінюють контент на «переможні» зображення. М. Фуко б сказав, що дискурс тут – «режим істини», де Москва контролює, що є «героїчним»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_Ref208260873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З 2022 року, з заборонами символів, наративи загострилися: у Латвії видалення пам’ятників у Даугавпілсі викликало протести, де меншини скандували «фашизм не пройде», ехо радянської риторики. Аналізи вказують, що це не лише внутрішній тиск, а й зовнішній: В. Путін у промовах пов’язує Балтію з «нацистами в Києві», створюючи континуум загроз.</w:t>
      </w:r>
    </w:p>
    <w:p w14:paraId="1C754FF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Отже, «перемога» слугує для глобальної легітимності: у Африці чи Латинській Америці РФ позиціонує себе антиколоніальною силою проти «натівських нащадків вермахту»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_Ref208333301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21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Балтії це проявляється в «м’якій силі», як фонди Горчакова, що фінансують конференції про «справжню історію»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_Ref208334257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118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Дослідження серед молоді показують, що емоційний прийом – ключ: історії про «бабусь-вeтeранок» викликають емпатію, еродуючи антиросійські настрої. У 2025 році, з переходом влади в США, прогнози про «атаку взимку 2024/25» посилюють наратив, де Балтія – «жертва НАТО», а Росія – «захисник». Таким чином, війна – не минуле, а інструмент сьогодення, що формує кордони сприйняття.</w:t>
      </w:r>
    </w:p>
    <w:p w14:paraId="311E045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Якщо говорити про культурні наративи, то вони у РФ фокусуються на «русском мире» як уяві про транскордонну спільноту, де балтійські росіяни – «ті, яких треба захистити», а мовні політики – «культуроцид». Москва підтримує ЗМІ та НГО, що поширюють історії про «забування коренів», представляючи ЄС як загрозу традиціям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_Ref208334297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Естонії, з 25% меншини, це резонує в Нарві, де нарративи про «депопуляцію для баз НАТО» створюють паніку. Дослідники відзначають, що така стратегія – гібридна, поєднуючи м’яку силу з десінформацією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_Ref208334522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Уявіть VK-спільноти, де пости про «латвійську заборону російської культури» набирають тисячі лайків, формуючи «паралельну реальність».</w:t>
      </w:r>
    </w:p>
    <w:p w14:paraId="6798E34E">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Еволюція від 2020-х відображує цифровізацію. Так після 2022 забанили RT, але мережі перемістилися до Telegram, де AI-контент, як deepfakes, атакує політиків. У Литві релігійні проксі, як РПЦ, проповідують проти «ЛГБТ-пропаганди», позиціонуючи Росію як «традиціоналістку». Конструктивісти бачать тут ідентифікацію через «іншого»: меншини ідентифікуються з Москвою проти «асиміляції»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_Ref208333563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2023 виборах Латвії НГО фінансували кандидатів за «нейтралітет», експлуатуючи культурні скарги. Аналізи показують, що це знижує явку меншин, паралізуючи демократію.</w:t>
      </w:r>
    </w:p>
    <w:p w14:paraId="43D693A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З 2024 року наративи пов’язують Україну з «культурним занепадом Балтії». Молодь у Латвії, за дослідженнями, приймає їх через емоції, де ностальгія змішується зі страхом. Таким чином, культура – не нейтральна, а геополітична зброя.</w:t>
      </w:r>
    </w:p>
    <w:p w14:paraId="66A0F3A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0515723F">
      <w:pPr>
        <w:pStyle w:val="2"/>
        <w:spacing w:before="0" w:after="0" w:line="360" w:lineRule="auto"/>
        <w:ind w:firstLine="720"/>
        <w:jc w:val="both"/>
        <w:rPr>
          <w:rFonts w:ascii="Times New Roman" w:hAnsi="Times New Roman" w:cs="Times New Roman"/>
          <w:b/>
          <w:bCs/>
          <w:color w:val="000000" w:themeColor="text1"/>
          <w:sz w:val="28"/>
          <w:szCs w:val="28"/>
          <w:lang w:val="uk-UA"/>
          <w14:textFill>
            <w14:solidFill>
              <w14:schemeClr w14:val="tx1"/>
            </w14:solidFill>
          </w14:textFill>
        </w:rPr>
      </w:pPr>
      <w:bookmarkStart w:id="9" w:name="_Toc208397132"/>
      <w:r>
        <w:rPr>
          <w:rFonts w:ascii="Times New Roman" w:hAnsi="Times New Roman" w:cs="Times New Roman"/>
          <w:b/>
          <w:bCs/>
          <w:color w:val="000000" w:themeColor="text1"/>
          <w:sz w:val="28"/>
          <w:szCs w:val="28"/>
          <w:lang w:val="ru-RU"/>
          <w14:textFill>
            <w14:solidFill>
              <w14:schemeClr w14:val="tx1"/>
            </w14:solidFill>
          </w14:textFill>
        </w:rPr>
        <w:t>2.2. Інформаційно-комунікативний аспект політики РФ щодо країн Балтії</w:t>
      </w:r>
      <w:bookmarkEnd w:id="9"/>
    </w:p>
    <w:p w14:paraId="1D1C705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168BC39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У зовнішній політиці Російської Федерації стосовно Естонії, Латвії та Литви помітну роль відіграють методи інформаційного впливу, спрямовані на формування вигідних Москві наративів у регіоні. Аналізуючи еволюцію таких підходів з початку 2020-х років, дослідники підкреслюють посилення гібридних тактик, серед яких дезінформація та пропаганда займають центральне місце, дозволяючи Кремлю підривати стабільність балтійських суспільств без прямого військового втручання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_Ref208334522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Зокрема, після повномасштабного вторгнення в Україну 2022 року, російські кампанії набули більш витонченого характеру, фокусуючись на експлуатації етнічних розколів та історичних травм, аби посіяти недовіру до місцевих урядів і західних альянсів. Балтійські держави, маючи досвід радянської окупації, стали об’єктом систематичних зусиль Москви з метою реабілітації радянського минулого та дискредитації євроатлантичної інтеграції, що проявляється в поширенні фальшивих наративів про «фашистські» режими в Таллінні, Ризі та Вільнюсі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_Ref208334436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Подібні дії не лише посилюють поляризацію серед російськомовного населення, але й сприяють ослабленню єдності НАТО, адже Кремль прагне представити Альянс як агресивну силу, відповідальну за ескалацію напруженості в регіоні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_Ref208334297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Водночас, у наукових працях акцентується увага на тому, як Росія адаптує свої стратегії до цифрової епохи, використовуючи соціальні мережі для швидкого поширення маніпулятивного контенту, що ускладнює протидію з боку балтійських урядів.</w:t>
      </w:r>
    </w:p>
    <w:p w14:paraId="0ADB950F">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Стратегії Москви в інформаційній сфері часто переплітаються з елементами м’якої сили, де культурні та медійні ініціативи слугують інструментом для збереження впливу на російськомовні меншини. Не обмежуючись традиційними медіа, Російська Федерація активно залучає платформи на кшталт Telegram, TikTok, Facebook та X для цільового впливу на етнічних росіян у Балтії, поширюючи твердження про дискримінацію та порушення свободи слова з боку місцевих влад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_Ref208775509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Наприклад, у 2025 році зафіксовано кампанії, де акаунти, замасковані під локальні спільноти на зразок «Російськомовна Естонія», просували ідеї про марність допомоги Україні та ностальгію за радянськими часами, що призводило до зростання скептицизму щодо державних інституцій та відчуття вразливості перед потенційним конфліктом. Аналогічно, у контексті виборів у цих країнах Кремль застосовує когнітивну війну, маніпулюючи сприйняттям реальності через потік суперечливих наративів, аби паралізувати політичні процеси та знизити довіру до результатів голосування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_Ref208780249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З 2020 року спостерігається еволюція тактик: від кібератак на виборчу інфраструктуру, як у Естонії 2023 року, коли понад 300 трольських акаунтів намагалися зменшити явку меншин, до використання штучного інтелекту для створення глибоких фейків, наприклад, у Латвії, де відео з нібито корупцією політиків переглянули сотні тисяч разів перед спростуванням. У Литві фішингові атаки на чиновників та релігійні проксі, такі як Російська православна церква, сприяли поширенню скепсису щодо західного лібералізму, хоча й не змінили суттєво виборчих результатів. Такі методи, базовані на теорії стратегічних наративів, позиціонують Росію як захисника традиційних цінностей проти «занепаду» Заходу, експлуатуючи локальні проблеми на кшталт мовної політики чи прав ЛГБТ. Балтійські держави, у відповідь, розвивають контрзаходи, включаючи центри передового досвіду НАТО з кібербезпеки в Естонії, стратегічних комунікацій у Латвії та енергетичної безпеки в Литві, що допомагає протидіяти гібридним загрозам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_Ref208775544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Крім того, програми медійної грамотності та соціальної інтеграції підкреслюють переваги демократичного життя в порівнянні з російською реальністю, сприяючи резилієнтності суспільств.</w:t>
      </w:r>
    </w:p>
    <w:p w14:paraId="208122C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Російська пропаганда намагається переосмислити балтійські країни з «радянського Заходу» на «західний Схід», адаптуючи дискурс до пост-2004 реалій, де членство в ЄС не усунуло вразливості до московського впливу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_Ref208261164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ширшому контексті, інформаційно-комунікативна політика РФ щодо Балтії інтегрується з гібридними операціями, включаючи саботаж інфраструктури, як у випадку з газопроводом Balticconnector, що інтерпретується як частина ширшої стратегії дестабілізації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_Ref208775575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27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З 2020 року частота та якість кампаній зросли, особливо проти Литви, Латвії, Естонії та Польщі, з акцентом на знецінення української нації та відбілення сталінського режиму, що резонує з місцевими історичними дебатами. Балтійські уряди, витрачаючи понад 3% ВВП на оборону у 2024-2025 роках, розширюють інвестиції в кібербезпеку та контрдезінформацію, спираючись на колективну пам’ять про окупацію для формування національної оборони. Підхід «цілого суспільства» включає цивільні тренування, диверсифікацію енергії та шкільні програми, аби зменшити залежність від Росії та посилити стійкість до її наративів. Таким чином, попри зусилля Москви, вплив поступово слабшає завдяки проактивним заходам балтійських держав, які позиціонують себе як лідерів у НАТО для протидії імперським амбіціям Кремля.</w:t>
      </w:r>
    </w:p>
    <w:p w14:paraId="44F56CF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Еволюцію політики Москви в інформаційній сфері стосовно балтійських країн можна простежити від радянських часів, коли пропаганда слугувала інструментом для консолідації влади над окупованими територіями. У період після 1991 року, коли Естонія, Латвія та Литва відновили незалежність, Росія спочатку намагалася зберегти вплив через культурні та економічні зв’язки, але з середини 2000-х перейшла до більш агресивних форм, інтегруючи кібернетичні елементи з дезінформацією. Подія 2007 року в Естонії, відома як «бронзова ніч», коли переміщення радянського пам’ятника спровокувало кібератаки на державні установи, банки та медіа, стала першим масштабним прикладом гібридної війни в регіоні, паралізувавши цифрову інфраструктуру на кілька днів і змусивши Таллінн переглянути підходи до безпеки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_Ref208775665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З того часу Кремль удосконалював тактики, запозичуючи з доктрини Герасимова 2013 року, яка наголошує на переважанні немійських засобів над військовими в досягненні геополітичних цілей, де інформація стає зброєю для маніпуляції суспільною свідомістю. У 2014 році, під час окупації</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Криму, подібні методи випробували на балтійських російськомовних спільнотах, поширюючи наративи про «захист співвітчизників» через канали на кшталт Sputnik та RT, що призвело до зростання напруженості в прикордонних районах.</w:t>
      </w:r>
    </w:p>
    <w:p w14:paraId="0D830D7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Науковець Д. Горенбург описує, як Москва у кризах у Балтії уникає прямих військових дій, натомість використовуючи етнічні протести та інформаційні кампанії для досягнення геополітичних цілей, посилюючи внутрішні розколи серед російськомовного населення, як це сталося під час подій з переміщенням пам’ятника, що призвело до заворушень і кібератак [</w:t>
      </w:r>
      <w:r>
        <w:rPr>
          <w:rFonts w:ascii="Times New Roman" w:hAnsi="Times New Roman" w:cs="Times New Roman"/>
          <w:color w:val="000000" w:themeColor="text1"/>
          <w:sz w:val="28"/>
          <w:szCs w:val="28"/>
          <w:lang w:val="ru-RU"/>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208762468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lang w:val="ru-RU"/>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59</w:t>
      </w:r>
      <w:r>
        <w:rPr>
          <w:rFonts w:ascii="Times New Roman" w:hAnsi="Times New Roman" w:cs="Times New Roman"/>
          <w:color w:val="000000" w:themeColor="text1"/>
          <w:sz w:val="28"/>
          <w:szCs w:val="28"/>
          <w:lang w:val="ru-RU"/>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Подібні висновки підкріплюються в доповіді International Centre for Defence and Security (ICDS), де криза 2007 року трактується як ранній зразок гібридного конфлікту, з психологічними операціями через пропаганду та мобілізацію меншин для дестабілізації, без переходу до відкритого протистояння [</w:t>
      </w:r>
      <w:r>
        <w:rPr>
          <w:rFonts w:ascii="Times New Roman" w:hAnsi="Times New Roman" w:cs="Times New Roman"/>
          <w:color w:val="000000" w:themeColor="text1"/>
          <w:sz w:val="28"/>
          <w:szCs w:val="28"/>
          <w:lang w:val="ru-RU"/>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208762635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lang w:val="ru-RU"/>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76</w:t>
      </w:r>
      <w:r>
        <w:rPr>
          <w:rFonts w:ascii="Times New Roman" w:hAnsi="Times New Roman" w:cs="Times New Roman"/>
          <w:color w:val="000000" w:themeColor="text1"/>
          <w:sz w:val="28"/>
          <w:szCs w:val="28"/>
          <w:lang w:val="ru-RU"/>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Аналогічні аспекти висвітлюються в статті Warsaw Institute «Russian Information Warfare in the Baltic States — Resources and Aims», де підкреслюється стратегічне планування дезінформації для маніпуляції етнічними групами, з прикладами на кшталт «Бронзового солдата», що слугували для розпалювання «русофобії» та розколів [</w:t>
      </w:r>
      <w:r>
        <w:rPr>
          <w:rFonts w:ascii="Times New Roman" w:hAnsi="Times New Roman" w:cs="Times New Roman"/>
          <w:color w:val="000000" w:themeColor="text1"/>
          <w:sz w:val="28"/>
          <w:szCs w:val="28"/>
          <w:lang w:val="ru-RU"/>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208762658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lang w:val="ru-RU"/>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72</w:t>
      </w:r>
      <w:r>
        <w:rPr>
          <w:rFonts w:ascii="Times New Roman" w:hAnsi="Times New Roman" w:cs="Times New Roman"/>
          <w:color w:val="000000" w:themeColor="text1"/>
          <w:sz w:val="28"/>
          <w:szCs w:val="28"/>
          <w:lang w:val="ru-RU"/>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77A8991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Радянська спадщина в наративі російської політики щодо Балтії функціонує як фундаментальний міф, що обґрунтовує претензії на культурну та політичну гегемонію, перетворюючи період окупації на еру «цивілізаційного прогресу». Москва, через офіційні документи та медіа, наполягає, що приєднання Литви, Латвії та Естонії у 1940 році було актом «визволення» від буржуазного гніту, ігноруючи терор депортацій та репресій, які торкнулися сотень тисяч. Цей наратив, як зазначають аналітики, слугує інструментом для делегітимізації пострадянської незалежності, представляючи балтійські реформи як "реставрацію фашизму"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_Ref208261441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кремлівських заявах радянська доба малюється пастораллю рівності, де промисловість та освіта «подарували» регіону процвітання, тоді як реалії – масові еміграції та руйнування національних еліт – замовчуються. Такі інтерпретації не обмежуються академічними дебатами; вони проникають у повсякденне життя через Росію-сьогодні чи Sputnik, де історії про «забутих героїв» радянської армії резонують з меншинами, що зберігають ностальгію за стабільністю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_Ref208334257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118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Російські медіа проникають у повсякденне життя через соціальні мережі та локальні російськомовні канали, використовуючи образи радянської величі для резонансу з меншинами, що відчувають культурну маргіналізацію. </w:t>
      </w:r>
    </w:p>
    <w:p w14:paraId="1A0537A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Еволюція цього наративу помітна в дипломатичних маневрах: після 1991 року РФ спочатку фокусувалася на економічних важелях, як транзитні платежі, аби нагадати про «спільну спадщину», але з 2004-го, з набуттям членства в НАТО, перейшла до жорсткіших звинувачень у «історичній амнезії»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_Ref208763030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У Латвії, наприклад, де російськомовні становлять третину населення, Москва підтримує кампанії проти демонтажу пам’ятників Червоної армії, представляючи їх як «атаку на перемогу», що посилює внутрішні розколи. </w:t>
      </w:r>
    </w:p>
    <w:p w14:paraId="5534118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Даний наратив помітний на описах подій, пов’язаних із демонтажем радянських пам’ятників у Латвії після повномасштабного вторгнення РФ в Україну 2022 року, де російська сторона (включаючи державні ЗМІ та дипломатію) активно підтримувала протести меншин проти цих дій, представляючи їх як «атаку на пам’ять про перемогу» у Великій Вітчизняній війні, що загострювало етнічні напруги. В статті OSW Centre for Eastern Studies «A lot of effort, not many results. Latvia’s belated de-Sovietisation» (2024)  зазначається, що російськомовна меншина становить близько третини населення, а після 2022 року Латвія прискорила демонтаж понад 100 пам’ятників, на що Кремль відреагував загрозами та пропагандою, що підживлювало внутрішні розколи серед етнічних груп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_Ref208763264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25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Це підкріплюється матеріалом, де описуються протести етнічних росіян проти демонтажу, з підтримкою з боку Москви, що призвело до сутичок між групами, а пам’ятник трактувався як символ «перемоги над нацизмом», а не окупації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_Ref208763353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114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Також аналогічні деталі наводяться в статті Stars and Stripes «Historical opportunity»: Baltic nations seek to purge Russian influence in wake of Ukraine war" (2023), де підкреслюється, що третина населення Латвії – етнічні росіяни та російськомовні, а демонтаж пам’ятників супроводжувався запереченнями з боку меншин, підігрітими російською пропагандою як «приниженням пам’яті про Другу світову»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_Ref208763396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Дані джерела ілюструють, як Москва через медіа та дипломатію (наприклад, заяви МЗС РФ про «вандалізм») стимулювала кампанії, посилюючи розколи, подібно до подій 2022 року в Ризі.</w:t>
      </w:r>
    </w:p>
    <w:p w14:paraId="4990389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Дослідження показують, що така тактика ефективна серед молоді меншин, де радянські мотиви в попкультурі – від серіалів до мемів – формують альтернативну ідентичність, протилежну «європеїзації». Опитування та аналітичні звіти демонструють, як елементи попкультури – серіали на кшталт «Слово пацана» чи «Майор Гром», меми в Telegram-каналах про «радянське дитинство» та музичні ремікси радянських хітів – сприяють створенню паралельної ідентичності серед російськомовної молоді в Латвії, Естонії та Литві, де ностальгія за стабільністю СРСР перетинається з антизахідними настроями. Автори [</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208763957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41</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на основі даних New Baltic Barometer (2008–2013 рр.) показують, що серед етнічних росіян і російськомовних (включно з молоддю до 30 років) ностальгія за радянським минулим сягає 60–70%, і це посилюється культурними продуктами, які формують альтернативну ідентичність, протилежну "європеїзації" через ЄС-інтеграцію; серіали та меми слугують інструментами, що роблять тактику ефективною, оскільки молодь меншин (близько 25–30% у Латвії та Естонії) частіше споживає російськомовний контент, ніж локальний чи західний.</w:t>
      </w:r>
    </w:p>
    <w:p w14:paraId="3CD6B6B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Тезу підкріплює доповідь UNITED24 Media (2025), де зазначається, що пов’язані з Кремлем TikTok-акаунти та VK-групи таргетують балтійську молодь меншин, поширюючи меми про «радянські мотиви» (ностальгічні серіали, як «Брежнєвські часи», та вірусні челенджі з радянськими піснями), що формує лояльність до російських наративів і протидіє «європеїзації»; ефективність підтверджується опитуваннями, де 40% молоді в Нарві (Естонія) та Даугавпілсі (Латвія) ідентифікують себе з «русским миром» через попкультуру [</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208764271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w:t>
      </w:r>
    </w:p>
    <w:p w14:paraId="142C727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Аналогічні висновки наводяться в статті «Generational effects of culture and digital media in former Soviet Republics», де на основі опитувань у пострадянських країнах (включно з балтійськими меншинами) автори фіксують, що молодь (18–35 років) серед російськомовних частіше обирає російські серіали та меми (наприклад, про "стабільність Брежнєва"), що формує альтернативну ідентичність, протилежну проєвропейським цінностям, з ефективністю до 50% у впливі на політичні погляди [</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208764350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72</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Ці джерела ілюструють, як попкультура слугує каналом для тактики РФ, особливо серед молоді меншин, де радянські мотиви резонують з ностальгією та страхом перед культурною асиміляцією, посилюючи розколи в балтійському суспільстві.</w:t>
      </w:r>
    </w:p>
    <w:p w14:paraId="2F4A7D2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З початком 2020-х років, особливо після пандемії COVID-19, російські стратегії набули нового виміру, інтегруючи дезінформацію про вакцини та глобальні кризи для підриву довіри до західних інститутів у Балтії. Дослідження вказують, як Москва використовувала платформи соціальних мереж для поширення теорій змов, наприклад, про "біолабораторії НАТО" в Литві, аби представити Альянс як загрозу громадському здоров’ю, що резонувало серед вразливих груп населення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_Ref208334768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Історичні травми, пов’язані з депортаціями 1940-х, експлуатувалися для створення наративів про «історичну несправедливість», де балтійські уряди зображувалися як продовжувачі «фашистських» традицій, особливо під час демонтажів радянських монументів у 2022-2023 роках. Такий підхід не тільки посилював етнічну поляризацію, але й слугував підставою для дипломатичного тиску, як у випадку з оголошенням естонського прем’єра Каї Каллас у розшук Москвою в 2024 році за «знищення пам’яті про визволителів». У контексті повномасштабної агресії проти України, російська політика еволюціонувала до «когнітивної війни», де мета – не лише дезорієнтувати, але й паралізувати прийняття рішень на рівні суспільств, використовуючи штучний інтелект для персоналізованих кампаній. Аналітики підкреслюють, що подібні дії базуються на спадщині радянських «активних заходів», адаптованих до цифрової ери, де фейкові новини поширюються швидше, ніж спростування, створюючи ефект "тисячі порізів" для демократичних систем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_Ref208260916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23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26FC8A5E">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Розглядаючи динаміку з 2020 по 2025 рік, помітно, як Кремль синхронізував інформаційні операції з геополітичними подіями, наприклад, з вступом Фінляндії до НАТО в 2023 році, поширюючи в балтійських медіа наративи про «провокацію Заходу», що нібито загрожує регіональній стабільності. У Латвії та Естонії, де російськомовні становлять значну частку населення, акцент робився на економічних аспектах, з твердженнями про «занепад через санкції проти Росії», що призводило до зростання соціального невдоволення серед меншин. Литва, як ключовий транзитний пункт для допомоги Україні, стикалася з кампаніями, спрямованими на дискредитацію її ролі в ЄС, з використанням глибоких фейків для зображення чиновників як корумпованих. Загалом, історичний контекст демонструє, як російська політика еволюціонує від реактивної до проактивної, передбачаючи потенційні кризи для максимізації впливу, що змушує балтійські держави постійно адаптувати оборонні стратегії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_Ref208334257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118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61D95E7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Балтійські держави розробили комплексні стратегії для протидії російському інформаційному впливу, інтегруючи урядові, суспільні та міжнародні елементи. У Латвії, з 2016 року, інформаційний простір визнано доменом національної оборони, з впровадженням медійної грамотності в школах, де понад 3700 учнів пройшли тренінги в 2024-2025 роках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_Ref208776788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110</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Заборона пропагандистських каналів з 2022 року доповнена співпрацею з НАТО для моніторингу бот-мереж, а «Балтійські ельфи» активно спростовують фейки онлайн. У 2025 році створено Центр управління кризами для координації відповідей на гібридні загрози. Естонія акцентує на кібербезпеці, з блокчейном для е-голосування та центром НАТО в Таллінні, що допомогло відбити DDoS-атаки 2024 року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_Ref208776802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132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Програми інтеграції меншин підкреслюють переваги демократії, знижуючи вразливість до пропаганди.</w:t>
      </w:r>
    </w:p>
    <w:p w14:paraId="6AF22AF6">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Литва впровадила InfoShield у 2024 році для виявлення дезінформації, з цивільними тренуваннями та енергетичною диверсифікацією, від’єднавшись від BRELL у 2025 році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_Ref208776808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58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Спільні зусилля включають регіональний моніторинг загроз, з пропозиціями віртуального центру для обміну даними. Виклики, як доступ до VPN для заборонених медіа, вирішуються через законодавство, хоча фінансування незалежних російськомовних ЗМІ скорочується з 2026 року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_Ref208775544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Успіхи, як судові переслідування за фейки з 2021 року, демонструють ефективність, але потребують постійної адаптації до AI-загроз. Загалом, підхід «цілого суспільства» посилює резилієнтність, позиціонуючи Балтію як модель для Європи.</w:t>
      </w:r>
    </w:p>
    <w:p w14:paraId="0E4303F5">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754A38EA">
      <w:pPr>
        <w:pStyle w:val="2"/>
        <w:spacing w:before="0" w:after="0" w:line="360" w:lineRule="auto"/>
        <w:ind w:firstLine="720"/>
        <w:jc w:val="both"/>
        <w:rPr>
          <w:rFonts w:ascii="Times New Roman" w:hAnsi="Times New Roman" w:cs="Times New Roman"/>
          <w:b/>
          <w:bCs/>
          <w:color w:val="000000" w:themeColor="text1"/>
          <w:sz w:val="28"/>
          <w:szCs w:val="28"/>
          <w:lang w:val="uk-UA"/>
          <w14:textFill>
            <w14:solidFill>
              <w14:schemeClr w14:val="tx1"/>
            </w14:solidFill>
          </w14:textFill>
        </w:rPr>
      </w:pPr>
      <w:bookmarkStart w:id="10" w:name="_Toc208397133"/>
      <w:r>
        <w:rPr>
          <w:rFonts w:ascii="Times New Roman" w:hAnsi="Times New Roman" w:cs="Times New Roman"/>
          <w:b/>
          <w:bCs/>
          <w:color w:val="000000" w:themeColor="text1"/>
          <w:sz w:val="28"/>
          <w:szCs w:val="28"/>
          <w:lang w:val="ru-RU"/>
          <w14:textFill>
            <w14:solidFill>
              <w14:schemeClr w14:val="tx1"/>
            </w14:solidFill>
          </w14:textFill>
        </w:rPr>
        <w:br w:type="column"/>
      </w:r>
      <w:r>
        <w:rPr>
          <w:rFonts w:ascii="Times New Roman" w:hAnsi="Times New Roman" w:cs="Times New Roman"/>
          <w:b/>
          <w:bCs/>
          <w:color w:val="000000" w:themeColor="text1"/>
          <w:sz w:val="28"/>
          <w:szCs w:val="28"/>
          <w:lang w:val="ru-RU"/>
          <w14:textFill>
            <w14:solidFill>
              <w14:schemeClr w14:val="tx1"/>
            </w14:solidFill>
          </w14:textFill>
        </w:rPr>
        <w:t>2.3. Геополітичний вимір впливу Російської Федерації на країни Балтії</w:t>
      </w:r>
      <w:bookmarkEnd w:id="10"/>
    </w:p>
    <w:p w14:paraId="493EC7E6">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17774FA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У геополітичному вимірі зовнішньої політики Москви стосовно Естонії, Латвії та Литви акцент робиться на збереженні домінуючої ролі в регіоні Балтійського моря, де історичні претензії переплітаються з сучасними стратегічними інтересами. Досліджуючи динаміку з 2020-х років, аналітики відзначають, як Кремль використовує комбінацію військових демонстрацій, економічного тиску та гібридних операцій для підриву суверенітету балтійських держав, сприймаючи їхню інтеграцію до НАТО та ЄС як безпосередню загрозу своїм кордонам. Після повномасштабного вторгнення до України в 2022 році, російські зусилля посилилися, перетворюючи регіон на арену постійної напруженості, де мета – не лише стримування західної експансії, але й створення зон нестабільності для ослаблення єдності Альянсу. Балтійські країни, розташовані на стику європейських і російських інтересів, стали важелем для Москви в глобальному протистоянні, де географічна близькість до Калінінграда додає стратегічної ваги, дозволяючи Кремлю маневрувати між дипломатією та ескалацією. У роботах підкреслюється, як така політика базується на неокласичному реалізмі, де Росія прагне відновити буферні зони, експлуатуючи вразливості сусідів для проекції сили без прямого конфлікту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_Ref208335144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60</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Подібний підхід не тільки посилює регіональну поляризацію, але й впливає на глобальні альянси, змушуючи НАТО переглядати оборонні стратегії в східній Європі.</w:t>
      </w:r>
    </w:p>
    <w:p w14:paraId="5737A78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Стратегічне позиціонування Москви в Балтійському регіоні часто інтерпретується через призму історичних наративів, де колишні радянські республіки розглядаються як частина «близького зарубіжжя», що вимагає постійного контролю для забезпечення національної безпеки. З початку 2020-х років, геополітичний вплив Росії проявляється в посиленні військової присутності біля кордонів, як-от розгортання ракетних систем «Іскандер» у Калінінградській області, що створює зону антидоступу для сил НАТО. Аналітики вказують на еволюцію тактик: від демонстративних навчань типу «Запад» до гібридних загроз, що включають кібератаки та саботаж інфраструктури, аби підірвати довіру до західних гарантій безпеки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_Ref208335531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Балтійські держави, у свою чергу, реагують посиленням оборонних витрат, перевищуючи 2% ВВП, рекомендовані НАТО, що свідчить про усвідомлення геополітичних ризиків. У контексті ширшого конфлікту з Україною, Москва намагається представити балтійські країни як провокаторів, поширюючи наративи про «русофобію» для виправдання своїх дій, що ускладнює регіональну стабільність.</w:t>
      </w:r>
    </w:p>
    <w:p w14:paraId="0D22315F">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Геополітична стратегія Росії адаптується до змін у глобальному порядку, де Балтія стає тестом для ефективності західних альянсів. З 2022 року спостерігається зростання гібридних операцій, спрямованих на дестабілізацію, включаючи пошкодження підводних кабелів у Балтійському морі, що інтерпретується як частина ширшої кампанії для ізоляції регіону від Європи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_Ref208260854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38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Такий підхід не лише посилює економічну залежність, але й сприяє внутрішнім розділам, експлуатуючи етнічні меншини для політичного впливу. У відповідь, балтійські уряди розвивають регіональну співпрацю, як-от спільні оборонні ініціативи з скандинавськими країнами, що перетворює Балтійське море на зону посиленої НАТО-присутності. Таким чином, геополітичний вимір політики РФ щодо Балтії відображає прагнення до ревізіонізму, де регіон слугує важелем для глобальних переговорів з Заходом.</w:t>
      </w:r>
    </w:p>
    <w:p w14:paraId="2C949A5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Аналізи вказують на зростання напруженості з 2022 року, коли пошкодження підводних кабелів і трубопроводів у Балтійському морі інтерпретувалися як частина стратегії дестабілізації, аби посіяти сумніви щодо надійності НАТО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_Ref208777833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Такі дії не випадкові: вони вписуються в логіку гегемонії, де, за Е. Лаклау та К. Муфф, антагонізм функціонує як вузловий момент, що утримує фрагментовані елементи – від кібератак до дезінформації – у єдиному наративі про «загрозу з Заходу»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_Ref208398335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Балтійські держави, реагуючи на це, інтенсифікували регіональну співпрацю, перетворюючи море на «озеро НАТО» після вступу Фінляндії та Швеції, що послаблює російські позиції в А2/AD-зонах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_Ref208777878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Військові стратегії Росії щодо балтійських держав фокусуються на створенні зони антидоступу/заборони доступу (A2/AD) навколо Калінінграда, де розгортання ракетних комплексів та авіації дозволяє контролювати повітряний і морський простір. З 2020 року, Москва посилила демонстративні дії, як-от польоти стратегічних бомбардувальників біля кордонів Естонії, що змушує НАТО активізувати патрулювання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_Ref208777455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Загрози набувають гібридного характеру, де кібератаки доповнюють військові маневри, як у випадку з DDoS-нападами на литовські установи в 2024 році, пов’язаними з підтримкою України. Балтійські держави реагують посиленням оборонних спроможностей, з Латвією та Литвою формуючи бригади НАТО, а Естонією впроваджуючи «тотальну оборону» з цивільними тренуваннями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_Ref208335627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Військові загрози не обмежуються конвенційними, включаючи потенціал ядерного шантажу, де Москва позиціонує Балтію як плацдарм для ескалації з Заходом.</w:t>
      </w:r>
    </w:p>
    <w:p w14:paraId="3CBA4F05">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Водночас, економічні важелі, як-от перенаправлення транзиту через власні порти, продовжують тиснути на балтійські економіки, змушуючи їх шукати нові ринки в Азії та США, аби уникнути десуб’єктивації в руках Москви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_Ref208777885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127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634314B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Дослідники акцентують увагу на тому, як російська політика адаптується до змін у глобальному порядку, де Балтія стає тестом для стійкості західних гегемоній. З 2024 року зафіксовано зростання саботажу, включаючи підпали та GPS-перешкоди, що інтерпретується як ескалація «тіньової війни» проти Заходу, з метою не лише дестабілізувати, але й артикулювати альтернативний дискурс про «небезпеку євроінтеграції»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_Ref208777900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відповідь, НАТО розширює присутність, формуючи бригади та проводячи вправи на кшталт BALTOPS, аби демонструвати стримування, що, за логікою Е. Лаклау та К. Муфф, слугує контр-артикуляцією, де елементи солідарності з’єднуються в ланцюг еквівалентів проти російського антагонізму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_Ref208398335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Таким чином, геополітичний вимір відображає не статичний конфлікт, а динамічну боротьбу за домінування в дискурсивному полі, де кожна сторона намагається гегемонізувати простір Балтійського моря.</w:t>
      </w:r>
    </w:p>
    <w:p w14:paraId="4F5DA0C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Згідно з Е. Лаклау та К. Муфф, подібна артикуляція антагонізму слугує для гегемонізації дискурсу, де радянське минуле стає елементом, що утримує фрагментовану ідентичність «російського світу» проти «західного занепаду»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_Ref208398335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Відтак балтійські країни, спираючись на колективну пам’ять про окупацію, формують контр-наративи про суверенітет, що проявилося в спільних візитах президентів до Києва 2022-го та закликах до трибуналу за злочини Росії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_Ref208778116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6329B166">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Динаміка 2024-2025 років показує зростання напруженості, з російськими силами в Білорусі, що загрожують литовським кордонам, змушуючи Вільнюс інвестувати в протиповітряну оборону. Аналітики прогнозують, як такі стратегії спрямовані на тестування НАТО Article 5, де невеликі інциденти можуть ескалувати до конфлікту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_Ref208777507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Балтійські уряди, витрачаючи понад 3% ВВП на оборону, розвивають спільну «балтійську лінію оборони» з мінними полями та фортифікаціями, що відображає усвідомлення військових ризиків.</w:t>
      </w:r>
    </w:p>
    <w:p w14:paraId="088EC946">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Економічний тиск становить суттєву складову геополітичного впливу Росії на балтійські країни, де Москва використовує торгівельні обмеження та санкції для підриву стабільності, де з 2020-го експорт до Москви впав на 60% у харчовій галузі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_Ref208777885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127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Після 2022-го, вторгнення прискорило роз’єднання, з падінням ВВП регіону з 5% до 1,6% через інфляцію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_Ref208778847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117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Кремль перенаправляє транзит, коштуючи Латвії мільйони в логістиці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_Ref208777885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127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Важелі включають маніпуляції інвестиціями, де пропаганда лякає інвесторів, призводячи до падіння FDI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_Ref208778847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117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2024 році, кредитні рейтинги балтійських країн знизилися через геополітичні ризики, змушуючи уряди шукати альтернативні ринки в Азії та США.</w:t>
      </w:r>
    </w:p>
    <w:p w14:paraId="534D4687">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З 2024-го, рейтинги балтійських країн знизилися через ризики, змушуючи шукати ринки в Азії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_Ref208777885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127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Тиск посилюється гібридними операціями, як саботаж складів у Литві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_Ref208780088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53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Балтія відповідає диверсифікацією, розвиваючи IT та зелений експорт, з Литвою на 2,9% зростання у Q1 2024. Економічний вплив слугує шантажем, аби змусити компроміси щодо України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_Ref208778891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У ширшому контексті, економічний вплив Росії слугує інструментом для геополітичного шантажу, де мета – змусити балтійські уряди до компромісів щодо України. </w:t>
      </w:r>
    </w:p>
    <w:p w14:paraId="0D9BE8BE">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У геополітичному ландшафті відносин між Російською Федерацією та балтійськими державами енергетична політика Москви традиційно слугувала потужним інструментом для збереження впливу, спираючись на глибоко вкорінені залежності, сформовані ще в радянську епоху. Залежність Естонії, Латвії та Литви від російських енергоносіїв, де до 2022 року імпорт газу сягав 96 % від загального обсягу, дозволяла Кремлю артикулювати гегемонію через економічний тиск, перетворюючи ресурси на елемент антагоністичного дискурсу проти західної інтеграції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_Ref208333672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Після повномасштабного вторгнення Росії в Україну балтійські країни прискорили диверсифікацію, заборонивши імпорт російських енергоносіїв і перейшовши на зріджений природний газ з альтернативних джерел, таких як Сполучені Штати та Норвегія, що перетворило Литву на нетто-експортера до 2035 року. Подібні кроки не лише послабили московські важелі, але й артикулювали новий дискурс «європейської солідарності»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_Ref208261378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Диверсифікація включала будівництво терміналів, як Клайпеда в 2014, та інтерконекторів, що дозволило від’єднатися від BRELL у 2025 році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_Ref211370412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7574667C">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Стратегії Москви в енергетичній сфері еволюціонували від прямого постачання до гібридних форм впливу, де саботаж інфраструктури, як пошкодження підводних кабелів у Балтійському морі, інтерпретується як спроба зберегти залежність через створення невизначеності. Аналітики зазначають, що з 2025 року відновлювані джерела енергії в Литві сягнули 50% від загального виробництва, значно зменшивши вразливість, хоча й спричинивши зростання цін на 20-30 відсотків через перехідні витрати. Гра – теоретичний аналіз процесу десинхронізації від BRELL демонструє, як Росія превентивно намагається від’єднати балтійські мережі, аби витягнути поступки або завдати шкоди, але підтримка з боку Європейського Союзу та НАТО робить подібні маневри неефективними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_Ref208779231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Диверсифікація виступає не лише як технічна міра, але й як геополітична стратегія протидії загрозам, з проектами на кшталт Baltic Pipe, що з’єднує регіон з норвезькими родовищами, посилюючи енергетичну резилієнтність. У контексті ширших відносин, енергетична політика РФ щодо Балтії інтегрується з елементами м’якої сили, де наративи про «дешеву російську енергію» проти «дорогої європейської» намагаються посіяти сумніви в суспільствах, але реальність зростання цін після десинхронізації, як зафіксовано в Латвії та Естонії, підкреслює короткострокові виклики.</w:t>
      </w:r>
    </w:p>
    <w:p w14:paraId="2AB8D151">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Десинхронізація від BRELL, завершена 8 лютого 2025 року, стала кульмінацією зусиль, розпочатих ще в 2018 році, коли балтійські оператори підписали угоду з ENTSO-E про приєднання до континентальної європейської мережі. Процес включав будівництво нових інтерконекторів, таких як Harmony Link між Литвою та Польщею, та модернізацію систем балансування, аби забезпечити стабільність частоти без російських резервів. Перехід призвів до тимчасового зростання цін: у лютому 2025 року вартість електроенергії в регіоні сягнула 230 євро за мегават-годину, порівняно з 92 євро в січні, через холодну погоду та пошкодження кабелів з Фінляндією та Швецією. Кремль, у відповідь, посилив саботаж: пошкодження кабелів у Балтійському морі, пов’язане з «тіньовим флотом» російських танкерів, інтерпретувалося як гібридна атака для підриву довіри до європейської інтеграції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_Ref208779298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Однак, як зазначають експерти, така тактика не завадила переходу, адже балтійські країни заздалегідь тестували ізольовану роботу мереж, демонструючи резилієнтність.</w:t>
      </w:r>
    </w:p>
    <w:p w14:paraId="61B9DBEF">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Економічні наслідки диверсифікації виявляються в двоякому ефекті: з одного боку, інвестиції ЄС у проекти на кшталт Rail Baltica та енергетичних хабів стимулюють зростання, з іншого – короткострокові витрати на перехід підвищують тарифи для споживачів. У Латвії, де залежність від російського газу становила 95 відсотків у 2021 році, перехід на інтерконектори з Польщею та Фінляндією коштував близько 400 мільйонів євро, але дозволив диверсифікувати джерела, зменшивши ризики від політичних маніпуляцій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_Ref208779333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Естонія, фокусуючись на вітровій енергетиці, планує будівництво офшорних ферм потужністю 1,5 гігават до 2030 року, що не лише знижує імпорт, але й створює робочі місця в зеленій економіці. Литва, як лідер регіону, стала нетто-експортером газу завдяки Клйпеді, де інвестиції в 1,2 мільярда євро окупилися через експорт до Польщі та України. Гра-теоретичний підхід підкреслює, що Росія, передбачаючи втрату важелів, намагається прискорити розрив, аби завдати шкоди, але західна солідарність, включаючи фінансування від США, робить поступки неможливими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_Ref208779231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25D86396">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Геополітичний вимір диверсифікації проявляється в посиленні співпраці з НАТО та ЄС для захисту інфраструктури, де ініціативи на кшталт Baltic Sentry, запущені в січні 2025 року, патрулюють Балтійське море проти саботажу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_Ref208777878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Кремль, через представників, називає це «самосаботажем», але реальність свідчить про посилення резилієнтності: балтійські мережі успішно пройшли тести в ізольованому режимі 8-9 лютого 2025 року.</w:t>
      </w:r>
    </w:p>
    <w:p w14:paraId="0E61A8B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Аналіз проектів диверсифікації розкриває комплексність процесу: LNG-термінал у Клайпеді, орендований у Норвегії як плавуча установка Independence, дозволив Литві імпортувати газ з глобальних ринків, зменшивши ціни на 20 відсотків порівняно з російськими контрактами до 2022 року. Латвія, використовуючи сховище Inčukalns ємністю 2,3 мільярда кубометрів, стала регіональним хабом, експортуючи газ до Естонії та Фінляндії. Естонія, інвестуючи в біогаз та сонячні панелі, досягла 40 відсотків відновлюваної енергії у 2024 році, плануючи подвоєння до 2030-го. Інтерконектори, як EstLink з Фінляндією та LitPol з Польщею, забезпечують потік потужністю до 2 гігават, компенсуючи втрату російських резервів [</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 _</w:instrText>
      </w:r>
      <w:r>
        <w:rPr>
          <w:rFonts w:ascii="Times New Roman" w:hAnsi="Times New Roman" w:cs="Times New Roman"/>
          <w:color w:val="000000" w:themeColor="text1"/>
          <w:sz w:val="28"/>
          <w:szCs w:val="28"/>
          <w14:textFill>
            <w14:solidFill>
              <w14:schemeClr w14:val="tx1"/>
            </w14:solidFill>
          </w14:textFill>
        </w:rPr>
        <w:instrText xml:space="preserve">Ref</w:instrText>
      </w:r>
      <w:r>
        <w:rPr>
          <w:rFonts w:ascii="Times New Roman" w:hAnsi="Times New Roman" w:cs="Times New Roman"/>
          <w:color w:val="000000" w:themeColor="text1"/>
          <w:sz w:val="28"/>
          <w:szCs w:val="28"/>
          <w:lang w:val="uk-UA"/>
          <w14:textFill>
            <w14:solidFill>
              <w14:schemeClr w14:val="tx1"/>
            </w14:solidFill>
          </w14:textFill>
        </w:rPr>
        <w:instrText xml:space="preserve">208779712 \</w:instrText>
      </w:r>
      <w:r>
        <w:rPr>
          <w:rFonts w:ascii="Times New Roman" w:hAnsi="Times New Roman" w:cs="Times New Roman"/>
          <w:color w:val="000000" w:themeColor="text1"/>
          <w:sz w:val="28"/>
          <w:szCs w:val="28"/>
          <w14:textFill>
            <w14:solidFill>
              <w14:schemeClr w14:val="tx1"/>
            </w14:solidFill>
          </w14:textFill>
        </w:rPr>
        <w:instrText xml:space="preserve">r</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instrText xml:space="preserve">h</w:instrText>
      </w:r>
      <w:r>
        <w:rPr>
          <w:rFonts w:ascii="Times New Roman" w:hAnsi="Times New Roman" w:cs="Times New Roman"/>
          <w:color w:val="000000" w:themeColor="text1"/>
          <w:sz w:val="28"/>
          <w:szCs w:val="28"/>
          <w:lang w:val="uk-UA"/>
          <w14:textFill>
            <w14:solidFill>
              <w14:schemeClr w14:val="tx1"/>
            </w14:solidFill>
          </w14:textFill>
        </w:rPr>
        <w:instrText xml:space="preserve"> </w:instrText>
      </w:r>
      <w:r>
        <w:rPr>
          <w:rFonts w:ascii="Times New Roman" w:hAnsi="Times New Roman" w:cs="Times New Roman"/>
          <w:color w:val="000000" w:themeColor="text1"/>
          <w:sz w:val="28"/>
          <w:szCs w:val="28"/>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80</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Економічні моделі прогнозують, що довгострокові вигоди переважать: зменшення залежності знизить ризики від санкцій, стимулюючи інвестиції в зелену енергетику на 5 мільярдів євро до 2030 року. </w:t>
      </w:r>
    </w:p>
    <w:p w14:paraId="207B114D">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Виклики диверсифікації включають екологічні ризики від «тіньового флоту» Росії, де танкери без страхування загрожують забрудненням Балтійського моря, як підкреслено в звітах ЄС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_Ref208779793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122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G</w:t>
      </w:r>
      <w:r>
        <w:rPr>
          <w:rFonts w:ascii="Times New Roman" w:hAnsi="Times New Roman" w:cs="Times New Roman"/>
          <w:color w:val="000000" w:themeColor="text1"/>
          <w:sz w:val="28"/>
          <w:szCs w:val="28"/>
          <w:lang w:val="uk-UA"/>
          <w14:textFill>
            <w14:solidFill>
              <w14:schemeClr w14:val="tx1"/>
            </w14:solidFill>
          </w14:textFill>
        </w:rPr>
        <w:t>одібні загрози посилюють антагонізм, але також мобілізують контр-дискурс, де елементи екологічної безпеки з’єднуються з геополітичними, формуючи радикальну практику солідарності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_Ref208398335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88</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w:t>
      </w:r>
    </w:p>
    <w:p w14:paraId="79F5D22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 Перспективи розвитку енергетичної політики в регіоні вказують на подальшу інтеграцію з Європою, де проекти на кшталт Rail Baltica поєднуються з енергетичними, створюючи мультимодальні хаби. Москва, втрачаючи важелі, може посилити гібридні атаки, але співпраця з НАТО, як Baltic Sentry, забезпечує захист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_Ref208777878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Загалом, попри виклики, балтійські країни демонструють модель стійкості, перетворюючи залежність на стратегічну перевагу в геополітичному протистоянні.</w:t>
      </w:r>
    </w:p>
    <w:p w14:paraId="0B55E9C7">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55C296EF">
      <w:pPr>
        <w:pStyle w:val="2"/>
        <w:spacing w:before="0" w:after="0" w:line="360" w:lineRule="auto"/>
        <w:ind w:firstLine="720"/>
        <w:jc w:val="both"/>
        <w:rPr>
          <w:rFonts w:ascii="Times New Roman" w:hAnsi="Times New Roman" w:cs="Times New Roman"/>
          <w:b/>
          <w:bCs/>
          <w:color w:val="000000" w:themeColor="text1"/>
          <w:sz w:val="28"/>
          <w:szCs w:val="28"/>
          <w:lang w:val="uk-UA"/>
          <w14:textFill>
            <w14:solidFill>
              <w14:schemeClr w14:val="tx1"/>
            </w14:solidFill>
          </w14:textFill>
        </w:rPr>
      </w:pPr>
      <w:bookmarkStart w:id="11" w:name="_Toc208397134"/>
      <w:r>
        <w:rPr>
          <w:rFonts w:ascii="Times New Roman" w:hAnsi="Times New Roman" w:cs="Times New Roman"/>
          <w:b/>
          <w:bCs/>
          <w:color w:val="000000" w:themeColor="text1"/>
          <w:sz w:val="28"/>
          <w:szCs w:val="28"/>
          <w:lang w:val="uk-UA"/>
          <w14:textFill>
            <w14:solidFill>
              <w14:schemeClr w14:val="tx1"/>
            </w14:solidFill>
          </w14:textFill>
        </w:rPr>
        <w:t>Висновки до ІІ розділу</w:t>
      </w:r>
      <w:bookmarkEnd w:id="11"/>
      <w:r>
        <w:rPr>
          <w:rFonts w:ascii="Times New Roman" w:hAnsi="Times New Roman" w:cs="Times New Roman"/>
          <w:b/>
          <w:bCs/>
          <w:color w:val="000000" w:themeColor="text1"/>
          <w:sz w:val="28"/>
          <w:szCs w:val="28"/>
          <w:lang w:val="uk-UA"/>
          <w14:textFill>
            <w14:solidFill>
              <w14:schemeClr w14:val="tx1"/>
            </w14:solidFill>
          </w14:textFill>
        </w:rPr>
        <w:t xml:space="preserve">  </w:t>
      </w:r>
    </w:p>
    <w:p w14:paraId="308F3D3F">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33B231B7">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Російська Федерація використовує історичні та культурні наративи як ключовий інструмент своєї зовнішньої політики щодо балтійських країн, артикулюючи дискурс, що легітимізує її дії через міфологізацію радянського минулого. Москва позиціонує себе захисником історичної справедливості, представляючи балтійські держави як зрадників спільної спадщини, що виправдовує гібридні операції, включаючи підтримку російськомовних меншин через медіа та НГО. Еволюція від жорстких історичних претензій до м’якої сили, як культурні ініціативи, демонструє адаптивність стратегії, особливо після 2022 року, коли наративи про «захист від нацизму» посилилися в контексті війни в Україні. Дані конструкти не лише ускладнюють нормалізацію відносин, але й створюють «паралельні суспільства», де етнічні розколи експлуатуються для дестабілізації. Балтійські країни протидіють через контр-наративи про суверенітет, але вплив Москви залишається значним серед меншин, що вимагає посилення інтеграційних політик та медійної грамотності.</w:t>
      </w:r>
    </w:p>
    <w:p w14:paraId="7FAE414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Інформаційно-комунікативна політика РФ щодо балтійських держав є складовою гібридної війни, де дезінформація, пропаганда та кібератаки спрямовані на підрив довіри до демократичних інститутів та НАТО. Використовуючи цифрові платформи, Москва адаптує радянські "активні заходи" до сучасності, таргетуючи російськомовні меншини через Telegram, TikTok та X. Після 2022 року тактики посилилися, включаючи AI-генеровані фейки та атаки на виборчі системи, як у Естонії 2023 року. Постійна еволюція російських стратегій, як використання VPN для обходу блокувань, вимагає від Балтії динамічної адаптації та регіональної координації.</w:t>
      </w:r>
    </w:p>
    <w:p w14:paraId="14B09D8E">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Геополітична стратегія РФ щодо балтійських країн спрямована на збереження регіонального домінування через комбінацію військових, економічних та гібридних інструментів, що протистоять інтеграції Балтії до НАТО та ЄС. Після 2022 року ескалація гібридних операцій, як саботаж кабелів, та військові маневри, як «Запад», підкреслюють прагнення Кремля створити зони нестабільності. Балтійські держави, інвестуючи в оборону та регіональну співпрацю, перетворюють море на «озеро НАТО», послаблюючи російські A2/AD-можливості. Економічний тиск РФ на Балтію, включаючи скорочення експорту на 60% та перенаправлення транзиту, спрямований на підрив стабільності. Енергетична політика РФ використовувала залежність Балтії від газу (96% до 2022 року) як інструмент гегемонії, але диверсифікація, включаючи LNG-термінали та від’єднання від BRELL у 2025 році, послабила такий вплив.  </w:t>
      </w:r>
    </w:p>
    <w:p w14:paraId="68CEBEB0">
      <w:pPr>
        <w:pStyle w:val="2"/>
        <w:spacing w:before="0" w:after="0" w:line="360" w:lineRule="auto"/>
        <w:jc w:val="center"/>
        <w:rPr>
          <w:rFonts w:ascii="Times New Roman" w:hAnsi="Times New Roman" w:cs="Times New Roman"/>
          <w:b/>
          <w:bCs/>
          <w:color w:val="000000" w:themeColor="text1"/>
          <w:sz w:val="28"/>
          <w:szCs w:val="28"/>
          <w:lang w:val="uk-UA"/>
          <w14:textFill>
            <w14:solidFill>
              <w14:schemeClr w14:val="tx1"/>
            </w14:solidFill>
          </w14:textFill>
        </w:rPr>
      </w:pPr>
      <w:r>
        <w:rPr>
          <w:rFonts w:ascii="Times New Roman" w:hAnsi="Times New Roman" w:cs="Times New Roman"/>
          <w:b/>
          <w:bCs/>
          <w:color w:val="000000" w:themeColor="text1"/>
          <w:sz w:val="28"/>
          <w:szCs w:val="28"/>
          <w:lang w:val="uk-UA"/>
          <w14:textFill>
            <w14:solidFill>
              <w14:schemeClr w14:val="tx1"/>
            </w14:solidFill>
          </w14:textFill>
        </w:rPr>
        <w:br w:type="column"/>
      </w:r>
      <w:bookmarkStart w:id="12" w:name="_Toc208397135"/>
      <w:r>
        <w:rPr>
          <w:rFonts w:ascii="Times New Roman" w:hAnsi="Times New Roman" w:cs="Times New Roman"/>
          <w:b/>
          <w:bCs/>
          <w:color w:val="000000" w:themeColor="text1"/>
          <w:sz w:val="28"/>
          <w:szCs w:val="28"/>
          <w:lang w:val="uk-UA"/>
          <w14:textFill>
            <w14:solidFill>
              <w14:schemeClr w14:val="tx1"/>
            </w14:solidFill>
          </w14:textFill>
        </w:rPr>
        <w:t>РОЗДІЛ ІІІ.</w:t>
      </w:r>
      <w:bookmarkEnd w:id="12"/>
    </w:p>
    <w:p w14:paraId="5CB9E4E1">
      <w:pPr>
        <w:pStyle w:val="2"/>
        <w:spacing w:before="0" w:after="0" w:line="360" w:lineRule="auto"/>
        <w:jc w:val="center"/>
        <w:rPr>
          <w:rFonts w:ascii="Times New Roman" w:hAnsi="Times New Roman" w:cs="Times New Roman"/>
          <w:b/>
          <w:bCs/>
          <w:color w:val="000000" w:themeColor="text1"/>
          <w:sz w:val="28"/>
          <w:szCs w:val="28"/>
          <w:lang w:val="uk-UA"/>
          <w14:textFill>
            <w14:solidFill>
              <w14:schemeClr w14:val="tx1"/>
            </w14:solidFill>
          </w14:textFill>
        </w:rPr>
      </w:pPr>
      <w:bookmarkStart w:id="13" w:name="_Toc208397136"/>
      <w:r>
        <w:rPr>
          <w:rFonts w:ascii="Times New Roman" w:hAnsi="Times New Roman" w:cs="Times New Roman"/>
          <w:b/>
          <w:bCs/>
          <w:color w:val="000000" w:themeColor="text1"/>
          <w:sz w:val="28"/>
          <w:szCs w:val="28"/>
          <w:lang w:val="uk-UA"/>
          <w14:textFill>
            <w14:solidFill>
              <w14:schemeClr w14:val="tx1"/>
            </w14:solidFill>
          </w14:textFill>
        </w:rPr>
        <w:t>МЕХАНІЗМИ ВПЛИВУ РОСІЙСЬКОЇ ФЕДЕРАЦІЇ ЯК ЧИННИК ПОЛІТИЧНОЇ ДИНАМІКИ У КРАЇНАХ БАЛТІЇ 2014-2022 РОКІВ: КЕЙС-СТАДІ ЕСТОНІЇ ТА ЛАТВІЇ</w:t>
      </w:r>
      <w:bookmarkEnd w:id="13"/>
    </w:p>
    <w:p w14:paraId="06DDED3D">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1A01EDE9">
      <w:pPr>
        <w:pStyle w:val="2"/>
        <w:spacing w:before="0" w:after="0" w:line="360" w:lineRule="auto"/>
        <w:ind w:firstLine="720"/>
        <w:jc w:val="both"/>
        <w:rPr>
          <w:rFonts w:ascii="Times New Roman" w:hAnsi="Times New Roman" w:cs="Times New Roman"/>
          <w:b/>
          <w:bCs/>
          <w:color w:val="000000" w:themeColor="text1"/>
          <w:sz w:val="28"/>
          <w:szCs w:val="28"/>
          <w:lang w:val="uk-UA"/>
          <w14:textFill>
            <w14:solidFill>
              <w14:schemeClr w14:val="tx1"/>
            </w14:solidFill>
          </w14:textFill>
        </w:rPr>
      </w:pPr>
      <w:bookmarkStart w:id="14" w:name="_Toc208397138"/>
      <w:r>
        <w:rPr>
          <w:rFonts w:ascii="Times New Roman" w:hAnsi="Times New Roman" w:cs="Times New Roman"/>
          <w:b/>
          <w:bCs/>
          <w:color w:val="000000" w:themeColor="text1"/>
          <w:sz w:val="28"/>
          <w:szCs w:val="28"/>
          <w:lang w:val="uk-UA"/>
          <w14:textFill>
            <w14:solidFill>
              <w14:schemeClr w14:val="tx1"/>
            </w14:solidFill>
          </w14:textFill>
        </w:rPr>
        <w:t>3.1. Інструменталізація історичної пам’яті та гібридні інструменти впливу РФ на Естонію</w:t>
      </w:r>
      <w:bookmarkEnd w:id="14"/>
    </w:p>
    <w:p w14:paraId="4707E95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5379C876">
      <w:pPr>
        <w:spacing w:after="0" w:line="360" w:lineRule="auto"/>
        <w:ind w:firstLine="720"/>
        <w:jc w:val="both"/>
        <w:rPr>
          <w:rFonts w:hint="default"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Російська Федерація протягом періоду між 2014 та 2022 роками систематично застосовувала багатошаровий інструментарій впливу на Естонію, поєднуючи маніпуляції колективною пам'яттю з сучасними технологіями гібридної агресії. Після окупації</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 xml:space="preserve">Криму геополітична напруженість у балтійському регіоні досягла критичного рівня, спонукаючи Москву до витончених методів дестабілізації держав, котрі обрали проєвропейську траєкторію. </w:t>
      </w:r>
      <w:r>
        <w:rPr>
          <w:rFonts w:hint="default" w:ascii="Times New Roman" w:hAnsi="Times New Roman"/>
          <w:color w:val="000000" w:themeColor="text1"/>
          <w:sz w:val="28"/>
          <w:szCs w:val="28"/>
          <w:lang w:val="uk-UA"/>
          <w14:textFill>
            <w14:solidFill>
              <w14:schemeClr w14:val="tx1"/>
            </w14:solidFill>
          </w14:textFill>
        </w:rPr>
        <w:t xml:space="preserve">Особливу роль у російській стратегії впливу на Естонію відіграє російськомовна спільнота, яка налічує приблизно чверть населення країни. Проте її політичні орієнтації та ідентичнісні установки є значно складнішими, ніж пропонує російська пропаганда. Дослідження показують, що російськомовні Естонії не становлять монолітної групи: поряд із традиційною «російською» ідентичністю поширені змішані та поліфонічні самоідентифікації – «естонсько-російська», «європейсько-російська», а також громадянські форми лояльності, зорієнтовані насамперед на естонську державність та ЄС. Значна частина російськомовних після 2014 року послідовно зміцнює приналежність до європейського політичного простору, що підтверджують і опитування Eurobarometer, де між 2017 та 2021 роками рівень довіри до Європейського Союзу серед меншинних груп в Естонії зріс у середньому на 25–30%. </w:t>
      </w:r>
    </w:p>
    <w:p w14:paraId="020C4457">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Механізми російського впливу на естонську російськомовну спільноту набули особливої інтенсивності у</w:t>
      </w:r>
      <w:r>
        <w:rPr>
          <w:rFonts w:hint="default" w:ascii="Times New Roman" w:hAnsi="Times New Roman" w:cs="Times New Roman"/>
          <w:color w:val="000000" w:themeColor="text1"/>
          <w:sz w:val="28"/>
          <w:szCs w:val="28"/>
          <w:lang w:val="en-US"/>
          <w14:textFill>
            <w14:solidFill>
              <w14:schemeClr w14:val="tx1"/>
            </w14:solidFill>
          </w14:textFill>
        </w:rPr>
        <w:t xml:space="preserve"> </w:t>
      </w:r>
      <w:r>
        <w:rPr>
          <w:rFonts w:hint="default" w:ascii="Times New Roman" w:hAnsi="Times New Roman" w:cs="Times New Roman"/>
          <w:color w:val="000000" w:themeColor="text1"/>
          <w:sz w:val="28"/>
          <w:szCs w:val="28"/>
          <w:lang/>
          <w14:textFill>
            <w14:solidFill>
              <w14:schemeClr w14:val="tx1"/>
            </w14:solidFill>
          </w14:textFill>
        </w:rPr>
        <w:t>пер</w:t>
      </w:r>
      <w:r>
        <w:rPr>
          <w:rFonts w:hint="default" w:ascii="Times New Roman" w:hAnsi="Times New Roman" w:cs="Times New Roman"/>
          <w:color w:val="000000" w:themeColor="text1"/>
          <w:sz w:val="28"/>
          <w:szCs w:val="28"/>
          <w:lang w:val="uk-UA"/>
          <w14:textFill>
            <w14:solidFill>
              <w14:schemeClr w14:val="tx1"/>
            </w14:solidFill>
          </w14:textFill>
        </w:rPr>
        <w:t>іод</w:t>
      </w:r>
      <w:r>
        <w:rPr>
          <w:rFonts w:ascii="Times New Roman" w:hAnsi="Times New Roman" w:cs="Times New Roman"/>
          <w:color w:val="000000" w:themeColor="text1"/>
          <w:sz w:val="28"/>
          <w:szCs w:val="28"/>
          <w:lang w:val="uk-UA"/>
          <w14:textFill>
            <w14:solidFill>
              <w14:schemeClr w14:val="tx1"/>
            </w14:solidFill>
          </w14:textFill>
        </w:rPr>
        <w:t xml:space="preserve"> 2014-2022 роках, коли Москва намагалася перетворити етнічні меншини на інструмент внутрішньої нестабільності. Регіон Нарви став епіцентром таких зусиль, де у 2019 році з'явилися провокаційні плакати із закликами до "захисту прав росіян". Подібні акції інспірувалися кремлівськими наративними стратегіями, спрямовуючи дезінформацію через соціальні мережі на вузькі цільові аудиторії. Російська православна церква відігравала роль культурного посередника, поширюючи наративи про "історичну несправедливість" стосовно радянських пам'ятників та спадщини. Економічний тиск через енергетичну залежність додатково посилював ефективність інформаційних операцій, дозволяючи Росії поступово ерозувати легітимність місцевої влади. Естонський уряд представлявся як маріонетка західних інтересів, котра свідомо ігнорує "історичну правду" про радянський період.</w:t>
      </w:r>
    </w:p>
    <w:p w14:paraId="2BA67F8B">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Традиційне розуміння міждержавного конфлікту виявилося непридатним для аналізу комплексних практик, застосовуваних Москвою щодо пострадянських країн європейської орієнтації. Дослідники гібридних загроз вказують на координований характер дій, спрямованих проти демократичних інституцій через множину каналів – від дезінформаційних кампаній до кібератак, від економічного шантажу до маніпуляцій етнічними ідентичностями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_Ref211364283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54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Європейський центр передового досвіду з протидії гібридним загрозам визначає їх як дії державних або недержавних акторів, метою яких стає підрив або завдання шкоди об'єкту впливу через вплив на процеси прийняття рішень на локальному, регіональному, державному чи інституційному рівнях. Координація і синхронізація таких дій, навмисне використання вразливостей демократичних систем становлять ключову характеристику феномену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_Ref211364288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73</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На відміну від конвенційних викликів безпеці, гібридні загрози експлуатують системні слабкості відкритих суспільств і потребують комплексної цивільно-військової відповіді.</w:t>
      </w:r>
    </w:p>
    <w:p w14:paraId="2D77CB5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Концепція гібридної війни набула особливої актуальності після окупації</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Криму та початку збройної агресії Росії проти України. Валерій Герасімов, начальник Генерального штабу Збройних Сил Російської Федерації, сформулював підхід, згідно з яким роль невійськових засобів досягнення політичних і стратегічних цілей зросла і в багатьох випадках перевищила ефективність силового інструментарію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_Ref211364297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Хоча термін "доктрина Герасімова" є західним конструктом і не відображає офіційної російської військової доктрини, він вказує на зміщення акцентів у російському стратегічному мисленні від прямого військового втручання до комплексного використання невійськових методів впливу.</w:t>
      </w:r>
    </w:p>
    <w:p w14:paraId="67C0C34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Естонія опинилася в епіцентрі російської стратегії гібридного впливу з огляду на низку факторів. Географічна близькість та історичний досвід радянської окупації робили країну уразливою до ностальгічних наративів про спільне минуле. Значна присутність російськомовного населення створювала потенціал для етнополітичних маніпуляцій, особливо в прикордонних регіонах. Членство в НАТО та Європейському Союзі перетворювало Естонію на символічний рубіж протистояння між Заходом і Росією. Кремль розглядав політичне суперництво крізь призму принципу "хто-кого", де безпека держави означала "оборонну експансію" у сфері впливу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_Ref211364309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690FC87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Після 2014 року інтенсивність гібридних атак на Естонію зросла, хоча російські оперативні підрозділи та афілійовані мережі локалізували і скоротили свої операції у відповідь на покращення захисних механізмів та зростання медіаграмотності населення. Відтак акцент змістився на гранульовані, гіперлокальні кампанії впливу, спрямовані на конкретні виборчі сегменти з таргетованою дезінформацією. Парламентські вибори 2023 року супроводжувалися зростанням активності фейкових акаунтів у соціальних мережах, які поширювали розбіжні наративи про правлячу Реформістську партію та підігрівали напругу між естонсько- та російськомовними спільнотами. Служба внутрішньої безпеки Естонії виявила понад 300 тролінгових облікових записів, пов'язаних з російськими дезінформаційними кампаніями, метою яких було зниження явки серед національних меншин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_Ref208780249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1D896E7F">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Спільною рисою кампаній у балтійських державах стала використання синтетичних медіа – згенерованих штучним інтелектом зображень, відео та фальшивих експертних коментарів. Головною відмінністю сучасного етапу від попередніх фаз втручання стала швидкість і адаптивність тактик. Російські дезінформаційні мережі використовують машинне навчання для тестування десятків наративів перед відбором найефективніших. Багато операцій походять з третіх країн – Сербії чи Казахстану – задля приховування атрибуції та уникнення санкцій. Тактики відображають не лише технологічний прогрес, а й стратегічне перекалібрування, орієнтоване на довгострокову ерозію суспільної довіри замість негайних політичних перемог.</w:t>
      </w:r>
    </w:p>
    <w:p w14:paraId="3C60B0A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Центральним елементом гібридної стратегії Кремля щодо Естонії залишається маніпулювання історичною пам'яттю. Колективна пам'ять, як зазначають дослідники, являє собою політично укорінений феномен, що відображає владні відносини і продукує соціальні та політичні світи. Пам'ять конструюється соціально й водночас виступає політично продуктивною, формуючи наративи, які легітимізують певні інтерпретації минулого і маргіналізують альтернативні погляди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_Ref211364432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Росія, через свої державні інституції, активно просувала наратив про "Велику Вітчизняну війну" як тріумф над фашизмом, ігноруючи роль пакту Молотова-Ріббентропа 1939 року, який призвів до окупації Балтії. У публікаціях кремлівських істориків, таких як ті, що пов'язані з фондом "Історична пам'ять", балтійські держави зображувалися як "співучасники нацизму", що нібито вітали окупацію СРСР як "визволення"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_Ref211366341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6465476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В Естонії, де спогади про "Лісових братів" – партизанів проти радянської влади – становили основу національної ідентичності, Росія намагалася дискредитувати подібні фігури як "бандитів", використовуючи соціальні платформи для поширення конспірологічних теорій. Подібний підхід дозволяв Москві виправдовувати сучасні дії, посилаючись на "історичну справедливість". Російські медіа поширювали фейки про "переписування історії" на користь "нацистських колабораціоністів" під час національних комеморацій.</w:t>
      </w:r>
    </w:p>
    <w:p w14:paraId="3437BE52">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Після початку повномасштабного вторгнення РФ в Україну політика Естонії щодо радянських монументів перейшла в нову фазу, перетворившись на один з ключових фронтів «війни пам’ятників». Улітку 2022 року уряд К. Каллас ухвалив принципове рішення про демонтаж із публічного простору радянських пам’ятників, які містять символіку окупаційного режиму, наголошуючи, що вони становлять не лише історичну, а й безпекову проблему в умовах гібридної війни. За оцінками урядової робочої групи, у публічному просторі Естонії залишалося від 200 до 400 радянських монументів і надгробків з символікою окупації, з яких у дослідженні 2022 року було ідентифіковано 322 об’єкти, причому для 244 із них було рекомендовано демонтаж або перенесення. Символічним  моментом стала операція із демонтажу пам’ятника радянському танку Т-34 у Нарві 16 серпня 2022 року, коли монумент було знято з постаменту в прикордонному російськомовному місті й перевезено до Військового музею Естонії у Віймсі. Естонська влада аргументувала це рішення тим, що пам’ятник перетворився на точку концентрації проросійських настроїв та потенційний тригер заворушень, а збереження його у музейному форматі дозволяє «деполітизувати» об’єкт, не заперечуючи історичного факту війни. Водночас російські офіційні медіа й інституції представили перенесення танка як «осквернення пам’яті» та «реабілітацію нацизму», вбудувавши цей епізод у ширший наратив про «фашизацію Балтії». У 2024 році російський Слідчий комітет додатково криміналізував цю політику пам’яті, оголосивши К. Каллас та низку інших естонських чиновників у розшук за нібито «знищення радянських воєнних меморіалів» і «фальсифікацію історії», що засвідчує перенесення конфлікту пам’яті у площину екстериторіального правового й інформаційного тиску . У результаті естонська політика декомунізації простору пам’яті набуває подвійної функції: внутрішньої – як інструмент деколонізації та консолідації наративу про радянську окупацію, та зовнішньої – як маркер конфлікту норм із РФ, яка намагається легітимувати власну монополію на інтерпретацію радянського минулого через мову «захисту пам’ятників» і «боротьби з нацизмом».</w:t>
      </w:r>
    </w:p>
    <w:p w14:paraId="1C708991">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Росія активно розгортає політику "русского мира" – квазі-ідеологічний конструкт, спрямований на експансію впливу за кордон і об'єднання російськомовного простору на основі російської мови, спільної історії та Російської православної церкви. Просування концепції становить компонент зовнішньої політики і реалізується через мережу локальних агентів впливу, які можуть просувати окремі елементи доктрини, підвищуючи рівень її прийняття цільовим суспільством. Ключову роль відіграють інституції, що просувають російську "м'яку силу" за кордоном, зокрема Россотрудничество та фонд "Русский мир", заснований указом Володимира Путіна у 2007 році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_Ref211364309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245A490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Парасолька "Русского мира" охоплює низку культурних і історичних наративів. Кремль та його союзники працюють над зміцненням лояльності "співвітчизників" до Москви і зменшенням їхньої лояльності до місцевих та національних урядів через посилення лінгвістичних, культурних і релігійних зв'язків, надання гуманітарної допомоги, артикулювання політик, спрямованих саме на співвітчизників. Далі йдуть практики систематичного поширення російського громадянства ("паспортизація") для перетворення співвітчизників на російських громадян і залучення до дезінформаційних кампаній, спрямованих на дискредитацію уявних опонентів та ворогів і викривлення сприйняття реальності для цільової аудиторії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_Ref211364309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36B08B1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Дезінформація переважно підкреслює страждання та вразливість російських</w:t>
      </w:r>
      <w:r>
        <w:rPr>
          <w:rFonts w:hint="default" w:ascii="Times New Roman" w:hAnsi="Times New Roman" w:cs="Times New Roman"/>
          <w:color w:val="000000" w:themeColor="text1"/>
          <w:sz w:val="28"/>
          <w:szCs w:val="28"/>
          <w:lang w:val="uk-UA"/>
          <w14:textFill>
            <w14:solidFill>
              <w14:schemeClr w14:val="tx1"/>
            </w14:solidFill>
          </w14:textFill>
        </w:rPr>
        <w:t xml:space="preserve"> меншин </w:t>
      </w:r>
      <w:r>
        <w:rPr>
          <w:rFonts w:ascii="Times New Roman" w:hAnsi="Times New Roman" w:cs="Times New Roman"/>
          <w:color w:val="000000" w:themeColor="text1"/>
          <w:sz w:val="28"/>
          <w:szCs w:val="28"/>
          <w:lang w:val="uk-UA"/>
          <w14:textFill>
            <w14:solidFill>
              <w14:schemeClr w14:val="tx1"/>
            </w14:solidFill>
          </w14:textFill>
        </w:rPr>
        <w:t>у російському близькому зарубіжжі, водночас просуваючи імперіалістичні наміри під приводом "захисту" співвітчизників, якщо їхня безпека опиняється під загрозою, або військового втручання, якщо співвітчизники звертаються по захист до Росії. Зазвичай таке втручання означає встановлення формального або неформального контролю над територією, де проживають співвітчизники. Багато таких "заморожених конфліктів" самі є невирішеною спадщиною радянської епохи і тепер використовуються для забезпечення того, щоб периферія Росії залишалася прив'язаною до Москви, а не до Брюсселя чи Вашингтона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_Ref211364309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44172E9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В Естонії політика "співвітчизників за кордоном" дозволяла Москві видавати паспорти та надавати "гуманітарну допомогу", але насправді слугувала для створення мереж лояльності. В Іда-Вірумаа, де ВВП на душу населення нижчий за середній, Росія порівнювала місцеві умови з "бідними регіонами Росії", ігноруючи кращі показники в Балтії, щоб стимулювати ірредентизм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_Ref208780249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Рекрутинг молоді для активізму в 2009-2019 роках, хоча і обмежений, поєднувався з пропагандою, що ідеалізувала радянське минуле. Етнічні розділи таким чином ставали інструментом для гібридних операцій, як-от вандалізм пам'ятників у 2021-2022 роках, що створював хаос і відволікав ресурси державної безпеки.</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Незважаючи на зусилля, вплив був обмеженим завдяки інтеграційним програмам. Опитування Eurobarometer 2017-2021 років показали зростання довіри до ЄС серед меншин на 29% в Естонії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_Ref211364309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Однак етнічні напруження залишалися вразливістю, яку Росія експлуатувала для довгострокової ерозії стабільності.</w:t>
      </w:r>
    </w:p>
    <w:p w14:paraId="029444CB">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Формування контрнаративів в Естонії спирається на конструювання колективної пам'яті, яка протиставляє радянську окупацію як травматичний досвід національному відродженню та європейській інтеграції. Естонія активно використовує символічні практики – меморіали, дні пам'яті, музеї окупації – для закріплення історичної пам'яті про радянські репресії. Естонія також впроваджує медіаграмотність як інструмент протидії дезінформації, посідаючи третє місце серед 35 країн у Індексі медіаграмотності 2021 року, який вимірює потенціал європейських країн протистояти негативному впливу фейкових новин та дезінформації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_Ref211364309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0BDE3C81">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Дослідження естонської політики пам'яті виявляє напруження між етнонаціональним та громадянським підходами до ідентичності. Хоча опір зовнішньому автократичному тиску був ефективним для державотворення, стійкість етнонаціоналізму стримувала розвиток повністю інклюзивних демократій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_Ref211364735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24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Водночас виклики залишаються, оскільки координація між національними та наднаціональними акторами може бути непослідовною, а публічна втома від постійних попереджень про втручання може зменшити ефективність майбутніх попереджень. Побудова стійкості вимагає сталої громадянської освіти та постійних інновацій.</w:t>
      </w:r>
    </w:p>
    <w:p w14:paraId="081CBF2E">
      <w:pPr>
        <w:spacing w:after="0" w:line="360" w:lineRule="auto"/>
        <w:ind w:firstLine="720"/>
        <w:jc w:val="both"/>
        <w:rPr>
          <w:rFonts w:hint="default" w:ascii="Times New Roman" w:hAnsi="Times New Roman"/>
          <w:color w:val="000000" w:themeColor="text1"/>
          <w:sz w:val="28"/>
          <w:szCs w:val="28"/>
          <w:highlight w:val="red"/>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Важливо зазначити, що після 2022 року гібридна стратегія Російської Федерації щодо Естонії еволюціонувала від переважно інформаційних операцій до комплексніших форм впливу, що охоплюють фізичний, кіберактивний та інфраструктурний виміри. Згідно зі щорічними звітами Департаменту внутрішньої безпеки Естонії (Kaitsepolitseiamet, KAPO), з 2023 року фіксується зростання диверсійних дій, зокрема підпалів, спроб пошкодження об’єктів критичної інфраструктури, цілеспрямованих атак на громадські місця, що мають символічне значення, а також координації таких операцій російськими спецслужбами через посередників у третіх країнах. Показовим став підпал українського культурного центру та ресторану Slava Ukraini у Таллінні у травні 2024 року. Розслідування встановило, що виконавці, які діяли через російськомовні кримінальні мережі, отримували завдання від співробітників Головного управління Генерального штабу Збройних сил РФ (ГРУ). Прокуратура Естонії охарактеризувала цей інцидент як «тестування диверсійних ланцюгів» на території країни НАТО, підкресливши його роль у ширшій гібридній кампанії Росії проти держав Балтії. У 2025 році естонський суд підтвердив, що напад мав політичний характер і є частиною російської стратегії з підриву громадської довіри та створення атмосфери вразливості серед проукраїнських спільнот.</w:t>
      </w:r>
    </w:p>
    <w:p w14:paraId="265EC448">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Паралельно з диверсійними атаками на суходолі посилилася активність у Балтійському морі. Одним із наймасштабніших інцидентів стало пошкодження підводного газового й телекомунікаційного кабелю між Естонією та Фінляндією в жовтні 2023 року. Спільне розслідування двох держав дійшло висновку, що ушкодження було спричинене втручанням ззовні, а серед підозрюваних об’єктів фігурували судна, пов’язані з російським «тіньовим флотом». Інциденти такого типу розглядаються естонськими та фінськими спецслужбами як частина гібридної кампанії, що має на меті продемонструвати вразливість критичної інфраструктури та створити постійний тиск на країни Балтії. У відповідь Естонія та союзники активізували спільні морські патрулі, а Європейський Союз оголосив про створення спеціальної місії з моніторингу ризиків для підводної інфраструктури.</w:t>
      </w:r>
    </w:p>
    <w:p w14:paraId="41766499">
      <w:pPr>
        <w:spacing w:after="0" w:line="360" w:lineRule="auto"/>
        <w:ind w:firstLine="72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Гібридний тиск підсилювали й прикордонні провокації. У 2024–2025 роках естонські прикордонники зафіксували спроби демонтажу або переміщення прикордонних буїв на річці Нарва, що призвело до дипломатичної напруги</w:t>
      </w:r>
      <w:r>
        <w:rPr>
          <w:rFonts w:hint="default" w:ascii="Times New Roman" w:hAnsi="Times New Roman"/>
          <w:color w:val="000000" w:themeColor="text1"/>
          <w:sz w:val="28"/>
          <w:szCs w:val="28"/>
          <w:lang w:val="en-US"/>
          <w14:textFill>
            <w14:solidFill>
              <w14:schemeClr w14:val="tx1"/>
            </w14:solidFill>
          </w14:textFill>
        </w:rPr>
        <w:t>.</w:t>
      </w:r>
      <w:r>
        <w:rPr>
          <w:rFonts w:hint="default" w:ascii="Times New Roman" w:hAnsi="Times New Roman"/>
          <w:color w:val="000000" w:themeColor="text1"/>
          <w:sz w:val="28"/>
          <w:szCs w:val="28"/>
          <w14:textFill>
            <w14:solidFill>
              <w14:schemeClr w14:val="tx1"/>
            </w14:solidFill>
          </w14:textFill>
        </w:rPr>
        <w:t xml:space="preserve"> У</w:t>
      </w:r>
      <w:r>
        <w:rPr>
          <w:rFonts w:hint="default" w:ascii="Times New Roman" w:hAnsi="Times New Roman"/>
          <w:color w:val="000000" w:themeColor="text1"/>
          <w:sz w:val="28"/>
          <w:szCs w:val="28"/>
          <w:lang w:val="uk-UA"/>
          <w14:textFill>
            <w14:solidFill>
              <w14:schemeClr w14:val="tx1"/>
            </w14:solidFill>
          </w14:textFill>
        </w:rPr>
        <w:t>ряд Естонії кваліфікував це як скоординовану частину російської інструменталізації прикордонного режиму для тестування реакції НАТО. Подібні провокації поєднувалися з інформаційними кампаніями російських медіа, спрямованими на формування образу Естонії як «агресора», що нібито «загострює ситуацію на кордоні».</w:t>
      </w:r>
    </w:p>
    <w:p w14:paraId="498B90CA">
      <w:pPr>
        <w:spacing w:after="0" w:line="360" w:lineRule="auto"/>
        <w:ind w:firstLine="720"/>
        <w:jc w:val="both"/>
        <w:rPr>
          <w:rFonts w:hint="default"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Естонія відповіла на російські гібридні загрози комплексом заходів, що включають технологічні, законодавчі та суспільні інструменти. Країна модернізувала свою систему електронного голосування, впровадивши блокчейн-верифікацію та розширені заходи публічної прозорості. На рівні Європейського Союзу Європейський план дій щодо демократії встановив базову лінію для співпраці платформ і санкцій проти іноземного втручання, тоді як пакет захисту демократії 2023 року запропонував правила прозорості для іноземно фінансованого впливу. Центр передового досвіду стратегічних комунікацій НАТО у Ризі відіграє ключову роль у навчанні держав-членів стратегіям протидії дезінформації та захисту виборів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_Ref208780249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p>
    <w:p w14:paraId="3348715C">
      <w:pPr>
        <w:spacing w:after="0" w:line="360" w:lineRule="auto"/>
        <w:ind w:firstLine="720"/>
        <w:jc w:val="both"/>
        <w:rPr>
          <w:rFonts w:hint="default" w:ascii="Times New Roman" w:hAnsi="Times New Roman"/>
          <w:color w:val="000000" w:themeColor="text1"/>
          <w:sz w:val="28"/>
          <w:szCs w:val="28"/>
          <w14:textFill>
            <w14:solidFill>
              <w14:schemeClr w14:val="tx1"/>
            </w14:solidFill>
          </w14:textFill>
        </w:rPr>
      </w:pPr>
      <w:r>
        <w:rPr>
          <w:rFonts w:hint="default" w:ascii="Times New Roman" w:hAnsi="Times New Roman"/>
          <w:color w:val="000000" w:themeColor="text1"/>
          <w:sz w:val="28"/>
          <w:szCs w:val="28"/>
          <w:lang/>
          <w14:textFill>
            <w14:solidFill>
              <w14:schemeClr w14:val="tx1"/>
            </w14:solidFill>
          </w14:textFill>
        </w:rPr>
        <w:t xml:space="preserve">Загалом, протягом 2022–2025 років естонська політика протидії гібридним загрозам </w:t>
      </w:r>
      <w:r>
        <w:rPr>
          <w:rFonts w:hint="default" w:ascii="Times New Roman" w:hAnsi="Times New Roman"/>
          <w:color w:val="000000" w:themeColor="text1"/>
          <w:sz w:val="28"/>
          <w:szCs w:val="28"/>
          <w:lang w:val="uk-UA"/>
          <w14:textFill>
            <w14:solidFill>
              <w14:schemeClr w14:val="tx1"/>
            </w14:solidFill>
          </w14:textFill>
        </w:rPr>
        <w:t>міцно</w:t>
      </w:r>
      <w:r>
        <w:rPr>
          <w:rFonts w:hint="default" w:ascii="Times New Roman" w:hAnsi="Times New Roman"/>
          <w:color w:val="000000" w:themeColor="text1"/>
          <w:sz w:val="28"/>
          <w:szCs w:val="28"/>
          <w:lang/>
          <w14:textFill>
            <w14:solidFill>
              <w14:schemeClr w14:val="tx1"/>
            </w14:solidFill>
          </w14:textFill>
        </w:rPr>
        <w:t xml:space="preserve"> інтегрувалася в ширшу нормативну та інституційну архітектуру Європейського Союзу. </w:t>
      </w:r>
      <w:r>
        <w:rPr>
          <w:rFonts w:hint="default" w:ascii="Times New Roman" w:hAnsi="Times New Roman"/>
          <w:color w:val="000000" w:themeColor="text1"/>
          <w:sz w:val="28"/>
          <w:szCs w:val="28"/>
          <w:lang w:val="uk-UA"/>
          <w14:textFill>
            <w14:solidFill>
              <w14:schemeClr w14:val="tx1"/>
            </w14:solidFill>
          </w14:textFill>
        </w:rPr>
        <w:t>З</w:t>
      </w:r>
      <w:r>
        <w:rPr>
          <w:rFonts w:hint="default" w:ascii="Times New Roman" w:hAnsi="Times New Roman"/>
          <w:color w:val="000000" w:themeColor="text1"/>
          <w:sz w:val="28"/>
          <w:szCs w:val="28"/>
          <w:lang/>
          <w14:textFill>
            <w14:solidFill>
              <w14:schemeClr w14:val="tx1"/>
            </w14:solidFill>
          </w14:textFill>
        </w:rPr>
        <w:t>авдяки естонському досвіду були вдосконалені підходи ЄС до кіберстійкості (NIS2), а також координація між структурою StratCom Task Force East та національними інституціями, що документують і класифікують російські інформаційні операці</w:t>
      </w:r>
      <w:r>
        <w:rPr>
          <w:rFonts w:hint="default" w:ascii="Times New Roman" w:hAnsi="Times New Roman"/>
          <w:color w:val="000000" w:themeColor="text1"/>
          <w:sz w:val="28"/>
          <w:szCs w:val="28"/>
          <w:lang w:val="uk-UA"/>
          <w14:textFill>
            <w14:solidFill>
              <w14:schemeClr w14:val="tx1"/>
            </w14:solidFill>
          </w14:textFill>
        </w:rPr>
        <w:t>ї</w:t>
      </w:r>
      <w:r>
        <w:rPr>
          <w:rFonts w:hint="default" w:ascii="Times New Roman" w:hAnsi="Times New Roman"/>
          <w:color w:val="000000" w:themeColor="text1"/>
          <w:sz w:val="28"/>
          <w:szCs w:val="28"/>
          <w:lang/>
          <w14:textFill>
            <w14:solidFill>
              <w14:schemeClr w14:val="tx1"/>
            </w14:solidFill>
          </w14:textFill>
        </w:rPr>
        <w:t>.</w:t>
      </w:r>
      <w:r>
        <w:rPr>
          <w:rFonts w:hint="default" w:ascii="Times New Roman" w:hAnsi="Times New Roman"/>
          <w:color w:val="000000" w:themeColor="text1"/>
          <w:sz w:val="28"/>
          <w:szCs w:val="28"/>
          <w:lang w:val="uk-UA"/>
          <w14:textFill>
            <w14:solidFill>
              <w14:schemeClr w14:val="tx1"/>
            </w14:solidFill>
          </w14:textFill>
        </w:rPr>
        <w:t xml:space="preserve"> </w:t>
      </w:r>
      <w:r>
        <w:rPr>
          <w:rFonts w:hint="default" w:ascii="Times New Roman" w:hAnsi="Times New Roman"/>
          <w:color w:val="000000" w:themeColor="text1"/>
          <w:sz w:val="28"/>
          <w:szCs w:val="28"/>
          <w14:textFill>
            <w14:solidFill>
              <w14:schemeClr w14:val="tx1"/>
            </w14:solidFill>
          </w14:textFill>
        </w:rPr>
        <w:t xml:space="preserve">Саме Естонія стала одним із головних "тестових полігонів" для нових європейських інструментів стійкості, оскільки її безпекове середовище концентрує ключові риси гібридного протистояння з Росією: поєднання кібератак, інформаційних операцій, тиску на політику пам’яті та спроб впливу на етнічні меншини. </w:t>
      </w:r>
    </w:p>
    <w:p w14:paraId="4710A143">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p>
    <w:p w14:paraId="75060B9E">
      <w:pPr>
        <w:pStyle w:val="2"/>
        <w:spacing w:before="0" w:after="0" w:line="360" w:lineRule="auto"/>
        <w:ind w:firstLine="720"/>
        <w:jc w:val="both"/>
        <w:rPr>
          <w:rFonts w:ascii="Times New Roman" w:hAnsi="Times New Roman" w:cs="Times New Roman"/>
          <w:b/>
          <w:bCs/>
          <w:color w:val="000000" w:themeColor="text1"/>
          <w:sz w:val="28"/>
          <w:szCs w:val="28"/>
          <w:lang w:val="uk-UA"/>
          <w14:textFill>
            <w14:solidFill>
              <w14:schemeClr w14:val="tx1"/>
            </w14:solidFill>
          </w14:textFill>
        </w:rPr>
      </w:pPr>
      <w:bookmarkStart w:id="15" w:name="_Toc208397139"/>
      <w:r>
        <w:rPr>
          <w:rFonts w:ascii="Times New Roman" w:hAnsi="Times New Roman" w:cs="Times New Roman"/>
          <w:b/>
          <w:bCs/>
          <w:color w:val="000000" w:themeColor="text1"/>
          <w:sz w:val="28"/>
          <w:szCs w:val="28"/>
          <w:lang w:val="uk-UA"/>
          <w14:textFill>
            <w14:solidFill>
              <w14:schemeClr w14:val="tx1"/>
            </w14:solidFill>
          </w14:textFill>
        </w:rPr>
        <w:t>3.2. Сек’юритизація російськомовних меншин та безпековий дискурс в Латвії</w:t>
      </w:r>
      <w:bookmarkEnd w:id="15"/>
    </w:p>
    <w:p w14:paraId="73EE99B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22D4DB79">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У Латвії, де етнічні росіяни та російськомовні групи становлять значну частку населення, процес сек'юритизації подібних спільнот перетворився на ключовий елемент державної політики після 2014 року, коли окупація Криму Росією різко загострила геополітичні напруження. Політичні еліти почали представляти російськомовних як потенційну загрозу національній безпеці, пов'язуючи їх з кремлівським впливом, історичними травмами радянської окупації та сучасними гібридними загрозами. Такий підхід добре вписується в обрану постструктуралістську рамку: питання безпеки й лояльності постають не як «об’єктивні факти», а як результат специфічних дискурсивних практик, через які влада визначає, хто належить до «своїх», а хто маркується як потенційне «Інше». У такому вимірі сек’юритизація російськомовних меншин постає як спосіб виробництва певної картини реальності, де етнічні й мовні відмінності переводяться у площину екзистенційної загрози державі.</w:t>
      </w:r>
    </w:p>
    <w:p w14:paraId="42BFBBCB">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Концепція сек'юритизації, розроблена Копенгагенською школою міжнародних відносин, передбачає перетворення звичайних політичних питань на проблеми національної безпеки через дискурсивні практики еліт, які представляють їх як екзистенційні загрози, обґрунтовуючи надзвичайні заходи. У постструктуралістській перспективі це означає, що «загроза» не просто фіксується, а конструюється в мові: через повторювані висловлювання, метафори, історичні аналогії та категорії, що визначають межі «нормального» й «неприйнятного». У випадку Латвії, особливо після 2014 року, російськомовні меншини часто фреймувалися як «п'ята колона», вразлива до маніпуляцій Москви, що дозволяло урядам виводити етнічні та культурні питання за межі звичайної політики. Фуколдіанське розуміння влади як мережі дискурсивних практик дозволяє побачити, як через апеляції до пам’яті про радянську окупацію, до досвіду репресій та депортацій конструюється образ «небезпечної» групи, щодо якої допустимими стають жорсткіші мовні, освітні та міграційні режими. В термінах Е. Лаклау та Ш. Муфф латвійські еліти створюють гегемонний ланцюг еквівалентностей, де «радянське минуле», «російський ревізіонізм» і «лояльність меншин» зводяться в єдиний дискурс загрози суверенітету.</w:t>
      </w:r>
    </w:p>
    <w:p w14:paraId="1F2996CB">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Безпековий дискурс тут набував форми наративів, де історичні спогади про радянську окупацію 1940–1991 років слугували основою для сучасних інтерпретацій, пов'язуючи лояльність меншин з потенційними ризиками для суверенітету. Латвійські еліти використовували фрейми «загрози лояльності», акцентуючи на культурних зв'язках з Росією, таких як споживання російських медіа чи святкування 9 травня, аби виправдати реформи в освіті та громадянстві [115].</w:t>
      </w:r>
    </w:p>
    <w:p w14:paraId="31BA69B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Зазначений аспект не обмежувався виключенням; у деяких випадках сек'юритизація набувала інклюзивних форм, коли політики спрямовувалися на "завоювання" меншин через програми інтеграції, аби зменшити можливості для російського втручання. Теоретично, десек'юритизація – повернення питань до сфери нормальної політики – залишалася можливістю, але в реальності домінували сек'юритизаційні логіки, посилені російськими діями в Україні. Дискурс формувався через взаємодію акторів: державних інститутів, медіа та громадських організацій, де фрейми загрози поширювалися для мобілізації суспільної підтримки. У Латвії подібні наративи часто пов'язувалися з економічними вразливостями регіонів на кшталт Латгалії, де російськомовні переважали, перетворюючи соціальні проблеми на безпекові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_Ref211370380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87</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5775C25B">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Аналізуючи еволюцію з 2014 по 202</w:t>
      </w:r>
      <w:r>
        <w:rPr>
          <w:rFonts w:hint="default" w:ascii="Times New Roman" w:hAnsi="Times New Roman" w:cs="Times New Roman"/>
          <w:color w:val="000000" w:themeColor="text1"/>
          <w:sz w:val="28"/>
          <w:szCs w:val="28"/>
          <w:lang w:val="uk-UA"/>
          <w14:textFill>
            <w14:solidFill>
              <w14:schemeClr w14:val="tx1"/>
            </w14:solidFill>
          </w14:textFill>
        </w:rPr>
        <w:t>5</w:t>
      </w:r>
      <w:r>
        <w:rPr>
          <w:rFonts w:ascii="Times New Roman" w:hAnsi="Times New Roman" w:cs="Times New Roman"/>
          <w:color w:val="000000" w:themeColor="text1"/>
          <w:sz w:val="28"/>
          <w:szCs w:val="28"/>
          <w:lang w:val="uk-UA"/>
          <w14:textFill>
            <w14:solidFill>
              <w14:schemeClr w14:val="tx1"/>
            </w14:solidFill>
          </w14:textFill>
        </w:rPr>
        <w:t xml:space="preserve"> рік, видно, як зовнішні кризи, як окупація</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Криму, стимулювали гіперсек'юритизацію – екстремальне посилення дискурсу, коли загрози поширювалися на всі сфери життя. Російська "політика співвітчизників", започаткована 1999 року, слугувала каталізатором, дозволяючи Москві позиціонувати себе як захисника меншин, що, своєю чергою, провокувало латвійські еліти на відповідь. Теорія ідентичності тут відіграє ключову роль: національна ідентичність Латвії конструювалася через "негативне Інше" – Росію, де меншини ставали посередниками в подібній динаміці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_Ref211370407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29</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Безпековий дискурс не був статичним; він еволюціонував, інтегруючи елементи м'якої сили, як культурні ініціативи, з жорсткими заходами, як заборони символів, формуючи гібридний підхід до управління ризиками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_Ref211370412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42</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451D83E7">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Латвійська політика щодо російськомовних, які становлять близько 25–30 % населення, особливо в Ризі та Латгалії, набула виразних сек’юритизаційних рис після 2014 року, коли події в Україні спонукали уряд посилити контроль над етнічними динаміками. Еліти представляли подібні спільноти як вразливі до кремлівської пропаганди, обґрунтовуючи реформи освіти 2018 року, які передбачали перехід на латвійську мову навчання у старших класах, як засіб забезпечення лояльності та зменшення ризиків дестабілізації. Аргументація акцентувала на «спільному інформаційному просторі» з Росією, де споживання російських медіа нібито формувало альтернативні лояльності, пов’язані з історичним наративом «Великої Вітчизняної війни» [7]. У 2019 році автоматичне надання громадянства дітям «негромадян» – нащадкам радянських мігрантів – подавалося як інклюзивний крок, але у фреймі сек</w:t>
      </w:r>
      <w:r>
        <w:rPr>
          <w:rFonts w:hint="default" w:ascii="Times New Roman" w:hAnsi="Times New Roman"/>
          <w:color w:val="000000" w:themeColor="text1"/>
          <w:sz w:val="28"/>
          <w:szCs w:val="28"/>
          <w:lang w:val="en-US"/>
          <w14:textFill>
            <w14:solidFill>
              <w14:schemeClr w14:val="tx1"/>
            </w14:solidFill>
          </w14:textFill>
        </w:rPr>
        <w:t>’</w:t>
      </w:r>
      <w:r>
        <w:rPr>
          <w:rFonts w:hint="default" w:ascii="Times New Roman" w:hAnsi="Times New Roman"/>
          <w:color w:val="000000" w:themeColor="text1"/>
          <w:sz w:val="28"/>
          <w:szCs w:val="28"/>
          <w:lang/>
          <w14:textFill>
            <w14:solidFill>
              <w14:schemeClr w14:val="tx1"/>
            </w14:solidFill>
          </w14:textFill>
        </w:rPr>
        <w:t>юритизац</w:t>
      </w:r>
      <w:r>
        <w:rPr>
          <w:rFonts w:hint="default" w:ascii="Times New Roman" w:hAnsi="Times New Roman"/>
          <w:color w:val="000000" w:themeColor="text1"/>
          <w:sz w:val="28"/>
          <w:szCs w:val="28"/>
          <w:lang w:val="uk-UA"/>
          <w14:textFill>
            <w14:solidFill>
              <w14:schemeClr w14:val="tx1"/>
            </w14:solidFill>
          </w14:textFill>
        </w:rPr>
        <w:t>ії: аби зменшити привід для Москви втручатися під виглядом захисту прав [79]. Після повномасштабного вторгнення Росії в Україну у 2022 році цей курс ще більше радикалізувався: Сейм ухвалив рішення про поетапний повний перехід шкіл меншин на латиську мову навчання на всіх рівнях, включно з початковою освітою, що має бути завершено до середини 2020-х років. Одночасно було переглянуто підходи до викладання іноземних мов: російська фактично витісняється з переліку дозволених других іноземних мов на користь мов країн ЄС, що закріплює символічне розмежування з пострадянським простором і формує нові рамки соціалізації для наступних поколінь російськомовних учнів.</w:t>
      </w:r>
    </w:p>
    <w:p w14:paraId="3CF99AD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Подібні заходи супроводжувалися медійними фреймами, де російськомовні зображувалися як потенційна "п'ята колона", особливо після окупації</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Криму, коли опитування виявили нижчу підтримку НАТО серед подібних груп порівняно з латвійцями. У 2021-2022 роках, напередодні повномасштабного вторгнення, дискурс посилився через заборони російських телеканалів та демонтаж радянських пам'ятників, як-от у Ризі, що обґрунтовувалося як очищення від символів окупації, але ризикувало посилити відчуття ізоляції серед меншин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_Ref211370485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20</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Політичні актори, на кшталт партії "Національне об'єднання", активно використовували наративи загрози, пов'язуючи етнічні питання з геополітичними ризиками, що дозволило виключити проросійські партії, як "Гармонія", з коаліцій після 2018 року. Економічні аспекти сек'юритизації проявлялися в регіонах Латгалії, де нижчий рівень життя поєднувався з культурними зв'язками до Росії, перетворюючи соціальні проблеми на безпекові, з акцентом на протидію гібридним впливам через посилення прикордонного контролю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_Ref211370497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101</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4EB4EAF6">
      <w:pPr>
        <w:spacing w:after="0" w:line="360" w:lineRule="auto"/>
        <w:ind w:firstLine="720"/>
        <w:jc w:val="both"/>
        <w:rPr>
          <w:rFonts w:hint="default"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До 2022 року латвійський дискурс еволюціонував до гіперсек'юритизації, коли надзвичайні заходи, як перевірки лояльності для російських громадян на проживання, стали нормою, фреймуючи меншини як фільтр для потенційних загроз. Опитування 2020 року показали, що серед російськомовних підтримка оборони держави була нижчою, що тлумачилося як результат історичних травм та сучасної пропаганди, посилюючи аргументи за жорсткішими політиками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_Ref208780249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olor w:val="000000" w:themeColor="text1"/>
          <w:sz w:val="28"/>
          <w:szCs w:val="28"/>
          <w:lang w:val="uk-UA"/>
          <w14:textFill>
            <w14:solidFill>
              <w14:schemeClr w14:val="tx1"/>
            </w14:solidFill>
          </w14:textFill>
        </w:rPr>
        <w:t>Після початку повномасштабної агресії проти України ці практики були інституційно закріплені через зміни до законодавства про імміграцію: власникам постійних дозволів на проживання з громадянством Російської Федерації було запропоновано переоформити їх на строкові документи за умови складання іспиту з латиської мови, підтвердження базових знань історії та демонстрації лояльності до латвійської держави. Ті, хто не зміг виконати нові вимоги, ризикували втратити право на проживання й отримували припис залишити країну. Це свідчить про те, що питання мови та правового статусу були прямо включені в безпековий режим: проживання громадян РФ стало умовним і залежним від проходження «фільтра» лояльності.</w:t>
      </w:r>
    </w:p>
    <w:p w14:paraId="0DA6D19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Медіа в Латвії відігравали центральну роль у поширенні сек'юритизаційних фреймів, представляючи російськомовних як вразливих до пропаганди, особливо після 2014 року. Державні мовники, як LSM в Латвії, часто використовували наративи "п'ятої колони", пов'язуючи меншини з російськими діями в Україні, аби мобілізувати суспільство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_Ref211370833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10</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Політичні актори, від президентів до парламентських партій, посилювали дискурс через промови, де історичні травми окупації слугували для легітимації заходів, як заборони символів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_Ref211370840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У 2021-2022 роках медійні кампанії навколо демонтажу пам'ятників у Ризі фреймували протести як загрозу, посилюючи поляризацію. Сек'юритизація призвела до посилення національної єдності серед титульних груп, але ризикувала ерозією згуртованості, посилюючи маргіналізацію меншин. У Латвії подібний процес проявився в зниженні підтримки проросійських партій після 2018 року, але й у зростанні етнічних напружень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_Ref211370849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6</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66A0B4D1">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У підсумку сек’юритизація російськомовних меншин у Латвії мала двобічні наслідки. З одного боку, посилення мовної та освітньої політики, обмеження російського медіапростору, жорсткіші вимоги до громадянства і дозволів на проживання, а також демонтаж символів радянської окупації сприяли звуженню каналів прямого впливу Росії та маргіналізації відверто проросійських політичних сил. Зниження електоральної ваги партій, які апелювали до «спільного радянського минулого», посилення підтримки членства в НАТО серед титульної більшості та інституційне закріплення європейської траєкторії розвитку свідчать про певну ефективність обраної стратегії стримування. У постструктуралістських термінах латвійським елітам вдалося переозначити низку ключових “сигніфікаторів” – «окупація», «перемога», «історична справедливість» – та поступово витіснити радянський наратив з центру легітимного публічного дискурсу.</w:t>
      </w:r>
    </w:p>
    <w:p w14:paraId="2F16981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Водночас ця стратегія мала і суттєві побічні ефекти. Частина російськомовних громадян сприйняла посилення мовних, символічних та правових обмежень як підтвердження власної «чужості», що поглиблювало відчуття маргіналізації, особливо в соціально вразливих регіонах на кшталт Латгалії. Сек’юритизаційні практики звужували простір для десек’юритизації та інклюзивних форм політики, ускладнюючи формування загальнонаціональної ідентичності, яка би повністю охоплювала російськомовні спільноти. З постструктуралістської перспективи це означає, що гегемоністичний дискурс безпеки, хоча й посилює внутрішню згуртованість титульної більшості, водночас відтворює лінії поділу, які Кремль може використовувати для підтримання образу Росії як «захисника пригнічуваних співвітчизників». Таким чином, ефективність латвійської сек’юритизації в плані нейтралізації безпосередніх загроз поєднується з довгостроковими ризиками для інклюзивності демократичних інститутів і стійкості політичної спільноти.</w:t>
      </w:r>
    </w:p>
    <w:p w14:paraId="53C22DE5">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Безпековий дискурс у Латвії не обмежувався внутрішніми процесами сек'юритизації меншин, а охоплював також зовнішні виміри військової безпеки, пов'язані з агресивною діяльністю Російської Федерації поблизу кордонів. Після 2014 року Москва систематично посилювала військову присутність у регіоні, проводячи провокативні навчання, реорганізуючи військові структури та збільшуючи розвідувальну активність. Подібні дії мали на меті не лише демонстрацію сили, але й психологічний тиск на країни Балтії, зокрема Латвію, створюючи атмосферу перманентної загрози потенційного вторгнення.</w:t>
      </w:r>
    </w:p>
    <w:p w14:paraId="5B6786F4">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Латвійська служба військової розвідки та безпеки у своїх звітах неодноразово фіксувала зростання російської військової активності поблизу кордонів. Росія вдавалася до агресивних дій, таких як порушення повітряного простору та небезпечне зближення з літаками і кораблями НАТО. Подібні провокації мали на меті залякати та дискредитувати оборонні можливості регіональних країн. Крім того, звіти вказували на реорганізацію Збройних Сил Російської Федерації у 2024 році, коли замість Західного військового округу було створено Ленінградський та Московський військові округи. Формально подібна реорганізація представлялася як відповідь на вступ Фінляндії та Швеції до НАТО, але фактично свідчила про стратегічне перекалібрування російських військових потужностей у північно-західному напрямку.</w:t>
      </w:r>
    </w:p>
    <w:p w14:paraId="2DB11389">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У рамках реформи формувалися нові підрозділи. У Карелії був створений новий армійський корпус, дві мотострілецькі бригади поблизу Латвії трансформувалися у дивізії, а бригада морської піхоти Балтійського флоту в Калінінграді також отримала статус дивізії. Незважаючи на подібні дії, звіти зазначали, що наразі не спостерігається реального зростання військової загрози – більшість ресурсів Росії зосереджена на війні проти України. Російська армія також обмежена у проведенні навіть тактичних навчань через брак персоналу та обладнання.</w:t>
      </w:r>
    </w:p>
    <w:p w14:paraId="7D4740E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Латвійська розвідка повідомляла, що у 2025 році Російська Федерація та Білорусь планують спільні стратегічні навчання "Захід-2025", які мають відбутися переважно на території Білорусі. Служба зазначала, що для повного досягнення цілей реформи, ймовірно, знадобиться кілька років, можливо навіть десятиліття, але очікується, що кількість російських збройних сил поблизу кордонів Латвії почне зростати у міру зниження інтенсивності бойових дій в Україні. Водночас розвідка підкреслювала, що за поточних умов Росія не має можливостей для іншої наземної операції стратегічного рівня.</w:t>
      </w:r>
    </w:p>
    <w:p w14:paraId="319147AA">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Росія також посилила розвідувальну діяльність щодо військової активності НАТО у Балтійському морі. Подібна діяльність включала моніторинг морських та повітряних операцій Альянсу, а також збір інформації про оборонну інфраструктуру країн регіону. Латвійські експерти з безпеки вказували на те, що метою Кремля було не лише отримання оперативної інформації, але й створення психологічного ефекту постійної присутності та контролю. Провокативні дії, як небезпечне зближення військових суден чи порушення повітряного простору, слугували інструментом гібридної стратегії, спрямованої на тестування реакції НАТО та виявлення слабких місць у системі колективної оборони.</w:t>
      </w:r>
    </w:p>
    <w:p w14:paraId="2D7720B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Латвійські політичні еліти використовували російську військову активність як аргумент для посилення оборонних спроможностей держави та зміцнення національної згуртованості. Перспектива потенційного російського вторгнення, навіть якщо вона розглядалася як віддалена через зосередженість Москви на Україні, залишалася центральною у безпековому мисленні. Подібна перспектива виправдовувала збільшення оборонного бюджету, посилення прикордонного контролю та участь у багатонаціональних навчаннях НАТО, які регулярно проводилися на території Латвії.</w:t>
      </w:r>
    </w:p>
    <w:p w14:paraId="4E2E21A2">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Військовий аспект безпекового дискурсу також впливав на сприйняття російськомовних меншин усередині країни. Еліти часто пов'язували внутрішні етнічні динаміки з зовнішніми загрозами, представляючи меншини як потенційний канал для російського впливу в умовах можливого конфлікту. Подібна логіка призводила до посилення контролю над культурними та інформаційними зв'язками з Росією, включаючи заборони медіа та обмеження на символіку. У контексті військових загроз сек'юритизація набувала додаткового виміру, коли питання лояльності меншин розглядалися не лише як культурна чи політична проблема, але й як питання національної оборони.</w:t>
      </w:r>
    </w:p>
    <w:p w14:paraId="0ED37F9F">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У військовому вимірі гібридна стратегія Росії щодо Латвії проявляється не лише через потенціал прямої сили, а й через постійну демонстрацію можливостей та тестування системи безпеки. Після 2022 року Москва провела масштабну реформу військового управління, ліквідувавши Західний військовий округ і створивши замість нього Ленінградський та Московський округи, зі специфічним фокусом на північно-західному напрямку. Бригади, розташовані поблизу кордонів з країнами Балтії, перетворюються на дивізії, посилюються частини морської піхоти Балтійського флоту, що сигналізує про довгострокову готовність до підтримання військового тиску в регіоні. Стратегічні навчання на кшталт «Захід-2025», які Росія планує проводити спільно з Білоруссю, передбачають сценарії масштабного конфлікту із НАТО і в латвійському дискурсі інтерпретуються як відпрацювання операцій проти країн Балтії, навіть якщо формально проводяться як «оборонні». Регулярні порушення повітряного простору, небезпечні зближення з літаками та кораблями НАТО у Балтійському морі, а також активна розвідувальна діяльність (включно з використанням безпілотників та інцидентами довкола підводної енергетичної й комунікаційної інфраструктури) сприймаються латвійськими елітами як частина гібридної стратегії залякування й «звикання» до постійної загрози. У цій логіці військовий вимір доповнює інформаційну та політику пам’яті: сама можливість силового сценарію використовується для виправдання посилення внутрішньої сек’юритизації, насамперед щодо російськомовних спільнот, які розглядаються як потенційний канал російського впливу в умовах кризової ситуації.</w:t>
      </w:r>
    </w:p>
    <w:p w14:paraId="5ACD1CF1">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Латвійські експерти з безпеки наголошували на необхідності комплексного підходу до протидії російським загрозам, який би поєднував військові, політичні, інформаційні та соціальні інструменти. Реорганізація російських військових структур поблизу кордонів розглядалася як довгострокова стратегія Москви, спрямована на збереження можливостей для майбутнього тиску на регіон. Навіть за відсутності безпосередньої загрози вторгнення, сама присутність посилених військових угруповань створювала стратегічну вразливість для Латвії та інших балтійських держав.</w:t>
      </w:r>
    </w:p>
    <w:p w14:paraId="09DC2245">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Паралельно з військовими заходами Росія продовжувала використовувати інформаційні операції для підриву довіри до НАТО та національних урядів. Кремлівські медіа поширювали наративи про "агресивність" Альянсу та його нібито плани "оточення" Росії, представляючи власні військові дії як оборонні. Подібні наративи знаходили відгук серед частини російськомовного населення Латвії, що підживлювало внутрішні поділи та ускладнювало формування консолідованої позиції щодо безпекових викликів.</w:t>
      </w:r>
    </w:p>
    <w:p w14:paraId="5D1B66F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У відповідь латвійський уряд посилював співпрацю з союзниками по НАТО, зокрема через багатонаціональні батальйони передового базування, розміщені на території країни. Участь у спільних навчаннях, модернізація збройних сил та інвестиції в оборонну інфраструктуру стали ключовими елементами стратегії стримування. Водночас Латвія активно розвивала можливості гібридної оборони, включаючи протидію дезінформації, кіберзахист та зміцнення суспільної стійкості.</w:t>
      </w:r>
    </w:p>
    <w:p w14:paraId="7F48F607">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Безпековий дискурс у Латвії, таким чином, відображав складну взаємодію між зовнішніми військовими загрозами та внутрішніми процесами сек'юритизації етнічних меншин. Російська військова активність поблизу кордонів слугувала не лише фізичною загрозою, але й психологічним інструментом тиску, який впливав на формування національної безпекової політики. Перспектива потенційного вторгнення, навіть якщо вона залишалася гіпотетичною в короткостроковій перспективі, визначала стратегічне мислення латвійських еліт та формувала громадський дискурс навколо питань оборони, лояльності та національної ідентичності.</w:t>
      </w:r>
    </w:p>
    <w:p w14:paraId="2D135983">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Латвійські органи безпеки підкреслювали важливість постійної пильності та готовності до різних сценаріїв розвитку подій. Реорганізація російських військових структур, провокативні дії у повітряному та морському просторі, а також розвідувальна активність розглядалися як елементи довгострокової стратегії Кремля, спрямованої на збереження впливу в регіоні та дестабілізацію країн, які обрали проєвропейську траєкторію. Подібна стратегія вимагала від Латвії не лише технічних рішень у сфері оборони, але й культивування суспільної стійкості через критичне мислення, медіаобізнаність та інституційну довіру.</w:t>
      </w:r>
    </w:p>
    <w:p w14:paraId="443F4CDC">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Формування контрнаративів у Латвії спирається на конструювання колективної пам’яті, яка протиставляє радянську окупацію як травматичний досвід – національному відродженню та європейській інтеграції. Парламент Латвії ухвалив низку декларацій, що задають сучасний політичний фокус держави у трактуванні минулого: «Про окупацію Латвії», «Про латвійських легіонерів Другої світової війни» та «Про засудження тоталітарного комуністичного окупаційного режиму, реалізованого в Латвії СРСР» [5]. У постструктуралістській перспективі ці документи фіксують гегемонне означення радянського минулого як окупації й репресії, витісняючи радянський наратив «визволення» на маргінес легітимного дискурсу.</w:t>
      </w:r>
    </w:p>
    <w:p w14:paraId="31839668">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 xml:space="preserve">Після 2014 року, а особливо після 2022 року, політика пам’яті була прямо інтегрована у сек’юритизаційний курс. Сейм ухвалив спеціальний закон, що забороняє експонування об’єктів, які прославляють радянський та нацистський режими, та передбачає їх демонтаж у публічному просторі. Символи на кшталт літер «Z» та «V», а також певні варіанти радянської та сучасної російської символіки були включені до поля правового контролю, що дозволило штрафувати й кримінально переслідувати за їх демонстрацію в публічному просторі, зокрема під час заходів 9 травня. Найбільш символічним став демонтаж монумента радянської «Перемоги» в Ризі у 2022 році – одного з ключових місць зібрань російськомовних у День 9 травня. Офіційно цей крок подавався як деколонізація простору й зміцнення національної безпеки через усунення символів окупації, однак для частини російськомовних він став підтвердженням відчуття виключення з домінантної пам’яттєвої спільноти. У термінах сек’юритизації пам’ять про Другу світову війну та радянський період остаточно була переведена у безпекову площину: підтримка радянських символів дедалі частіше фреймувалася як політична нелояльність і потенційний канал російського впливу. </w:t>
      </w:r>
    </w:p>
    <w:p w14:paraId="66DCB9AA">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Держава також відіграє центральну роль у підтримці національних днів пам’яті для вшанування тих, кого зачепили ключові події ХХ століття, зокрема 14 червня – день пам’яті про депортацію близько 15 тисяч осіб у 1941 році, та 25 березня – день жертв другої хвилі масових депортацій 1949 року. Ці державні вшанування слугують не лише для щорічного нагадування індивідам про травматичні події, що формують латвійське суспільство, а й як відправна точка для легітимації сучасного законодавства та політики, спрямованих на «неповторення» [5]. Минуле тут використовується як ресурс безпеки: пам’ять про репресії стає аргументом на користь жорсткішого ставлення до будь-яких форм прославлення радянського режиму й сучасної російської агресії.</w:t>
      </w:r>
    </w:p>
    <w:p w14:paraId="2DABB820">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Для подальшого наголошення на ролі держави у фактичній інституціоналізації пам’яті в політиці колишній президент Латвії Гунтіс Улманіс створив у 1998 році Комісію істориків Латвії з центральним пріоритетом дослідження злочинів і наслідків радянської та нацистської окупації Латвії. Комісія проводить дослідження та готує матеріали для шкіл і державних інституцій з метою інформування латвійського суспільства про звірства, що сталися протягом ХХ століття, тим самим забезпечуючи збереження пам’яті та її вбудованість у сучасну політику [5]. В рамках цих подій політика пам’яті стає невід’ємною частиною ширшої стратегії гібридної оборони, де символічний простір – пам’ятники, меморіали, шкільні наративи – розглядається як поле боротьби з російським ревізіонізмом.</w:t>
      </w:r>
    </w:p>
    <w:p w14:paraId="6B4C1EF6">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Латвія також впроваджує медіаграмотність як інструмент протидії дезінформації, посідаючи 20-те місце серед 35 країн у Індексі медіаграмотності 2021 року, який вимірює потенціал європейських країн протистояти негативному впливу фейкових новин та дезінформації завдяки якості освіти, вільним медіа та високій довірі між людьми. Освіта з медіа- та інформаційної грамотності, націлена на ширші сегменти суспільства, залишається критично важливою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_Ref211364309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84</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p>
    <w:p w14:paraId="624CC6B7">
      <w:pPr>
        <w:spacing w:after="0" w:line="360" w:lineRule="auto"/>
        <w:ind w:firstLine="720"/>
        <w:jc w:val="both"/>
        <w:rPr>
          <w:rFonts w:hint="default"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Латвія внесла зміни до Закону про політичне фінансування в 2023 році, запровадивши суворі правила прозорості для НДО та донорів кампаній, пов'язаних з іноземцями. На рівні Європейського Союзу Європейський план дій щодо демократії встановив базову лінію для співпраці платформ і санкцій проти іноземного втручання, тоді як пакет захисту демократії 2023 року запропонував правила прозорості для іноземно фінансованого впливу та посилену координацію між державами-членами [</w:t>
      </w:r>
      <w:r>
        <w:rPr>
          <w:rFonts w:ascii="Times New Roman" w:hAnsi="Times New Roman" w:cs="Times New Roman"/>
          <w:color w:val="000000" w:themeColor="text1"/>
          <w:sz w:val="28"/>
          <w:szCs w:val="28"/>
          <w:lang w:val="uk-UA"/>
          <w14:textFill>
            <w14:solidFill>
              <w14:schemeClr w14:val="tx1"/>
            </w14:solidFill>
          </w14:textFill>
        </w:rPr>
        <w:fldChar w:fldCharType="begin"/>
      </w:r>
      <w:r>
        <w:rPr>
          <w:rFonts w:ascii="Times New Roman" w:hAnsi="Times New Roman" w:cs="Times New Roman"/>
          <w:color w:val="000000" w:themeColor="text1"/>
          <w:sz w:val="28"/>
          <w:szCs w:val="28"/>
          <w:lang w:val="uk-UA"/>
          <w14:textFill>
            <w14:solidFill>
              <w14:schemeClr w14:val="tx1"/>
            </w14:solidFill>
          </w14:textFill>
        </w:rPr>
        <w:instrText xml:space="preserve"> REF _Ref208780249 \r \h </w:instrText>
      </w:r>
      <w:r>
        <w:rPr>
          <w:rFonts w:ascii="Times New Roman" w:hAnsi="Times New Roman" w:cs="Times New Roman"/>
          <w:color w:val="000000" w:themeColor="text1"/>
          <w:sz w:val="28"/>
          <w:szCs w:val="28"/>
          <w:lang w:val="uk-UA"/>
          <w14:textFill>
            <w14:solidFill>
              <w14:schemeClr w14:val="tx1"/>
            </w14:solidFill>
          </w14:textFill>
        </w:rPr>
        <w:fldChar w:fldCharType="separate"/>
      </w:r>
      <w:r>
        <w:rPr>
          <w:rFonts w:ascii="Times New Roman" w:hAnsi="Times New Roman" w:cs="Times New Roman"/>
          <w:color w:val="000000" w:themeColor="text1"/>
          <w:sz w:val="28"/>
          <w:szCs w:val="28"/>
          <w:lang w:val="uk-UA"/>
          <w14:textFill>
            <w14:solidFill>
              <w14:schemeClr w14:val="tx1"/>
            </w14:solidFill>
          </w14:textFill>
        </w:rPr>
        <w:t>95</w:t>
      </w:r>
      <w:r>
        <w:rPr>
          <w:rFonts w:ascii="Times New Roman" w:hAnsi="Times New Roman" w:cs="Times New Roman"/>
          <w:color w:val="000000" w:themeColor="text1"/>
          <w:sz w:val="28"/>
          <w:szCs w:val="28"/>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w:t>
      </w:r>
      <w:r>
        <w:rPr>
          <w:rFonts w:hint="default" w:ascii="Times New Roman" w:hAnsi="Times New Roman" w:cs="Times New Roman"/>
          <w:color w:val="000000" w:themeColor="text1"/>
          <w:sz w:val="28"/>
          <w:szCs w:val="28"/>
          <w:lang w:val="uk-UA"/>
          <w14:textFill>
            <w14:solidFill>
              <w14:schemeClr w14:val="tx1"/>
            </w14:solidFill>
          </w14:textFill>
        </w:rPr>
        <w:t xml:space="preserve"> </w:t>
      </w:r>
      <w:r>
        <w:rPr>
          <w:rFonts w:hint="default" w:ascii="Times New Roman" w:hAnsi="Times New Roman"/>
          <w:color w:val="000000" w:themeColor="text1"/>
          <w:sz w:val="28"/>
          <w:szCs w:val="28"/>
          <w:lang w:val="uk-UA"/>
          <w14:textFill>
            <w14:solidFill>
              <w14:schemeClr w14:val="tx1"/>
            </w14:solidFill>
          </w14:textFill>
        </w:rPr>
        <w:t xml:space="preserve">На наднаціональному рівні ці заходи вписуються в рамку Європейського плану дій щодо демократії та ініціативи ЄС щодо захисту від іноземного втручання, які задають стандарти прозорості та координації між державами-членами. У латвійському безпековому дискурсі така регуляція трактується як ще один засіб обмеження «м’яких» каналів впливу Росії – від фінансування лояльних структур до непрямої підтримки прокремлівських наративів. Медіаграмотність, регулювання політичного фінансування та інституційна співпраця в межах ЄС утворюють додатковий, «м’який» вимір латвійської сек’юритизації. На відміну від суто каральних заходів, спрямованих на заборони й санкції, ці інструменти орієнтовані на довгострокове зміцнення внутрішньої стійкості – здатності суспільства витримувати тиск дезінформації та зовнішнього втручання без руйнування демократичних процедур. </w:t>
      </w:r>
    </w:p>
    <w:p w14:paraId="3BE17607">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Латвійський досвід засвідчує, як сек’юритизація російськомовних меншин, переосмислення радянського минулого та реагування на військову активність РФ формують нову конфігурацію безпеки в Балтійському регіоні. Через політику мови й освіти, реформи громадянства, демонтаж радянських монументів, зміцнення оборони та розвиток медіаграмотності держава вибудовує рамку, у якій російський вплив позначається як неприйнятна загроза. Ця стратегія означає не лише адаптацію до зовнішніх загроз, а й переосмислення колективної ідентичності: радянський спадок дедалі чіткіше артикулюється як ресурс ризику, тоді як належність до європейського простору – як головний маркер легітимності. Латвія постає показовим кейсом того, як пострадянська демократія використовує дискурс безпеки для переозначення власних кордонів – і територіальних, і символічних.</w:t>
      </w:r>
    </w:p>
    <w:p w14:paraId="37EC3DD9">
      <w:pPr>
        <w:pStyle w:val="2"/>
        <w:spacing w:before="0" w:after="0" w:line="360" w:lineRule="auto"/>
        <w:ind w:firstLine="720"/>
        <w:jc w:val="both"/>
        <w:rPr>
          <w:rFonts w:ascii="Times New Roman" w:hAnsi="Times New Roman" w:cs="Times New Roman"/>
          <w:b/>
          <w:bCs/>
          <w:color w:val="000000" w:themeColor="text1"/>
          <w:sz w:val="28"/>
          <w:szCs w:val="28"/>
          <w:lang w:val="uk-UA"/>
          <w14:textFill>
            <w14:solidFill>
              <w14:schemeClr w14:val="tx1"/>
            </w14:solidFill>
          </w14:textFill>
        </w:rPr>
      </w:pPr>
      <w:bookmarkStart w:id="16" w:name="_Toc208397140"/>
      <w:r>
        <w:rPr>
          <w:rFonts w:ascii="Times New Roman" w:hAnsi="Times New Roman" w:cs="Times New Roman"/>
          <w:b/>
          <w:bCs/>
          <w:color w:val="000000" w:themeColor="text1"/>
          <w:sz w:val="28"/>
          <w:szCs w:val="28"/>
          <w:lang w:val="uk-UA"/>
          <w14:textFill>
            <w14:solidFill>
              <w14:schemeClr w14:val="tx1"/>
            </w14:solidFill>
          </w14:textFill>
        </w:rPr>
        <w:br w:type="column"/>
      </w:r>
      <w:r>
        <w:rPr>
          <w:rFonts w:ascii="Times New Roman" w:hAnsi="Times New Roman" w:cs="Times New Roman"/>
          <w:b/>
          <w:bCs/>
          <w:color w:val="000000" w:themeColor="text1"/>
          <w:sz w:val="28"/>
          <w:szCs w:val="28"/>
          <w:lang w:val="uk-UA"/>
          <w14:textFill>
            <w14:solidFill>
              <w14:schemeClr w14:val="tx1"/>
            </w14:solidFill>
          </w14:textFill>
        </w:rPr>
        <w:t>Висновки до ІІІ розділу</w:t>
      </w:r>
      <w:bookmarkEnd w:id="16"/>
    </w:p>
    <w:p w14:paraId="7597522E">
      <w:pPr>
        <w:jc w:val="both"/>
        <w:rPr>
          <w:rFonts w:ascii="Times New Roman" w:hAnsi="Times New Roman" w:cs="Times New Roman"/>
          <w:color w:val="000000" w:themeColor="text1"/>
          <w:sz w:val="28"/>
          <w:szCs w:val="28"/>
          <w:lang w:val="uk-UA"/>
          <w14:textFill>
            <w14:solidFill>
              <w14:schemeClr w14:val="tx1"/>
            </w14:solidFill>
          </w14:textFill>
        </w:rPr>
      </w:pPr>
      <w:bookmarkStart w:id="17" w:name="_Toc208397141"/>
    </w:p>
    <w:p w14:paraId="45B40CD0">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Аналіз механізмів російського впливу на політичні процеси в країнах Балтії протягом 2014-202</w:t>
      </w:r>
      <w:r>
        <w:rPr>
          <w:rFonts w:hint="default" w:ascii="Times New Roman" w:hAnsi="Times New Roman" w:cs="Times New Roman"/>
          <w:color w:val="000000" w:themeColor="text1"/>
          <w:sz w:val="28"/>
          <w:szCs w:val="28"/>
          <w:lang w:val="uk-UA"/>
          <w14:textFill>
            <w14:solidFill>
              <w14:schemeClr w14:val="tx1"/>
            </w14:solidFill>
          </w14:textFill>
        </w:rPr>
        <w:t>5</w:t>
      </w:r>
      <w:r>
        <w:rPr>
          <w:rFonts w:ascii="Times New Roman" w:hAnsi="Times New Roman" w:cs="Times New Roman"/>
          <w:color w:val="000000" w:themeColor="text1"/>
          <w:sz w:val="28"/>
          <w:szCs w:val="28"/>
          <w:lang w:val="uk-UA"/>
          <w14:textFill>
            <w14:solidFill>
              <w14:schemeClr w14:val="tx1"/>
            </w14:solidFill>
          </w14:textFill>
        </w:rPr>
        <w:t xml:space="preserve"> років дозволив виявити складну систему взаємопов’язаних інструментів, спрямованих на дестабілізацію демократичних інституцій через маніпуляцію історичною пам’яттю, етнічними ідентичностями та інформаційним простором. </w:t>
      </w:r>
    </w:p>
    <w:p w14:paraId="4EDCACD2">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Центральною ланкою цієї стратегії стала інструменталізація радянського минулого: через наративи про «Велику Вітчизняну війну», образ СРСР як «визволителя» та концепцію «русского мира» Москва намагалася переписати колективні спогади про окупацію й подати сучасне втручання як «захист історичної справедливості» та «співвітчизників». Латвійські конфлікти довкола демонтажу радянських пам’ятників і естонська «війна пам’ятників» у Нарві наочно показують, як символічна політика перетворилася на окремий фронт геополітичного протистояння. Паралельно гібридні інструменти еволюціонували: від масових, відносно грубих кампаній до гіперлокальних, таргетованих операцій, зорієнтованих на конкретні виборчі сегменти й соціальні групи.</w:t>
      </w:r>
    </w:p>
    <w:p w14:paraId="4785A7F2">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Сек’юритизація російськомовних меншин стала ключовою відповіддю балтійських держав на ці виклики, однак конфігурація цієї політики відрізнялася. Латвія схилялася до більш виключального варіанту: мовно-освітні реформи, обмеження для негромадян, посилення вимог до громадян РФ, демонтаж пам’ятників і маргіналізація проросійських партій будувалися на дискурсі екзистенційної загрози. Естонія робила більший наголос на інклюзивних механізмах – інтеграційних програмах, підтримці власних російськомовних медіа, адресній роботі в прикордонних та соціально вразливих регіонах. Попри ці відмінності, в обох випадках російськомовні спільноти конструювалися як потенційний канал впливу Кремля, що допомагало звужувати простір для маневру Росії, але водночас загострювало внутрішні напруження.</w:t>
      </w:r>
    </w:p>
    <w:p w14:paraId="18477DF4">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p>
    <w:p w14:paraId="7B4D5B3A">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Політика історичної пам’яті в Естонії та Латвії виконувала роль контрнаративу до російського ревізіонізму. Інституціоналізація травматичного досвіду окупації – через музеї, дні пам’яті, парламентські декларації, створення історичних комісій – дозволила закріпити інтерпретацію радянського періоду як репресивного і тим самим легітимувати проєвропейський курс та посилення безпекових заходів. Йдеться про переозначення ключових «вузлових» понять – «окупації», «перемоги», «співвітчизників», «лояльності» – у спосіб, несумісний із російським неоімперським проєктом. Водночас такий курс не позбавлений ризиків: посилення етнонаціональних акцентів і жорсткі режими сек’юритизації можуть обмежувати розвиток інклюзивних громадянських ідентичностей. Таким чином, балтійський досвід демонструє, що російські гібридні інструменти не лише створюють загрози для демократичних інституцій, а й стимулюють глибоку перебудову режимів пам’яті, безпеки та ідентичності в пострадянських демократіях, які прагнуть вкорінити свій суверенітет у європейському просторі.</w:t>
      </w:r>
    </w:p>
    <w:p w14:paraId="5C1644DD">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Особливо показовим є військовий вимір гібридної стратегії РФ. Регулярні навчання поблизу кордонів, реформа військових округів із виразним зміщенням акценту на північно-західний напрям, інциденти з порушенням повітряного простору, небезпечні зближення з літаками й кораблями НАТО, диверсії проти підводної й прикордонної інфраструктури в Балтійському морі та маніпуляції режимом кордону були спрямовані не лише на підтримання атмосфери постійної загрози, а й на системне розхитування регіонального балансу безпеки. Через такі кроки Москва фактично вибудовувала серію пробних маневрів, покликаних з’ясувати, наскільки далеко вона здатна просуватися в агресивній поведінці, не перетинаючи поріг відкритого військового зіткнення з НАТО, і водночас перевірити, наскільки послідовно та жорстко реагуватимуть ЄС і Альянс на подальше загострення.</w:t>
      </w:r>
      <w:r>
        <w:rPr>
          <w:rFonts w:ascii="Times New Roman" w:hAnsi="Times New Roman" w:cs="Times New Roman"/>
          <w:color w:val="000000" w:themeColor="text1"/>
          <w:sz w:val="28"/>
          <w:szCs w:val="28"/>
          <w:lang w:val="uk-UA"/>
          <w14:textFill>
            <w14:solidFill>
              <w14:schemeClr w14:val="tx1"/>
            </w14:solidFill>
          </w14:textFill>
        </w:rPr>
        <w:br w:type="page"/>
      </w:r>
    </w:p>
    <w:p w14:paraId="3DEDD6D9">
      <w:pPr>
        <w:pStyle w:val="2"/>
        <w:spacing w:before="0" w:after="0" w:line="360" w:lineRule="auto"/>
        <w:jc w:val="center"/>
        <w:rPr>
          <w:rFonts w:ascii="Times New Roman" w:hAnsi="Times New Roman" w:cs="Times New Roman"/>
          <w:b/>
          <w:bCs/>
          <w:color w:val="000000" w:themeColor="text1"/>
          <w:sz w:val="28"/>
          <w:szCs w:val="28"/>
          <w:lang w:val="uk-UA"/>
          <w14:textFill>
            <w14:solidFill>
              <w14:schemeClr w14:val="tx1"/>
            </w14:solidFill>
          </w14:textFill>
        </w:rPr>
      </w:pPr>
      <w:r>
        <w:rPr>
          <w:rFonts w:ascii="Times New Roman" w:hAnsi="Times New Roman" w:cs="Times New Roman"/>
          <w:b/>
          <w:bCs/>
          <w:color w:val="000000" w:themeColor="text1"/>
          <w:sz w:val="28"/>
          <w:szCs w:val="28"/>
          <w:lang w:val="uk-UA"/>
          <w14:textFill>
            <w14:solidFill>
              <w14:schemeClr w14:val="tx1"/>
            </w14:solidFill>
          </w14:textFill>
        </w:rPr>
        <w:t>ВИСНОВКИ</w:t>
      </w:r>
      <w:bookmarkEnd w:id="17"/>
      <w:r>
        <w:rPr>
          <w:rFonts w:ascii="Times New Roman" w:hAnsi="Times New Roman" w:cs="Times New Roman"/>
          <w:b/>
          <w:bCs/>
          <w:color w:val="000000" w:themeColor="text1"/>
          <w:sz w:val="28"/>
          <w:szCs w:val="28"/>
          <w:lang w:val="uk-UA"/>
          <w14:textFill>
            <w14:solidFill>
              <w14:schemeClr w14:val="tx1"/>
            </w14:solidFill>
          </w14:textFill>
        </w:rPr>
        <w:t xml:space="preserve"> </w:t>
      </w:r>
    </w:p>
    <w:p w14:paraId="19347A33">
      <w:pPr>
        <w:rPr>
          <w:lang w:val="uk-UA"/>
        </w:rPr>
      </w:pPr>
    </w:p>
    <w:p w14:paraId="04DEFE5D">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bookmarkStart w:id="18" w:name="_Toc208397143"/>
      <w:r>
        <w:rPr>
          <w:rFonts w:hint="default" w:ascii="Times New Roman" w:hAnsi="Times New Roman"/>
          <w:color w:val="000000" w:themeColor="text1"/>
          <w:sz w:val="28"/>
          <w:szCs w:val="28"/>
          <w:lang w:val="uk-UA"/>
          <w14:textFill>
            <w14:solidFill>
              <w14:schemeClr w14:val="tx1"/>
            </w14:solidFill>
          </w14:textFill>
        </w:rPr>
        <w:t xml:space="preserve">Постструктуралістський підхід, покладений в основу роботи, дав змогу описати політику Російської Федерації щодо країн Балтії не як послідовність «об’єктивних» загроз, а як боротьбу за означення безпеки, суверенітету й історичної справедливості. Спираючись на концептуальний апарат, розроблений, зокрема, в праці Е. Лаклау та Ш. Муфф, російські наративи щодо Балтії розглядаються як спроба встановити гегемонну інтерпретацію регіональної реальності: хто є «жертвою» і «агресором», що вважається «нормальним» порядком, де проходить межа між «своїми» та «чужими». Така оптика дозволила показати, що «російський світ», дискурс «захисту співвітчизників» і апеляції до радянського минулого функціонують як вузлові точки, через які РФ намагається привласнити право говорити від імені частини населення Балтії й легітимувати неконвенційні форми впливу. </w:t>
      </w:r>
    </w:p>
    <w:p w14:paraId="0CF86E73">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 xml:space="preserve">Проведений аналіз виявив багаторівневу конфігурацію інструментів політики РФ у регіоні. Історичні та культурні наративи – насамперед інтерпретації Другої світової війни, статусу СРСР як «визволителя» та образ Балтії як території «невдячних» пострадянських еліт – стали символічним тлом, на якому вибудовуються інформаційні кампанії, медійні мережі, діяльність «культурних» інституцій та організацій співвітчизників. У поєднанні з енергетичною залежністю, військовими навчаннями поблизу кордонів, інцидентами в повітряному та морському просторі ці інструменти формують гібридну стратегію, орієнтовану на постійне відтворення відчуття вразливості й невизначеності в країнах Балтії. Після 2014 року, а особливо після 2022 року, ця стратегія еволюціонувала від радше «розмитого» дискурсу про спільний радянський простір до більш жорсткого протиставлення «Русского мира» Заходу, що посилило конфліктність сприйняття РФ у регіоні. </w:t>
      </w:r>
    </w:p>
    <w:p w14:paraId="7AF5E079">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 xml:space="preserve">Кейс Естонії показав, що саме інструменталізація історичної пам’яті та мовно-ідентифікаційних ліній розлому стала ключовим полем російського впливу. РФ послідовно намагається прив’язати російськомовні громади до власного дискурсу, представляючи їх як «дискриміновану» групу й водночас як канал політичної присутності Москви. Події довкола історичних монументів, подальші інформаційні кампанії та гібридні операції у кіберпросторі засвідчили, що естонський випадок розглядається Кремлем як тест для ширших сценаріїв тиску на східний фланг НАТО. Водночас естонська відповідь – поєднання посилення безпекових спроможностей, проєвропейського консенсусу еліт, поступової, хоча й суперечливої, інтеграції російськомовного населення – показала, що простір для ефективної експлуатації «російського фактора» в цій країні звужується. Гібридні дії РФ дедалі частіше призводять до зворотного ефекту: зміцнення євроатлантичної ідентичності та поглиблення сек’юритизації Росії як джерела загроз. </w:t>
      </w:r>
    </w:p>
    <w:p w14:paraId="10F03147">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Латвійський кейс продемонстрував іншу, але споріднену траєкторію. Тут російський вплив також спирався на експлуатацію радянського минулого, міфологізованих образів «визволення» та наявність значної російськомовної меншини. У відповідь латвійська держава збудувала досить жорсткий режим сек’юритизації, що проявляється у мовній та освітній політиці, реформах громадянства, демонтажі радянських пам’ятників, обмеженні російських медіа. Це дозволило суттєво звузити легальну присутність проросійських акторів у публічному просторі й зменшити електоральну вагу відверто прокремлівських партій. Водночас дослідження показало, що така стратегія має двоїстий характер: поряд із підвищенням стійкості вона створює ризики маргіналізації частини російськомовних громадян, що може довгостроково підтримувати ґрунт для інформаційних операцій РФ, якщо інтеграційний компонент політики не буде посилено.</w:t>
      </w:r>
    </w:p>
    <w:p w14:paraId="275698A0">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Зокреме, аналіз показав, що власний оборонний потенціал Латвії та Естонії є об’єктивно обмеженим: невелика чисельність населення, компактна територія, обмежена ресурсна база для тривалого ведення бойових дій, вразливість ключової інфраструктури та залежність від імпорту озброєнь не дозволяють розраховувати на довготривалий самостійний опір у потенційному військовому конфлікті з РФ. Модель оборони, яку вони вибудовують, спирається насамперед на механізми колективної безпеки: завдання Естонії та Латвії полягає у тому, щоб ускладнити перший етап можливої агресії, виграти час і створити підстави для залучення союзників з НАТО. Тому реальний потенціал опору цих країн визначається не сті</w:t>
      </w:r>
      <w:bookmarkStart w:id="148" w:name="_GoBack"/>
      <w:bookmarkEnd w:id="148"/>
      <w:r>
        <w:rPr>
          <w:rFonts w:hint="default" w:ascii="Times New Roman" w:hAnsi="Times New Roman"/>
          <w:color w:val="000000" w:themeColor="text1"/>
          <w:sz w:val="28"/>
          <w:szCs w:val="28"/>
          <w:lang w:val="uk-UA"/>
          <w14:textFill>
            <w14:solidFill>
              <w14:schemeClr w14:val="tx1"/>
            </w14:solidFill>
          </w14:textFill>
        </w:rPr>
        <w:t>льки їхніми національними спроможностями, скільки швидкістю, масштабом і політичною волею реакції інших членів НАТО, адже без такої підтримки їхні власні сили можуть стримувати напад лише обмежений час, за яким слідує ризик незворотніх руйнувань та втрат з боку цих держав.</w:t>
      </w:r>
    </w:p>
    <w:p w14:paraId="00DB8ACF">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 xml:space="preserve">Отримані результати дають підстави по-новому оцінити висунуті гіпотези. Перша гіпотеза – про те, що інструменти, які використовує Російська Федерація у формуванні політики та впливу на країни Балтії, є ефективним механізмом, здатним істотно впливати на суспільно-політичні настрої, – загалом підтвердилася, але з важливими уточненнями. Російські гібридні практики продемонстрували здатність змінювати порядок денний, посилювати поляризацію довкола питань історичної пам’яті, ідентичності та безпеки, а в окремі періоди – мобілізувати значні групи населення. Водночас їхня ефективність виявилася несталою й залежною від внутрішніх умов конкретної держави: рівня консолідації еліт, якості інституцій, ступеня інтегрованості меншин та наявності альтернативних, проєвропейських дискурсів. Друга гіпотеза – про обмежений характер реального впливу гібридних механізмів РФ на політичні процеси та суспільну думку – також частково підтвердилася. Незважаючи на інтенсивність застосування інструментів тиску, Естонія та Латвія зберегли проєвропейський і проєвроатлантичний курс, посилили співпрацю в межах НАТО та ЄС, розширили оборонні можливості й розпочали поглиблені процеси деколонізації політики пам’яті. У цьому сенсі російська стратегія часто давала протилежний до очікуваного результат: замість підриву легітимності балтійських еліт та дезорієнтації суспільств вона сприяла зміцненню внутрішньої згуртованості навколо антиросійського й проєвропейського консенсусу. Відтак можна стверджувати, що вплив РФ є значним на рівні конфліктів і короткострокових криз, але виявився обмеженим щодо зміни базової зовнішньополітичної орієнтації та інституційного розвитку досліджуваних держав. </w:t>
      </w:r>
    </w:p>
    <w:p w14:paraId="5E25B6B4">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 xml:space="preserve">Дослідження свідомо зосереджене на двох країнах Балтії – Естонії та Латвії. Такий вибір обумовлений їхнім особливим військово-стратегічним становищем: обидві держави мають протяжні сухопутні кордони з Російською Федерацією, розташовані на вразливому північно-східному фланзі НАТО й поєднують фактор географічної близькості з високою часткою російськомовного населення. У разі масштабної ескалації саме вони розглядаються як потенційний перший об’єкт комбінованого тиску, що поєднує військові, інформаційні та політичні засоби. </w:t>
      </w:r>
    </w:p>
    <w:p w14:paraId="239D0A99">
      <w:pPr>
        <w:spacing w:after="0" w:line="360" w:lineRule="auto"/>
        <w:ind w:firstLine="720"/>
        <w:jc w:val="both"/>
        <w:rPr>
          <w:rFonts w:hint="default" w:ascii="Times New Roman" w:hAnsi="Times New Roman"/>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Водночас обрані кейси для дослідження створюють низку обмежень. Дослідження не охоплює литовський вимір, де російська політика опосередковується факторами Калінінградської області та білоруського напрямку; не враховує в повному обсязі внутрішні мікрорегіональні відмінності усередині самих Естонії та Латвії; спирається переважно на відкриті джерела, статистику та медійні матеріали, що не дозволяють відтворити закриті виміри безпекової взаємодії. Додатковим фактором є динамічний характер подій після 2022 року, тобто початку повномасштабної війни РФ проти України, які швидко змінюють геополітичний та безпековий контекст країн Балтії в тому числі.</w:t>
      </w:r>
    </w:p>
    <w:p w14:paraId="2020C468">
      <w:pPr>
        <w:spacing w:after="0" w:line="360" w:lineRule="auto"/>
        <w:ind w:firstLine="720"/>
        <w:jc w:val="both"/>
        <w:rPr>
          <w:rFonts w:ascii="Times New Roman Полужирный" w:hAnsi="Times New Roman Полужирный" w:cs="Times New Roman" w:eastAsiaTheme="majorEastAsia"/>
          <w:b/>
          <w:bCs/>
          <w:caps/>
          <w:color w:val="000000" w:themeColor="text1"/>
          <w:sz w:val="28"/>
          <w:szCs w:val="28"/>
          <w:lang w:val="uk-UA"/>
          <w14:textFill>
            <w14:solidFill>
              <w14:schemeClr w14:val="tx1"/>
            </w14:solidFill>
          </w14:textFill>
        </w:rPr>
      </w:pPr>
      <w:r>
        <w:rPr>
          <w:rFonts w:hint="default" w:ascii="Times New Roman" w:hAnsi="Times New Roman"/>
          <w:color w:val="000000" w:themeColor="text1"/>
          <w:sz w:val="28"/>
          <w:szCs w:val="28"/>
          <w:lang w:val="uk-UA"/>
          <w14:textFill>
            <w14:solidFill>
              <w14:schemeClr w14:val="tx1"/>
            </w14:solidFill>
          </w14:textFill>
        </w:rPr>
        <w:t>Подальші наукові дослідження можуть розвинути отримані результати у кількох напрямах. Перспективним є розширення порівняльного аналізу на Литву, Польщу, Фінляндію та інші держави східного флангу НАТО, що дозволить краще зрозуміти, які елементи російської політики є універсальними, а які – адаптованими до конкретних національних контекстів. Важливим завданням є глибше залучення кількісних методів: аналізу великих масивів медіадискурсу, соціальних мереж, виборчої статистики, даних про інциденти в сфері безпеки, що дало б змогу точніше оцінювати реальний ефект гібридних операцій. Окремий напрям становить вивчення трансформації російських дискурсів і практик впливу в умовах затяжної війни, санкційного тиску та зміни балансу сил у Європі. Нарешті, зіставлення балтійського досвіду з українським кейсом відкриває можливості для вироблення спільних підходів до протидії гібридним загрозам, переосмислення радянської спадщини та зміцнення регіональної архітектури безпеки у ширшому європейському контексті.</w:t>
      </w:r>
    </w:p>
    <w:p w14:paraId="227032C2">
      <w:pPr>
        <w:pStyle w:val="2"/>
        <w:spacing w:before="0" w:after="0" w:line="360" w:lineRule="auto"/>
        <w:ind w:firstLine="720"/>
        <w:jc w:val="center"/>
        <w:rPr>
          <w:rFonts w:ascii="Times New Roman Полужирный" w:hAnsi="Times New Roman Полужирный" w:cs="Times New Roman"/>
          <w:b/>
          <w:bCs/>
          <w:caps/>
          <w:color w:val="000000" w:themeColor="text1"/>
          <w:sz w:val="28"/>
          <w:szCs w:val="28"/>
          <w:lang w:val="uk-UA"/>
          <w14:textFill>
            <w14:solidFill>
              <w14:schemeClr w14:val="tx1"/>
            </w14:solidFill>
          </w14:textFill>
        </w:rPr>
      </w:pPr>
      <w:r>
        <w:rPr>
          <w:rFonts w:ascii="Times New Roman Полужирный" w:hAnsi="Times New Roman Полужирный" w:cs="Times New Roman"/>
          <w:b/>
          <w:bCs/>
          <w:caps/>
          <w:color w:val="000000" w:themeColor="text1"/>
          <w:sz w:val="28"/>
          <w:szCs w:val="28"/>
          <w:lang w:val="uk-UA"/>
          <w14:textFill>
            <w14:solidFill>
              <w14:schemeClr w14:val="tx1"/>
            </w14:solidFill>
          </w14:textFill>
        </w:rPr>
        <w:t>Список ВИКОРИСТАНИХ джерел</w:t>
      </w:r>
      <w:bookmarkEnd w:id="18"/>
      <w:r>
        <w:rPr>
          <w:rFonts w:ascii="Times New Roman Полужирный" w:hAnsi="Times New Roman Полужирный" w:cs="Times New Roman"/>
          <w:b/>
          <w:bCs/>
          <w:caps/>
          <w:color w:val="000000" w:themeColor="text1"/>
          <w:sz w:val="28"/>
          <w:szCs w:val="28"/>
          <w:lang w:val="uk-UA"/>
          <w14:textFill>
            <w14:solidFill>
              <w14:schemeClr w14:val="tx1"/>
            </w14:solidFill>
          </w14:textFill>
        </w:rPr>
        <w:t xml:space="preserve">  </w:t>
      </w:r>
    </w:p>
    <w:p w14:paraId="366B5778">
      <w:pPr>
        <w:spacing w:after="0" w:line="360" w:lineRule="auto"/>
        <w:ind w:firstLine="720"/>
        <w:jc w:val="both"/>
        <w:rPr>
          <w:rFonts w:ascii="Times New Roman" w:hAnsi="Times New Roman" w:cs="Times New Roman"/>
          <w:color w:val="000000" w:themeColor="text1"/>
          <w:sz w:val="28"/>
          <w:szCs w:val="28"/>
          <w:lang w:val="uk-UA"/>
          <w14:textFill>
            <w14:solidFill>
              <w14:schemeClr w14:val="tx1"/>
            </w14:solidFill>
          </w14:textFill>
        </w:rPr>
      </w:pPr>
    </w:p>
    <w:p w14:paraId="345043F3">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9" w:name="_Ref211364297"/>
      <w:r>
        <w:rPr>
          <w:rFonts w:ascii="Times New Roman" w:hAnsi="Times New Roman" w:cs="Times New Roman"/>
          <w:color w:val="000000" w:themeColor="text1"/>
          <w:sz w:val="28"/>
          <w:szCs w:val="28"/>
          <w:lang w:val="uk-UA"/>
          <w14:textFill>
            <w14:solidFill>
              <w14:schemeClr w14:val="tx1"/>
            </w14:solidFill>
          </w14:textFill>
        </w:rPr>
        <w:t>Герасимов В. Ценность науки в предвидении. Военно-промышленный курьер. 2013. 27 февраля. URL: http://www.vpk-news.ru/articles/14632</w:t>
      </w:r>
      <w:bookmarkEnd w:id="19"/>
    </w:p>
    <w:p w14:paraId="064B926E">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20" w:name="_Ref208761737"/>
      <w:r>
        <w:rPr>
          <w:rFonts w:ascii="Times New Roman" w:hAnsi="Times New Roman" w:cs="Times New Roman"/>
          <w:color w:val="000000" w:themeColor="text1"/>
          <w:sz w:val="28"/>
          <w:szCs w:val="28"/>
          <w:lang w:val="uk-UA"/>
          <w14:textFill>
            <w14:solidFill>
              <w14:schemeClr w14:val="tx1"/>
            </w14:solidFill>
          </w14:textFill>
        </w:rPr>
        <w:t xml:space="preserve">Юлия Латынина: Валерий Соловей. Новый план Кремля - страны Балтии. Что было в Стамбуле? (2024-01-01).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xml:space="preserve">: </w:t>
      </w:r>
      <w:r>
        <w:fldChar w:fldCharType="begin"/>
      </w:r>
      <w:r>
        <w:instrText xml:space="preserve"> HYPERLINK "https://goodpods.com/podcasts/%D1%8D%D1%85%D0%BE-%D0%BC%D0%BE%D1%81%D0%BA%D0%B2%D1%8B-188488/%D1%8E%D0%BB%D0%B8%D1%8F-%D0%BB%D0%B0%D1%82%D1%8B%D0%BD%D0%B8%D0%BD%D0%B0-%D0%B2%D0%B0%D0%BB%D0%B5%D1%80%D0%B8%D0%B9-%D1%81%D0%BE%D0%BB%D0%BE%D0%B2%D0%B5%D0%B9-%D0%BD%D0%BE%D0%B2%D1%8B%D0%B9-%D0%BF%D0%BB%D0%B0%D0%BD-%D0%BA%D1%80%D0%B5%D0%BC%D0%BB%D1%8F-%D1%81%D1%82%D1%80%D0%B0%D0%BD%D1%8B-%D0%B1%D0%B0%D0%BB%D1%82%D0%B8%D0%B8-%D1%87%D1%82%D0%BE-%D0%B1%D1%8B%D0%BB%D0%BE-40902421"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goodpods.com/podcasts/%D1%8D%D1%85%D0%BE-%D0%BC%D0%BE%D1%81%D0%BA%D0%B2%D1%8B-188488/%D1%8E%D0%BB%D0%B8%D1%8F-%D0%BB%D0%B0%D1%82%D1%8B%D0%BD%D0%B8%D0%BD%D0%B0-%D0%B2%D0%B0%D0%BB%D0%B5%D1%80%D0%B8%D0%B9-%D1%81%D0%BE%D0%BB%D0%BE%D0%B2%D0%B5%D0%B9-%D0%BD%D0%BE%D0%B2%D1%8B%D0%B9-%D0%BF%D0%BB%D0%B0%D0%BD-%D0%BA%D1%80%D0%B5%D0%BC%D0%BB%D1%8F-%D1%81%D1%82%D1%80%D0%B0%D0%BD%D1%8B-%D0%B1%D0%B0%D0%BB%D1%82%D0%B8%D0%B8-%D1%87%D1%82%D0%BE-%D0%B1%D1%8B%D0%BB%D0%BE-40902421</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20"/>
    </w:p>
    <w:p w14:paraId="01932491">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21" w:name="_Ref211370807"/>
      <w:r>
        <w:rPr>
          <w:rFonts w:ascii="Times New Roman" w:hAnsi="Times New Roman" w:cs="Times New Roman"/>
          <w:color w:val="000000" w:themeColor="text1"/>
          <w:sz w:val="28"/>
          <w:szCs w:val="28"/>
          <w:lang w:val="uk-UA"/>
          <w14:textFill>
            <w14:solidFill>
              <w14:schemeClr w14:val="tx1"/>
            </w14:solidFill>
          </w14:textFill>
        </w:rPr>
        <w:t>35 Years After the Baltic Way: Regional Unity in the Face of Russian Aggression// Commission on Security and Cooperation in Europe. 2024. URL: https://www.csce.gov/articles/35-years-after-the-baltic-way-regional-unity-in-the-face-of-russian-aggression/.</w:t>
      </w:r>
      <w:bookmarkEnd w:id="21"/>
    </w:p>
    <w:p w14:paraId="04EE7185">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22" w:name="_Ref211370840"/>
      <w:r>
        <w:rPr>
          <w:rFonts w:ascii="Times New Roman" w:hAnsi="Times New Roman" w:cs="Times New Roman"/>
          <w:color w:val="000000" w:themeColor="text1"/>
          <w:sz w:val="28"/>
          <w:szCs w:val="28"/>
          <w:lang w:val="uk-UA"/>
          <w14:textFill>
            <w14:solidFill>
              <w14:schemeClr w14:val="tx1"/>
            </w14:solidFill>
          </w14:textFill>
        </w:rPr>
        <w:t xml:space="preserve">Aalto P. Revisiting the Security/Identity Puzzle in Russo-Estonian Relations // JSTOR. 2024. Vol. 40, No. 5. С. 573-591. URL: </w:t>
      </w:r>
      <w:r>
        <w:fldChar w:fldCharType="begin"/>
      </w:r>
      <w:r>
        <w:instrText xml:space="preserve"> HYPERLINK "http://www.jstor.org/stable/3648362" </w:instrText>
      </w:r>
      <w:r>
        <w:fldChar w:fldCharType="separate"/>
      </w:r>
      <w:r>
        <w:rPr>
          <w:rStyle w:val="13"/>
          <w:rFonts w:ascii="Times New Roman" w:hAnsi="Times New Roman" w:cs="Times New Roman"/>
          <w:sz w:val="28"/>
          <w:szCs w:val="28"/>
          <w:lang w:val="uk-UA"/>
        </w:rPr>
        <w:t>http://www.jstor.org/stable/3648362</w:t>
      </w:r>
      <w:r>
        <w:rPr>
          <w:rStyle w:val="13"/>
          <w:rFonts w:ascii="Times New Roman" w:hAnsi="Times New Roman" w:cs="Times New Roman"/>
          <w:sz w:val="28"/>
          <w:szCs w:val="28"/>
          <w:lang w:val="uk-UA"/>
        </w:rPr>
        <w:fldChar w:fldCharType="end"/>
      </w:r>
      <w:bookmarkEnd w:id="22"/>
    </w:p>
    <w:p w14:paraId="4A85C08D">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23" w:name="_Ref211364680"/>
      <w:r>
        <w:rPr>
          <w:rFonts w:ascii="Times New Roman" w:hAnsi="Times New Roman" w:cs="Times New Roman"/>
          <w:color w:val="000000" w:themeColor="text1"/>
          <w:sz w:val="28"/>
          <w:szCs w:val="28"/>
          <w:lang w:val="uk-UA"/>
          <w14:textFill>
            <w14:solidFill>
              <w14:schemeClr w14:val="tx1"/>
            </w14:solidFill>
          </w14:textFill>
        </w:rPr>
        <w:t>Abrahamian V. Memory as a Defense Mechanism: How Historical Sentiments Shape Latvia’s Current Security and Defense Policy. Security. August 27, 2025.</w:t>
      </w:r>
      <w:bookmarkEnd w:id="23"/>
    </w:p>
    <w:p w14:paraId="0838C045">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24" w:name="_Ref211370849"/>
      <w:r>
        <w:rPr>
          <w:rFonts w:ascii="Times New Roman" w:hAnsi="Times New Roman" w:cs="Times New Roman"/>
          <w:color w:val="000000" w:themeColor="text1"/>
          <w:sz w:val="28"/>
          <w:szCs w:val="28"/>
          <w:lang w:val="uk-UA"/>
          <w14:textFill>
            <w14:solidFill>
              <w14:schemeClr w14:val="tx1"/>
            </w14:solidFill>
          </w14:textFill>
        </w:rPr>
        <w:t xml:space="preserve">Agarin T., Nakai R. Political dejection in a divided society: a challenge for Latvia’s democracy? Journal of Baltic Studies. 2021. № 52(4). Р. 521–546. </w:t>
      </w:r>
      <w:r>
        <w:fldChar w:fldCharType="begin"/>
      </w:r>
      <w:r>
        <w:instrText xml:space="preserve"> HYPERLINK "https://doi.org/10.1080/01629778.2021.1968917" </w:instrText>
      </w:r>
      <w:r>
        <w:fldChar w:fldCharType="separate"/>
      </w:r>
      <w:r>
        <w:rPr>
          <w:rStyle w:val="13"/>
          <w:rFonts w:ascii="Times New Roman" w:hAnsi="Times New Roman" w:cs="Times New Roman"/>
          <w:sz w:val="28"/>
          <w:szCs w:val="28"/>
          <w:lang w:val="uk-UA"/>
        </w:rPr>
        <w:t>https://doi.org/10.1080/01629778.2021.1968917</w:t>
      </w:r>
      <w:r>
        <w:rPr>
          <w:rStyle w:val="13"/>
          <w:rFonts w:ascii="Times New Roman" w:hAnsi="Times New Roman" w:cs="Times New Roman"/>
          <w:sz w:val="28"/>
          <w:szCs w:val="28"/>
          <w:lang w:val="uk-UA"/>
        </w:rPr>
        <w:fldChar w:fldCharType="end"/>
      </w:r>
      <w:bookmarkEnd w:id="24"/>
    </w:p>
    <w:p w14:paraId="0434BF88">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25" w:name="_Ref211370449"/>
      <w:r>
        <w:rPr>
          <w:rFonts w:ascii="Times New Roman" w:hAnsi="Times New Roman" w:cs="Times New Roman"/>
          <w:color w:val="000000" w:themeColor="text1"/>
          <w:sz w:val="28"/>
          <w:szCs w:val="28"/>
          <w:lang w:val="uk-UA"/>
          <w14:textFill>
            <w14:solidFill>
              <w14:schemeClr w14:val="tx1"/>
            </w14:solidFill>
          </w14:textFill>
        </w:rPr>
        <w:t>Andžāns M. Small Powers, Geopolitical Crisis and Hypersecuritisation: Latvia  and the Effects of Russia’s Second War in Ukraine// Central European Journal of International and Security Studies. 2023. Vol. 17, No. 2. С. 38-162. DOI: 10.51870/RNCC4980</w:t>
      </w:r>
      <w:bookmarkEnd w:id="25"/>
    </w:p>
    <w:p w14:paraId="76A47B2D">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Bajarūnas E. Russia’s Hybrid Warfare Tactics Target the Baltics. Jamestown Foundation. 2025. URL: https://jamestown.org/program/russias-hybrid-warfare-tactics-target-the-baltics/</w:t>
      </w:r>
    </w:p>
    <w:p w14:paraId="1F16651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26" w:name="_Ref208764271"/>
      <w:r>
        <w:rPr>
          <w:rFonts w:ascii="Times New Roman" w:hAnsi="Times New Roman" w:cs="Times New Roman"/>
          <w:color w:val="000000" w:themeColor="text1"/>
          <w:sz w:val="28"/>
          <w:szCs w:val="28"/>
          <w:lang w:val="uk-UA"/>
          <w14:textFill>
            <w14:solidFill>
              <w14:schemeClr w14:val="tx1"/>
            </w14:solidFill>
          </w14:textFill>
        </w:rPr>
        <w:t>Barkhush A. If Your Country Has a Russian-Speaking Minority, Russia Will Turn It Against You: The Baltics Case. UNITED24 Media. 2025. URL: https://united24media.com/anti-fake/if-your-country-has-a-russian-speaking-minority-russia-will-turn-it-against-you-the-baltics-case-10885</w:t>
      </w:r>
      <w:bookmarkEnd w:id="26"/>
    </w:p>
    <w:p w14:paraId="3930BAA9">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27" w:name="_Ref211370833"/>
      <w:r>
        <w:rPr>
          <w:rFonts w:ascii="Times New Roman" w:hAnsi="Times New Roman" w:cs="Times New Roman"/>
          <w:color w:val="000000" w:themeColor="text1"/>
          <w:sz w:val="28"/>
          <w:szCs w:val="28"/>
          <w:lang w:val="uk-UA"/>
          <w14:textFill>
            <w14:solidFill>
              <w14:schemeClr w14:val="tx1"/>
            </w14:solidFill>
          </w14:textFill>
        </w:rPr>
        <w:t xml:space="preserve">Belo D. Enemies by kinship: securitizing language and the Russian diaspora in escalated gray zone conflict. Canadian Foreign Policy Journal. 2024. № 30(1). Р. 30–43. </w:t>
      </w:r>
      <w:r>
        <w:fldChar w:fldCharType="begin"/>
      </w:r>
      <w:r>
        <w:instrText xml:space="preserve"> HYPERLINK "https://doi.org/10.1080/11926422.2023.2299461" </w:instrText>
      </w:r>
      <w:r>
        <w:fldChar w:fldCharType="separate"/>
      </w:r>
      <w:r>
        <w:rPr>
          <w:rStyle w:val="13"/>
          <w:rFonts w:ascii="Times New Roman" w:hAnsi="Times New Roman" w:cs="Times New Roman"/>
          <w:sz w:val="28"/>
          <w:szCs w:val="28"/>
          <w:lang w:val="uk-UA"/>
        </w:rPr>
        <w:t>https://doi.org/10.1080/11926422.2023.2299461</w:t>
      </w:r>
      <w:r>
        <w:rPr>
          <w:rStyle w:val="13"/>
          <w:rFonts w:ascii="Times New Roman" w:hAnsi="Times New Roman" w:cs="Times New Roman"/>
          <w:sz w:val="28"/>
          <w:szCs w:val="28"/>
          <w:lang w:val="uk-UA"/>
        </w:rPr>
        <w:fldChar w:fldCharType="end"/>
      </w:r>
      <w:bookmarkEnd w:id="27"/>
    </w:p>
    <w:p w14:paraId="1D75ABAE">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28" w:name="_Ref211366341"/>
      <w:r>
        <w:rPr>
          <w:rFonts w:ascii="Times New Roman" w:hAnsi="Times New Roman" w:cs="Times New Roman"/>
          <w:color w:val="000000" w:themeColor="text1"/>
          <w:sz w:val="28"/>
          <w:szCs w:val="28"/>
          <w:lang w:val="uk-UA"/>
          <w14:textFill>
            <w14:solidFill>
              <w14:schemeClr w14:val="tx1"/>
            </w14:solidFill>
          </w14:textFill>
        </w:rPr>
        <w:t xml:space="preserve">Bennich-Björkman L. Baltic Biographies at Historical Crossroads. 2012. </w:t>
      </w:r>
      <w:r>
        <w:fldChar w:fldCharType="begin"/>
      </w:r>
      <w:r>
        <w:instrText xml:space="preserve"> HYPERLINK "https://doi.org/10.4324/9780203805237" </w:instrText>
      </w:r>
      <w:r>
        <w:fldChar w:fldCharType="separate"/>
      </w:r>
      <w:r>
        <w:rPr>
          <w:rStyle w:val="13"/>
          <w:rFonts w:ascii="Times New Roman" w:hAnsi="Times New Roman" w:cs="Times New Roman"/>
          <w:sz w:val="28"/>
          <w:szCs w:val="28"/>
          <w:lang w:val="uk-UA"/>
        </w:rPr>
        <w:t>https://doi.org/10.4324/9780203805237</w:t>
      </w:r>
      <w:r>
        <w:rPr>
          <w:rStyle w:val="13"/>
          <w:rFonts w:ascii="Times New Roman" w:hAnsi="Times New Roman" w:cs="Times New Roman"/>
          <w:sz w:val="28"/>
          <w:szCs w:val="28"/>
          <w:lang w:val="uk-UA"/>
        </w:rPr>
        <w:fldChar w:fldCharType="end"/>
      </w:r>
      <w:bookmarkEnd w:id="28"/>
    </w:p>
    <w:p w14:paraId="4647F439">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29" w:name="_Ref208775665"/>
      <w:r>
        <w:rPr>
          <w:rFonts w:ascii="Times New Roman" w:hAnsi="Times New Roman" w:cs="Times New Roman"/>
          <w:color w:val="000000" w:themeColor="text1"/>
          <w:sz w:val="28"/>
          <w:szCs w:val="28"/>
          <w:lang w:val="uk-UA"/>
          <w14:textFill>
            <w14:solidFill>
              <w14:schemeClr w14:val="tx1"/>
            </w14:solidFill>
          </w14:textFill>
        </w:rPr>
        <w:t>Berg E., North R. Identity and Foreign Policy: Baltic-Russian Relations and European Integration. Aldershot: Ashgate, 2009. 208 с. URL: https://www.jakniunaite.lt/wp-content/uploads/2015/06/2009_Neighbourhood_Ashgate.pdf</w:t>
      </w:r>
      <w:bookmarkEnd w:id="29"/>
    </w:p>
    <w:p w14:paraId="51710985">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30" w:name="_Ref208334436"/>
      <w:r>
        <w:rPr>
          <w:rFonts w:ascii="Times New Roman" w:hAnsi="Times New Roman" w:cs="Times New Roman"/>
          <w:color w:val="000000" w:themeColor="text1"/>
          <w:sz w:val="28"/>
          <w:szCs w:val="28"/>
          <w:lang w:val="uk-UA"/>
          <w14:textFill>
            <w14:solidFill>
              <w14:schemeClr w14:val="tx1"/>
            </w14:solidFill>
          </w14:textFill>
        </w:rPr>
        <w:t xml:space="preserve">Bergmane U. Fading Russian Influence in the Baltic States. Orbis. 2020. №64(3). Р. 479–488. </w:t>
      </w:r>
      <w:r>
        <w:fldChar w:fldCharType="begin"/>
      </w:r>
      <w:r>
        <w:instrText xml:space="preserve"> HYPERLINK "https://doi.org/10.1016/j.orbis.2020.05.009"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https://doi.org/10.1016/j.orbis.2020.05.009</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30"/>
    </w:p>
    <w:p w14:paraId="788712D9">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bookmarkStart w:id="31" w:name="_Ref208777900"/>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Beznosiuk M. Putin’s hybrid war against Europe continues to escalate. Atlantic Council. 2025. URL: </w:t>
      </w:r>
      <w:r>
        <w:fldChar w:fldCharType="begin"/>
      </w:r>
      <w:r>
        <w:instrText xml:space="preserve"> HYPERLINK "https://www.atlanticcouncil.org/blogs/ukrainealert/putins-hybrid-war-against-europe-continues-to-escalate/" \t "_blank" </w:instrText>
      </w:r>
      <w:r>
        <w:fldChar w:fldCharType="separate"/>
      </w:r>
      <w:r>
        <w:rPr>
          <w:rFonts w:ascii="Times New Roman" w:hAnsi="Times New Roman" w:eastAsia="Times New Roman" w:cs="Times New Roman"/>
          <w:color w:val="000000" w:themeColor="text1"/>
          <w:kern w:val="0"/>
          <w:sz w:val="28"/>
          <w:szCs w:val="28"/>
          <w:u w:val="single"/>
          <w14:textFill>
            <w14:solidFill>
              <w14:schemeClr w14:val="tx1"/>
            </w14:solidFill>
          </w14:textFill>
          <w14:ligatures w14:val="none"/>
        </w:rPr>
        <w:t>https://www.atlanticcouncil.org/blogs/ukrainealert/putins-hybrid-war-against-europe-continues-to-escalate/</w:t>
      </w:r>
      <w:r>
        <w:rPr>
          <w:rFonts w:ascii="Times New Roman" w:hAnsi="Times New Roman" w:eastAsia="Times New Roman" w:cs="Times New Roman"/>
          <w:color w:val="000000" w:themeColor="text1"/>
          <w:kern w:val="0"/>
          <w:sz w:val="28"/>
          <w:szCs w:val="28"/>
          <w:u w:val="single"/>
          <w14:textFill>
            <w14:solidFill>
              <w14:schemeClr w14:val="tx1"/>
            </w14:solidFill>
          </w14:textFill>
          <w14:ligatures w14:val="none"/>
        </w:rPr>
        <w:fldChar w:fldCharType="end"/>
      </w:r>
      <w:bookmarkEnd w:id="31"/>
    </w:p>
    <w:p w14:paraId="70EAFF5F">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32" w:name="_Ref208334768"/>
      <w:r>
        <w:rPr>
          <w:rFonts w:ascii="Times New Roman" w:hAnsi="Times New Roman" w:cs="Times New Roman"/>
          <w:color w:val="000000" w:themeColor="text1"/>
          <w:sz w:val="28"/>
          <w:szCs w:val="28"/>
          <w:lang w:val="uk-UA"/>
          <w14:textFill>
            <w14:solidFill>
              <w14:schemeClr w14:val="tx1"/>
            </w14:solidFill>
          </w14:textFill>
        </w:rPr>
        <w:t>Bordin G. A Comparative Foreign Political Discourse Analysis of the Russian Federation and the European Union. Budapest : Central European University, 2023. 150 p. URL: https://www.etd.ceu.edu/2023/bordin_greta.pdf</w:t>
      </w:r>
      <w:bookmarkEnd w:id="32"/>
    </w:p>
    <w:p w14:paraId="0253D920">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 </w:t>
      </w:r>
      <w:bookmarkStart w:id="33" w:name="_Ref208311744"/>
      <w:r>
        <w:rPr>
          <w:rFonts w:ascii="Times New Roman" w:hAnsi="Times New Roman" w:cs="Times New Roman"/>
          <w:color w:val="000000" w:themeColor="text1"/>
          <w:sz w:val="28"/>
          <w:szCs w:val="28"/>
          <w:lang w:val="uk-UA"/>
          <w14:textFill>
            <w14:solidFill>
              <w14:schemeClr w14:val="tx1"/>
            </w14:solidFill>
          </w14:textFill>
        </w:rPr>
        <w:t xml:space="preserve">Bordin G. Legitimation pattern: a comparative foreign political discourse analysis of the Russian intervention in Syria and Ukraine. Central European University, Vienna, Austria. 65 с.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https://www.etd.ceu.edu/2023/bordin_greta.pdf.</w:t>
      </w:r>
      <w:bookmarkEnd w:id="33"/>
    </w:p>
    <w:p w14:paraId="65BD4C9B">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34" w:name="_Ref208763030"/>
      <w:r>
        <w:rPr>
          <w:rFonts w:ascii="Times New Roman" w:hAnsi="Times New Roman" w:cs="Times New Roman"/>
          <w:color w:val="000000" w:themeColor="text1"/>
          <w:sz w:val="28"/>
          <w:szCs w:val="28"/>
          <w:lang w:val="uk-UA"/>
          <w14:textFill>
            <w14:solidFill>
              <w14:schemeClr w14:val="tx1"/>
            </w14:solidFill>
          </w14:textFill>
        </w:rPr>
        <w:t xml:space="preserve">Boykov S.S. Evolution of Russian foreign policy towards the Baltic States at the present Stage. Post-Soviet Issues. 2020. №7(3). Р. 389-406. (In Russ.) </w:t>
      </w:r>
      <w:r>
        <w:fldChar w:fldCharType="begin"/>
      </w:r>
      <w:r>
        <w:instrText xml:space="preserve"> HYPERLINK "https://doi.org/10.24975/2313-8920-2020-7-3-389-406"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https://doi.org/10.24975/2313-8920-2020-7-3-389-406</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34"/>
    </w:p>
    <w:p w14:paraId="2A30C80E">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35" w:name="_Ref208335531"/>
      <w:r>
        <w:rPr>
          <w:rFonts w:ascii="Times New Roman" w:hAnsi="Times New Roman" w:cs="Times New Roman"/>
          <w:color w:val="000000" w:themeColor="text1"/>
          <w:sz w:val="28"/>
          <w:szCs w:val="28"/>
          <w:lang w:val="uk-UA"/>
          <w14:textFill>
            <w14:solidFill>
              <w14:schemeClr w14:val="tx1"/>
            </w14:solidFill>
          </w14:textFill>
        </w:rPr>
        <w:t>Brauß H.,  Rácz A. Russia’s Strategic Interests and Actions in the Baltic Region. German Council on Foreign Relations. 2021. URL: https://dgap.org/en/research/publications/russias-strategic-interests-and-actions-baltic-region</w:t>
      </w:r>
      <w:bookmarkEnd w:id="35"/>
    </w:p>
    <w:p w14:paraId="2C77813A">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bookmarkStart w:id="36" w:name="_Ref208779298"/>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Budginaite-Froehly J. Baltic states unplug from Russia’s power grid—but Moscow still looms over critical infrastructure. Atlantic Council. 2025. URL: </w:t>
      </w:r>
      <w:r>
        <w:fldChar w:fldCharType="begin"/>
      </w:r>
      <w:r>
        <w:instrText xml:space="preserve"> HYPERLINK "https://www.atlanticcouncil.org/blogs/new-atlanticist/baltic-states-unplug-from-russias-power-grid-but-moscow-still-looms-over-critical-infrastructure/" \t "_blank" </w:instrText>
      </w:r>
      <w:r>
        <w:fldChar w:fldCharType="separate"/>
      </w:r>
      <w:r>
        <w:rPr>
          <w:rFonts w:ascii="Times New Roman" w:hAnsi="Times New Roman" w:eastAsia="Times New Roman" w:cs="Times New Roman"/>
          <w:color w:val="000000" w:themeColor="text1"/>
          <w:kern w:val="0"/>
          <w:sz w:val="28"/>
          <w:szCs w:val="28"/>
          <w:u w:val="single"/>
          <w14:textFill>
            <w14:solidFill>
              <w14:schemeClr w14:val="tx1"/>
            </w14:solidFill>
          </w14:textFill>
          <w14:ligatures w14:val="none"/>
        </w:rPr>
        <w:t>https://www.atlanticcouncil.org/blogs/new-atlanticist/baltic-states-unplug-from-russias-power-grid-but-moscow-still-looms-over-critical-infrastructure/</w:t>
      </w:r>
      <w:r>
        <w:rPr>
          <w:rFonts w:ascii="Times New Roman" w:hAnsi="Times New Roman" w:eastAsia="Times New Roman" w:cs="Times New Roman"/>
          <w:color w:val="000000" w:themeColor="text1"/>
          <w:kern w:val="0"/>
          <w:sz w:val="28"/>
          <w:szCs w:val="28"/>
          <w:u w:val="single"/>
          <w14:textFill>
            <w14:solidFill>
              <w14:schemeClr w14:val="tx1"/>
            </w14:solidFill>
          </w14:textFill>
          <w14:ligatures w14:val="none"/>
        </w:rPr>
        <w:fldChar w:fldCharType="end"/>
      </w:r>
      <w:bookmarkEnd w:id="36"/>
    </w:p>
    <w:p w14:paraId="7FA55420">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37" w:name="_Ref211370485"/>
      <w:r>
        <w:rPr>
          <w:rFonts w:ascii="Times New Roman" w:hAnsi="Times New Roman" w:cs="Times New Roman"/>
          <w:color w:val="000000" w:themeColor="text1"/>
          <w:sz w:val="28"/>
          <w:szCs w:val="28"/>
          <w:lang w:val="uk-UA"/>
          <w14:textFill>
            <w14:solidFill>
              <w14:schemeClr w14:val="tx1"/>
            </w14:solidFill>
          </w14:textFill>
        </w:rPr>
        <w:t>Burinskas A. Baltic Pioneers: Redefining European Security // Green European Journal. 2025. URL: https://www.greeneuropeanjournal.eu/baltic-pioneers-redefining-european-security/.</w:t>
      </w:r>
      <w:bookmarkEnd w:id="37"/>
    </w:p>
    <w:p w14:paraId="0499497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38" w:name="_Ref208333301"/>
      <w:r>
        <w:rPr>
          <w:rFonts w:ascii="Times New Roman" w:hAnsi="Times New Roman" w:cs="Times New Roman"/>
          <w:color w:val="000000" w:themeColor="text1"/>
          <w:sz w:val="28"/>
          <w:szCs w:val="28"/>
          <w:lang w:val="uk-UA"/>
          <w14:textFill>
            <w14:solidFill>
              <w14:schemeClr w14:val="tx1"/>
            </w14:solidFill>
          </w14:textFill>
        </w:rPr>
        <w:t xml:space="preserve">Buzan B., Wæver O. Regions and Powers: The Structure of International Security. Cambridge : Cambridge University Press, 2003. 598 р. </w:t>
      </w:r>
      <w:r>
        <w:fldChar w:fldCharType="begin"/>
      </w:r>
      <w:r>
        <w:instrText xml:space="preserve"> HYPERLINK "https://doi.org/10.1017/CBO9780511491252"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https://doi.org/10.1017/CBO9780511491252</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38"/>
    </w:p>
    <w:p w14:paraId="07A3F4D5">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Buzan B., Wæver O., de Wilde J. Security: A New Framework for Analysis / Barry Buzan, Ole Wæver, Jaap de Wilde. Boulder : Lynne Rienner Publishers, 1998. 239 p.</w:t>
      </w:r>
    </w:p>
    <w:p w14:paraId="37F4555D">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39" w:name="_Ref208260916"/>
      <w:r>
        <w:rPr>
          <w:rFonts w:ascii="Times New Roman" w:hAnsi="Times New Roman" w:cs="Times New Roman"/>
          <w:color w:val="000000" w:themeColor="text1"/>
          <w:sz w:val="28"/>
          <w:szCs w:val="28"/>
          <w:lang w:val="uk-UA"/>
          <w14:textFill>
            <w14:solidFill>
              <w14:schemeClr w14:val="tx1"/>
            </w14:solidFill>
          </w14:textFill>
        </w:rPr>
        <w:t>Campbell D. Writing Security: United States Foreign Policy and the Politics of Identity / David Campbell. Manchester : Manchester University Press, 1998. 289 p. URL: https://archive.org/details/writingsecurityu0000camp</w:t>
      </w:r>
      <w:bookmarkEnd w:id="39"/>
    </w:p>
    <w:p w14:paraId="337B9D4A">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40" w:name="_Ref211364735"/>
      <w:r>
        <w:rPr>
          <w:rFonts w:ascii="Times New Roman" w:hAnsi="Times New Roman" w:cs="Times New Roman"/>
          <w:color w:val="000000" w:themeColor="text1"/>
          <w:sz w:val="28"/>
          <w:szCs w:val="28"/>
          <w:lang w:val="uk-UA"/>
          <w14:textFill>
            <w14:solidFill>
              <w14:schemeClr w14:val="tx1"/>
            </w14:solidFill>
          </w14:textFill>
        </w:rPr>
        <w:t>Cancela Outeda C. Collective Memory and Baltic States: From the Baltic Way to the Age of Hybrid Threats. Pasado y Memoria. 2025. No. 31. P. 108–136.</w:t>
      </w:r>
      <w:bookmarkEnd w:id="40"/>
    </w:p>
    <w:p w14:paraId="284DE4D2">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41" w:name="_Ref208763264"/>
      <w:r>
        <w:rPr>
          <w:rFonts w:ascii="Times New Roman" w:hAnsi="Times New Roman" w:cs="Times New Roman"/>
          <w:color w:val="000000" w:themeColor="text1"/>
          <w:sz w:val="28"/>
          <w:szCs w:val="28"/>
          <w:lang w:val="uk-UA"/>
          <w14:textFill>
            <w14:solidFill>
              <w14:schemeClr w14:val="tx1"/>
            </w14:solidFill>
          </w14:textFill>
        </w:rPr>
        <w:t>Chmielewski B.A lot of effort, not many results. Latvia’s belated de-Sovietisation. OSW Centre for Eastern Studies. 2024. URL: https://www.osw.waw.pl/en/publikacje/osw-commentary/2024-02-06/a-lot-effort-not-many-results-latvias-belated-de-sovietisation</w:t>
      </w:r>
      <w:bookmarkEnd w:id="41"/>
    </w:p>
    <w:p w14:paraId="4F5003F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42" w:name="_Ref211370819"/>
      <w:r>
        <w:rPr>
          <w:rFonts w:ascii="Times New Roman" w:hAnsi="Times New Roman" w:cs="Times New Roman"/>
          <w:color w:val="000000" w:themeColor="text1"/>
          <w:sz w:val="28"/>
          <w:szCs w:val="28"/>
          <w:lang w:val="uk-UA"/>
          <w14:textFill>
            <w14:solidFill>
              <w14:schemeClr w14:val="tx1"/>
            </w14:solidFill>
          </w14:textFill>
        </w:rPr>
        <w:t>Cobos R. R. Evolution of Baltic Security: Analysis of Threats and  STRATEGIC RESPONSES// Revista UNISCI / UNISCI Journal. 2024. No. 66. С. 205-235. DOI: http://dx.doi.org/10.31439/UNISCI-218</w:t>
      </w:r>
      <w:bookmarkEnd w:id="42"/>
    </w:p>
    <w:p w14:paraId="4BB4CCA2">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43" w:name="_Ref208775575"/>
      <w:r>
        <w:rPr>
          <w:rFonts w:ascii="Times New Roman" w:hAnsi="Times New Roman" w:cs="Times New Roman"/>
          <w:color w:val="000000" w:themeColor="text1"/>
          <w:sz w:val="28"/>
          <w:szCs w:val="28"/>
          <w:lang w:val="uk-UA"/>
          <w14:textFill>
            <w14:solidFill>
              <w14:schemeClr w14:val="tx1"/>
            </w14:solidFill>
          </w14:textFill>
        </w:rPr>
        <w:t>Contesting Russia: New Tools in Moscow’s Arsenal. Helsinki Commission. 2024. 22 с. URL: https://www.csce.gov/wp-content/uploads/2024/09/Contesting-Russia-Report-2.pdf</w:t>
      </w:r>
      <w:bookmarkEnd w:id="43"/>
      <w:r>
        <w:rPr>
          <w:rFonts w:ascii="Times New Roman" w:hAnsi="Times New Roman" w:cs="Times New Roman"/>
          <w:color w:val="000000" w:themeColor="text1"/>
          <w:sz w:val="28"/>
          <w:szCs w:val="28"/>
          <w:lang w:val="uk-UA"/>
          <w14:textFill>
            <w14:solidFill>
              <w14:schemeClr w14:val="tx1"/>
            </w14:solidFill>
          </w14:textFill>
        </w:rPr>
        <w:t xml:space="preserve"> </w:t>
      </w:r>
    </w:p>
    <w:p w14:paraId="721B3BA4">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44" w:name="_Ref208333535"/>
      <w:r>
        <w:rPr>
          <w:rFonts w:ascii="Times New Roman" w:hAnsi="Times New Roman" w:cs="Times New Roman"/>
          <w:color w:val="000000" w:themeColor="text1"/>
          <w:sz w:val="28"/>
          <w:szCs w:val="28"/>
          <w:lang w:val="uk-UA"/>
          <w14:textFill>
            <w14:solidFill>
              <w14:schemeClr w14:val="tx1"/>
            </w14:solidFill>
          </w14:textFill>
        </w:rPr>
        <w:t xml:space="preserve">Cooper R. The Breaking of Nations: Order and Chaos in the Twenty-First Century. New York : Atlantic Monthly Press, 2004. 144 р. URL: </w:t>
      </w:r>
      <w:r>
        <w:fldChar w:fldCharType="begin"/>
      </w:r>
      <w:r>
        <w:instrText xml:space="preserve"> HYPERLINK "https://www.amazon.com/Breaking-Nations-Order-Twenty-First-Century/dp/0871139138"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https://www.amazon.com/Breaking-Nations-Order-Twenty-First-Century/dp/0871139138</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w:t>
      </w:r>
      <w:bookmarkEnd w:id="44"/>
    </w:p>
    <w:p w14:paraId="19CBE5C9">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45" w:name="_Ref211370407"/>
      <w:r>
        <w:rPr>
          <w:rFonts w:ascii="Times New Roman" w:hAnsi="Times New Roman" w:cs="Times New Roman"/>
          <w:color w:val="000000" w:themeColor="text1"/>
          <w:sz w:val="28"/>
          <w:szCs w:val="28"/>
          <w:lang w:val="uk-UA"/>
          <w14:textFill>
            <w14:solidFill>
              <w14:schemeClr w14:val="tx1"/>
            </w14:solidFill>
          </w14:textFill>
        </w:rPr>
        <w:t>Csergő Z., Kallas K., Kiss T., Kin-State Intervention and the Securitization-Minority Policy Nexus: Hungarians and Russian-Speakers in Central and Eastern Europe// Journal of Global Security Studies. 2025. Vol. 10, № 1, ogae035, https://doi.org/10.1093/jogss/ogae035.</w:t>
      </w:r>
      <w:bookmarkEnd w:id="45"/>
    </w:p>
    <w:p w14:paraId="3E3B1661">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46" w:name="_Ref211366333"/>
      <w:r>
        <w:rPr>
          <w:rFonts w:ascii="Times New Roman" w:hAnsi="Times New Roman" w:cs="Times New Roman"/>
          <w:color w:val="000000" w:themeColor="text1"/>
          <w:sz w:val="28"/>
          <w:szCs w:val="28"/>
          <w:lang w:val="uk-UA"/>
          <w14:textFill>
            <w14:solidFill>
              <w14:schemeClr w14:val="tx1"/>
            </w14:solidFill>
          </w14:textFill>
        </w:rPr>
        <w:t xml:space="preserve">deChauny C. O. Russian Hybrid Warfare in the Baltics. Baltimore : Johns Hopkins University, 2022. 80 с. URL: </w:t>
      </w:r>
      <w:r>
        <w:fldChar w:fldCharType="begin"/>
      </w:r>
      <w:r>
        <w:instrText xml:space="preserve"> HYPERLINK "https://jscholarship.library.jhu.edu/bitstreams/06c460f9-a230-4302-a895-4e08878fd985/download" </w:instrText>
      </w:r>
      <w:r>
        <w:fldChar w:fldCharType="separate"/>
      </w:r>
      <w:r>
        <w:rPr>
          <w:rStyle w:val="13"/>
          <w:rFonts w:ascii="Times New Roman" w:hAnsi="Times New Roman" w:cs="Times New Roman"/>
          <w:sz w:val="28"/>
          <w:szCs w:val="28"/>
          <w:lang w:val="uk-UA"/>
        </w:rPr>
        <w:t>https://jscholarship.library.jhu.edu/bitstreams/06c460f9-a230-4302-a895-4e08878fd985/download</w:t>
      </w:r>
      <w:r>
        <w:rPr>
          <w:rStyle w:val="13"/>
          <w:rFonts w:ascii="Times New Roman" w:hAnsi="Times New Roman" w:cs="Times New Roman"/>
          <w:sz w:val="28"/>
          <w:szCs w:val="28"/>
          <w:lang w:val="uk-UA"/>
        </w:rPr>
        <w:fldChar w:fldCharType="end"/>
      </w:r>
      <w:r>
        <w:rPr>
          <w:rFonts w:ascii="Times New Roman" w:hAnsi="Times New Roman" w:cs="Times New Roman"/>
          <w:color w:val="000000" w:themeColor="text1"/>
          <w:sz w:val="28"/>
          <w:szCs w:val="28"/>
          <w:lang w:val="uk-UA"/>
          <w14:textFill>
            <w14:solidFill>
              <w14:schemeClr w14:val="tx1"/>
            </w14:solidFill>
          </w14:textFill>
        </w:rPr>
        <w:t>.</w:t>
      </w:r>
      <w:bookmarkEnd w:id="46"/>
    </w:p>
    <w:p w14:paraId="7BD65037">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47" w:name="_Ref208260899"/>
      <w:r>
        <w:rPr>
          <w:rFonts w:ascii="Times New Roman" w:hAnsi="Times New Roman" w:cs="Times New Roman"/>
          <w:color w:val="000000" w:themeColor="text1"/>
          <w:sz w:val="28"/>
          <w:szCs w:val="28"/>
          <w:lang w:val="uk-UA"/>
          <w14:textFill>
            <w14:solidFill>
              <w14:schemeClr w14:val="tx1"/>
            </w14:solidFill>
          </w14:textFill>
        </w:rPr>
        <w:t>Deleuze G. The Fold: Leibniz and the Baroque / translated by Tom Conley. Minneapolis : University of Minnesota Press, 1993. 227 p.</w:t>
      </w:r>
      <w:bookmarkEnd w:id="47"/>
    </w:p>
    <w:p w14:paraId="67D04B09">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48" w:name="_Ref208260886"/>
      <w:r>
        <w:rPr>
          <w:rFonts w:ascii="Times New Roman" w:hAnsi="Times New Roman" w:cs="Times New Roman"/>
          <w:color w:val="000000" w:themeColor="text1"/>
          <w:sz w:val="28"/>
          <w:szCs w:val="28"/>
          <w:lang w:val="uk-UA"/>
          <w14:textFill>
            <w14:solidFill>
              <w14:schemeClr w14:val="tx1"/>
            </w14:solidFill>
          </w14:textFill>
        </w:rPr>
        <w:t>Deleuze G., Guattari F. A Thousand Plateaus: Capitalism and Schizophrenia. Minneapolis: University of Minnesota Press, 1987. 610 p.</w:t>
      </w:r>
      <w:bookmarkEnd w:id="48"/>
    </w:p>
    <w:p w14:paraId="3CDB7841">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49" w:name="_Ref208260889"/>
      <w:r>
        <w:rPr>
          <w:rFonts w:ascii="Times New Roman" w:hAnsi="Times New Roman" w:cs="Times New Roman"/>
          <w:color w:val="000000" w:themeColor="text1"/>
          <w:sz w:val="28"/>
          <w:szCs w:val="28"/>
          <w:lang w:val="uk-UA"/>
          <w14:textFill>
            <w14:solidFill>
              <w14:schemeClr w14:val="tx1"/>
            </w14:solidFill>
          </w14:textFill>
        </w:rPr>
        <w:t>Deleuze G., Guattari F. Anti-Oedipus: Capitalism and Schizophrenia. Minneapolis : University of Minnesota Press, 1972. 423 p. URL:</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https://archive.org/details/anti-oedipus</w:t>
      </w:r>
      <w:bookmarkEnd w:id="49"/>
    </w:p>
    <w:p w14:paraId="4AA1233D">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50" w:name="_Ref208260895"/>
      <w:r>
        <w:rPr>
          <w:rFonts w:ascii="Times New Roman" w:hAnsi="Times New Roman" w:cs="Times New Roman"/>
          <w:color w:val="000000" w:themeColor="text1"/>
          <w:sz w:val="28"/>
          <w:szCs w:val="28"/>
          <w:lang w:val="uk-UA"/>
          <w14:textFill>
            <w14:solidFill>
              <w14:schemeClr w14:val="tx1"/>
            </w14:solidFill>
          </w14:textFill>
        </w:rPr>
        <w:t>Deleuze G., Guattari F. What Is Philosophy? New York : Columbia University Press, 1993. 253 p.</w:t>
      </w:r>
      <w:bookmarkEnd w:id="50"/>
    </w:p>
    <w:p w14:paraId="22D1BBE5">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51" w:name="_Ref208260914"/>
      <w:r>
        <w:rPr>
          <w:rFonts w:ascii="Times New Roman" w:hAnsi="Times New Roman" w:cs="Times New Roman"/>
          <w:color w:val="000000" w:themeColor="text1"/>
          <w:sz w:val="28"/>
          <w:szCs w:val="28"/>
          <w:lang w:val="uk-UA"/>
          <w14:textFill>
            <w14:solidFill>
              <w14:schemeClr w14:val="tx1"/>
            </w14:solidFill>
          </w14:textFill>
        </w:rPr>
        <w:t>Der Derian J. On Diplomacy: A Genealogy of Western Estrangement / James Der Derian. Oxford : Blackwell, 1987. 258 p.</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 xml:space="preserve">URL: </w:t>
      </w:r>
      <w:r>
        <w:fldChar w:fldCharType="begin"/>
      </w:r>
      <w:r>
        <w:instrText xml:space="preserve"> HYPERLINK "https://archive.org/details/ondiplomacygenea0000derd"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https://archive.org/details/ondiplomacygenea0000derd</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51"/>
      <w:r>
        <w:rPr>
          <w:rFonts w:ascii="Times New Roman" w:hAnsi="Times New Roman" w:cs="Times New Roman"/>
          <w:color w:val="000000" w:themeColor="text1"/>
          <w:sz w:val="28"/>
          <w:szCs w:val="28"/>
          <w:lang w:val="uk-UA"/>
          <w14:textFill>
            <w14:solidFill>
              <w14:schemeClr w14:val="tx1"/>
            </w14:solidFill>
          </w14:textFill>
        </w:rPr>
        <w:t xml:space="preserve"> </w:t>
      </w:r>
    </w:p>
    <w:p w14:paraId="632206C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52" w:name="_Ref208260864"/>
      <w:r>
        <w:rPr>
          <w:rFonts w:ascii="Times New Roman" w:hAnsi="Times New Roman" w:cs="Times New Roman"/>
          <w:color w:val="000000" w:themeColor="text1"/>
          <w:sz w:val="28"/>
          <w:szCs w:val="28"/>
          <w:lang w:val="uk-UA"/>
          <w14:textFill>
            <w14:solidFill>
              <w14:schemeClr w14:val="tx1"/>
            </w14:solidFill>
          </w14:textFill>
        </w:rPr>
        <w:t>Derrida J. Limited Inc. Evanston : Northwestern University Press, 1988. 160 p.</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 xml:space="preserve">URL: </w:t>
      </w:r>
      <w:r>
        <w:fldChar w:fldCharType="begin"/>
      </w:r>
      <w:r>
        <w:instrText xml:space="preserve"> HYPERLINK "https://archive.org/details/limitedinc0000derr"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https://archive.org/details/limitedinc0000derr</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52"/>
    </w:p>
    <w:p w14:paraId="2B6AB7D1">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53" w:name="_Ref208260860"/>
      <w:r>
        <w:rPr>
          <w:rFonts w:ascii="Times New Roman" w:hAnsi="Times New Roman" w:cs="Times New Roman"/>
          <w:color w:val="000000" w:themeColor="text1"/>
          <w:sz w:val="28"/>
          <w:szCs w:val="28"/>
          <w:lang w:val="uk-UA"/>
          <w14:textFill>
            <w14:solidFill>
              <w14:schemeClr w14:val="tx1"/>
            </w14:solidFill>
          </w14:textFill>
        </w:rPr>
        <w:t xml:space="preserve">Derrida J. Margins of Philosophy / translated by Alan Bass. Chicago : University of Chicago Press, 1982. 330 p. URL: </w:t>
      </w:r>
      <w:r>
        <w:fldChar w:fldCharType="begin"/>
      </w:r>
      <w:r>
        <w:instrText xml:space="preserve"> HYPERLINK "https://archive.org/details/marginsofphiloso0000derr"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https://archive.org/details/marginsofphiloso0000derr</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53"/>
    </w:p>
    <w:p w14:paraId="381A9741">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54" w:name="_Ref208260854"/>
      <w:r>
        <w:rPr>
          <w:rFonts w:ascii="Times New Roman" w:hAnsi="Times New Roman" w:cs="Times New Roman"/>
          <w:color w:val="000000" w:themeColor="text1"/>
          <w:sz w:val="28"/>
          <w:szCs w:val="28"/>
          <w:lang w:val="uk-UA"/>
          <w14:textFill>
            <w14:solidFill>
              <w14:schemeClr w14:val="tx1"/>
            </w14:solidFill>
          </w14:textFill>
        </w:rPr>
        <w:t xml:space="preserve">Derrida J. Of Grammatology / translated by Gayatri Chakravorty Spivak. Baltimore : Johns Hopkins University Press, 1997. 560 p. URL: </w:t>
      </w:r>
      <w:r>
        <w:fldChar w:fldCharType="begin"/>
      </w:r>
      <w:r>
        <w:instrText xml:space="preserve"> HYPERLINK "https://archive.org/details/ofgrammatology00derr"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https://archive.org/details/ofgrammatology00derr</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54"/>
    </w:p>
    <w:p w14:paraId="6F2979A5">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55" w:name="_Ref208765499"/>
      <w:r>
        <w:rPr>
          <w:rFonts w:ascii="Times New Roman" w:hAnsi="Times New Roman" w:cs="Times New Roman"/>
          <w:color w:val="000000" w:themeColor="text1"/>
          <w:sz w:val="28"/>
          <w:szCs w:val="28"/>
          <w:lang w:val="uk-UA"/>
          <w14:textFill>
            <w14:solidFill>
              <w14:schemeClr w14:val="tx1"/>
            </w14:solidFill>
          </w14:textFill>
        </w:rPr>
        <w:t xml:space="preserve">Diossy N. Building Resilience Against Election Influence Operations: Preparing for the European Elections in 2024 and Beyond. IFES. 2024.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xml:space="preserve">: </w:t>
      </w:r>
      <w:r>
        <w:fldChar w:fldCharType="begin"/>
      </w:r>
      <w:r>
        <w:instrText xml:space="preserve"> HYPERLINK "https://www.ifes.org/pub/building-resilience-against-election-influence-operations-/case-studies" </w:instrText>
      </w:r>
      <w:r>
        <w:fldChar w:fldCharType="separate"/>
      </w:r>
      <w:r>
        <w:rPr>
          <w:rStyle w:val="13"/>
          <w:rFonts w:ascii="Times New Roman" w:hAnsi="Times New Roman" w:cs="Times New Roman"/>
          <w:color w:val="000000" w:themeColor="text1"/>
          <w:sz w:val="28"/>
          <w:szCs w:val="28"/>
          <w:lang w:val="uk-UA"/>
          <w14:textFill>
            <w14:solidFill>
              <w14:schemeClr w14:val="tx1"/>
            </w14:solidFill>
          </w14:textFill>
        </w:rPr>
        <w:t>https://www.ifes.org/pub/building-resilience-against-election-influence-operations-/case-studies</w:t>
      </w:r>
      <w:r>
        <w:rPr>
          <w:rStyle w:val="13"/>
          <w:rFonts w:ascii="Times New Roman" w:hAnsi="Times New Roman" w:cs="Times New Roman"/>
          <w:color w:val="000000" w:themeColor="text1"/>
          <w:sz w:val="28"/>
          <w:szCs w:val="28"/>
          <w:lang w:val="uk-UA"/>
          <w14:textFill>
            <w14:solidFill>
              <w14:schemeClr w14:val="tx1"/>
            </w14:solidFill>
          </w14:textFill>
        </w:rPr>
        <w:fldChar w:fldCharType="end"/>
      </w:r>
      <w:bookmarkEnd w:id="55"/>
    </w:p>
    <w:p w14:paraId="252C916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56" w:name="_Ref208335719"/>
      <w:r>
        <w:rPr>
          <w:rFonts w:ascii="Times New Roman" w:hAnsi="Times New Roman" w:cs="Times New Roman"/>
          <w:color w:val="000000" w:themeColor="text1"/>
          <w:sz w:val="28"/>
          <w:szCs w:val="28"/>
          <w:lang w:val="uk-UA"/>
          <w14:textFill>
            <w14:solidFill>
              <w14:schemeClr w14:val="tx1"/>
            </w14:solidFill>
          </w14:textFill>
        </w:rPr>
        <w:t>Donchenko N. The Variation in Russia ariation in Russia’s Foreign Policy in Near Abr olicy in Near Abroad After the oad After the Disintegration of the USSR. CUNY Graduate Center. 2017. 69 с. URL: https://academicworks.cuny.edu/cgi/viewcontent.cgi?article=3046&amp;context=gc_etds</w:t>
      </w:r>
      <w:bookmarkEnd w:id="56"/>
    </w:p>
    <w:p w14:paraId="39D2C39B">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57" w:name="_Ref208763957"/>
      <w:r>
        <w:rPr>
          <w:rFonts w:ascii="Times New Roman" w:hAnsi="Times New Roman" w:cs="Times New Roman"/>
          <w:color w:val="000000" w:themeColor="text1"/>
          <w:sz w:val="28"/>
          <w:szCs w:val="28"/>
          <w:lang w:val="uk-UA"/>
          <w14:textFill>
            <w14:solidFill>
              <w14:schemeClr w14:val="tx1"/>
            </w14:solidFill>
          </w14:textFill>
        </w:rPr>
        <w:t xml:space="preserve">Duvold K., Ekman J. Nationality-driven Soviet Nostalgia: Determinants of retrospective regime evaluation in the baltic states. Twentieth Century Communism. 2016. № 11(11). Р. 43–66. </w:t>
      </w:r>
      <w:r>
        <w:fldChar w:fldCharType="begin"/>
      </w:r>
      <w:r>
        <w:instrText xml:space="preserve"> HYPERLINK "https://doi.org/10.3898/175864316819698495" </w:instrText>
      </w:r>
      <w:r>
        <w:fldChar w:fldCharType="separate"/>
      </w:r>
      <w:r>
        <w:rPr>
          <w:rStyle w:val="13"/>
          <w:rFonts w:ascii="Times New Roman" w:hAnsi="Times New Roman" w:cs="Times New Roman"/>
          <w:color w:val="000000" w:themeColor="text1"/>
          <w:sz w:val="28"/>
          <w:szCs w:val="28"/>
          <w:lang w:val="uk-UA"/>
          <w14:textFill>
            <w14:solidFill>
              <w14:schemeClr w14:val="tx1"/>
            </w14:solidFill>
          </w14:textFill>
        </w:rPr>
        <w:t>https://doi.org/10.3898/175864316819698495</w:t>
      </w:r>
      <w:r>
        <w:rPr>
          <w:rStyle w:val="13"/>
          <w:rFonts w:ascii="Times New Roman" w:hAnsi="Times New Roman" w:cs="Times New Roman"/>
          <w:color w:val="000000" w:themeColor="text1"/>
          <w:sz w:val="28"/>
          <w:szCs w:val="28"/>
          <w:lang w:val="uk-UA"/>
          <w14:textFill>
            <w14:solidFill>
              <w14:schemeClr w14:val="tx1"/>
            </w14:solidFill>
          </w14:textFill>
        </w:rPr>
        <w:fldChar w:fldCharType="end"/>
      </w:r>
      <w:bookmarkEnd w:id="57"/>
    </w:p>
    <w:p w14:paraId="65A6EB12">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58" w:name="_Ref211370412"/>
      <w:r>
        <w:rPr>
          <w:rFonts w:ascii="Times New Roman" w:hAnsi="Times New Roman" w:cs="Times New Roman"/>
          <w:color w:val="000000" w:themeColor="text1"/>
          <w:sz w:val="28"/>
          <w:szCs w:val="28"/>
          <w:lang w:val="uk-UA"/>
          <w14:textFill>
            <w14:solidFill>
              <w14:schemeClr w14:val="tx1"/>
            </w14:solidFill>
          </w14:textFill>
        </w:rPr>
        <w:t>Ekman J. In the Shadow of War: Public Opinion in the Baltic States, 2014 and 2021// Journal of Eurasian Studies. 2024. Vol. 15, No. 2. С. 106-117. https://doi.org/10.1177/18793665241270812</w:t>
      </w:r>
      <w:bookmarkEnd w:id="58"/>
    </w:p>
    <w:p w14:paraId="2291D1D2">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59" w:name="_Ref208775544"/>
      <w:r>
        <w:rPr>
          <w:rFonts w:ascii="Times New Roman" w:hAnsi="Times New Roman" w:cs="Times New Roman"/>
          <w:color w:val="000000" w:themeColor="text1"/>
          <w:sz w:val="28"/>
          <w:szCs w:val="28"/>
          <w:lang w:val="uk-UA"/>
          <w14:textFill>
            <w14:solidFill>
              <w14:schemeClr w14:val="tx1"/>
            </w14:solidFill>
          </w14:textFill>
        </w:rPr>
        <w:t>Ekmanis I. Contesting Russia: The Baltic Perspective. Foreign Policy Research Institute. 2024. URL: https://www.fpri.org/article/2024/10/contesting-russia-the-baltic-perspective/</w:t>
      </w:r>
      <w:bookmarkEnd w:id="59"/>
    </w:p>
    <w:p w14:paraId="4755BB5A">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60" w:name="_Ref208333672"/>
      <w:r>
        <w:rPr>
          <w:rFonts w:ascii="Times New Roman" w:hAnsi="Times New Roman" w:cs="Times New Roman"/>
          <w:color w:val="000000" w:themeColor="text1"/>
          <w:sz w:val="28"/>
          <w:szCs w:val="28"/>
          <w:lang w:val="uk-UA"/>
          <w14:textFill>
            <w14:solidFill>
              <w14:schemeClr w14:val="tx1"/>
            </w14:solidFill>
          </w14:textFill>
        </w:rPr>
        <w:t>Erbsen, H. Orientalism and Russian speaking minority regions in Europe: representing Narva. National Identities, 2019. № 22(2). Р. 151–172. https://doi.org/10.1080/14608944.2019.1600485</w:t>
      </w:r>
      <w:bookmarkEnd w:id="60"/>
      <w:r>
        <w:rPr>
          <w:rFonts w:ascii="Times New Roman" w:hAnsi="Times New Roman" w:cs="Times New Roman"/>
          <w:color w:val="000000" w:themeColor="text1"/>
          <w:sz w:val="28"/>
          <w:szCs w:val="28"/>
          <w:lang w:val="uk-UA"/>
          <w14:textFill>
            <w14:solidFill>
              <w14:schemeClr w14:val="tx1"/>
            </w14:solidFill>
          </w14:textFill>
        </w:rPr>
        <w:t xml:space="preserve"> </w:t>
      </w:r>
    </w:p>
    <w:p w14:paraId="3F014C47">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61" w:name="_Ref211364632"/>
      <w:r>
        <w:rPr>
          <w:rFonts w:ascii="Times New Roman" w:hAnsi="Times New Roman" w:cs="Times New Roman"/>
          <w:color w:val="000000" w:themeColor="text1"/>
          <w:sz w:val="28"/>
          <w:szCs w:val="28"/>
          <w:lang w:val="uk-UA"/>
          <w14:textFill>
            <w14:solidFill>
              <w14:schemeClr w14:val="tx1"/>
            </w14:solidFill>
          </w14:textFill>
        </w:rPr>
        <w:t>EUvsDisinfo (EEAS). Missiles and Lies. Again. April 2025 (on April 9 coordinated impersonation videos targeting Poland’s 2025 presidential election).</w:t>
      </w:r>
      <w:bookmarkEnd w:id="61"/>
    </w:p>
    <w:p w14:paraId="2FD81ECE">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bookmarkStart w:id="62" w:name="_Ref208779231"/>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Fang  S</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Jaffe A</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 M</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 xml:space="preserve">.,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Loch-Temzelides T</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 xml:space="preserve">.,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P., Chiara L</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 P</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 Electricity grids and geopolitics: A game-theoretic analysis of the synchronization of the Baltic States’ electricity networks with Continental Europe</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 xml:space="preserve"> 2023..</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  </w:t>
      </w:r>
      <w:r>
        <w:fldChar w:fldCharType="begin"/>
      </w:r>
      <w:r>
        <w:instrText xml:space="preserve"> HYPERLINK "http://dx.doi.org/10.2139/ssrn.4644564" </w:instrText>
      </w:r>
      <w:r>
        <w:fldChar w:fldCharType="separate"/>
      </w:r>
      <w:r>
        <w:rPr>
          <w:rStyle w:val="13"/>
          <w:rFonts w:ascii="Times New Roman" w:hAnsi="Times New Roman" w:eastAsia="Times New Roman" w:cs="Times New Roman"/>
          <w:color w:val="000000" w:themeColor="text1"/>
          <w:kern w:val="0"/>
          <w:sz w:val="28"/>
          <w:szCs w:val="28"/>
          <w14:textFill>
            <w14:solidFill>
              <w14:schemeClr w14:val="tx1"/>
            </w14:solidFill>
          </w14:textFill>
          <w14:ligatures w14:val="none"/>
        </w:rPr>
        <w:t>http://dx.doi.org/10.2139/ssrn.4644564</w:t>
      </w:r>
      <w:r>
        <w:rPr>
          <w:rStyle w:val="13"/>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bookmarkEnd w:id="62"/>
    </w:p>
    <w:p w14:paraId="1122849A">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63" w:name="_Ref208334522"/>
      <w:r>
        <w:rPr>
          <w:rFonts w:ascii="Times New Roman" w:hAnsi="Times New Roman" w:cs="Times New Roman"/>
          <w:color w:val="000000" w:themeColor="text1"/>
          <w:sz w:val="28"/>
          <w:szCs w:val="28"/>
          <w:lang w:val="uk-UA"/>
          <w14:textFill>
            <w14:solidFill>
              <w14:schemeClr w14:val="tx1"/>
            </w14:solidFill>
          </w14:textFill>
        </w:rPr>
        <w:t>Filipec O. Hybrid Warfare: Between Realism, Liberalism and Constructivism. Central European Journal of Politics. 2019. Vol. 5, № 2. P. 45–67. URL: https://www.cejop.cz/wp-content/uploads/2020/01/2019_Vol-05_No-02_Art-03_Filipec.pdf</w:t>
      </w:r>
      <w:bookmarkEnd w:id="63"/>
    </w:p>
    <w:p w14:paraId="7445D18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64" w:name="_Ref208260873"/>
      <w:r>
        <w:rPr>
          <w:rFonts w:ascii="Times New Roman" w:hAnsi="Times New Roman" w:cs="Times New Roman"/>
          <w:color w:val="000000" w:themeColor="text1"/>
          <w:sz w:val="28"/>
          <w:szCs w:val="28"/>
          <w:lang w:val="uk-UA"/>
          <w14:textFill>
            <w14:solidFill>
              <w14:schemeClr w14:val="tx1"/>
            </w14:solidFill>
          </w14:textFill>
        </w:rPr>
        <w:t xml:space="preserve">Foucault M. </w:t>
      </w:r>
      <w:r>
        <w:rPr>
          <w:rFonts w:ascii="Times New Roman" w:hAnsi="Times New Roman" w:cs="Times New Roman"/>
          <w:color w:val="000000" w:themeColor="text1"/>
          <w:sz w:val="28"/>
          <w:szCs w:val="28"/>
          <w14:textFill>
            <w14:solidFill>
              <w14:schemeClr w14:val="tx1"/>
            </w14:solidFill>
          </w14:textFill>
        </w:rPr>
        <w:t>Language, counter-memory, practice : selected essays and interviews</w:t>
      </w:r>
      <w:r>
        <w:rPr>
          <w:rFonts w:ascii="Times New Roman" w:hAnsi="Times New Roman" w:cs="Times New Roman"/>
          <w:color w:val="000000" w:themeColor="text1"/>
          <w:sz w:val="28"/>
          <w:szCs w:val="28"/>
          <w:lang w:val="uk-UA"/>
          <w14:textFill>
            <w14:solidFill>
              <w14:schemeClr w14:val="tx1"/>
            </w14:solidFill>
          </w14:textFill>
        </w:rPr>
        <w:t>. Ithaca : Cornell University Press, 1977. 240 р. URL:</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https://archive.org/details/languagecounterm00fouc_0</w:t>
      </w:r>
      <w:bookmarkEnd w:id="64"/>
    </w:p>
    <w:p w14:paraId="3583E9C2">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65" w:name="_Ref208260869"/>
      <w:r>
        <w:rPr>
          <w:rFonts w:ascii="Times New Roman" w:hAnsi="Times New Roman" w:cs="Times New Roman"/>
          <w:color w:val="000000" w:themeColor="text1"/>
          <w:sz w:val="28"/>
          <w:szCs w:val="28"/>
          <w:lang w:val="uk-UA"/>
          <w14:textFill>
            <w14:solidFill>
              <w14:schemeClr w14:val="tx1"/>
            </w14:solidFill>
          </w14:textFill>
        </w:rPr>
        <w:t>Foucault M. The Archaeology of Knowledge / Michel Foucault ; translated by A.M. Sheridan Smith. London : Routledge, 1972. 254 p. URL: https://monoskop.org/images/9/90/Foucault_Michel_Archaeology_of_Knowledge.pdf</w:t>
      </w:r>
      <w:bookmarkEnd w:id="65"/>
    </w:p>
    <w:p w14:paraId="20AB767E">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66" w:name="_Ref208260878"/>
      <w:r>
        <w:rPr>
          <w:rFonts w:ascii="Times New Roman" w:hAnsi="Times New Roman" w:cs="Times New Roman"/>
          <w:color w:val="000000" w:themeColor="text1"/>
          <w:sz w:val="28"/>
          <w:szCs w:val="28"/>
          <w:lang w:val="uk-UA"/>
          <w14:textFill>
            <w14:solidFill>
              <w14:schemeClr w14:val="tx1"/>
            </w14:solidFill>
          </w14:textFill>
        </w:rPr>
        <w:t>Foucault M. The Birth of Biopolitics: Lectures at the Collège de France, 1978-1979. Edited by Michel Senellart. Translated by Graham Burchell (New York: Palgrave MacMillan, 2008. 365 p. DOI:10.22439/fs.v0i7.2640</w:t>
      </w:r>
      <w:bookmarkEnd w:id="66"/>
    </w:p>
    <w:p w14:paraId="6CED9065">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67" w:name="_Ref208260881"/>
      <w:r>
        <w:rPr>
          <w:rFonts w:ascii="Times New Roman" w:hAnsi="Times New Roman" w:cs="Times New Roman"/>
          <w:color w:val="000000" w:themeColor="text1"/>
          <w:sz w:val="28"/>
          <w:szCs w:val="28"/>
          <w:lang w:val="uk-UA"/>
          <w14:textFill>
            <w14:solidFill>
              <w14:schemeClr w14:val="tx1"/>
            </w14:solidFill>
          </w14:textFill>
        </w:rPr>
        <w:t>Foucault M. The Order of Things: An Archaeology of the Human Sciences. London : Routledge, 1994. 416 p.</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URL:</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https://monoskop.org/images/a/a2/Foucault_Michel_The_Order_of_Things_1994.pdf</w:t>
      </w:r>
      <w:bookmarkEnd w:id="67"/>
    </w:p>
    <w:p w14:paraId="70C95D9D">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68" w:name="_Ref208333544"/>
      <w:r>
        <w:rPr>
          <w:rFonts w:ascii="Times New Roman" w:hAnsi="Times New Roman" w:cs="Times New Roman"/>
          <w:color w:val="000000" w:themeColor="text1"/>
          <w:sz w:val="28"/>
          <w:szCs w:val="28"/>
          <w:lang w:val="uk-UA"/>
          <w14:textFill>
            <w14:solidFill>
              <w14:schemeClr w14:val="tx1"/>
            </w14:solidFill>
          </w14:textFill>
        </w:rPr>
        <w:t xml:space="preserve">Freedman L. Strategy: A History. New York : Oxford University Press, 2013. 752 р. URL: </w:t>
      </w:r>
      <w:r>
        <w:fldChar w:fldCharType="begin"/>
      </w:r>
      <w:r>
        <w:instrText xml:space="preserve"> HYPERLINK "https://archive.org/details/strategyhistory0000free"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https://archive.org/details/strategyhistory0000free</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68"/>
    </w:p>
    <w:p w14:paraId="781931AA">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bookmarkStart w:id="69" w:name="_Ref208780088"/>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Galeotti M. The Baltic States as Targets and Levers: The Role of the Region in Russian Strategy. George C. Marshall European Center for Security Studies. 2019. URL: </w:t>
      </w:r>
      <w:r>
        <w:fldChar w:fldCharType="begin"/>
      </w:r>
      <w:r>
        <w:instrText xml:space="preserve"> HYPERLINK "https://www.marshallcenter.org/en/publications/security-insights/baltic-states-targets-and-levers-role-region-russian-strategy-0" \t "_blank" </w:instrText>
      </w:r>
      <w:r>
        <w:fldChar w:fldCharType="separate"/>
      </w:r>
      <w:r>
        <w:rPr>
          <w:rFonts w:ascii="Times New Roman" w:hAnsi="Times New Roman" w:eastAsia="Times New Roman" w:cs="Times New Roman"/>
          <w:color w:val="000000" w:themeColor="text1"/>
          <w:kern w:val="0"/>
          <w:sz w:val="28"/>
          <w:szCs w:val="28"/>
          <w:u w:val="single"/>
          <w14:textFill>
            <w14:solidFill>
              <w14:schemeClr w14:val="tx1"/>
            </w14:solidFill>
          </w14:textFill>
          <w14:ligatures w14:val="none"/>
        </w:rPr>
        <w:t>https://www.marshallcenter.org/en/publications/security-insights/baltic-states-targets-and-levers-role-region-russian-strategy-0</w:t>
      </w:r>
      <w:r>
        <w:rPr>
          <w:rFonts w:ascii="Times New Roman" w:hAnsi="Times New Roman" w:eastAsia="Times New Roman" w:cs="Times New Roman"/>
          <w:color w:val="000000" w:themeColor="text1"/>
          <w:kern w:val="0"/>
          <w:sz w:val="28"/>
          <w:szCs w:val="28"/>
          <w:u w:val="single"/>
          <w14:textFill>
            <w14:solidFill>
              <w14:schemeClr w14:val="tx1"/>
            </w14:solidFill>
          </w14:textFill>
          <w14:ligatures w14:val="none"/>
        </w:rPr>
        <w:fldChar w:fldCharType="end"/>
      </w:r>
      <w:bookmarkEnd w:id="69"/>
    </w:p>
    <w:p w14:paraId="79933AAB">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70" w:name="_Ref211364283"/>
      <w:r>
        <w:rPr>
          <w:rFonts w:ascii="Times New Roman" w:hAnsi="Times New Roman" w:cs="Times New Roman"/>
          <w:color w:val="000000" w:themeColor="text1"/>
          <w:sz w:val="28"/>
          <w:szCs w:val="28"/>
          <w:lang w:val="uk-UA"/>
          <w14:textFill>
            <w14:solidFill>
              <w14:schemeClr w14:val="tx1"/>
            </w14:solidFill>
          </w14:textFill>
        </w:rPr>
        <w:t>Giannopoulos G., Smith H., Theocharidou M. The landscape of hybrid threats: A conceptual model. Helsinki: Hybrid CoE, 2021. URL: https://www.hybridcoe.fi/wp-content/uploads/2021/02/conceptual_framework-reference-version-shortened-good_cover_-_publication_office.pdf</w:t>
      </w:r>
      <w:bookmarkEnd w:id="70"/>
    </w:p>
    <w:p w14:paraId="203EB253">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71" w:name="_Ref208333328"/>
      <w:r>
        <w:rPr>
          <w:rFonts w:ascii="Times New Roman" w:hAnsi="Times New Roman" w:cs="Times New Roman"/>
          <w:color w:val="000000" w:themeColor="text1"/>
          <w:sz w:val="28"/>
          <w:szCs w:val="28"/>
          <w:lang w:val="uk-UA"/>
          <w14:textFill>
            <w14:solidFill>
              <w14:schemeClr w14:val="tx1"/>
            </w14:solidFill>
          </w14:textFill>
        </w:rPr>
        <w:t xml:space="preserve">Gilpin R. War and Change in World Politics. Cambridge : Cambridge University Press, 1981. 272 р. </w:t>
      </w:r>
      <w:r>
        <w:fldChar w:fldCharType="begin"/>
      </w:r>
      <w:r>
        <w:instrText xml:space="preserve"> HYPERLINK "https://doi.org/10.1017/CBO9780511664267"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https://doi.org/10.1017/CBO9780511664267</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71"/>
    </w:p>
    <w:p w14:paraId="204BEBE7">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72" w:name="_Ref208335079"/>
      <w:r>
        <w:rPr>
          <w:rFonts w:ascii="Times New Roman" w:hAnsi="Times New Roman" w:cs="Times New Roman"/>
          <w:color w:val="000000" w:themeColor="text1"/>
          <w:sz w:val="28"/>
          <w:szCs w:val="28"/>
          <w:lang w:val="uk-UA"/>
          <w14:textFill>
            <w14:solidFill>
              <w14:schemeClr w14:val="tx1"/>
            </w14:solidFill>
          </w14:textFill>
        </w:rPr>
        <w:t xml:space="preserve">Gioe D. V., Miron M., Ozawa M. Reassessing NATO’s deterrence and defence posture in the Baltics: rebalancing strategic priorities to counter Russian hybrid aggression. Defense &amp; Security Analysis. 2024. № 41(1). Р. 145–165. </w:t>
      </w:r>
      <w:r>
        <w:fldChar w:fldCharType="begin"/>
      </w:r>
      <w:r>
        <w:instrText xml:space="preserve"> HYPERLINK "https://doi.org/10.1080/14751798.2024.2424935"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https://doi.org/10.1080/14751798.2024.2424935</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72"/>
    </w:p>
    <w:p w14:paraId="1BA5B6EA">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73" w:name="_Ref208764930"/>
      <w:r>
        <w:rPr>
          <w:rFonts w:ascii="Times New Roman" w:hAnsi="Times New Roman" w:cs="Times New Roman"/>
          <w:color w:val="000000" w:themeColor="text1"/>
          <w:sz w:val="28"/>
          <w:szCs w:val="28"/>
          <w:lang w:val="uk-UA"/>
          <w14:textFill>
            <w14:solidFill>
              <w14:schemeClr w14:val="tx1"/>
            </w14:solidFill>
          </w14:textFill>
        </w:rPr>
        <w:t xml:space="preserve">Goble P. Estonian-Russian border dispute resurfaces after a Moscow diplomat denounces the 1920 Tartu Peace Treaty. Estonian World. 2019.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xml:space="preserve">: </w:t>
      </w:r>
      <w:r>
        <w:fldChar w:fldCharType="begin"/>
      </w:r>
      <w:r>
        <w:instrText xml:space="preserve"> HYPERLINK "https://estonianworld.com/security/estonian-russian-border-dispute-resurfaces-after-a-moscow-diplomat-denounces-the-1920-tartu-peace-treaty/" </w:instrText>
      </w:r>
      <w:r>
        <w:fldChar w:fldCharType="separate"/>
      </w:r>
      <w:r>
        <w:rPr>
          <w:rStyle w:val="13"/>
          <w:rFonts w:ascii="Times New Roman" w:hAnsi="Times New Roman" w:cs="Times New Roman"/>
          <w:color w:val="000000" w:themeColor="text1"/>
          <w:sz w:val="28"/>
          <w:szCs w:val="28"/>
          <w:lang w:val="uk-UA"/>
          <w14:textFill>
            <w14:solidFill>
              <w14:schemeClr w14:val="tx1"/>
            </w14:solidFill>
          </w14:textFill>
        </w:rPr>
        <w:t>https://estonianworld.com/security/estonian-russian-border-dispute-resurfaces-after-a-moscow-diplomat-denounces-the-1920-tartu-peace-treaty/</w:t>
      </w:r>
      <w:r>
        <w:rPr>
          <w:rStyle w:val="13"/>
          <w:rFonts w:ascii="Times New Roman" w:hAnsi="Times New Roman" w:cs="Times New Roman"/>
          <w:color w:val="000000" w:themeColor="text1"/>
          <w:sz w:val="28"/>
          <w:szCs w:val="28"/>
          <w:lang w:val="uk-UA"/>
          <w14:textFill>
            <w14:solidFill>
              <w14:schemeClr w14:val="tx1"/>
            </w14:solidFill>
          </w14:textFill>
        </w:rPr>
        <w:fldChar w:fldCharType="end"/>
      </w:r>
      <w:bookmarkEnd w:id="73"/>
    </w:p>
    <w:p w14:paraId="3F66F91D">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74" w:name="_Ref208776808"/>
      <w:r>
        <w:rPr>
          <w:rFonts w:ascii="Times New Roman" w:hAnsi="Times New Roman" w:cs="Times New Roman"/>
          <w:color w:val="000000" w:themeColor="text1"/>
          <w:sz w:val="28"/>
          <w:szCs w:val="28"/>
          <w:lang w:val="uk-UA"/>
          <w14:textFill>
            <w14:solidFill>
              <w14:schemeClr w14:val="tx1"/>
            </w14:solidFill>
          </w14:textFill>
        </w:rPr>
        <w:t>Golubeva M. Wide Awake and Busy: The Baltics Prepare for Russian Hybrid Attacks. CEPA. 2025. URL: https://cepa.org/article/wide-awake-and-busy-the-baltics-prepare-for-russian-hybrid-attacks/</w:t>
      </w:r>
      <w:bookmarkEnd w:id="74"/>
    </w:p>
    <w:p w14:paraId="6C6F99A9">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75" w:name="_Ref208762468"/>
      <w:bookmarkStart w:id="76" w:name="_Ref208765689"/>
      <w:r>
        <w:rPr>
          <w:rFonts w:ascii="Times New Roman" w:hAnsi="Times New Roman" w:cs="Times New Roman"/>
          <w:color w:val="000000" w:themeColor="text1"/>
          <w:sz w:val="28"/>
          <w:szCs w:val="28"/>
          <w:lang w:val="uk-UA"/>
          <w14:textFill>
            <w14:solidFill>
              <w14:schemeClr w14:val="tx1"/>
            </w14:solidFill>
          </w14:textFill>
        </w:rPr>
        <w:t>Gorenburg D. Russian Strategic Culture in a Baltic Crisis. Мarshallcenter. 2017.</w:t>
      </w:r>
      <w:bookmarkEnd w:id="75"/>
      <w:r>
        <w:rPr>
          <w:rFonts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https://www.marshallcenter.org/en/publications/security-insights/russian-strategic-culture-baltic-crisis-0</w:t>
      </w:r>
      <w:bookmarkEnd w:id="76"/>
    </w:p>
    <w:p w14:paraId="1066D737">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77" w:name="_Ref208335144"/>
      <w:r>
        <w:rPr>
          <w:rFonts w:ascii="Times New Roman" w:hAnsi="Times New Roman" w:cs="Times New Roman"/>
          <w:color w:val="000000" w:themeColor="text1"/>
          <w:sz w:val="28"/>
          <w:szCs w:val="28"/>
          <w:lang w:val="uk-UA"/>
          <w14:textFill>
            <w14:solidFill>
              <w14:schemeClr w14:val="tx1"/>
            </w14:solidFill>
          </w14:textFill>
        </w:rPr>
        <w:t>Götz E. Enemy at the gates: A neoclassical realist explanation of Russia’s Baltic policy. Foreign Policy Analysis. 2019. № 15(1). P. 99–117. – DOI: 10.1093/fpa/ory018.</w:t>
      </w:r>
      <w:bookmarkEnd w:id="77"/>
      <w:r>
        <w:rPr>
          <w:rFonts w:ascii="Times New Roman" w:hAnsi="Times New Roman" w:cs="Times New Roman"/>
          <w:color w:val="000000" w:themeColor="text1"/>
          <w:sz w:val="28"/>
          <w:szCs w:val="28"/>
          <w:lang w:val="uk-UA"/>
          <w14:textFill>
            <w14:solidFill>
              <w14:schemeClr w14:val="tx1"/>
            </w14:solidFill>
          </w14:textFill>
        </w:rPr>
        <w:t xml:space="preserve"> </w:t>
      </w:r>
    </w:p>
    <w:p w14:paraId="545B2555">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Grigas A. The Gas Relationship between the Baltic States and Russia - politics and commercial realities. Oxford Institute for Energy Studies. 2012. </w:t>
      </w:r>
      <w:r>
        <w:fldChar w:fldCharType="begin"/>
      </w:r>
      <w:r>
        <w:instrText xml:space="preserve"> HYPERLINK "https://doi.org/10.26889/9781907555589" </w:instrText>
      </w:r>
      <w:r>
        <w:fldChar w:fldCharType="separate"/>
      </w:r>
      <w:r>
        <w:rPr>
          <w:rStyle w:val="13"/>
          <w:rFonts w:ascii="Times New Roman" w:hAnsi="Times New Roman" w:eastAsia="Times New Roman" w:cs="Times New Roman"/>
          <w:color w:val="000000" w:themeColor="text1"/>
          <w:kern w:val="0"/>
          <w:sz w:val="28"/>
          <w:szCs w:val="28"/>
          <w:u w:val="none"/>
          <w14:textFill>
            <w14:solidFill>
              <w14:schemeClr w14:val="tx1"/>
            </w14:solidFill>
          </w14:textFill>
          <w14:ligatures w14:val="none"/>
        </w:rPr>
        <w:t>https://doi.org/10.26889/9781907555589</w:t>
      </w:r>
      <w:r>
        <w:rPr>
          <w:rStyle w:val="13"/>
          <w:rFonts w:ascii="Times New Roman" w:hAnsi="Times New Roman" w:eastAsia="Times New Roman" w:cs="Times New Roman"/>
          <w:color w:val="000000" w:themeColor="text1"/>
          <w:kern w:val="0"/>
          <w:sz w:val="28"/>
          <w:szCs w:val="28"/>
          <w:u w:val="none"/>
          <w14:textFill>
            <w14:solidFill>
              <w14:schemeClr w14:val="tx1"/>
            </w14:solidFill>
          </w14:textFill>
          <w14:ligatures w14:val="none"/>
        </w:rPr>
        <w:fldChar w:fldCharType="end"/>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 xml:space="preserve"> </w:t>
      </w:r>
    </w:p>
    <w:p w14:paraId="47B40B3D">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78" w:name="_Ref208333680"/>
      <w:r>
        <w:rPr>
          <w:rFonts w:ascii="Times New Roman" w:hAnsi="Times New Roman" w:cs="Times New Roman"/>
          <w:color w:val="000000" w:themeColor="text1"/>
          <w:sz w:val="28"/>
          <w:szCs w:val="28"/>
          <w:lang w:val="uk-UA"/>
          <w14:textFill>
            <w14:solidFill>
              <w14:schemeClr w14:val="tx1"/>
            </w14:solidFill>
          </w14:textFill>
        </w:rPr>
        <w:t>Grigas A. The Politics of Energy and Memory between the Baltic States and Russia. London : Routledge, 2013. 214 с. URL: https://www.routledge.com/The-Politics-of-Energy-and-Memory-between-the-Baltic-States-and-Russia/Grigas/p/book/9781472451361</w:t>
      </w:r>
      <w:bookmarkEnd w:id="78"/>
    </w:p>
    <w:p w14:paraId="61200970">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79" w:name="_Ref208335557"/>
      <w:r>
        <w:rPr>
          <w:rFonts w:ascii="Times New Roman" w:hAnsi="Times New Roman" w:cs="Times New Roman"/>
          <w:color w:val="000000" w:themeColor="text1"/>
          <w:sz w:val="28"/>
          <w:szCs w:val="28"/>
          <w:lang w:val="uk-UA"/>
          <w14:textFill>
            <w14:solidFill>
              <w14:schemeClr w14:val="tx1"/>
            </w14:solidFill>
          </w14:textFill>
        </w:rPr>
        <w:t>Hansen F. S. Russian Military Thinking about the Baltic Sea and the Arctic. Danish Institute for International Studies. 2025. URL: https://www.diis.dk/en/research/russian-military-thinking-about-the-baltic-sea-and-the-arctic</w:t>
      </w:r>
      <w:bookmarkEnd w:id="79"/>
    </w:p>
    <w:p w14:paraId="2516E535">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Hansen L. Security as Practice: Discourse Analysis and the Bosnian War. London : Routledge, 2006. 259 p.</w:t>
      </w:r>
      <w:r>
        <w:rPr>
          <w:rFonts w:ascii="Times New Roman" w:hAnsi="Times New Roman" w:cs="Times New Roman"/>
          <w:color w:val="000000" w:themeColor="text1"/>
          <w:sz w:val="28"/>
          <w:szCs w:val="28"/>
          <w14:textFill>
            <w14:solidFill>
              <w14:schemeClr w14:val="tx1"/>
            </w14:solidFill>
          </w14:textFill>
        </w:rPr>
        <w:t xml:space="preserve"> URL</w:t>
      </w:r>
      <w:r>
        <w:rPr>
          <w:rFonts w:ascii="Times New Roman" w:hAnsi="Times New Roman" w:cs="Times New Roman"/>
          <w:color w:val="000000" w:themeColor="text1"/>
          <w:sz w:val="28"/>
          <w:szCs w:val="28"/>
          <w:lang w:val="uk-UA"/>
          <w14:textFill>
            <w14:solidFill>
              <w14:schemeClr w14:val="tx1"/>
            </w14:solidFill>
          </w14:textFill>
        </w:rPr>
        <w:t xml:space="preserve">: </w:t>
      </w:r>
      <w:r>
        <w:fldChar w:fldCharType="begin"/>
      </w:r>
      <w:r>
        <w:instrText xml:space="preserve"> HYPERLINK "https://archive.org/details/securityaspracti0000hans"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https://archive.org/details/securityaspracti0000hans</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r>
        <w:rPr>
          <w:rFonts w:ascii="Times New Roman" w:hAnsi="Times New Roman" w:cs="Times New Roman"/>
          <w:color w:val="000000" w:themeColor="text1"/>
          <w:sz w:val="28"/>
          <w:szCs w:val="28"/>
          <w:lang w:val="uk-UA"/>
          <w14:textFill>
            <w14:solidFill>
              <w14:schemeClr w14:val="tx1"/>
            </w14:solidFill>
          </w14:textFill>
        </w:rPr>
        <w:t xml:space="preserve"> </w:t>
      </w:r>
    </w:p>
    <w:p w14:paraId="7A63DBB8">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80" w:name="_Ref208335673"/>
      <w:r>
        <w:rPr>
          <w:rFonts w:ascii="Times New Roman" w:hAnsi="Times New Roman" w:cs="Times New Roman"/>
          <w:color w:val="000000" w:themeColor="text1"/>
          <w:sz w:val="28"/>
          <w:szCs w:val="28"/>
          <w14:textFill>
            <w14:solidFill>
              <w14:schemeClr w14:val="tx1"/>
            </w14:solidFill>
          </w14:textFill>
        </w:rPr>
        <w:t>Hanson</w:t>
      </w:r>
      <w:r>
        <w:rPr>
          <w:rFonts w:ascii="Times New Roman" w:hAnsi="Times New Roman" w:cs="Times New Roman"/>
          <w:color w:val="000000" w:themeColor="text1"/>
          <w:sz w:val="28"/>
          <w:szCs w:val="28"/>
          <w:lang w:val="uk-UA"/>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Z</w:t>
      </w:r>
      <w:r>
        <w:rPr>
          <w:rFonts w:ascii="Times New Roman" w:hAnsi="Times New Roman" w:cs="Times New Roman"/>
          <w:color w:val="000000" w:themeColor="text1"/>
          <w:sz w:val="28"/>
          <w:szCs w:val="28"/>
          <w:lang w:val="uk-UA"/>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Baltic-Russian Relations in the Context of European Integration. Auctus: The Journal of Undergraduate Scholarship and Research at VCU. 2013. URL: https://scholarscompass.vcu.edu/cgi/viewcontent.cgi?article=1052&amp;context=auctus</w:t>
      </w:r>
      <w:bookmarkEnd w:id="80"/>
    </w:p>
    <w:p w14:paraId="63F12E42">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81" w:name="_Ref208335627"/>
      <w:r>
        <w:rPr>
          <w:rFonts w:ascii="Times New Roman" w:hAnsi="Times New Roman" w:cs="Times New Roman"/>
          <w:color w:val="000000" w:themeColor="text1"/>
          <w:sz w:val="28"/>
          <w:szCs w:val="28"/>
          <w:lang w:val="uk-UA"/>
          <w14:textFill>
            <w14:solidFill>
              <w14:schemeClr w14:val="tx1"/>
            </w14:solidFill>
          </w14:textFill>
        </w:rPr>
        <w:t>Hartvig Á., Kiss-Dobronyi B., Kotek P., Tóth B., Gutzianas I., Zareczky A. The Economic and Energy Security Implications of the Russian Invasion of Ukraine. Energy. 2024. Vol. 294. P. 130–145. https://doi.org/10.1016/j.energy.2024.130972</w:t>
      </w:r>
      <w:bookmarkEnd w:id="81"/>
    </w:p>
    <w:p w14:paraId="3688831A">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bookmarkStart w:id="82" w:name="_Ref208778116"/>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Hartwell L., Rakštytė A., Ryng J., Selga Ē. K. WINTER IS COMING:</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 xml:space="preserve">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The Baltics and the Russia-Ukraine War. LSE IDEAS Reports. 2022. 32 с. URL: </w:t>
      </w:r>
      <w:r>
        <w:fldChar w:fldCharType="begin"/>
      </w:r>
      <w:r>
        <w:instrText xml:space="preserve"> HYPERLINK "https://www.lse.ac.uk/ideas/Assets/Documents/reports/2022-12-05-BalticRussia-FINALweb.pdf"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https://www.lse.ac.uk/ideas/Assets/Documents/reports/2022-12-05-BalticRussia-FINALweb.pdf</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bookmarkEnd w:id="82"/>
    </w:p>
    <w:p w14:paraId="2E1A5037">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bookmarkStart w:id="83" w:name="_Ref208779333"/>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Haski</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 xml:space="preserve">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P</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 xml:space="preserve">.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Baltic states withdraw from Russian power grid. Eurotopics. 2025. URL: </w:t>
      </w:r>
      <w:r>
        <w:fldChar w:fldCharType="begin"/>
      </w:r>
      <w:r>
        <w:instrText xml:space="preserve"> HYPERLINK "https://www.eurotopics.net/en/333439/baltic-states-withdraw-from-russian-power-grid"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https://www.eurotopics.net/en/333439/baltic-states-withdraw-from-russian-power-grid</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bookmarkEnd w:id="83"/>
    </w:p>
    <w:p w14:paraId="42842AAB">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84" w:name="_Ref208777455"/>
      <w:r>
        <w:rPr>
          <w:rFonts w:ascii="Times New Roman" w:hAnsi="Times New Roman" w:cs="Times New Roman"/>
          <w:color w:val="000000" w:themeColor="text1"/>
          <w:sz w:val="28"/>
          <w:szCs w:val="28"/>
          <w:lang w:val="uk-UA"/>
          <w14:textFill>
            <w14:solidFill>
              <w14:schemeClr w14:val="tx1"/>
            </w14:solidFill>
          </w14:textFill>
        </w:rPr>
        <w:t>Hayat M. M. Russia-Ukraine War: A Constructivist Analysis. University of Punjab Journal of Politics. 2022. № 8(2). P. 29-40. URL: https://pu.edu.pk/images/journal/politicsAndInternational/PDF/3_v8_1_2022.pdf</w:t>
      </w:r>
      <w:bookmarkEnd w:id="84"/>
    </w:p>
    <w:p w14:paraId="6365B00B">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Hess</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 xml:space="preserve">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M</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 How Eastern Europe Overhauled Its Natural Gas Market. Carnegie Endowment for International Peace. </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 xml:space="preserve">2025.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URL</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 xml:space="preserve">: </w:t>
      </w:r>
      <w:r>
        <w:fldChar w:fldCharType="begin"/>
      </w:r>
      <w:r>
        <w:instrText xml:space="preserve"> HYPERLINK "https://carnegieendowment.org/research/2025/04/how-eastern-europe-overhauled-its-natural-gas-market?lang=en"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carnegieendowment</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org</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research</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/2025/04/</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how</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eastern</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europe</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overhauled</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its</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natural</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gas</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market</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lang</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en</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p>
    <w:p w14:paraId="4F1F929A">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85" w:name="_Ref208333563"/>
      <w:r>
        <w:rPr>
          <w:rFonts w:ascii="Times New Roman" w:hAnsi="Times New Roman" w:cs="Times New Roman"/>
          <w:color w:val="000000" w:themeColor="text1"/>
          <w:sz w:val="28"/>
          <w:szCs w:val="28"/>
          <w:lang w:val="uk-UA"/>
          <w14:textFill>
            <w14:solidFill>
              <w14:schemeClr w14:val="tx1"/>
            </w14:solidFill>
          </w14:textFill>
        </w:rPr>
        <w:t>Hopf T. Social Construction of International Politics: Identities and Foreign Policies, Russia, 1955 and 1999. Ithaca : Cornell University Press, 2002. 304 с. URL: https://www.cornellpress.cornell.edu/book/9780801487910/social-construction-of-international-politics/</w:t>
      </w:r>
      <w:bookmarkEnd w:id="85"/>
    </w:p>
    <w:p w14:paraId="0947FA69">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86" w:name="_Ref208764350"/>
      <w:bookmarkStart w:id="87" w:name="_Ref208762658"/>
      <w:r>
        <w:rPr>
          <w:rFonts w:ascii="Times New Roman" w:hAnsi="Times New Roman" w:cs="Times New Roman"/>
          <w:color w:val="000000" w:themeColor="text1"/>
          <w:sz w:val="28"/>
          <w:szCs w:val="28"/>
          <w:lang w:val="uk-UA"/>
          <w14:textFill>
            <w14:solidFill>
              <w14:schemeClr w14:val="tx1"/>
            </w14:solidFill>
          </w14:textFill>
        </w:rPr>
        <w:t>Horne, B.D., Rice, N.M., Luther, C.A. et al. Generational effects of culture and digital media in former Soviet Republics. Humanit Soc Sci Commun 10, 172 (2023). https://doi.org/10.1057/s41599-023-01670-6</w:t>
      </w:r>
      <w:bookmarkEnd w:id="86"/>
    </w:p>
    <w:p w14:paraId="295E472B">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88" w:name="_Ref211364288"/>
      <w:r>
        <w:rPr>
          <w:rFonts w:ascii="Times New Roman" w:hAnsi="Times New Roman" w:cs="Times New Roman"/>
          <w:color w:val="000000" w:themeColor="text1"/>
          <w:sz w:val="28"/>
          <w:szCs w:val="28"/>
          <w:lang w:val="uk-UA"/>
          <w14:textFill>
            <w14:solidFill>
              <w14:schemeClr w14:val="tx1"/>
            </w14:solidFill>
          </w14:textFill>
        </w:rPr>
        <w:t>Hybrid threats as a phenomenon. Hybrid CoE. URL: https://www.hybridcoe.fi/hybrid-threats-as-a-phenomenon/</w:t>
      </w:r>
      <w:bookmarkEnd w:id="88"/>
    </w:p>
    <w:p w14:paraId="20DCF8DE">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pPr>
      <w:bookmarkStart w:id="89" w:name="_Ref208777833"/>
      <w:bookmarkStart w:id="90" w:name="_Ref208763396"/>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Jones S. G. Russia’s Shadow War Against the West. Center for Strategic and International Studies. </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 xml:space="preserve">2025.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URL</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 xml:space="preserve">: </w:t>
      </w:r>
      <w:r>
        <w:fldChar w:fldCharType="begin"/>
      </w:r>
      <w:r>
        <w:instrText xml:space="preserve"> HYPERLINK "https://www.csis.org/analysis/russias-shadow-war-against-west"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www</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csis</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org</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analysis</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russias</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shadow</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war</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against</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west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bookmarkEnd w:id="89"/>
    </w:p>
    <w:p w14:paraId="5844119F">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91" w:name="_Ref208765160"/>
      <w:r>
        <w:rPr>
          <w:rFonts w:ascii="Times New Roman" w:hAnsi="Times New Roman" w:cs="Times New Roman"/>
          <w:color w:val="000000" w:themeColor="text1"/>
          <w:sz w:val="28"/>
          <w:szCs w:val="28"/>
          <w:lang w:val="uk-UA"/>
          <w14:textFill>
            <w14:solidFill>
              <w14:schemeClr w14:val="tx1"/>
            </w14:solidFill>
          </w14:textFill>
        </w:rPr>
        <w:t xml:space="preserve">June E., Rupert J. As Moldova Nears an Election, Russia Exploits an Unhealed Ethnic Rift. USIP. 2024.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xml:space="preserve">: </w:t>
      </w:r>
      <w:r>
        <w:fldChar w:fldCharType="begin"/>
      </w:r>
      <w:r>
        <w:instrText xml:space="preserve"> HYPERLINK "https://www.usip.org/publications/2024/08/moldova-nears-election-russia-exploits-unhealed-ethnic-rift"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https://www.usip.org/publications/2024/08/moldova-nears-election-russia-exploits-unhealed-ethnic-rift</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91"/>
    </w:p>
    <w:p w14:paraId="4664EAB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92" w:name="_Ref208762635"/>
      <w:r>
        <w:rPr>
          <w:rFonts w:ascii="Times New Roman" w:hAnsi="Times New Roman" w:cs="Times New Roman"/>
          <w:color w:val="000000" w:themeColor="text1"/>
          <w:sz w:val="28"/>
          <w:szCs w:val="28"/>
          <w:lang w:val="uk-UA"/>
          <w14:textFill>
            <w14:solidFill>
              <w14:schemeClr w14:val="tx1"/>
            </w14:solidFill>
          </w14:textFill>
        </w:rPr>
        <w:t xml:space="preserve">Juurvee I., Mattiisen A.-M. The Bronze Soldier Crisis of 2007: Revisiting an Early Case of Hybrid Conflict. ICDS. 2020.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https://icds.ee/en/the-bronze-soldier-crisis-of-2007/</w:t>
      </w:r>
      <w:bookmarkEnd w:id="92"/>
      <w:r>
        <w:rPr>
          <w:rFonts w:ascii="Times New Roman" w:hAnsi="Times New Roman" w:cs="Times New Roman"/>
          <w:color w:val="000000" w:themeColor="text1"/>
          <w:sz w:val="28"/>
          <w:szCs w:val="28"/>
          <w:lang w:val="uk-UA"/>
          <w14:textFill>
            <w14:solidFill>
              <w14:schemeClr w14:val="tx1"/>
            </w14:solidFill>
          </w14:textFill>
        </w:rPr>
        <w:t xml:space="preserve"> </w:t>
      </w:r>
    </w:p>
    <w:p w14:paraId="288D1BD0">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93" w:name="_Ref211370853"/>
      <w:r>
        <w:rPr>
          <w:rFonts w:ascii="Times New Roman" w:hAnsi="Times New Roman" w:cs="Times New Roman"/>
          <w:color w:val="000000" w:themeColor="text1"/>
          <w:sz w:val="28"/>
          <w:szCs w:val="28"/>
          <w:lang w:val="uk-UA"/>
          <w14:textFill>
            <w14:solidFill>
              <w14:schemeClr w14:val="tx1"/>
            </w14:solidFill>
          </w14:textFill>
        </w:rPr>
        <w:t xml:space="preserve">Juzefovičs J. Making sense of the COVID-19 crisis: information-seeking practices and attitudes towards information providers among Baltic audiences. Journal of Baltic Studies. 2023. № 55(4). Р. 771–792. </w:t>
      </w:r>
      <w:r>
        <w:fldChar w:fldCharType="begin"/>
      </w:r>
      <w:r>
        <w:instrText xml:space="preserve"> HYPERLINK "https://doi.org/10.1080/01629778.2023.2290603" </w:instrText>
      </w:r>
      <w:r>
        <w:fldChar w:fldCharType="separate"/>
      </w:r>
      <w:r>
        <w:rPr>
          <w:rStyle w:val="13"/>
          <w:rFonts w:ascii="Times New Roman" w:hAnsi="Times New Roman" w:cs="Times New Roman"/>
          <w:sz w:val="28"/>
          <w:szCs w:val="28"/>
          <w:lang w:val="uk-UA"/>
        </w:rPr>
        <w:t>https://doi.org/10.1080/01629778.2023.2290603</w:t>
      </w:r>
      <w:r>
        <w:rPr>
          <w:rStyle w:val="13"/>
          <w:rFonts w:ascii="Times New Roman" w:hAnsi="Times New Roman" w:cs="Times New Roman"/>
          <w:sz w:val="28"/>
          <w:szCs w:val="28"/>
          <w:lang w:val="uk-UA"/>
        </w:rPr>
        <w:fldChar w:fldCharType="end"/>
      </w:r>
      <w:bookmarkEnd w:id="93"/>
    </w:p>
    <w:bookmarkEnd w:id="87"/>
    <w:bookmarkEnd w:id="90"/>
    <w:p w14:paraId="4870D048">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94" w:name="_Ref208333462"/>
      <w:r>
        <w:rPr>
          <w:rFonts w:ascii="Times New Roman" w:hAnsi="Times New Roman" w:cs="Times New Roman"/>
          <w:color w:val="000000" w:themeColor="text1"/>
          <w:sz w:val="28"/>
          <w:szCs w:val="28"/>
          <w:lang w:val="uk-UA"/>
          <w14:textFill>
            <w14:solidFill>
              <w14:schemeClr w14:val="tx1"/>
            </w14:solidFill>
          </w14:textFill>
        </w:rPr>
        <w:t xml:space="preserve">Kaplan R. D. The Revenge of Geography: What the Map Tells Us About Coming Conflicts and the Battle Against Fate. New York : Random House, 2012. 432 с. URL: </w:t>
      </w:r>
      <w:r>
        <w:fldChar w:fldCharType="begin"/>
      </w:r>
      <w:r>
        <w:instrText xml:space="preserve"> HYPERLINK "https://www.cambridge.org/core/journals/ethics-and-international-affairs/article/abs/revenge-of-geography-what-the-map-tells-us-about-coming-conflicts-and-the-battle-against-fate-robert-d-kaplan-new-york-random-house-2012-432-pp-28-cloth/BCF596BE7C3491BEC9C60F4B0863223F"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https://www.cambridge.org/core/journals/ethics-and-international-affairs/article/abs/revenge-of-geography-what-the-map-tells-us-about-coming-conflicts-and-the-battle-against-fate-robert-d-kaplan-new-york-random-house-2012-432-pp-28-cloth/BCF596BE7C3491BEC9C60F4B0863223F</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94"/>
    </w:p>
    <w:p w14:paraId="2AF32C34">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95" w:name="_Ref211370458"/>
      <w:r>
        <w:rPr>
          <w:rFonts w:ascii="Times New Roman" w:hAnsi="Times New Roman" w:cs="Times New Roman"/>
          <w:color w:val="000000" w:themeColor="text1"/>
          <w:sz w:val="28"/>
          <w:szCs w:val="28"/>
          <w:lang w:val="uk-UA"/>
          <w14:textFill>
            <w14:solidFill>
              <w14:schemeClr w14:val="tx1"/>
            </w14:solidFill>
          </w14:textFill>
        </w:rPr>
        <w:t>Kaprāns M. The War in Ukraine and Latvia’s Russian-speaking Community // ZOiS Spotlight. 2024. No. 15. С. 1-10. URL: https://www.zois-berlin.de/en/publications/zois-spotlight/the-war-in-ukraine-and-latvias-russian-speaking-community.</w:t>
      </w:r>
      <w:bookmarkEnd w:id="95"/>
    </w:p>
    <w:p w14:paraId="4DF39CC2">
      <w:pPr>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 xml:space="preserve"> </w:t>
      </w:r>
      <w:bookmarkStart w:id="96" w:name="_Ref208779712"/>
      <w:r>
        <w:rPr>
          <w:rFonts w:ascii="Times New Roman" w:hAnsi="Times New Roman" w:cs="Times New Roman"/>
          <w:color w:val="000000" w:themeColor="text1"/>
          <w:sz w:val="28"/>
          <w:szCs w:val="28"/>
          <w:lang w:val="uk-UA"/>
          <w14:textFill>
            <w14:solidFill>
              <w14:schemeClr w14:val="tx1"/>
            </w14:solidFill>
          </w14:textFill>
        </w:rPr>
        <w:t xml:space="preserve">Kardaś S. Synch and swim: How escaping Russia’s electricity grid can strengthen Baltic energy security. European </w:t>
      </w:r>
      <w:r>
        <w:rPr>
          <w:rFonts w:ascii="Times New Roman" w:hAnsi="Times New Roman" w:cs="Times New Roman"/>
          <w:color w:val="000000" w:themeColor="text1"/>
          <w:sz w:val="28"/>
          <w:szCs w:val="28"/>
          <w14:textFill>
            <w14:solidFill>
              <w14:schemeClr w14:val="tx1"/>
            </w14:solidFill>
          </w14:textFill>
        </w:rPr>
        <w:t>Council of foreingn relatioms</w:t>
      </w:r>
      <w:r>
        <w:rPr>
          <w:rFonts w:ascii="Times New Roman" w:hAnsi="Times New Roman" w:cs="Times New Roman"/>
          <w:color w:val="000000" w:themeColor="text1"/>
          <w:sz w:val="28"/>
          <w:szCs w:val="28"/>
          <w:lang w:val="uk-UA"/>
          <w14:textFill>
            <w14:solidFill>
              <w14:schemeClr w14:val="tx1"/>
            </w14:solidFill>
          </w14:textFill>
        </w:rPr>
        <w:t xml:space="preserve">. 2025.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URL:</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 xml:space="preserve"> </w:t>
      </w:r>
      <w:r>
        <w:fldChar w:fldCharType="begin"/>
      </w:r>
      <w:r>
        <w:instrText xml:space="preserve"> HYPERLINK "https://ecfr.eu/article/synch-and-swim-how-escaping-russias-electricity-grid-can-strengthen-baltic-energy-security/" </w:instrText>
      </w:r>
      <w:r>
        <w:fldChar w:fldCharType="separate"/>
      </w:r>
      <w:r>
        <w:rPr>
          <w:rStyle w:val="13"/>
          <w:rFonts w:ascii="Times New Roman" w:hAnsi="Times New Roman" w:eastAsia="Times New Roman" w:cs="Times New Roman"/>
          <w:color w:val="000000" w:themeColor="text1"/>
          <w:kern w:val="0"/>
          <w:sz w:val="28"/>
          <w:szCs w:val="28"/>
          <w:u w:val="none"/>
          <w:lang w:val="uk-UA"/>
          <w14:textFill>
            <w14:solidFill>
              <w14:schemeClr w14:val="tx1"/>
            </w14:solidFill>
          </w14:textFill>
          <w14:ligatures w14:val="none"/>
        </w:rPr>
        <w:t>https://ecfr.eu/article/synch-and-swim-how-escaping-russias-electricity-grid-can-strengthen-baltic-energy-security/</w:t>
      </w:r>
      <w:r>
        <w:rPr>
          <w:rStyle w:val="13"/>
          <w:rFonts w:ascii="Times New Roman" w:hAnsi="Times New Roman" w:eastAsia="Times New Roman" w:cs="Times New Roman"/>
          <w:color w:val="000000" w:themeColor="text1"/>
          <w:kern w:val="0"/>
          <w:sz w:val="28"/>
          <w:szCs w:val="28"/>
          <w:u w:val="none"/>
          <w:lang w:val="uk-UA"/>
          <w14:textFill>
            <w14:solidFill>
              <w14:schemeClr w14:val="tx1"/>
            </w14:solidFill>
          </w14:textFill>
          <w14:ligatures w14:val="none"/>
        </w:rPr>
        <w:fldChar w:fldCharType="end"/>
      </w:r>
      <w:bookmarkEnd w:id="96"/>
    </w:p>
    <w:p w14:paraId="15D19E7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97" w:name="_Ref208334338"/>
      <w:r>
        <w:rPr>
          <w:rFonts w:ascii="Times New Roman" w:hAnsi="Times New Roman" w:cs="Times New Roman"/>
          <w:color w:val="000000" w:themeColor="text1"/>
          <w:sz w:val="28"/>
          <w:szCs w:val="28"/>
          <w:lang w:val="uk-UA"/>
          <w14:textFill>
            <w14:solidFill>
              <w14:schemeClr w14:val="tx1"/>
            </w14:solidFill>
          </w14:textFill>
        </w:rPr>
        <w:t xml:space="preserve">Kascian, K., Denisenko, V., &amp; Matonytė, I. Baltic States’ EU membership: discursive search for (and failure to obtain) farewell from Russia. Journal of Contemporary European Studies, 2024. №33(2). Р. 359–374. </w:t>
      </w:r>
      <w:r>
        <w:fldChar w:fldCharType="begin"/>
      </w:r>
      <w:r>
        <w:instrText xml:space="preserve"> HYPERLINK "https://doi.org/10.1080/14782804.2024.2349250"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https://doi.org/10.1080/14782804.2024.2349250</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97"/>
      <w:r>
        <w:rPr>
          <w:rFonts w:ascii="Times New Roman" w:hAnsi="Times New Roman" w:cs="Times New Roman"/>
          <w:color w:val="000000" w:themeColor="text1"/>
          <w:sz w:val="28"/>
          <w:szCs w:val="28"/>
          <w:lang w:val="uk-UA"/>
          <w14:textFill>
            <w14:solidFill>
              <w14:schemeClr w14:val="tx1"/>
            </w14:solidFill>
          </w14:textFill>
        </w:rPr>
        <w:t xml:space="preserve"> </w:t>
      </w:r>
    </w:p>
    <w:p w14:paraId="25B8E27F">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Khomasuridze</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 xml:space="preserve">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A</w:t>
      </w:r>
      <w:r>
        <w:rPr>
          <w:rFonts w:ascii="Times New Roman" w:hAnsi="Times New Roman" w:eastAsia="Times New Roman" w:cs="Times New Roman"/>
          <w:color w:val="000000" w:themeColor="text1"/>
          <w:kern w:val="0"/>
          <w:sz w:val="28"/>
          <w:szCs w:val="28"/>
          <w:lang w:val="uk-UA"/>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 Energy Independence in the Baltic States: A Strategy against Russian Hybrid Threats. Georgian Foundation for Strategic and International Studies. 2025. URL: </w:t>
      </w:r>
      <w:r>
        <w:fldChar w:fldCharType="begin"/>
      </w:r>
      <w:r>
        <w:instrText xml:space="preserve"> HYPERLINK "https://gfsis.org/en/energy-independence-in-the-baltic-states-a-strategy-against-russian-hybrid-threats/"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https://gfsis.org/en/energy-independence-in-the-baltic-states-a-strategy-against-russian-hybrid-threats/</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p>
    <w:p w14:paraId="40D5DC82">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bookmarkStart w:id="98" w:name="_Ref208778891"/>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Khudoley K. The Baltic Is Not the Balkans, But Anxiety Grows. Valdai Club. 2025. URL: </w:t>
      </w:r>
      <w:r>
        <w:fldChar w:fldCharType="begin"/>
      </w:r>
      <w:r>
        <w:instrText xml:space="preserve"> HYPERLINK "https://valdaiclub.com/a/highlights/the-baltic-is-not-the-balkans-but-anxiety-grows/"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https://valdaiclub.com/a/highlights/the-baltic-is-not-the-balkans-but-anxiety-grows/</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bookmarkEnd w:id="98"/>
    </w:p>
    <w:p w14:paraId="67792DCF">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99" w:name="_Ref211364309"/>
      <w:r>
        <w:rPr>
          <w:rFonts w:ascii="Times New Roman" w:hAnsi="Times New Roman" w:cs="Times New Roman"/>
          <w:color w:val="000000" w:themeColor="text1"/>
          <w:sz w:val="28"/>
          <w:szCs w:val="28"/>
          <w:lang w:val="uk-UA"/>
          <w14:textFill>
            <w14:solidFill>
              <w14:schemeClr w14:val="tx1"/>
            </w14:solidFill>
          </w14:textFill>
        </w:rPr>
        <w:t>Kols R. Hybrid Threats: The Baltic Perspective. Written testimony before the Commission on Security and Cooperation in Europe. Washington, DC, 17 March 2022.</w:t>
      </w:r>
      <w:bookmarkEnd w:id="99"/>
    </w:p>
    <w:p w14:paraId="2EDF3C1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Król A. Russian Information Warfare in the Baltic States — Resources and Aims. Warsawinstitute. 2017.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https://warsawinstitute.org/russian-information-warfare-baltic-states-resources-aims/</w:t>
      </w:r>
    </w:p>
    <w:p w14:paraId="4510E252">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00" w:name="_Ref208334297"/>
      <w:r>
        <w:rPr>
          <w:rFonts w:ascii="Times New Roman" w:hAnsi="Times New Roman" w:cs="Times New Roman"/>
          <w:color w:val="000000" w:themeColor="text1"/>
          <w:sz w:val="28"/>
          <w:szCs w:val="28"/>
          <w:lang w:val="uk-UA"/>
          <w14:textFill>
            <w14:solidFill>
              <w14:schemeClr w14:val="tx1"/>
            </w14:solidFill>
          </w14:textFill>
        </w:rPr>
        <w:t xml:space="preserve">Kuczyńska-Zonik A. Antidiplomacy in Russia’s Policies Regarding Russian-Speakers in the Baltic States // Baltic Journal of Political Science. 2017. № 6. P. 5–25. URL: https://www.zurnalai.vu.lt/BJPS/article/download/10338/8247 </w:t>
      </w:r>
      <w:bookmarkEnd w:id="100"/>
    </w:p>
    <w:p w14:paraId="33C744D3">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01" w:name="_Ref211370380"/>
      <w:r>
        <w:rPr>
          <w:rFonts w:ascii="Times New Roman" w:hAnsi="Times New Roman" w:cs="Times New Roman"/>
          <w:color w:val="000000" w:themeColor="text1"/>
          <w:sz w:val="28"/>
          <w:szCs w:val="28"/>
          <w:lang w:val="uk-UA"/>
          <w14:textFill>
            <w14:solidFill>
              <w14:schemeClr w14:val="tx1"/>
            </w14:solidFill>
          </w14:textFill>
        </w:rPr>
        <w:t>Kuczyńska-Zonik A. The Securitization of National Minorities in the Baltic States//  Baltic Journal of Law &amp; Politics. 2017. №10(2). Р. 26-45. DOI:10.1515/bjlp-2017-0011</w:t>
      </w:r>
      <w:bookmarkEnd w:id="101"/>
    </w:p>
    <w:p w14:paraId="7EA80EBE">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02" w:name="_Ref208398335"/>
      <w:r>
        <w:rPr>
          <w:rFonts w:ascii="Times New Roman" w:hAnsi="Times New Roman" w:cs="Times New Roman"/>
          <w:color w:val="000000" w:themeColor="text1"/>
          <w:sz w:val="28"/>
          <w:szCs w:val="28"/>
          <w:lang w:val="uk-UA"/>
          <w14:textFill>
            <w14:solidFill>
              <w14:schemeClr w14:val="tx1"/>
            </w14:solidFill>
          </w14:textFill>
        </w:rPr>
        <w:t xml:space="preserve">Laclau E., Mouffe C. Hegemony and Socialist Strateg. 1985. 214 р.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https://files.libcom.org/files/ernesto-laclau-hegemony-and-socialist-strategy-towards-a-radical-democratic-politics.compressed.pdf</w:t>
      </w:r>
      <w:bookmarkEnd w:id="102"/>
    </w:p>
    <w:p w14:paraId="104A82CA">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03" w:name="_Ref208335193"/>
      <w:r>
        <w:rPr>
          <w:rFonts w:ascii="Times New Roman" w:hAnsi="Times New Roman" w:cs="Times New Roman"/>
          <w:color w:val="000000" w:themeColor="text1"/>
          <w:sz w:val="28"/>
          <w:szCs w:val="28"/>
          <w:lang w:val="uk-UA"/>
          <w14:textFill>
            <w14:solidFill>
              <w14:schemeClr w14:val="tx1"/>
            </w14:solidFill>
          </w14:textFill>
        </w:rPr>
        <w:t>Lucas E., Hodges B., Schmiedl C. Close to the Wind: What Russia Wants. Center for European Policy Analysis. 2021. URL: https://cepa.org/comprehensive-reports/close-to-the-wind-what-russia-wants/</w:t>
      </w:r>
      <w:bookmarkEnd w:id="103"/>
    </w:p>
    <w:p w14:paraId="15884B4A">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 </w:t>
      </w:r>
      <w:bookmarkStart w:id="104" w:name="_Ref208311758"/>
      <w:r>
        <w:rPr>
          <w:rFonts w:ascii="Times New Roman" w:hAnsi="Times New Roman" w:cs="Times New Roman"/>
          <w:color w:val="000000" w:themeColor="text1"/>
          <w:sz w:val="28"/>
          <w:szCs w:val="28"/>
          <w:lang w:val="uk-UA"/>
          <w14:textFill>
            <w14:solidFill>
              <w14:schemeClr w14:val="tx1"/>
            </w14:solidFill>
          </w14:textFill>
        </w:rPr>
        <w:t xml:space="preserve">Lundgren F. The Baltic States perception of Russia. Växjö : Linnaeus University, 2015. 41 с.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https://www.diva-portal.org/smash/get/diva2:819202/FULLTEXT01.pdf.</w:t>
      </w:r>
      <w:bookmarkEnd w:id="104"/>
    </w:p>
    <w:p w14:paraId="28BD096F">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bookmarkStart w:id="105" w:name="_Ref208777878"/>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Maciata K. Fortifying the Baltic Sea - NATO’s defence and deterrence strategy for hybrid threats. NATO Review. 2025. URL: </w:t>
      </w:r>
      <w:r>
        <w:fldChar w:fldCharType="begin"/>
      </w:r>
      <w:r>
        <w:instrText xml:space="preserve"> HYPERLINK "https://www.nato.int/docu/review/articles/2025/05/05/fortifying-the-baltic-sea-natos-defence-and-deterrence-strategy-for-hybrid-threats/index.html"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https://www.nato.int/docu/review/articles/2025/05/05/fortifying-the-baltic-sea-natos-defence-and-deterrence-strategy-for-hybrid-threats/index.html</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 </w:t>
      </w:r>
      <w:bookmarkEnd w:id="105"/>
    </w:p>
    <w:p w14:paraId="771FBFF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06" w:name="_Ref211364432"/>
      <w:r>
        <w:rPr>
          <w:rFonts w:ascii="Times New Roman" w:hAnsi="Times New Roman" w:cs="Times New Roman"/>
          <w:color w:val="000000" w:themeColor="text1"/>
          <w:sz w:val="28"/>
          <w:szCs w:val="28"/>
          <w:lang w:val="uk-UA"/>
          <w14:textFill>
            <w14:solidFill>
              <w14:schemeClr w14:val="tx1"/>
            </w14:solidFill>
          </w14:textFill>
        </w:rPr>
        <w:t>Mälksoo M. Politics of memory: a conceptual introduction. Handbook on the Politics of Memory / ed. M. Mälksoo. Cheltenham: Edward Elgar Publishing, 2023. P. 1–16.</w:t>
      </w:r>
      <w:bookmarkEnd w:id="106"/>
    </w:p>
    <w:p w14:paraId="18143C00">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07" w:name="_Ref208333596"/>
      <w:r>
        <w:rPr>
          <w:rFonts w:ascii="Times New Roman" w:hAnsi="Times New Roman" w:cs="Times New Roman"/>
          <w:color w:val="000000" w:themeColor="text1"/>
          <w:sz w:val="28"/>
          <w:szCs w:val="28"/>
          <w:lang w:val="uk-UA"/>
          <w14:textFill>
            <w14:solidFill>
              <w14:schemeClr w14:val="tx1"/>
            </w14:solidFill>
          </w14:textFill>
        </w:rPr>
        <w:t>Mälksoo M. The Politics of Becoming European: A Study of Polish and Baltic Post-Cold War Security Imaginaries. London : Routledge, 2010. 224 с. URL: https://www.routledge.com/The-Politics-of-Becoming-European-A-study-of-Polish-and-Baltic-Post-Cold-War-security-imaginaries/Malksoo/p/book/9780415851374</w:t>
      </w:r>
      <w:bookmarkEnd w:id="107"/>
    </w:p>
    <w:p w14:paraId="5B4E9AC0">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 </w:t>
      </w:r>
      <w:bookmarkStart w:id="108" w:name="_Ref208311754"/>
      <w:r>
        <w:rPr>
          <w:rFonts w:ascii="Times New Roman" w:hAnsi="Times New Roman" w:cs="Times New Roman"/>
          <w:color w:val="000000" w:themeColor="text1"/>
          <w:sz w:val="28"/>
          <w:szCs w:val="28"/>
          <w:lang w:val="uk-UA"/>
          <w14:textFill>
            <w14:solidFill>
              <w14:schemeClr w14:val="tx1"/>
            </w14:solidFill>
          </w14:textFill>
        </w:rPr>
        <w:t>Mälksoo M., Šešelgytė M. Reinventing ‘new’ Europe: Baltic perspectives on transatlantic security reconfigurations. Communist and Post-Communist Studies. 2013. Vol. 46, № 3. P. 397–406. DOI: 10.1016/j.postcomstud.2013.06.006.</w:t>
      </w:r>
      <w:bookmarkEnd w:id="108"/>
      <w:r>
        <w:rPr>
          <w:rFonts w:ascii="Times New Roman" w:hAnsi="Times New Roman" w:cs="Times New Roman"/>
          <w:color w:val="000000" w:themeColor="text1"/>
          <w:sz w:val="28"/>
          <w:szCs w:val="28"/>
          <w:lang w:val="uk-UA"/>
          <w14:textFill>
            <w14:solidFill>
              <w14:schemeClr w14:val="tx1"/>
            </w14:solidFill>
          </w14:textFill>
        </w:rPr>
        <w:t xml:space="preserve"> </w:t>
      </w:r>
    </w:p>
    <w:p w14:paraId="71938DEA">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bookmarkStart w:id="109" w:name="_Ref208780249"/>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Matsiuk I. The Kremlin’s Shadow: Strategy and Tactics of Russian Interference in the Baltic States Elections. Blue Europe. 2025. URL: </w:t>
      </w:r>
      <w:r>
        <w:fldChar w:fldCharType="begin"/>
      </w:r>
      <w:r>
        <w:instrText xml:space="preserve"> HYPERLINK "https://www.blue-europe.eu/analysis-en/full-reports/the-kremlins-shadow-strategy-and-tactics-of-russian-interference-in-the-baltic-states-elections/"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https://www.blue-europe.eu/analysis-en/full-reports/the-kremlins-shadow-strategy-and-tactics-of-russian-interference-in-the-baltic-states-elections/</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bookmarkEnd w:id="109"/>
    </w:p>
    <w:p w14:paraId="6C5D12DD">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10" w:name="_Ref208335652"/>
      <w:r>
        <w:rPr>
          <w:rFonts w:ascii="Times New Roman" w:hAnsi="Times New Roman" w:cs="Times New Roman"/>
          <w:color w:val="000000" w:themeColor="text1"/>
          <w:sz w:val="28"/>
          <w:szCs w:val="28"/>
          <w:lang w:val="uk-UA"/>
          <w14:textFill>
            <w14:solidFill>
              <w14:schemeClr w14:val="tx1"/>
            </w14:solidFill>
          </w14:textFill>
        </w:rPr>
        <w:t xml:space="preserve">Matthews C. The Baltic States’ Relations with Russia: Historical Context and Liberal Dependency Theories. Global Insight: A Journal of Critical Human Science and Culture, 2020. №1, Р. 21–30. </w:t>
      </w:r>
      <w:r>
        <w:fldChar w:fldCharType="begin"/>
      </w:r>
      <w:r>
        <w:instrText xml:space="preserve"> HYPERLINK "https://doi.org/10.32855/globalinsight.2020.003"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https://doi.org/10.32855/globalinsight.2020.003</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110"/>
    </w:p>
    <w:p w14:paraId="49A9917C">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11" w:name="_Ref208333118"/>
      <w:r>
        <w:rPr>
          <w:rFonts w:ascii="Times New Roman" w:hAnsi="Times New Roman" w:cs="Times New Roman"/>
          <w:color w:val="000000" w:themeColor="text1"/>
          <w:sz w:val="28"/>
          <w:szCs w:val="28"/>
          <w:lang w:val="uk-UA"/>
          <w14:textFill>
            <w14:solidFill>
              <w14:schemeClr w14:val="tx1"/>
            </w14:solidFill>
          </w14:textFill>
        </w:rPr>
        <w:t xml:space="preserve">Mearsheimer J. J. Why the Ukraine Crisis Is the West’s Fault: The Liberal Delusions That Provoked Putin. Foreign Affairs. 2014. № 93(5). P. 1-12. URL: </w:t>
      </w:r>
      <w:r>
        <w:fldChar w:fldCharType="begin"/>
      </w:r>
      <w:r>
        <w:instrText xml:space="preserve"> HYPERLINK "https://www.mearsheimer.com/wp-content/uploads/2019/06/Why-the-Ukraine-Crisis-Is.pdf"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https://www.mearsheimer.com/wp-content/uploads/2019/06/Why-the-Ukraine-Crisis-Is.pdf</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111"/>
    </w:p>
    <w:p w14:paraId="093F1CCA">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12" w:name="_Ref208777507"/>
      <w:r>
        <w:rPr>
          <w:rFonts w:ascii="Times New Roman" w:hAnsi="Times New Roman" w:cs="Times New Roman"/>
          <w:color w:val="000000" w:themeColor="text1"/>
          <w:sz w:val="28"/>
          <w:szCs w:val="28"/>
          <w:lang w:val="uk-UA"/>
          <w14:textFill>
            <w14:solidFill>
              <w14:schemeClr w14:val="tx1"/>
            </w14:solidFill>
          </w14:textFill>
        </w:rPr>
        <w:t>Milevski L. NATO’s Defence Policy Dilemma in the Baltic States. Security and Defence Quarterly. 2017. Vol. 14, № 1. P. 51-68. URL: https://securityanddefence.pl/pdf-103196-36130?filename=NATO%2Bs%2520defence%2520policy.pdf</w:t>
      </w:r>
      <w:bookmarkEnd w:id="112"/>
    </w:p>
    <w:p w14:paraId="55402395">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13" w:name="_Ref208261378"/>
      <w:r>
        <w:rPr>
          <w:rFonts w:ascii="Times New Roman" w:hAnsi="Times New Roman" w:cs="Times New Roman"/>
          <w:color w:val="000000" w:themeColor="text1"/>
          <w:sz w:val="28"/>
          <w:szCs w:val="28"/>
          <w:lang w:val="uk-UA"/>
          <w14:textFill>
            <w14:solidFill>
              <w14:schemeClr w14:val="tx1"/>
            </w14:solidFill>
          </w14:textFill>
        </w:rPr>
        <w:t>Milliken J. The Study of Discourse in International Relations: A Critique of Research and Methods // European Journal of International Relations. 1999. Vol. 5, No. 2. P. 225-254. DOI: 10.1177/1354066199005002003</w:t>
      </w:r>
      <w:bookmarkEnd w:id="113"/>
    </w:p>
    <w:p w14:paraId="18A1FFCC">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14" w:name="_Ref208765154"/>
      <w:r>
        <w:rPr>
          <w:rFonts w:ascii="Times New Roman" w:hAnsi="Times New Roman" w:cs="Times New Roman"/>
          <w:color w:val="000000" w:themeColor="text1"/>
          <w:sz w:val="28"/>
          <w:szCs w:val="28"/>
          <w:lang w:val="uk-UA"/>
          <w14:textFill>
            <w14:solidFill>
              <w14:schemeClr w14:val="tx1"/>
            </w14:solidFill>
          </w14:textFill>
        </w:rPr>
        <w:t xml:space="preserve">Muchnik A.Howard Amos’ ‘Russia Starts Here’ Shortlisted for Pushkin House Book Prize 2025. The Moscow Times. 2025.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xml:space="preserve">: </w:t>
      </w:r>
      <w:r>
        <w:fldChar w:fldCharType="begin"/>
      </w:r>
      <w:r>
        <w:instrText xml:space="preserve"> HYPERLINK "https://www.themoscowtimes.com/2025/04/27/howard-amos-russia-starts-here-shortlisted-for-pushkin-house-book-prize-2025-a88340"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https://www.themoscowtimes.com/2025/04/27/howard-amos-russia-starts-here-shortlisted-for-pushkin-house-book-prize-2025-a88340</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114"/>
    </w:p>
    <w:p w14:paraId="19DEE178">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15" w:name="_Ref211370497"/>
      <w:r>
        <w:rPr>
          <w:rFonts w:ascii="Times New Roman" w:hAnsi="Times New Roman" w:cs="Times New Roman"/>
          <w:color w:val="000000" w:themeColor="text1"/>
          <w:sz w:val="28"/>
          <w:szCs w:val="28"/>
          <w:lang w:val="uk-UA"/>
          <w14:textFill>
            <w14:solidFill>
              <w14:schemeClr w14:val="tx1"/>
            </w14:solidFill>
          </w14:textFill>
        </w:rPr>
        <w:t>Mullins L. Russia and the Baltics Since the Restoration of Independence // Baltic Security Foundation. 2025. URL: https://balticsecurity.eu/russia_and_the_baltics/.</w:t>
      </w:r>
      <w:bookmarkEnd w:id="115"/>
    </w:p>
    <w:p w14:paraId="167C8074">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pP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NATO’s military presence in the east of the Alliance. NATO</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 xml:space="preserve">. 2025.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URL</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 xml:space="preserve">: </w:t>
      </w:r>
      <w:r>
        <w:fldChar w:fldCharType="begin"/>
      </w:r>
      <w:r>
        <w:instrText xml:space="preserve"> HYPERLINK "https://www.nato.int/cps/en/natohq/topics_136388.htm"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www</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nato</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int</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cps</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en</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natohq</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topics</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_136388.</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htm</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p>
    <w:p w14:paraId="41589D09">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16" w:name="_Ref208261441"/>
      <w:r>
        <w:rPr>
          <w:rFonts w:ascii="Times New Roman" w:hAnsi="Times New Roman" w:cs="Times New Roman"/>
          <w:color w:val="000000" w:themeColor="text1"/>
          <w:sz w:val="28"/>
          <w:szCs w:val="28"/>
          <w:lang w:val="uk-UA"/>
          <w14:textFill>
            <w14:solidFill>
              <w14:schemeClr w14:val="tx1"/>
            </w14:solidFill>
          </w14:textFill>
        </w:rPr>
        <w:t>Nikitina Y. Russia and the Baltic states: problematizing the Soviet legacy discourse. Nationalities Papers. 2014. №42(1). Р. 1-7. doi:10.1080/00905992.2013.867937</w:t>
      </w:r>
      <w:bookmarkEnd w:id="116"/>
    </w:p>
    <w:p w14:paraId="7F8D3343">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17" w:name="_Ref208334738"/>
      <w:r>
        <w:rPr>
          <w:rFonts w:ascii="Times New Roman" w:hAnsi="Times New Roman" w:cs="Times New Roman"/>
          <w:color w:val="000000" w:themeColor="text1"/>
          <w:sz w:val="28"/>
          <w:szCs w:val="28"/>
          <w:lang w:val="uk-UA"/>
          <w14:textFill>
            <w14:solidFill>
              <w14:schemeClr w14:val="tx1"/>
            </w14:solidFill>
          </w14:textFill>
        </w:rPr>
        <w:t>Niu K., Sun M. A Systematic Review on Post-Cold War Eastern European Patterns Led by Constructivism. Journal of Education, Humanities and Social Sciences. 2022. №1, Р. 259-265.</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https://doi.org/10.54097/ehss.v1i.670</w:t>
      </w:r>
      <w:bookmarkEnd w:id="117"/>
    </w:p>
    <w:p w14:paraId="66F49F1A">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18" w:name="_Ref211370375"/>
      <w:r>
        <w:rPr>
          <w:rFonts w:ascii="Times New Roman" w:hAnsi="Times New Roman" w:cs="Times New Roman"/>
          <w:color w:val="000000" w:themeColor="text1"/>
          <w:sz w:val="28"/>
          <w:szCs w:val="28"/>
          <w:lang w:val="uk-UA"/>
          <w14:textFill>
            <w14:solidFill>
              <w14:schemeClr w14:val="tx1"/>
            </w14:solidFill>
          </w14:textFill>
        </w:rPr>
        <w:t xml:space="preserve">Petrovska O., Shaping National Identities of Latvia and Estonia by Russian soft power: Change in Security Strategies after the First and Second Ukrainian Crises in 2014 and 2022. 2023.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http://dx.doi.org/10.2139/ssrn.5030214.</w:t>
      </w:r>
      <w:bookmarkEnd w:id="118"/>
    </w:p>
    <w:p w14:paraId="51889BC2">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19" w:name="_Ref208333438"/>
      <w:r>
        <w:rPr>
          <w:rFonts w:ascii="Times New Roman" w:hAnsi="Times New Roman" w:cs="Times New Roman"/>
          <w:color w:val="000000" w:themeColor="text1"/>
          <w:sz w:val="28"/>
          <w:szCs w:val="28"/>
          <w:lang w:val="uk-UA"/>
          <w14:textFill>
            <w14:solidFill>
              <w14:schemeClr w14:val="tx1"/>
            </w14:solidFill>
          </w14:textFill>
        </w:rPr>
        <w:t xml:space="preserve">Pipes R. The Formation of the Soviet Union: Communism and Nationalism, 1917–1923. Cambridge : Harvard University Press, 1964. 365 р. URL: </w:t>
      </w:r>
      <w:r>
        <w:fldChar w:fldCharType="begin"/>
      </w:r>
      <w:r>
        <w:instrText xml:space="preserve"> HYPERLINK "https://archive.org/details/formationofsovie0000pipe/page/n3/mode/2up"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https://archive.org/details/formationofsovie0000pipe/page/n3/mode/2up</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119"/>
    </w:p>
    <w:p w14:paraId="00CC503A">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20" w:name="_Ref208261164"/>
      <w:r>
        <w:rPr>
          <w:rFonts w:ascii="Times New Roman" w:hAnsi="Times New Roman" w:cs="Times New Roman"/>
          <w:color w:val="000000" w:themeColor="text1"/>
          <w:sz w:val="28"/>
          <w:szCs w:val="28"/>
          <w:lang w:val="uk-UA"/>
          <w14:textFill>
            <w14:solidFill>
              <w14:schemeClr w14:val="tx1"/>
            </w14:solidFill>
          </w14:textFill>
        </w:rPr>
        <w:t xml:space="preserve">Pravatorau, D. From “Soviet West” to “Western East:” Russia’s reimagination of Baltic “Westernness” in a post-2004 geopolitical reality. Journal of Baltic Studies. 2024. №55(1). Р. 25–45. </w:t>
      </w:r>
      <w:r>
        <w:fldChar w:fldCharType="begin"/>
      </w:r>
      <w:r>
        <w:instrText xml:space="preserve"> HYPERLINK "https://doi.org/10.1080/01629778.2023.2203126"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https://doi.org/10.1080/01629778.2023.2203126</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120"/>
    </w:p>
    <w:p w14:paraId="392E6004">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21" w:name="_Ref208260904"/>
      <w:r>
        <w:rPr>
          <w:rFonts w:ascii="Times New Roman" w:hAnsi="Times New Roman" w:cs="Times New Roman"/>
          <w:color w:val="000000" w:themeColor="text1"/>
          <w:sz w:val="28"/>
          <w:szCs w:val="28"/>
          <w:lang w:val="uk-UA"/>
          <w14:textFill>
            <w14:solidFill>
              <w14:schemeClr w14:val="tx1"/>
            </w14:solidFill>
          </w14:textFill>
        </w:rPr>
        <w:t>Rajchman J. The Deleuze Connections. Cambridge : MIT Press, 2000. 167 p.</w:t>
      </w:r>
      <w:bookmarkEnd w:id="121"/>
    </w:p>
    <w:p w14:paraId="432653F8">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22" w:name="_Ref208775509"/>
      <w:r>
        <w:rPr>
          <w:rFonts w:ascii="Times New Roman" w:hAnsi="Times New Roman" w:cs="Times New Roman"/>
          <w:color w:val="000000" w:themeColor="text1"/>
          <w:sz w:val="28"/>
          <w:szCs w:val="28"/>
          <w:lang w:val="uk-UA"/>
          <w14:textFill>
            <w14:solidFill>
              <w14:schemeClr w14:val="tx1"/>
            </w14:solidFill>
          </w14:textFill>
        </w:rPr>
        <w:t>Russia Targets Russian Speakers in Baltic Countries Through Social Media. Global Influence Operations Report. 2025. URL: https://www.global-influence-ops.com/russia-targets-russian-speakers-baltic-countries/</w:t>
      </w:r>
      <w:bookmarkEnd w:id="122"/>
      <w:r>
        <w:rPr>
          <w:rFonts w:ascii="Times New Roman" w:hAnsi="Times New Roman" w:cs="Times New Roman"/>
          <w:color w:val="000000" w:themeColor="text1"/>
          <w:sz w:val="28"/>
          <w:szCs w:val="28"/>
          <w:lang w:val="uk-UA"/>
          <w14:textFill>
            <w14:solidFill>
              <w14:schemeClr w14:val="tx1"/>
            </w14:solidFill>
          </w14:textFill>
        </w:rPr>
        <w:t xml:space="preserve"> </w:t>
      </w:r>
    </w:p>
    <w:p w14:paraId="30702038">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23" w:name="_Ref208776788"/>
      <w:r>
        <w:rPr>
          <w:rFonts w:ascii="Times New Roman" w:hAnsi="Times New Roman" w:cs="Times New Roman"/>
          <w:color w:val="000000" w:themeColor="text1"/>
          <w:sz w:val="28"/>
          <w:szCs w:val="28"/>
          <w:lang w:val="uk-UA"/>
          <w14:textFill>
            <w14:solidFill>
              <w14:schemeClr w14:val="tx1"/>
            </w14:solidFill>
          </w14:textFill>
        </w:rPr>
        <w:t>Russia’s hybrid threat tactics against the Baltic Sea region. Hybrid CoE. 2024. 20 с. URL: https://www.hybridcoe.fi/wp-content/uploads/2024/05/20240530-Hybrid-CoE-Working-Paper-32-Russias-hybrid-threat-tactics-WEB.pdf</w:t>
      </w:r>
      <w:bookmarkEnd w:id="123"/>
    </w:p>
    <w:p w14:paraId="5890D6FD">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24" w:name="_Ref211364460"/>
      <w:r>
        <w:rPr>
          <w:rFonts w:ascii="Times New Roman" w:hAnsi="Times New Roman" w:cs="Times New Roman"/>
          <w:color w:val="000000" w:themeColor="text1"/>
          <w:sz w:val="28"/>
          <w:szCs w:val="28"/>
          <w:lang w:val="uk-UA"/>
          <w14:textFill>
            <w14:solidFill>
              <w14:schemeClr w14:val="tx1"/>
            </w14:solidFill>
          </w14:textFill>
        </w:rPr>
        <w:t>Russkiy Mir as the Kremlin’s quasi-ideology. UA Crisis Media Center. URL: https://uacrisis.org/en/russkiy-mir-as-the-kremlin-s-quasi-ideology</w:t>
      </w:r>
      <w:bookmarkEnd w:id="124"/>
    </w:p>
    <w:p w14:paraId="47948F29">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25" w:name="_Ref208260908"/>
      <w:r>
        <w:rPr>
          <w:rFonts w:ascii="Times New Roman" w:hAnsi="Times New Roman" w:cs="Times New Roman"/>
          <w:color w:val="000000" w:themeColor="text1"/>
          <w:sz w:val="28"/>
          <w:szCs w:val="28"/>
          <w:lang w:val="uk-UA"/>
          <w14:textFill>
            <w14:solidFill>
              <w14:schemeClr w14:val="tx1"/>
            </w14:solidFill>
          </w14:textFill>
        </w:rPr>
        <w:t>Said E. Orientalism / Edward W. Said. New York : Vintage Books, 1979. 368 p. URL: https://archive.org/details/orientalism00said</w:t>
      </w:r>
      <w:bookmarkEnd w:id="125"/>
    </w:p>
    <w:p w14:paraId="2944FD4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r>
        <w:t xml:space="preserve"> </w:t>
      </w:r>
      <w:r>
        <w:rPr>
          <w:rFonts w:ascii="Times New Roman" w:hAnsi="Times New Roman" w:cs="Times New Roman"/>
          <w:color w:val="000000" w:themeColor="text1"/>
          <w:sz w:val="28"/>
          <w:szCs w:val="28"/>
          <w:lang w:val="uk-UA"/>
          <w14:textFill>
            <w14:solidFill>
              <w14:schemeClr w14:val="tx1"/>
            </w14:solidFill>
          </w14:textFill>
        </w:rPr>
        <w:t>Sasse G. The politics of EU conditionality: the norm of minority protection during and beyond EU accession. Journal of European Public Policy. 2008. № 15(6). Р. 842–860. https://doi.org/10.1080/13501760802196580</w:t>
      </w:r>
    </w:p>
    <w:p w14:paraId="56B5370D">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26" w:name="_Ref208763353"/>
      <w:r>
        <w:rPr>
          <w:rFonts w:ascii="Times New Roman" w:hAnsi="Times New Roman" w:cs="Times New Roman"/>
          <w:color w:val="000000" w:themeColor="text1"/>
          <w:sz w:val="28"/>
          <w:szCs w:val="28"/>
          <w:lang w:val="uk-UA"/>
          <w14:textFill>
            <w14:solidFill>
              <w14:schemeClr w14:val="tx1"/>
            </w14:solidFill>
          </w14:textFill>
        </w:rPr>
        <w:t>Schmitz R. Latvia plans to destroy a Soviet-era monument, riling its ethnic Russian minority. NPR. 2022. URL:</w:t>
      </w:r>
      <w:bookmarkEnd w:id="126"/>
      <w:r>
        <w:rPr>
          <w:rFonts w:ascii="Times New Roman" w:hAnsi="Times New Roman" w:cs="Times New Roman"/>
          <w:color w:val="000000" w:themeColor="text1"/>
          <w:sz w:val="28"/>
          <w:szCs w:val="28"/>
          <w:lang w:val="uk-UA"/>
          <w14:textFill>
            <w14:solidFill>
              <w14:schemeClr w14:val="tx1"/>
            </w14:solidFill>
          </w14:textFill>
        </w:rPr>
        <w:t xml:space="preserve"> https://www.npr.org/2022/08/18/1118094358/latvia-russia-soviet-victory-monument</w:t>
      </w:r>
    </w:p>
    <w:p w14:paraId="010DD8A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27" w:name="_Ref211370357"/>
      <w:r>
        <w:rPr>
          <w:rFonts w:ascii="Times New Roman" w:hAnsi="Times New Roman" w:cs="Times New Roman"/>
          <w:color w:val="000000" w:themeColor="text1"/>
          <w:sz w:val="28"/>
          <w:szCs w:val="28"/>
          <w:lang w:val="uk-UA"/>
          <w14:textFill>
            <w14:solidFill>
              <w14:schemeClr w14:val="tx1"/>
            </w14:solidFill>
          </w14:textFill>
        </w:rPr>
        <w:t>Schulze JL, Pupcenoks J. Securitizing Russian-speakers in Estonia and Latvia: The Frame-Policy Nexus before and after Russia’s Invasion of Ukraine// Nationalities Papers. 2025. Vol. 53, №5. С. 1035-1059.  doi:10.1017/nps.2024.97</w:t>
      </w:r>
      <w:bookmarkEnd w:id="127"/>
    </w:p>
    <w:p w14:paraId="0B3D1380">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28" w:name="_Ref211370827"/>
      <w:r>
        <w:rPr>
          <w:rFonts w:ascii="Times New Roman" w:hAnsi="Times New Roman" w:cs="Times New Roman"/>
          <w:color w:val="000000" w:themeColor="text1"/>
          <w:sz w:val="28"/>
          <w:szCs w:val="28"/>
          <w:lang w:val="uk-UA"/>
          <w14:textFill>
            <w14:solidFill>
              <w14:schemeClr w14:val="tx1"/>
            </w14:solidFill>
          </w14:textFill>
        </w:rPr>
        <w:t>Security Radar 2025: Latvia // FES Baltic States. 2025. 20 с. URL: https://baltic.fes.de/topics/foreign-security-and-defence-policy/security-radar-2025-latvia.html.</w:t>
      </w:r>
      <w:bookmarkEnd w:id="128"/>
    </w:p>
    <w:p w14:paraId="4121DC02">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pPr>
      <w:bookmarkStart w:id="129" w:name="_Ref208778847"/>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Selga Ē. A Baltic Backstop for Russian Blight. Center for European Policy Analysis. </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 xml:space="preserve">2025. </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URL</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 xml:space="preserve">: </w:t>
      </w:r>
      <w:r>
        <w:fldChar w:fldCharType="begin"/>
      </w:r>
      <w:r>
        <w:instrText xml:space="preserve"> HYPERLINK "https://cepa.org/article/a-baltic-backstop-for-russian-blight/"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cepa</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org</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article</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a</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baltic</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backstop</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for</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russian</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blight</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t>/</w:t>
      </w:r>
      <w:r>
        <w:rPr>
          <w:rFonts w:ascii="Times New Roman" w:hAnsi="Times New Roman" w:eastAsia="Times New Roman" w:cs="Times New Roman"/>
          <w:color w:val="000000" w:themeColor="text1"/>
          <w:kern w:val="0"/>
          <w:sz w:val="28"/>
          <w:szCs w:val="28"/>
          <w:lang w:val="ru-RU"/>
          <w14:textFill>
            <w14:solidFill>
              <w14:schemeClr w14:val="tx1"/>
            </w14:solidFill>
          </w14:textFill>
          <w14:ligatures w14:val="none"/>
        </w:rPr>
        <w:fldChar w:fldCharType="end"/>
      </w:r>
      <w:bookmarkEnd w:id="129"/>
    </w:p>
    <w:p w14:paraId="4B021B25">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30" w:name="_Ref208334257"/>
      <w:r>
        <w:rPr>
          <w:rFonts w:ascii="Times New Roman" w:hAnsi="Times New Roman" w:cs="Times New Roman"/>
          <w:color w:val="000000" w:themeColor="text1"/>
          <w:sz w:val="28"/>
          <w:szCs w:val="28"/>
          <w:lang w:val="uk-UA"/>
          <w14:textFill>
            <w14:solidFill>
              <w14:schemeClr w14:val="tx1"/>
            </w14:solidFill>
          </w14:textFill>
        </w:rPr>
        <w:t>Sergunin A., Karabeshkin L. Russian Soft Power in the Baltic Region: Neoliberal Frameworks and Cultural Initiatives. Journal of Baltic Studies. 2016. Vol. 47, № 4. P. 567–589. URL: https://trace.tennessee.edu/cgi/viewcontent.cgi?article=1319&amp;context=pursuit</w:t>
      </w:r>
      <w:bookmarkEnd w:id="130"/>
    </w:p>
    <w:p w14:paraId="2AD83781">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31" w:name="_Ref208260919"/>
      <w:r>
        <w:rPr>
          <w:rFonts w:ascii="Times New Roman" w:hAnsi="Times New Roman" w:cs="Times New Roman"/>
          <w:color w:val="000000" w:themeColor="text1"/>
          <w:sz w:val="28"/>
          <w:szCs w:val="28"/>
          <w:lang w:val="uk-UA"/>
          <w14:textFill>
            <w14:solidFill>
              <w14:schemeClr w14:val="tx1"/>
            </w14:solidFill>
          </w14:textFill>
        </w:rPr>
        <w:t>Shapiro M. Language and Political Understanding: The Politics of Discursive Practices / Michael J. Shapiro. New Haven : Yale University Press, 1981. 253 p.</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 xml:space="preserve">URL: </w:t>
      </w:r>
      <w:r>
        <w:fldChar w:fldCharType="begin"/>
      </w:r>
      <w:r>
        <w:instrText xml:space="preserve"> HYPERLINK "https://archive.org/details/languagepolitica0000shap"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https://archive.org/details/languagepolitica0000shap</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131"/>
    </w:p>
    <w:p w14:paraId="43D61A44">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32" w:name="_Ref211370823"/>
      <w:r>
        <w:rPr>
          <w:rFonts w:ascii="Times New Roman" w:hAnsi="Times New Roman" w:cs="Times New Roman"/>
          <w:color w:val="000000" w:themeColor="text1"/>
          <w:sz w:val="28"/>
          <w:szCs w:val="28"/>
          <w:lang w:val="uk-UA"/>
          <w14:textFill>
            <w14:solidFill>
              <w14:schemeClr w14:val="tx1"/>
            </w14:solidFill>
          </w14:textFill>
        </w:rPr>
        <w:t>Shiraev E., Mölder H. Decoding Vladimir Putin’s Baltic Strategy // The National Interest. 2025. URL: https://nationalinterest.org/feature/decoding-vladimir-putins-baltic-strategy.</w:t>
      </w:r>
      <w:bookmarkEnd w:id="132"/>
    </w:p>
    <w:p w14:paraId="07BA8AB5">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SHKOLNIKOVA S. ‘Historical opportunity’ Baltic nations seek to purge Russian influence in wake of Ukraine war. Stars and Stripes. 2023. URL: </w:t>
      </w:r>
      <w:r>
        <w:fldChar w:fldCharType="begin"/>
      </w:r>
      <w:r>
        <w:instrText xml:space="preserve"> HYPERLINK "https://www.stripes.com/theaters/europe/2023-11-30/latvia-baltics-ukraine-war-russians-12204237.html"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https://www.stripes.com/theaters/europe/2023-11-30/latvia-baltics-ukraine-war-russians-12204237.html</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p>
    <w:p w14:paraId="1A67F9BA">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bookmarkStart w:id="133" w:name="_Ref208779793"/>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Sköld M. Trends in Baltic Sea collaboration amid geopolitical tension. Stockholm Environment Institute. 2025. URL: </w:t>
      </w:r>
      <w:r>
        <w:fldChar w:fldCharType="begin"/>
      </w:r>
      <w:r>
        <w:instrText xml:space="preserve"> HYPERLINK "https://www.sei.org/features/baltic-sea-collaboration-geopolitics/"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https://www.sei.org/features/baltic-sea-collaboration-geopolitics/</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bookmarkEnd w:id="133"/>
    </w:p>
    <w:p w14:paraId="21E42259">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34" w:name="_Ref211370843"/>
      <w:r>
        <w:rPr>
          <w:rFonts w:ascii="Times New Roman" w:hAnsi="Times New Roman" w:cs="Times New Roman"/>
          <w:color w:val="000000" w:themeColor="text1"/>
          <w:sz w:val="28"/>
          <w:szCs w:val="28"/>
          <w:lang w:val="uk-UA"/>
          <w14:textFill>
            <w14:solidFill>
              <w14:schemeClr w14:val="tx1"/>
            </w14:solidFill>
          </w14:textFill>
        </w:rPr>
        <w:t>Smith D. J. Secure in Diversity? Transborder Ethnicity, Transnational Minority Activism, and Ontological (In)Security in the European Union, Journal of Global Security Studies. 2025. Vol. 10, № 1. ogae033, https://doi.org/10.1093/jogss/ogae033.</w:t>
      </w:r>
      <w:bookmarkEnd w:id="134"/>
    </w:p>
    <w:p w14:paraId="480678A3">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35" w:name="_Ref208333612"/>
      <w:r>
        <w:rPr>
          <w:rFonts w:ascii="Times New Roman" w:hAnsi="Times New Roman" w:cs="Times New Roman"/>
          <w:color w:val="000000" w:themeColor="text1"/>
          <w:sz w:val="28"/>
          <w:szCs w:val="28"/>
          <w:lang w:val="uk-UA"/>
          <w14:textFill>
            <w14:solidFill>
              <w14:schemeClr w14:val="tx1"/>
            </w14:solidFill>
          </w14:textFill>
        </w:rPr>
        <w:t>Sneter A. Gender, War and Memory: The Baltic States and Ukraine // Association for the Advancement of Baltic Studies. 2024. URL: https://aabs-balticstudies.org/2024/09/16/webinar-gender-war-and-memory-the-baltic-states-and-ukraine/</w:t>
      </w:r>
      <w:bookmarkEnd w:id="135"/>
    </w:p>
    <w:p w14:paraId="3B4EE9EB">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36" w:name="_Ref208260911"/>
      <w:r>
        <w:rPr>
          <w:rFonts w:ascii="Times New Roman" w:hAnsi="Times New Roman" w:cs="Times New Roman"/>
          <w:color w:val="000000" w:themeColor="text1"/>
          <w:sz w:val="28"/>
          <w:szCs w:val="28"/>
          <w:lang w:val="uk-UA"/>
          <w14:textFill>
            <w14:solidFill>
              <w14:schemeClr w14:val="tx1"/>
            </w14:solidFill>
          </w14:textFill>
        </w:rPr>
        <w:t>Spivak G. C. Can the Subaltern Speak? In C. Nelson, &amp; L. Grossberg (Eds.), Marxism and the Interpretation of Culture. Urbana/Chicago: University of Illinois Press. 1988. P. 271-313.</w:t>
      </w:r>
      <w:bookmarkEnd w:id="136"/>
    </w:p>
    <w:p w14:paraId="5D70BB01">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37" w:name="_Ref208764937"/>
      <w:r>
        <w:rPr>
          <w:rFonts w:ascii="Times New Roman" w:hAnsi="Times New Roman" w:cs="Times New Roman"/>
          <w:color w:val="000000" w:themeColor="text1"/>
          <w:sz w:val="28"/>
          <w:szCs w:val="28"/>
          <w:lang w:val="uk-UA"/>
          <w14:textFill>
            <w14:solidFill>
              <w14:schemeClr w14:val="tx1"/>
            </w14:solidFill>
          </w14:textFill>
        </w:rPr>
        <w:t xml:space="preserve">Tambur S., Hankewitz S. Estonia marks the anniversary of the Tartu Peace Treaty. Estonian World. 2015.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w:t>
      </w:r>
      <w:r>
        <w:rPr>
          <w:rFonts w:ascii="Times New Roman" w:hAnsi="Times New Roman" w:cs="Times New Roman"/>
          <w:color w:val="000000" w:themeColor="text1"/>
          <w:sz w:val="28"/>
          <w:szCs w:val="28"/>
          <w14:textFill>
            <w14:solidFill>
              <w14:schemeClr w14:val="tx1"/>
            </w14:solidFill>
          </w14:textFill>
        </w:rPr>
        <w:t xml:space="preserve"> </w:t>
      </w:r>
      <w:r>
        <w:fldChar w:fldCharType="begin"/>
      </w:r>
      <w:r>
        <w:instrText xml:space="preserve"> HYPERLINK "https://estonianworld.com/security/estonia-marks-the-anniversary-of-the-tartu-peace-treaty/"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https://estonianworld.com/security/estonia-marks-the-anniversary-of-the-tartu-peace-treaty/</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137"/>
    </w:p>
    <w:p w14:paraId="48C2FF03">
      <w:pPr>
        <w:numPr>
          <w:ilvl w:val="0"/>
          <w:numId w:val="1"/>
        </w:numPr>
        <w:spacing w:after="0" w:line="360" w:lineRule="auto"/>
        <w:ind w:left="363" w:leftChars="0" w:hanging="363" w:firstLineChars="0"/>
        <w:jc w:val="both"/>
        <w:rPr>
          <w:rFonts w:ascii="Times New Roman" w:hAnsi="Times New Roman" w:eastAsia="Times New Roman" w:cs="Times New Roman"/>
          <w:color w:val="000000" w:themeColor="text1"/>
          <w:kern w:val="0"/>
          <w:sz w:val="28"/>
          <w:szCs w:val="28"/>
          <w14:textFill>
            <w14:solidFill>
              <w14:schemeClr w14:val="tx1"/>
            </w14:solidFill>
          </w14:textFill>
          <w14:ligatures w14:val="none"/>
        </w:rPr>
      </w:pPr>
      <w:bookmarkStart w:id="138" w:name="_Ref208777885"/>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 xml:space="preserve">The Defense.info Analysis Team. Russian Geopolitical Challenges: The Economic Relationship with the Baltic States. Defense.info. 2025. URL: </w:t>
      </w:r>
      <w:r>
        <w:fldChar w:fldCharType="begin"/>
      </w:r>
      <w:r>
        <w:instrText xml:space="preserve"> HYPERLINK "https://defense.info/global-dynamics/2025/08/russian-geopolitical-challenges-the-economic-relationship-with-the-baltic-states/" \t "_blank" </w:instrText>
      </w:r>
      <w:r>
        <w:fldChar w:fldCharType="separate"/>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t>https://defense.info/global-dynamics/2025/08/russian-geopolitical-challenges-the-economic-relationship-with-the-baltic-states/</w:t>
      </w:r>
      <w:r>
        <w:rPr>
          <w:rFonts w:ascii="Times New Roman" w:hAnsi="Times New Roman" w:eastAsia="Times New Roman" w:cs="Times New Roman"/>
          <w:color w:val="000000" w:themeColor="text1"/>
          <w:kern w:val="0"/>
          <w:sz w:val="28"/>
          <w:szCs w:val="28"/>
          <w14:textFill>
            <w14:solidFill>
              <w14:schemeClr w14:val="tx1"/>
            </w14:solidFill>
          </w14:textFill>
          <w14:ligatures w14:val="none"/>
        </w:rPr>
        <w:fldChar w:fldCharType="end"/>
      </w:r>
      <w:bookmarkEnd w:id="138"/>
    </w:p>
    <w:p w14:paraId="415107A2">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39" w:name="_Ref208333342"/>
      <w:r>
        <w:rPr>
          <w:rFonts w:ascii="Times New Roman" w:hAnsi="Times New Roman" w:cs="Times New Roman"/>
          <w:color w:val="000000" w:themeColor="text1"/>
          <w:sz w:val="28"/>
          <w:szCs w:val="28"/>
          <w:lang w:val="uk-UA"/>
          <w14:textFill>
            <w14:solidFill>
              <w14:schemeClr w14:val="tx1"/>
            </w14:solidFill>
          </w14:textFill>
        </w:rPr>
        <w:t>Tsygankov A. P. Russian Realism: Defending ‘Derzhava’ in International Relations. London. Routledge, 2022. 184 р. https://doi.org/10.4324/9781003247647</w:t>
      </w:r>
      <w:bookmarkEnd w:id="139"/>
      <w:r>
        <w:rPr>
          <w:rFonts w:ascii="Times New Roman" w:hAnsi="Times New Roman" w:cs="Times New Roman"/>
          <w:color w:val="000000" w:themeColor="text1"/>
          <w:sz w:val="28"/>
          <w:szCs w:val="28"/>
          <w:lang w:val="uk-UA"/>
          <w14:textFill>
            <w14:solidFill>
              <w14:schemeClr w14:val="tx1"/>
            </w14:solidFill>
          </w14:textFill>
        </w:rPr>
        <w:t xml:space="preserve"> </w:t>
      </w:r>
    </w:p>
    <w:p w14:paraId="5C9EA266">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40" w:name="_Ref208765261"/>
      <w:r>
        <w:rPr>
          <w:rFonts w:ascii="Times New Roman" w:hAnsi="Times New Roman" w:cs="Times New Roman"/>
          <w:color w:val="000000" w:themeColor="text1"/>
          <w:sz w:val="28"/>
          <w:szCs w:val="28"/>
          <w:lang w:val="uk-UA"/>
          <w14:textFill>
            <w14:solidFill>
              <w14:schemeClr w14:val="tx1"/>
            </w14:solidFill>
          </w14:textFill>
        </w:rPr>
        <w:t xml:space="preserve">Ventsel A., Hansson S., Madisson, M.-L., Sazonov V. Discourse of fear in strategic narratives: The case of Russia’s Zapad war games. Media, War &amp; Conflict. 2019. № 14(1). Р. 21-39. </w:t>
      </w:r>
      <w:r>
        <w:fldChar w:fldCharType="begin"/>
      </w:r>
      <w:r>
        <w:instrText xml:space="preserve"> HYPERLINK "https://doi.org/10.1177/1750635219856552"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https://doi.org/10.1177/1750635219856552</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140"/>
      <w:r>
        <w:rPr>
          <w:rFonts w:ascii="Times New Roman" w:hAnsi="Times New Roman" w:cs="Times New Roman"/>
          <w:color w:val="000000" w:themeColor="text1"/>
          <w:sz w:val="28"/>
          <w:szCs w:val="28"/>
          <w:lang w:val="uk-UA"/>
          <w14:textFill>
            <w14:solidFill>
              <w14:schemeClr w14:val="tx1"/>
            </w14:solidFill>
          </w14:textFill>
        </w:rPr>
        <w:t xml:space="preserve"> </w:t>
      </w:r>
    </w:p>
    <w:p w14:paraId="4CC90702">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r>
        <w:rPr>
          <w:rFonts w:ascii="Times New Roman" w:hAnsi="Times New Roman" w:cs="Times New Roman"/>
          <w:color w:val="000000" w:themeColor="text1"/>
          <w:sz w:val="28"/>
          <w:szCs w:val="28"/>
          <w:lang w:val="uk-UA"/>
          <w14:textFill>
            <w14:solidFill>
              <w14:schemeClr w14:val="tx1"/>
            </w14:solidFill>
          </w14:textFill>
        </w:rPr>
        <w:t xml:space="preserve"> </w:t>
      </w:r>
      <w:bookmarkStart w:id="141" w:name="_Ref208765611"/>
      <w:r>
        <w:rPr>
          <w:rFonts w:ascii="Times New Roman" w:hAnsi="Times New Roman" w:cs="Times New Roman"/>
          <w:color w:val="000000" w:themeColor="text1"/>
          <w:sz w:val="28"/>
          <w:szCs w:val="28"/>
          <w:lang w:val="uk-UA"/>
          <w14:textFill>
            <w14:solidFill>
              <w14:schemeClr w14:val="tx1"/>
            </w14:solidFill>
          </w14:textFill>
        </w:rPr>
        <w:t xml:space="preserve">Vincent </w:t>
      </w:r>
      <w:r>
        <w:rPr>
          <w:rFonts w:ascii="Times New Roman" w:hAnsi="Times New Roman" w:cs="Times New Roman"/>
          <w:color w:val="000000" w:themeColor="text1"/>
          <w:sz w:val="28"/>
          <w:szCs w:val="28"/>
          <w14:textFill>
            <w14:solidFill>
              <w14:schemeClr w14:val="tx1"/>
            </w14:solidFill>
          </w14:textFill>
        </w:rPr>
        <w:t>J</w:t>
      </w:r>
      <w:r>
        <w:rPr>
          <w:rFonts w:ascii="Times New Roman" w:hAnsi="Times New Roman" w:cs="Times New Roman"/>
          <w:color w:val="000000" w:themeColor="text1"/>
          <w:sz w:val="28"/>
          <w:szCs w:val="28"/>
          <w:lang w:val="uk-UA"/>
          <w14:textFill>
            <w14:solidFill>
              <w14:schemeClr w14:val="tx1"/>
            </w14:solidFill>
          </w14:textFill>
        </w:rPr>
        <w:t>. ‘Deepfake’ that supposedly fooled European politicians was just a look-alike, say pranksters</w:t>
      </w:r>
      <w:bookmarkEnd w:id="141"/>
      <w:r>
        <w:rPr>
          <w:rFonts w:ascii="Times New Roman" w:hAnsi="Times New Roman" w:cs="Times New Roman"/>
          <w:color w:val="000000" w:themeColor="text1"/>
          <w:sz w:val="28"/>
          <w:szCs w:val="28"/>
          <w:lang w:val="uk-UA"/>
          <w14:textFill>
            <w14:solidFill>
              <w14:schemeClr w14:val="tx1"/>
            </w14:solidFill>
          </w14:textFill>
        </w:rPr>
        <w:t xml:space="preserve">. The Verge. 2021.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xml:space="preserve">: </w:t>
      </w:r>
      <w:r>
        <w:fldChar w:fldCharType="begin"/>
      </w:r>
      <w:r>
        <w:instrText xml:space="preserve"> HYPERLINK "https://www.theverge.com/2021/4/30/22407264/deepfake-european-polticians-leonid-volkov-vovan-lexus"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https://www.theverge.com/2021/4/30/22407264/deepfake-european-polticians-leonid-volkov-vovan-lexus</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p>
    <w:p w14:paraId="571EBD67">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42" w:name="_Ref208762064"/>
      <w:r>
        <w:rPr>
          <w:rFonts w:ascii="Times New Roman" w:hAnsi="Times New Roman" w:cs="Times New Roman"/>
          <w:color w:val="000000" w:themeColor="text1"/>
          <w:sz w:val="28"/>
          <w:szCs w:val="28"/>
          <w:lang w:val="uk-UA"/>
          <w14:textFill>
            <w14:solidFill>
              <w14:schemeClr w14:val="tx1"/>
            </w14:solidFill>
          </w14:textFill>
        </w:rPr>
        <w:t>Vladimir Putin: The Real Lessons of the 75th Anniversary of World War II. The National Interest</w:t>
      </w:r>
      <w:r>
        <w:rPr>
          <w:rFonts w:ascii="Times New Roman" w:hAnsi="Times New Roman" w:cs="Times New Roman"/>
          <w:color w:val="000000" w:themeColor="text1"/>
          <w:sz w:val="28"/>
          <w:szCs w:val="28"/>
          <w14:textFill>
            <w14:solidFill>
              <w14:schemeClr w14:val="tx1"/>
            </w14:solidFill>
          </w14:textFill>
        </w:rPr>
        <w:t xml:space="preserve">. </w:t>
      </w:r>
      <w:r>
        <w:rPr>
          <w:rFonts w:ascii="Times New Roman" w:hAnsi="Times New Roman" w:cs="Times New Roman"/>
          <w:color w:val="000000" w:themeColor="text1"/>
          <w:sz w:val="28"/>
          <w:szCs w:val="28"/>
          <w:lang w:val="uk-UA"/>
          <w14:textFill>
            <w14:solidFill>
              <w14:schemeClr w14:val="tx1"/>
            </w14:solidFill>
          </w14:textFill>
        </w:rPr>
        <w:t xml:space="preserve">2020. </w:t>
      </w:r>
      <w:r>
        <w:rPr>
          <w:rFonts w:ascii="Times New Roman" w:hAnsi="Times New Roman" w:cs="Times New Roman"/>
          <w:color w:val="000000" w:themeColor="text1"/>
          <w:sz w:val="28"/>
          <w:szCs w:val="28"/>
          <w14:textFill>
            <w14:solidFill>
              <w14:schemeClr w14:val="tx1"/>
            </w14:solidFill>
          </w14:textFill>
        </w:rPr>
        <w:t>URL</w:t>
      </w:r>
      <w:r>
        <w:rPr>
          <w:rFonts w:ascii="Times New Roman" w:hAnsi="Times New Roman" w:cs="Times New Roman"/>
          <w:color w:val="000000" w:themeColor="text1"/>
          <w:sz w:val="28"/>
          <w:szCs w:val="28"/>
          <w:lang w:val="uk-UA"/>
          <w14:textFill>
            <w14:solidFill>
              <w14:schemeClr w14:val="tx1"/>
            </w14:solidFill>
          </w14:textFill>
        </w:rPr>
        <w:t xml:space="preserve">: </w:t>
      </w:r>
      <w:r>
        <w:fldChar w:fldCharType="begin"/>
      </w:r>
      <w:r>
        <w:instrText xml:space="preserve"> HYPERLINK "https://nationalinterest.org/feature/vladimir-putin-real-lessons-75th-anniversary-world-war-ii-162982" </w:instrText>
      </w:r>
      <w:r>
        <w:fldChar w:fldCharType="separate"/>
      </w:r>
      <w:r>
        <w:rPr>
          <w:rStyle w:val="13"/>
          <w:rFonts w:ascii="Times New Roman" w:hAnsi="Times New Roman" w:cs="Times New Roman"/>
          <w:color w:val="000000" w:themeColor="text1"/>
          <w:sz w:val="28"/>
          <w:szCs w:val="28"/>
          <w:u w:val="none"/>
          <w:lang w:val="uk-UA"/>
          <w14:textFill>
            <w14:solidFill>
              <w14:schemeClr w14:val="tx1"/>
            </w14:solidFill>
          </w14:textFill>
        </w:rPr>
        <w:t>https://nationalinterest.org/feature/vladimir-putin-real-lessons-75th-anniversary-world-war-ii-162982</w:t>
      </w:r>
      <w:r>
        <w:rPr>
          <w:rStyle w:val="13"/>
          <w:rFonts w:ascii="Times New Roman" w:hAnsi="Times New Roman" w:cs="Times New Roman"/>
          <w:color w:val="000000" w:themeColor="text1"/>
          <w:sz w:val="28"/>
          <w:szCs w:val="28"/>
          <w:u w:val="none"/>
          <w:lang w:val="uk-UA"/>
          <w14:textFill>
            <w14:solidFill>
              <w14:schemeClr w14:val="tx1"/>
            </w14:solidFill>
          </w14:textFill>
        </w:rPr>
        <w:fldChar w:fldCharType="end"/>
      </w:r>
      <w:bookmarkEnd w:id="142"/>
    </w:p>
    <w:p w14:paraId="515504EA">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43" w:name="_Ref208776802"/>
      <w:r>
        <w:rPr>
          <w:rFonts w:ascii="Times New Roman" w:hAnsi="Times New Roman" w:cs="Times New Roman"/>
          <w:color w:val="000000" w:themeColor="text1"/>
          <w:sz w:val="28"/>
          <w:szCs w:val="28"/>
          <w:lang w:val="uk-UA"/>
          <w14:textFill>
            <w14:solidFill>
              <w14:schemeClr w14:val="tx1"/>
            </w14:solidFill>
          </w14:textFill>
        </w:rPr>
        <w:t>Vrobļevska E., Irdi B. What’s the best way to deal with Russian information manipulation? Latvia has answers. Atlantic Council. 2025. URL: https://www.atlanticcouncil.org/blogs/new-atlanticist/whats-the-best-way-to-deal-with-russian-information-manipulation-latvia-has-answers/</w:t>
      </w:r>
      <w:bookmarkEnd w:id="143"/>
    </w:p>
    <w:p w14:paraId="45AA5F72">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44" w:name="_Ref211364612"/>
      <w:r>
        <w:rPr>
          <w:rFonts w:ascii="Times New Roman" w:hAnsi="Times New Roman" w:cs="Times New Roman"/>
          <w:color w:val="000000" w:themeColor="text1"/>
          <w:sz w:val="28"/>
          <w:szCs w:val="28"/>
          <w:lang w:val="uk-UA"/>
          <w14:textFill>
            <w14:solidFill>
              <w14:schemeClr w14:val="tx1"/>
            </w14:solidFill>
          </w14:textFill>
        </w:rPr>
        <w:t>VSD/AOTD (Lithuania). National Threat Assessment 2024. Vilnius: State Security Department (VSD) and Second Department of Operational Services, 2024.</w:t>
      </w:r>
      <w:bookmarkEnd w:id="144"/>
    </w:p>
    <w:p w14:paraId="341C7B78">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45" w:name="_Ref208333134"/>
      <w:r>
        <w:rPr>
          <w:rFonts w:ascii="Times New Roman" w:hAnsi="Times New Roman" w:cs="Times New Roman"/>
          <w:color w:val="000000" w:themeColor="text1"/>
          <w:sz w:val="28"/>
          <w:szCs w:val="28"/>
          <w:lang w:val="uk-UA"/>
          <w14:textFill>
            <w14:solidFill>
              <w14:schemeClr w14:val="tx1"/>
            </w14:solidFill>
          </w14:textFill>
        </w:rPr>
        <w:t>Walt S. M. Alliance Formation and the Balance of World Power // International Security. 1985. № 9(4). P. 3–43. https://doi.org/10.2307/2538540</w:t>
      </w:r>
      <w:bookmarkEnd w:id="145"/>
    </w:p>
    <w:p w14:paraId="43B98961">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46" w:name="_Ref208333141"/>
      <w:r>
        <w:rPr>
          <w:rFonts w:ascii="Times New Roman" w:hAnsi="Times New Roman" w:cs="Times New Roman"/>
          <w:color w:val="000000" w:themeColor="text1"/>
          <w:sz w:val="28"/>
          <w:szCs w:val="28"/>
          <w:lang w:val="uk-UA"/>
          <w14:textFill>
            <w14:solidFill>
              <w14:schemeClr w14:val="tx1"/>
            </w14:solidFill>
          </w14:textFill>
        </w:rPr>
        <w:t>Waltz K. N. Theory of International Politics. Reading : Addison-Wesley Publishing Company, 1979. 251 р.</w:t>
      </w:r>
      <w:bookmarkEnd w:id="146"/>
      <w:r>
        <w:rPr>
          <w:rFonts w:ascii="Times New Roman" w:hAnsi="Times New Roman" w:cs="Times New Roman"/>
          <w:color w:val="000000" w:themeColor="text1"/>
          <w:sz w:val="28"/>
          <w:szCs w:val="28"/>
          <w:lang w:val="uk-UA"/>
          <w14:textFill>
            <w14:solidFill>
              <w14:schemeClr w14:val="tx1"/>
            </w14:solidFill>
          </w14:textFill>
        </w:rPr>
        <w:t xml:space="preserve"> </w:t>
      </w:r>
    </w:p>
    <w:p w14:paraId="6BCD1FDB">
      <w:pPr>
        <w:pStyle w:val="32"/>
        <w:numPr>
          <w:ilvl w:val="0"/>
          <w:numId w:val="1"/>
        </w:numPr>
        <w:spacing w:after="0" w:line="360" w:lineRule="auto"/>
        <w:ind w:left="363" w:leftChars="0" w:hanging="363" w:firstLineChars="0"/>
        <w:jc w:val="both"/>
        <w:rPr>
          <w:rFonts w:ascii="Times New Roman" w:hAnsi="Times New Roman" w:cs="Times New Roman"/>
          <w:color w:val="000000" w:themeColor="text1"/>
          <w:sz w:val="28"/>
          <w:szCs w:val="28"/>
          <w:lang w:val="uk-UA"/>
          <w14:textFill>
            <w14:solidFill>
              <w14:schemeClr w14:val="tx1"/>
            </w14:solidFill>
          </w14:textFill>
        </w:rPr>
      </w:pPr>
      <w:bookmarkStart w:id="147" w:name="_Ref208333526"/>
      <w:r>
        <w:rPr>
          <w:rFonts w:ascii="Times New Roman" w:hAnsi="Times New Roman" w:cs="Times New Roman"/>
          <w:color w:val="000000" w:themeColor="text1"/>
          <w:sz w:val="28"/>
          <w:szCs w:val="28"/>
          <w:lang w:val="uk-UA"/>
          <w14:textFill>
            <w14:solidFill>
              <w14:schemeClr w14:val="tx1"/>
            </w14:solidFill>
          </w14:textFill>
        </w:rPr>
        <w:t>Wendt A. Social Theory of International Politics. Cambridge : Cambridge University Press, 1999. 433 с. URL: https://www.cambridge.org/core/books/social-theory-of-international-politics/0346E6FDC74FECEF6D2CDD7EFB003CF2</w:t>
      </w:r>
      <w:bookmarkEnd w:id="147"/>
    </w:p>
    <w:sectPr>
      <w:headerReference r:id="rId5" w:type="default"/>
      <w:pgSz w:w="11906" w:h="16838"/>
      <w:pgMar w:top="850" w:right="850" w:bottom="850" w:left="1417"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Times New Roman Полужирный">
    <w:altName w:val="Times New Roman"/>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1772609"/>
      <w:docPartObj>
        <w:docPartGallery w:val="AutoText"/>
      </w:docPartObj>
    </w:sdtPr>
    <w:sdtContent>
      <w:p w14:paraId="7761B571">
        <w:pPr>
          <w:pStyle w:val="14"/>
          <w:jc w:val="right"/>
        </w:pPr>
        <w:r>
          <w:fldChar w:fldCharType="begin"/>
        </w:r>
        <w:r>
          <w:instrText xml:space="preserve">PAGE   \* MERGEFORMAT</w:instrText>
        </w:r>
        <w:r>
          <w:fldChar w:fldCharType="separate"/>
        </w:r>
        <w:r>
          <w:rPr>
            <w:lang w:val="ru-RU"/>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1020C"/>
    <w:multiLevelType w:val="multilevel"/>
    <w:tmpl w:val="C271020C"/>
    <w:lvl w:ilvl="0" w:tentative="0">
      <w:start w:val="1"/>
      <w:numFmt w:val="decimal"/>
      <w:lvlText w:val="%1."/>
      <w:lvlJc w:val="left"/>
      <w:pPr>
        <w:ind w:left="363" w:leftChars="0" w:hanging="363" w:firstLineChars="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D08"/>
    <w:rsid w:val="000271A0"/>
    <w:rsid w:val="00047CBA"/>
    <w:rsid w:val="0005266F"/>
    <w:rsid w:val="00082F7B"/>
    <w:rsid w:val="00091B59"/>
    <w:rsid w:val="000A5E00"/>
    <w:rsid w:val="000B4307"/>
    <w:rsid w:val="000C59BE"/>
    <w:rsid w:val="000F1BA3"/>
    <w:rsid w:val="000F2E74"/>
    <w:rsid w:val="00106CE3"/>
    <w:rsid w:val="001653CC"/>
    <w:rsid w:val="00191C70"/>
    <w:rsid w:val="00192A55"/>
    <w:rsid w:val="00194654"/>
    <w:rsid w:val="00197AAC"/>
    <w:rsid w:val="001C07EB"/>
    <w:rsid w:val="001D7094"/>
    <w:rsid w:val="001E2F56"/>
    <w:rsid w:val="001F001E"/>
    <w:rsid w:val="002049D0"/>
    <w:rsid w:val="00205A8D"/>
    <w:rsid w:val="00215D45"/>
    <w:rsid w:val="0023505C"/>
    <w:rsid w:val="00241D08"/>
    <w:rsid w:val="002432C8"/>
    <w:rsid w:val="002656F4"/>
    <w:rsid w:val="002844EB"/>
    <w:rsid w:val="002D4C3F"/>
    <w:rsid w:val="002E0387"/>
    <w:rsid w:val="0031066D"/>
    <w:rsid w:val="00327E55"/>
    <w:rsid w:val="003529F0"/>
    <w:rsid w:val="00355EE5"/>
    <w:rsid w:val="00363046"/>
    <w:rsid w:val="00382E25"/>
    <w:rsid w:val="0038613F"/>
    <w:rsid w:val="00390AAD"/>
    <w:rsid w:val="003B40E4"/>
    <w:rsid w:val="003D3D78"/>
    <w:rsid w:val="00421222"/>
    <w:rsid w:val="004615A1"/>
    <w:rsid w:val="00465DB0"/>
    <w:rsid w:val="00477532"/>
    <w:rsid w:val="004E25DA"/>
    <w:rsid w:val="004F61D6"/>
    <w:rsid w:val="00543AA7"/>
    <w:rsid w:val="005651C2"/>
    <w:rsid w:val="005B3655"/>
    <w:rsid w:val="005E1046"/>
    <w:rsid w:val="005F4219"/>
    <w:rsid w:val="0063134B"/>
    <w:rsid w:val="00643870"/>
    <w:rsid w:val="00657177"/>
    <w:rsid w:val="00680C26"/>
    <w:rsid w:val="006C46C6"/>
    <w:rsid w:val="006D5BC1"/>
    <w:rsid w:val="006E1204"/>
    <w:rsid w:val="00710596"/>
    <w:rsid w:val="00717A81"/>
    <w:rsid w:val="00724FBF"/>
    <w:rsid w:val="0074149C"/>
    <w:rsid w:val="00747908"/>
    <w:rsid w:val="007530D7"/>
    <w:rsid w:val="007609BC"/>
    <w:rsid w:val="00785CDD"/>
    <w:rsid w:val="00790EF1"/>
    <w:rsid w:val="00803F37"/>
    <w:rsid w:val="00815FA6"/>
    <w:rsid w:val="008243C6"/>
    <w:rsid w:val="00841827"/>
    <w:rsid w:val="008475AD"/>
    <w:rsid w:val="00883981"/>
    <w:rsid w:val="008A758C"/>
    <w:rsid w:val="008C1167"/>
    <w:rsid w:val="008C2B33"/>
    <w:rsid w:val="008C3C83"/>
    <w:rsid w:val="008D66F4"/>
    <w:rsid w:val="008E012F"/>
    <w:rsid w:val="008E01BE"/>
    <w:rsid w:val="00901FFF"/>
    <w:rsid w:val="00905588"/>
    <w:rsid w:val="009331B5"/>
    <w:rsid w:val="00950A30"/>
    <w:rsid w:val="0098526F"/>
    <w:rsid w:val="009A3351"/>
    <w:rsid w:val="009A5E02"/>
    <w:rsid w:val="009B39BF"/>
    <w:rsid w:val="009C4FE1"/>
    <w:rsid w:val="009D334D"/>
    <w:rsid w:val="009E2548"/>
    <w:rsid w:val="009E33E8"/>
    <w:rsid w:val="00A1069E"/>
    <w:rsid w:val="00A24BB5"/>
    <w:rsid w:val="00A40714"/>
    <w:rsid w:val="00A46B5C"/>
    <w:rsid w:val="00A81A06"/>
    <w:rsid w:val="00A9167D"/>
    <w:rsid w:val="00AF2155"/>
    <w:rsid w:val="00B068CD"/>
    <w:rsid w:val="00B07B66"/>
    <w:rsid w:val="00B11714"/>
    <w:rsid w:val="00B2325B"/>
    <w:rsid w:val="00B6300C"/>
    <w:rsid w:val="00B64160"/>
    <w:rsid w:val="00B66FAF"/>
    <w:rsid w:val="00B75508"/>
    <w:rsid w:val="00BA5CBD"/>
    <w:rsid w:val="00BD33A4"/>
    <w:rsid w:val="00BE3C8A"/>
    <w:rsid w:val="00BE79FF"/>
    <w:rsid w:val="00C13827"/>
    <w:rsid w:val="00C23D5F"/>
    <w:rsid w:val="00C30552"/>
    <w:rsid w:val="00C55725"/>
    <w:rsid w:val="00C6191F"/>
    <w:rsid w:val="00CB5135"/>
    <w:rsid w:val="00CC6990"/>
    <w:rsid w:val="00CD10B7"/>
    <w:rsid w:val="00D10B7A"/>
    <w:rsid w:val="00D45F20"/>
    <w:rsid w:val="00D61FBC"/>
    <w:rsid w:val="00D63683"/>
    <w:rsid w:val="00D6668B"/>
    <w:rsid w:val="00D701B5"/>
    <w:rsid w:val="00D74411"/>
    <w:rsid w:val="00DA3331"/>
    <w:rsid w:val="00DD5486"/>
    <w:rsid w:val="00DD5784"/>
    <w:rsid w:val="00DE2158"/>
    <w:rsid w:val="00DF02E9"/>
    <w:rsid w:val="00E42D52"/>
    <w:rsid w:val="00E50C3B"/>
    <w:rsid w:val="00E62B1E"/>
    <w:rsid w:val="00E9262B"/>
    <w:rsid w:val="00E96B3A"/>
    <w:rsid w:val="00EC1180"/>
    <w:rsid w:val="00F043A9"/>
    <w:rsid w:val="00F2500F"/>
    <w:rsid w:val="00F41E3A"/>
    <w:rsid w:val="00F4459C"/>
    <w:rsid w:val="00F85C33"/>
    <w:rsid w:val="00FA0368"/>
    <w:rsid w:val="00FD570E"/>
    <w:rsid w:val="00FF1CEF"/>
    <w:rsid w:val="02990B60"/>
    <w:rsid w:val="2C217BF9"/>
    <w:rsid w:val="343D439A"/>
    <w:rsid w:val="727A4E2D"/>
    <w:rsid w:val="75D0388D"/>
    <w:rsid w:val="76B15ADB"/>
    <w:rsid w:val="78767DE0"/>
    <w:rsid w:val="7F8A16CD"/>
    <w:rsid w:val="7FB66C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2"/>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4"/>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paragraph" w:styleId="14">
    <w:name w:val="header"/>
    <w:basedOn w:val="1"/>
    <w:link w:val="37"/>
    <w:unhideWhenUsed/>
    <w:qFormat/>
    <w:uiPriority w:val="99"/>
    <w:pPr>
      <w:tabs>
        <w:tab w:val="center" w:pos="4677"/>
        <w:tab w:val="right" w:pos="9355"/>
      </w:tabs>
      <w:spacing w:after="0" w:line="240" w:lineRule="auto"/>
    </w:pPr>
  </w:style>
  <w:style w:type="paragraph" w:styleId="15">
    <w:name w:val="toc 1"/>
    <w:basedOn w:val="1"/>
    <w:next w:val="1"/>
    <w:autoRedefine/>
    <w:unhideWhenUsed/>
    <w:qFormat/>
    <w:uiPriority w:val="39"/>
    <w:pPr>
      <w:spacing w:after="100"/>
    </w:pPr>
  </w:style>
  <w:style w:type="paragraph" w:styleId="16">
    <w:name w:val="Title"/>
    <w:basedOn w:val="1"/>
    <w:next w:val="1"/>
    <w:link w:val="28"/>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7">
    <w:name w:val="footer"/>
    <w:basedOn w:val="1"/>
    <w:link w:val="38"/>
    <w:unhideWhenUsed/>
    <w:qFormat/>
    <w:uiPriority w:val="99"/>
    <w:pPr>
      <w:tabs>
        <w:tab w:val="center" w:pos="4677"/>
        <w:tab w:val="right" w:pos="9355"/>
      </w:tabs>
      <w:spacing w:after="0" w:line="240" w:lineRule="auto"/>
    </w:pPr>
  </w:style>
  <w:style w:type="paragraph" w:styleId="18">
    <w:name w:val="Subtitle"/>
    <w:basedOn w:val="1"/>
    <w:next w:val="1"/>
    <w:link w:val="2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19">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0">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2">
    <w:name w:val="Heading 4 Char"/>
    <w:basedOn w:val="11"/>
    <w:link w:val="5"/>
    <w:semiHidden/>
    <w:uiPriority w:val="9"/>
    <w:rPr>
      <w:rFonts w:eastAsiaTheme="majorEastAsia" w:cstheme="majorBidi"/>
      <w:i/>
      <w:iCs/>
      <w:color w:val="2F5597" w:themeColor="accent1" w:themeShade="BF"/>
    </w:rPr>
  </w:style>
  <w:style w:type="character" w:customStyle="1" w:styleId="23">
    <w:name w:val="Heading 5 Char"/>
    <w:basedOn w:val="11"/>
    <w:link w:val="6"/>
    <w:semiHidden/>
    <w:qFormat/>
    <w:uiPriority w:val="9"/>
    <w:rPr>
      <w:rFonts w:eastAsiaTheme="majorEastAsia" w:cstheme="majorBidi"/>
      <w:color w:val="2F5597" w:themeColor="accent1" w:themeShade="BF"/>
    </w:rPr>
  </w:style>
  <w:style w:type="character" w:customStyle="1" w:styleId="24">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itle Char"/>
    <w:basedOn w:val="11"/>
    <w:link w:val="16"/>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1"/>
    <w:link w:val="18"/>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1"/>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1"/>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Intense Quote Char"/>
    <w:basedOn w:val="11"/>
    <w:link w:val="34"/>
    <w:qFormat/>
    <w:uiPriority w:val="30"/>
    <w:rPr>
      <w:i/>
      <w:iCs/>
      <w:color w:val="2F5597" w:themeColor="accent1" w:themeShade="BF"/>
    </w:rPr>
  </w:style>
  <w:style w:type="character" w:customStyle="1" w:styleId="36">
    <w:name w:val="Intense Reference"/>
    <w:basedOn w:val="11"/>
    <w:qFormat/>
    <w:uiPriority w:val="32"/>
    <w:rPr>
      <w:b/>
      <w:bCs/>
      <w:smallCaps/>
      <w:color w:val="2F5597" w:themeColor="accent1" w:themeShade="BF"/>
      <w:spacing w:val="5"/>
    </w:rPr>
  </w:style>
  <w:style w:type="character" w:customStyle="1" w:styleId="37">
    <w:name w:val="Header Char"/>
    <w:basedOn w:val="11"/>
    <w:link w:val="14"/>
    <w:qFormat/>
    <w:uiPriority w:val="99"/>
  </w:style>
  <w:style w:type="character" w:customStyle="1" w:styleId="38">
    <w:name w:val="Footer Char"/>
    <w:basedOn w:val="11"/>
    <w:link w:val="17"/>
    <w:uiPriority w:val="99"/>
  </w:style>
  <w:style w:type="character" w:customStyle="1" w:styleId="39">
    <w:name w:val="Unresolved Mention"/>
    <w:basedOn w:val="11"/>
    <w:semiHidden/>
    <w:unhideWhenUsed/>
    <w:qFormat/>
    <w:uiPriority w:val="99"/>
    <w:rPr>
      <w:color w:val="605E5C"/>
      <w:shd w:val="clear" w:color="auto" w:fill="E1DFDD"/>
    </w:rPr>
  </w:style>
  <w:style w:type="paragraph" w:customStyle="1" w:styleId="40">
    <w:name w:val="TOC Heading"/>
    <w:basedOn w:val="2"/>
    <w:next w:val="1"/>
    <w:unhideWhenUsed/>
    <w:qFormat/>
    <w:uiPriority w:val="39"/>
    <w:pPr>
      <w:spacing w:before="240" w:after="0"/>
      <w:outlineLvl w:val="9"/>
    </w:pPr>
    <w:rPr>
      <w:kern w:val="0"/>
      <w:sz w:val="32"/>
      <w:szCs w:val="32"/>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C6CE3-64A1-45B5-9C09-71EC00A3C23E}">
  <ds:schemaRefs/>
</ds:datastoreItem>
</file>

<file path=docProps/app.xml><?xml version="1.0" encoding="utf-8"?>
<Properties xmlns="http://schemas.openxmlformats.org/officeDocument/2006/extended-properties" xmlns:vt="http://schemas.openxmlformats.org/officeDocument/2006/docPropsVTypes">
  <Template>Normal</Template>
  <Pages>96</Pages>
  <Words>27735</Words>
  <Characters>158090</Characters>
  <Lines>1317</Lines>
  <Paragraphs>370</Paragraphs>
  <TotalTime>2607</TotalTime>
  <ScaleCrop>false</ScaleCrop>
  <LinksUpToDate>false</LinksUpToDate>
  <CharactersWithSpaces>185455</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2025-09-08T17:51:00Z</dcterms:created>
  <dc:creator>User</dc:creator>
  <cp:lastModifiedBy>stani</cp:lastModifiedBy>
  <dcterms:modified xsi:type="dcterms:W3CDTF">2025-11-27T18:41:45Z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1615BD1318BD4E419CF8211753097D85_13</vt:lpwstr>
  </property>
</Properties>
</file>