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39DF" w:rsidRDefault="00876CC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eastAsia="Times New Roman"/>
          <w:b/>
          <w:bCs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Одеський національний університет імені І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.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І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.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Мечникова</w:t>
      </w:r>
    </w:p>
    <w:p w:rsidR="005639DF" w:rsidRDefault="00876CC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Факультет міжнародних відносин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,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політології та соціології</w:t>
      </w:r>
    </w:p>
    <w:p w:rsidR="005639DF" w:rsidRDefault="00876CC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Кафедра світового господарства і міжнародних економічних відносин</w:t>
      </w:r>
    </w:p>
    <w:p w:rsidR="005639DF" w:rsidRDefault="005639D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rPr>
          <w:rFonts w:eastAsia="Times New Roman"/>
          <w:color w:val="000000"/>
          <w:sz w:val="28"/>
          <w:szCs w:val="28"/>
          <w:u w:val="single"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5639DF" w:rsidRDefault="005639D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eastAsia="Times New Roman"/>
          <w:color w:val="000000"/>
          <w:sz w:val="28"/>
          <w:szCs w:val="28"/>
          <w:u w:val="single"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5639DF" w:rsidRDefault="005639D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eastAsia="Times New Roman"/>
          <w:color w:val="000000"/>
          <w:sz w:val="28"/>
          <w:szCs w:val="28"/>
          <w:u w:val="single"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5639DF" w:rsidRDefault="005639D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eastAsia="Times New Roman"/>
          <w:color w:val="000000"/>
          <w:sz w:val="28"/>
          <w:szCs w:val="28"/>
          <w:u w:val="single"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5639DF" w:rsidRPr="00876CC4" w:rsidRDefault="00876CC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 w:rsidRPr="00876CC4">
        <w:rPr>
          <w:rFonts w:cs="Arial Unicode MS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ДИПЛОМНА РОБОТА</w:t>
      </w:r>
    </w:p>
    <w:p w:rsidR="005639DF" w:rsidRPr="00876CC4" w:rsidRDefault="00876CC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 w:rsidRPr="00876CC4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на з</w:t>
      </w:r>
      <w:r w:rsidRPr="00876CC4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добуття ступеня вищої освіти «бакалавр»</w:t>
      </w:r>
    </w:p>
    <w:p w:rsidR="005639DF" w:rsidRPr="00876CC4" w:rsidRDefault="00876CC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 w:rsidRPr="00876CC4">
        <w:rPr>
          <w:rFonts w:cs="Arial Unicode MS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на</w:t>
      </w:r>
      <w:r w:rsidRPr="00876CC4">
        <w:rPr>
          <w:rFonts w:cs="Arial Unicode MS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тему</w:t>
      </w:r>
      <w:r w:rsidRPr="00876CC4">
        <w:rPr>
          <w:rFonts w:cs="Arial Unicode MS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: </w:t>
      </w:r>
      <w:r>
        <w:rPr>
          <w:rFonts w:cs="Arial Unicode MS"/>
          <w:b/>
          <w:bCs/>
          <w:color w:val="000000"/>
          <w:sz w:val="28"/>
          <w:szCs w:val="28"/>
          <w:u w:color="000000"/>
          <w:lang w:val="fr-FR"/>
          <w14:textOutline w14:w="0" w14:cap="flat" w14:cmpd="sng" w14:algn="ctr">
            <w14:noFill/>
            <w14:prstDash w14:val="solid"/>
            <w14:bevel/>
          </w14:textOutline>
        </w:rPr>
        <w:t>«</w:t>
      </w:r>
      <w:r w:rsidRPr="00876CC4">
        <w:rPr>
          <w:rFonts w:cs="Arial Unicode MS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Транснаціоналізація капіталу як явище в економіці на прикладі США та Китаю </w:t>
      </w:r>
      <w:r>
        <w:rPr>
          <w:rFonts w:cs="Arial Unicode MS"/>
          <w:b/>
          <w:bCs/>
          <w:color w:val="000000"/>
          <w:sz w:val="28"/>
          <w:szCs w:val="28"/>
          <w:u w:color="000000"/>
          <w:lang w:val="it-IT"/>
          <w14:textOutline w14:w="0" w14:cap="flat" w14:cmpd="sng" w14:algn="ctr">
            <w14:noFill/>
            <w14:prstDash w14:val="solid"/>
            <w14:bevel/>
          </w14:textOutline>
        </w:rPr>
        <w:t>»</w:t>
      </w:r>
    </w:p>
    <w:p w:rsidR="005639DF" w:rsidRDefault="00876CC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center"/>
        <w:rPr>
          <w:rFonts w:eastAsia="Times New Roman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u w:color="000000"/>
          <w:lang w:val="fr-FR"/>
          <w14:textOutline w14:w="0" w14:cap="flat" w14:cmpd="sng" w14:algn="ctr">
            <w14:noFill/>
            <w14:prstDash w14:val="solid"/>
            <w14:bevel/>
          </w14:textOutline>
        </w:rPr>
        <w:t>«</w:t>
      </w:r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Transnationalization of capital as a phenomenon in the e</w:t>
      </w:r>
      <w:r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>conomy on the example of the United States and China</w:t>
      </w:r>
      <w:r>
        <w:rPr>
          <w:rFonts w:cs="Arial Unicode MS"/>
          <w:color w:val="000000"/>
          <w:u w:color="000000"/>
          <w:lang w:val="it-IT"/>
          <w14:textOutline w14:w="0" w14:cap="flat" w14:cmpd="sng" w14:algn="ctr">
            <w14:noFill/>
            <w14:prstDash w14:val="solid"/>
            <w14:bevel/>
          </w14:textOutline>
        </w:rPr>
        <w:t>»</w:t>
      </w:r>
    </w:p>
    <w:p w:rsidR="005639DF" w:rsidRPr="00876CC4" w:rsidRDefault="00876CC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firstLine="709"/>
        <w:jc w:val="right"/>
        <w:rPr>
          <w:rFonts w:eastAsia="Times New Roman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876CC4">
        <w:rPr>
          <w:rFonts w:cs="Arial Unicode MS"/>
          <w:color w:val="000000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 w:rsidRPr="00876CC4"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 xml:space="preserve">                                            </w:t>
      </w:r>
    </w:p>
    <w:p w:rsidR="005639DF" w:rsidRPr="00876CC4" w:rsidRDefault="005639D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rPr>
          <w:rFonts w:eastAsia="Times New Roman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:rsidR="005639DF" w:rsidRPr="00876CC4" w:rsidRDefault="005639D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rPr>
          <w:rFonts w:eastAsia="Times New Roman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:rsidR="005639DF" w:rsidRPr="00876CC4" w:rsidRDefault="005639D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rPr>
          <w:rFonts w:eastAsia="Times New Roman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:rsidR="005639DF" w:rsidRDefault="00876CC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ind w:left="2832"/>
        <w:rPr>
          <w:rFonts w:eastAsia="Times New Roman"/>
          <w:color w:val="000000"/>
          <w:kern w:val="1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kern w:val="1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Виконала</w:t>
      </w:r>
      <w:r>
        <w:rPr>
          <w:rFonts w:cs="Arial Unicode MS"/>
          <w:color w:val="000000"/>
          <w:kern w:val="1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: </w:t>
      </w:r>
      <w:r>
        <w:rPr>
          <w:rFonts w:cs="Arial Unicode MS"/>
          <w:color w:val="000000"/>
          <w:kern w:val="1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студентка денної форми навчання                                                 спеціальності </w:t>
      </w:r>
      <w:r>
        <w:rPr>
          <w:rFonts w:cs="Arial Unicode MS"/>
          <w:color w:val="000000"/>
          <w:kern w:val="1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292</w:t>
      </w:r>
    </w:p>
    <w:p w:rsidR="005639DF" w:rsidRDefault="00876CC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ind w:left="2832"/>
        <w:rPr>
          <w:rFonts w:eastAsia="Times New Roman"/>
          <w:color w:val="000000"/>
          <w:kern w:val="1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kern w:val="1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«Міжнародні економічні відносини»</w:t>
      </w:r>
    </w:p>
    <w:p w:rsidR="005639DF" w:rsidRDefault="00876CC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ind w:left="2124" w:firstLine="708"/>
        <w:rPr>
          <w:rFonts w:eastAsia="Times New Roman"/>
          <w:color w:val="000000"/>
          <w:kern w:val="1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bookmarkStart w:id="0" w:name="_GoBack"/>
      <w:r>
        <w:rPr>
          <w:rFonts w:cs="Arial Unicode MS"/>
          <w:color w:val="000000"/>
          <w:kern w:val="1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Онішко Олександра Юріївна</w:t>
      </w:r>
      <w:bookmarkEnd w:id="0"/>
      <w:r>
        <w:rPr>
          <w:rFonts w:cs="Arial Unicode MS"/>
          <w:color w:val="000000"/>
          <w:kern w:val="1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</w:p>
    <w:p w:rsidR="005639DF" w:rsidRDefault="00876CC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ind w:left="2832"/>
        <w:rPr>
          <w:rFonts w:eastAsia="Times New Roman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Науковий керівник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: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ст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.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викл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.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Цевух Ю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. 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О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.  ___ </w:t>
      </w:r>
    </w:p>
    <w:p w:rsidR="005639DF" w:rsidRDefault="00876CC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ind w:left="2832"/>
        <w:rPr>
          <w:rFonts w:eastAsia="Times New Roman"/>
          <w:color w:val="000000"/>
          <w:kern w:val="1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Рецензент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: 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.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ф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.-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.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н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., 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доц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. 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Робул Ю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. 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</w:t>
      </w:r>
      <w:r>
        <w:rPr>
          <w:rFonts w:cs="Arial Unicode MS"/>
          <w:color w:val="000000"/>
          <w:kern w:val="1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.</w:t>
      </w:r>
    </w:p>
    <w:p w:rsidR="005639DF" w:rsidRDefault="00876CC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firstLine="240"/>
        <w:rPr>
          <w:rFonts w:eastAsia="Times New Roman"/>
          <w:color w:val="000000"/>
          <w:sz w:val="20"/>
          <w:szCs w:val="2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.</w:t>
      </w:r>
      <w:r>
        <w:rPr>
          <w:rFonts w:cs="Arial Unicode MS"/>
          <w:color w:val="000000"/>
          <w:sz w:val="20"/>
          <w:szCs w:val="2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                          </w:t>
      </w:r>
    </w:p>
    <w:p w:rsidR="005639DF" w:rsidRDefault="00876CC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firstLine="709"/>
        <w:jc w:val="both"/>
        <w:rPr>
          <w:rFonts w:eastAsia="Times New Roman"/>
          <w:color w:val="000000"/>
          <w:sz w:val="20"/>
          <w:szCs w:val="2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0"/>
          <w:szCs w:val="20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                                                                                                 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                                     </w:t>
      </w:r>
    </w:p>
    <w:p w:rsidR="005639DF" w:rsidRDefault="005639D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firstLine="709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5639DF" w:rsidRDefault="005639D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firstLine="709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5639DF" w:rsidRDefault="00876CC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Рекомендовано до захисту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:                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Захищено на засіданні ЕК №</w:t>
      </w:r>
      <w:r>
        <w:rPr>
          <w:rFonts w:cs="Arial Unicode MS"/>
          <w:color w:val="000000"/>
          <w:sz w:val="28"/>
          <w:szCs w:val="28"/>
          <w:u w:color="000000"/>
          <w:shd w:val="clear" w:color="auto" w:fill="FFFF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10</w:t>
      </w:r>
    </w:p>
    <w:p w:rsidR="005639DF" w:rsidRDefault="00876CC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Протокол засідання кафедри               протокол №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___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від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___06. 2021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р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.</w:t>
      </w:r>
    </w:p>
    <w:p w:rsidR="005639DF" w:rsidRDefault="00876CC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№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10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від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02.06.2021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р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.                        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Оцінка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____________/______/______                         </w:t>
      </w:r>
    </w:p>
    <w:p w:rsidR="005639DF" w:rsidRDefault="005639DF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5639DF" w:rsidRDefault="00876CC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Завідувач кафедри                                 Голова ЕК</w:t>
      </w:r>
    </w:p>
    <w:p w:rsidR="005639DF" w:rsidRDefault="005639DF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5639DF" w:rsidRDefault="00876CC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_________ 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Якубовський С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.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О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.              __________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Якубовський С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.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О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.</w:t>
      </w:r>
    </w:p>
    <w:p w:rsidR="005639DF" w:rsidRDefault="005639D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firstLine="709"/>
        <w:jc w:val="center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5639DF" w:rsidRDefault="005639D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firstLine="709"/>
        <w:jc w:val="center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5639DF" w:rsidRDefault="00876CC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firstLine="709"/>
        <w:jc w:val="center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Одеса –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2021</w:t>
      </w:r>
    </w:p>
    <w:p w:rsidR="005639DF" w:rsidRDefault="00876CC4">
      <w:pPr>
        <w:pStyle w:val="Body"/>
        <w:spacing w:line="300" w:lineRule="auto"/>
        <w:ind w:firstLine="85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ЗМІСТ</w:t>
      </w:r>
    </w:p>
    <w:p w:rsidR="005639DF" w:rsidRDefault="005639DF">
      <w:pPr>
        <w:pStyle w:val="Body"/>
        <w:spacing w:line="300" w:lineRule="auto"/>
        <w:ind w:firstLine="85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ВСТУП </w:t>
      </w:r>
      <w:r>
        <w:rPr>
          <w:rFonts w:ascii="Times New Roman" w:hAnsi="Times New Roman"/>
          <w:sz w:val="28"/>
          <w:szCs w:val="28"/>
        </w:rPr>
        <w:t>..............................</w:t>
      </w:r>
      <w:r>
        <w:rPr>
          <w:rFonts w:ascii="Times New Roman" w:hAnsi="Times New Roman"/>
          <w:sz w:val="28"/>
          <w:szCs w:val="28"/>
        </w:rPr>
        <w:t>...............................................................................3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РОЗДІЛ </w:t>
      </w:r>
      <w:r>
        <w:rPr>
          <w:rFonts w:ascii="Times New Roman" w:hAnsi="Times New Roman"/>
          <w:sz w:val="28"/>
          <w:szCs w:val="28"/>
        </w:rPr>
        <w:t xml:space="preserve">1.  </w:t>
      </w:r>
      <w:r>
        <w:rPr>
          <w:rFonts w:ascii="Times New Roman" w:hAnsi="Times New Roman"/>
          <w:sz w:val="28"/>
          <w:szCs w:val="28"/>
        </w:rPr>
        <w:t>Основи теоретичних досліджень транснаціоналізації національних економік та світового господарства</w:t>
      </w:r>
      <w:r>
        <w:rPr>
          <w:rFonts w:ascii="Times New Roman" w:hAnsi="Times New Roman"/>
          <w:sz w:val="28"/>
          <w:szCs w:val="28"/>
        </w:rPr>
        <w:t>..................................................5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РОЗДІЛ </w:t>
      </w:r>
      <w:r>
        <w:rPr>
          <w:rFonts w:ascii="Times New Roman" w:hAnsi="Times New Roman"/>
          <w:sz w:val="28"/>
          <w:szCs w:val="28"/>
        </w:rPr>
        <w:t xml:space="preserve">2. </w:t>
      </w:r>
      <w:r>
        <w:rPr>
          <w:rFonts w:ascii="Times New Roman" w:hAnsi="Times New Roman"/>
          <w:sz w:val="28"/>
          <w:szCs w:val="28"/>
        </w:rPr>
        <w:t>Вплив</w:t>
      </w:r>
      <w:r>
        <w:rPr>
          <w:rFonts w:ascii="Times New Roman" w:hAnsi="Times New Roman"/>
          <w:sz w:val="28"/>
          <w:szCs w:val="28"/>
        </w:rPr>
        <w:t xml:space="preserve"> процесів транснаціоналізації на економіки США та Китаю…………</w:t>
      </w:r>
      <w:r>
        <w:rPr>
          <w:rFonts w:ascii="Times New Roman" w:hAnsi="Times New Roman"/>
          <w:sz w:val="28"/>
          <w:szCs w:val="28"/>
        </w:rPr>
        <w:t>...........................................................................................</w:t>
      </w:r>
      <w:r w:rsidRPr="00876CC4">
        <w:rPr>
          <w:rFonts w:ascii="Times New Roman" w:hAnsi="Times New Roman"/>
          <w:sz w:val="28"/>
          <w:szCs w:val="28"/>
          <w:lang w:val="ru-RU"/>
        </w:rPr>
        <w:t>…</w:t>
      </w:r>
      <w:r>
        <w:rPr>
          <w:rFonts w:ascii="Times New Roman" w:hAnsi="Times New Roman"/>
          <w:sz w:val="28"/>
          <w:szCs w:val="28"/>
        </w:rPr>
        <w:t>...........16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2.1.  </w:t>
      </w:r>
      <w:r>
        <w:rPr>
          <w:rFonts w:ascii="Times New Roman" w:hAnsi="Times New Roman"/>
          <w:sz w:val="28"/>
          <w:szCs w:val="28"/>
        </w:rPr>
        <w:t xml:space="preserve">Порівняльний аналіз фінансових рахунків платіжних балансів США та Китаю за </w:t>
      </w:r>
      <w:r>
        <w:rPr>
          <w:rFonts w:ascii="Times New Roman" w:hAnsi="Times New Roman"/>
          <w:sz w:val="28"/>
          <w:szCs w:val="28"/>
        </w:rPr>
        <w:t>2010-2020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роки </w:t>
      </w:r>
      <w:r>
        <w:rPr>
          <w:rFonts w:ascii="Times New Roman" w:hAnsi="Times New Roman"/>
          <w:sz w:val="28"/>
          <w:szCs w:val="28"/>
        </w:rPr>
        <w:t xml:space="preserve"> ...................................................................................</w:t>
      </w:r>
      <w:r w:rsidRPr="00876CC4">
        <w:rPr>
          <w:rFonts w:ascii="Times New Roman" w:hAnsi="Times New Roman"/>
          <w:sz w:val="28"/>
          <w:szCs w:val="28"/>
          <w:lang w:val="ru-RU"/>
        </w:rPr>
        <w:t>1</w:t>
      </w:r>
      <w:r>
        <w:rPr>
          <w:rFonts w:ascii="Times New Roman" w:hAnsi="Times New Roman"/>
          <w:sz w:val="28"/>
          <w:szCs w:val="28"/>
        </w:rPr>
        <w:t>6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2.2. </w:t>
      </w:r>
      <w:r>
        <w:rPr>
          <w:rFonts w:ascii="Times New Roman" w:hAnsi="Times New Roman"/>
          <w:sz w:val="28"/>
          <w:szCs w:val="28"/>
        </w:rPr>
        <w:t>Економетричний аналіз макроекономічних ефектів впливу ТНК на економічний розвиток США та Китаю</w:t>
      </w:r>
      <w:r>
        <w:rPr>
          <w:rFonts w:ascii="Times New Roman" w:hAnsi="Times New Roman"/>
          <w:sz w:val="28"/>
          <w:szCs w:val="28"/>
        </w:rPr>
        <w:t xml:space="preserve"> ................................................................</w:t>
      </w:r>
      <w:r>
        <w:rPr>
          <w:rFonts w:ascii="Times New Roman" w:hAnsi="Times New Roman"/>
          <w:sz w:val="28"/>
          <w:szCs w:val="28"/>
        </w:rPr>
        <w:t>..</w:t>
      </w:r>
      <w:r w:rsidRPr="00876CC4">
        <w:rPr>
          <w:rFonts w:ascii="Times New Roman" w:hAnsi="Times New Roman"/>
          <w:sz w:val="28"/>
          <w:szCs w:val="28"/>
          <w:lang w:val="ru-RU"/>
        </w:rPr>
        <w:t>2</w:t>
      </w:r>
      <w:r>
        <w:rPr>
          <w:rFonts w:ascii="Times New Roman" w:hAnsi="Times New Roman"/>
          <w:sz w:val="28"/>
          <w:szCs w:val="28"/>
        </w:rPr>
        <w:t>2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РОЗДІЛ </w:t>
      </w:r>
      <w:r>
        <w:rPr>
          <w:rFonts w:ascii="Times New Roman" w:hAnsi="Times New Roman"/>
          <w:sz w:val="28"/>
          <w:szCs w:val="28"/>
        </w:rPr>
        <w:t xml:space="preserve">3. </w:t>
      </w:r>
      <w:r>
        <w:rPr>
          <w:rFonts w:ascii="Times New Roman" w:hAnsi="Times New Roman"/>
          <w:sz w:val="28"/>
          <w:szCs w:val="28"/>
        </w:rPr>
        <w:t>Участь України у транснаціоналізації капіталу на прикладі співпраці з США та Китаєм</w:t>
      </w:r>
      <w:r>
        <w:rPr>
          <w:rFonts w:ascii="Times New Roman" w:hAnsi="Times New Roman"/>
          <w:sz w:val="28"/>
          <w:szCs w:val="28"/>
        </w:rPr>
        <w:t xml:space="preserve">  ...................................................................................</w:t>
      </w:r>
      <w:r w:rsidRPr="00876CC4">
        <w:rPr>
          <w:rFonts w:ascii="Times New Roman" w:hAnsi="Times New Roman"/>
          <w:sz w:val="28"/>
          <w:szCs w:val="28"/>
          <w:lang w:val="ru-RU"/>
        </w:rPr>
        <w:t>2</w:t>
      </w:r>
      <w:r>
        <w:rPr>
          <w:rFonts w:ascii="Times New Roman" w:hAnsi="Times New Roman"/>
          <w:sz w:val="28"/>
          <w:szCs w:val="28"/>
        </w:rPr>
        <w:t>8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ВИСНОВКИ </w:t>
      </w:r>
      <w:r>
        <w:rPr>
          <w:rFonts w:ascii="Times New Roman" w:hAnsi="Times New Roman"/>
          <w:sz w:val="28"/>
          <w:szCs w:val="28"/>
        </w:rPr>
        <w:t>.............................................................</w:t>
      </w:r>
      <w:r>
        <w:rPr>
          <w:rFonts w:ascii="Times New Roman" w:hAnsi="Times New Roman"/>
          <w:sz w:val="28"/>
          <w:szCs w:val="28"/>
        </w:rPr>
        <w:t>.....................................</w:t>
      </w:r>
      <w:r w:rsidRPr="00876CC4">
        <w:rPr>
          <w:rFonts w:ascii="Times New Roman" w:hAnsi="Times New Roman"/>
          <w:sz w:val="28"/>
          <w:szCs w:val="28"/>
          <w:lang w:val="ru-RU"/>
        </w:rPr>
        <w:t>3</w:t>
      </w:r>
      <w:r>
        <w:rPr>
          <w:rFonts w:ascii="Times New Roman" w:hAnsi="Times New Roman"/>
          <w:sz w:val="28"/>
          <w:szCs w:val="28"/>
        </w:rPr>
        <w:t>5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СПИСОК ВИКОРИСТАНИХ ДЖЕРЕЛ ТА ДОДАТКИ  </w:t>
      </w:r>
      <w:r>
        <w:rPr>
          <w:rFonts w:ascii="Times New Roman" w:hAnsi="Times New Roman"/>
          <w:sz w:val="28"/>
          <w:szCs w:val="28"/>
        </w:rPr>
        <w:t>.............</w:t>
      </w:r>
      <w:r w:rsidRPr="00876CC4">
        <w:rPr>
          <w:rFonts w:ascii="Times New Roman" w:hAnsi="Times New Roman"/>
          <w:sz w:val="28"/>
          <w:szCs w:val="28"/>
          <w:lang w:val="ru-RU"/>
        </w:rPr>
        <w:t>…</w:t>
      </w:r>
      <w:r w:rsidRPr="00876CC4">
        <w:rPr>
          <w:rFonts w:ascii="Times New Roman" w:hAnsi="Times New Roman"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</w:rPr>
        <w:t>........</w:t>
      </w:r>
      <w:r w:rsidRPr="00876CC4">
        <w:rPr>
          <w:rFonts w:ascii="Times New Roman" w:hAnsi="Times New Roman"/>
          <w:sz w:val="28"/>
          <w:szCs w:val="28"/>
          <w:lang w:val="ru-RU"/>
        </w:rPr>
        <w:t>3</w:t>
      </w:r>
      <w:r>
        <w:rPr>
          <w:rFonts w:ascii="Times New Roman" w:hAnsi="Times New Roman"/>
          <w:sz w:val="28"/>
          <w:szCs w:val="28"/>
        </w:rPr>
        <w:t>7</w:t>
      </w: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876CC4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ВСТУП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Із поступовим розвитком глобалізації та інтеграційних процесів у світі та економіці України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постала потреба розширення власних </w:t>
      </w:r>
      <w:r>
        <w:rPr>
          <w:rFonts w:ascii="Times New Roman" w:hAnsi="Times New Roman"/>
          <w:sz w:val="28"/>
          <w:szCs w:val="28"/>
        </w:rPr>
        <w:t>кордонів взаємодії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Вихід на нові ринки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доступність нових технологій виробництва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удосконалення не тільки національної продукції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й політичного та економічного укладу у країні задля подальшого сталого розвитку – сьогоденна задача України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Економічне зро</w:t>
      </w:r>
      <w:r>
        <w:rPr>
          <w:rFonts w:ascii="Times New Roman" w:hAnsi="Times New Roman"/>
          <w:sz w:val="28"/>
          <w:szCs w:val="28"/>
        </w:rPr>
        <w:t>стання держав у більшості своїй базується на рівні впровадження та використання інноваційних технологій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вірної інвестиційної та державної політик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саме тому чималу роль відіграє зовнішньоекономічна діяльність країни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А поширення такого явища як транснаціо</w:t>
      </w:r>
      <w:r>
        <w:rPr>
          <w:rFonts w:ascii="Times New Roman" w:hAnsi="Times New Roman"/>
          <w:sz w:val="28"/>
          <w:szCs w:val="28"/>
        </w:rPr>
        <w:t>налізація корпорацій та виробництв сприяє виходу національної продукції на світові ринки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за рахунок чого зростає конкурентність на ринках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США та Китай – не тільки торговельні партнери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але й яскраві приклади розвитку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Історичні передумови та сьогоденна </w:t>
      </w:r>
      <w:r>
        <w:rPr>
          <w:rFonts w:ascii="Times New Roman" w:hAnsi="Times New Roman"/>
          <w:sz w:val="28"/>
          <w:szCs w:val="28"/>
        </w:rPr>
        <w:t>позиція цих двох країн може послужити рушійною силою для розвитку Української економіки та держави у цілому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Враховуючи сьогоденні реалії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потрібно розуміти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США вже протягом багатьох століть займає провідні позиції у світі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Економіка КНР останні </w:t>
      </w:r>
      <w:r>
        <w:rPr>
          <w:rFonts w:ascii="Times New Roman" w:hAnsi="Times New Roman"/>
          <w:sz w:val="28"/>
          <w:szCs w:val="28"/>
        </w:rPr>
        <w:t xml:space="preserve">30 </w:t>
      </w:r>
      <w:r>
        <w:rPr>
          <w:rFonts w:ascii="Times New Roman" w:hAnsi="Times New Roman"/>
          <w:sz w:val="28"/>
          <w:szCs w:val="28"/>
        </w:rPr>
        <w:t>ро</w:t>
      </w:r>
      <w:r>
        <w:rPr>
          <w:rFonts w:ascii="Times New Roman" w:hAnsi="Times New Roman"/>
          <w:sz w:val="28"/>
          <w:szCs w:val="28"/>
        </w:rPr>
        <w:t>ків відрізняється невпинним зростанням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екстенсивним характером економічного росту та власною політичною та виробничою структурою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яка приносить свої плоди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За останніми оцінками багатьох економістів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прогнозується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що економіка Китаю у найближчі </w:t>
      </w:r>
      <w:r>
        <w:rPr>
          <w:rFonts w:ascii="Times New Roman" w:hAnsi="Times New Roman"/>
          <w:sz w:val="28"/>
          <w:szCs w:val="28"/>
        </w:rPr>
        <w:t xml:space="preserve">5-10 </w:t>
      </w:r>
      <w:r>
        <w:rPr>
          <w:rFonts w:ascii="Times New Roman" w:hAnsi="Times New Roman"/>
          <w:sz w:val="28"/>
          <w:szCs w:val="28"/>
        </w:rPr>
        <w:t>рокі</w:t>
      </w:r>
      <w:r>
        <w:rPr>
          <w:rFonts w:ascii="Times New Roman" w:hAnsi="Times New Roman"/>
          <w:sz w:val="28"/>
          <w:szCs w:val="28"/>
        </w:rPr>
        <w:t>в обжене за розвитком 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Вплив та сила КНР зростає з кожним роком не тільки по відношенню до України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але й стосується усього світу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У той самий час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Китай виступає найголовнішим і найбільшим кредитором США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США у свою чергу є одним із найбільших креди</w:t>
      </w:r>
      <w:r>
        <w:rPr>
          <w:rFonts w:ascii="Times New Roman" w:hAnsi="Times New Roman"/>
          <w:sz w:val="28"/>
          <w:szCs w:val="28"/>
        </w:rPr>
        <w:t>торів України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Актуальність даної дипломної роботи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полягає </w:t>
      </w:r>
      <w:r w:rsidRPr="00876CC4">
        <w:rPr>
          <w:rFonts w:ascii="Times New Roman" w:hAnsi="Times New Roman"/>
          <w:sz w:val="28"/>
          <w:szCs w:val="28"/>
        </w:rPr>
        <w:t>у тому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з подальшим розвитком глобалізаційних процесів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в особливості транснаціоналізації капіталу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зростає також вагомість інвестиційної діяльності країни для цілковитого розвитку держави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ША та Китай виступають дуже вагомими гравцями у даній області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тому їх досвід може стати у нагоді Україні при імплементуванні нових інфраструктур та державних норм</w:t>
      </w:r>
      <w:r>
        <w:rPr>
          <w:rFonts w:ascii="Times New Roman" w:hAnsi="Times New Roman"/>
          <w:sz w:val="28"/>
          <w:szCs w:val="28"/>
        </w:rPr>
        <w:t>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Метою даної роботи </w:t>
      </w:r>
      <w:r>
        <w:rPr>
          <w:rFonts w:ascii="Times New Roman" w:hAnsi="Times New Roman"/>
          <w:sz w:val="28"/>
          <w:szCs w:val="28"/>
        </w:rPr>
        <w:t xml:space="preserve">виступає дослідження рівня транснаціоналізації економік США та Китаю та </w:t>
      </w:r>
      <w:r>
        <w:rPr>
          <w:rFonts w:ascii="Times New Roman" w:hAnsi="Times New Roman"/>
          <w:sz w:val="28"/>
          <w:szCs w:val="28"/>
        </w:rPr>
        <w:t>їх залежності від інвестиційних потоків та даної діяльності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Виявлення та дослідження особливостей формування інвестиційної діяльності у КНР та США та їх факторів впливу у вигляді різного роду макроекономічних показників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Задля досягнення заданої мети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у </w:t>
      </w:r>
      <w:r>
        <w:rPr>
          <w:rFonts w:ascii="Times New Roman" w:hAnsi="Times New Roman"/>
          <w:sz w:val="28"/>
          <w:szCs w:val="28"/>
        </w:rPr>
        <w:t xml:space="preserve">даній роботі було виконано </w:t>
      </w:r>
      <w:r>
        <w:rPr>
          <w:rFonts w:ascii="Times New Roman" w:hAnsi="Times New Roman"/>
          <w:b/>
          <w:bCs/>
          <w:sz w:val="28"/>
          <w:szCs w:val="28"/>
        </w:rPr>
        <w:t>ряд задач</w:t>
      </w:r>
      <w:r>
        <w:rPr>
          <w:rFonts w:ascii="Times New Roman" w:hAnsi="Times New Roman"/>
          <w:sz w:val="28"/>
          <w:szCs w:val="28"/>
        </w:rPr>
        <w:t xml:space="preserve">: </w:t>
      </w:r>
    </w:p>
    <w:p w:rsidR="005639DF" w:rsidRDefault="00876CC4">
      <w:pPr>
        <w:pStyle w:val="Body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аналіз інвестиційних потоків США та Китаю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їх динаміка та особливості</w:t>
      </w:r>
      <w:r>
        <w:rPr>
          <w:rFonts w:ascii="Times New Roman" w:hAnsi="Times New Roman"/>
          <w:sz w:val="28"/>
          <w:szCs w:val="28"/>
        </w:rPr>
        <w:t>;</w:t>
      </w:r>
    </w:p>
    <w:p w:rsidR="005639DF" w:rsidRDefault="00876CC4">
      <w:pPr>
        <w:pStyle w:val="Body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ознайомлення із науковими дослідження транснаціоналізації інвестиційної діяльності двох заданих країн та вплив даних процесів на Україну</w:t>
      </w:r>
      <w:r>
        <w:rPr>
          <w:rFonts w:ascii="Times New Roman" w:hAnsi="Times New Roman"/>
          <w:sz w:val="28"/>
          <w:szCs w:val="28"/>
        </w:rPr>
        <w:t xml:space="preserve">; </w:t>
      </w:r>
    </w:p>
    <w:p w:rsidR="005639DF" w:rsidRDefault="00876CC4">
      <w:pPr>
        <w:pStyle w:val="Body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розгляд</w:t>
      </w:r>
      <w:r>
        <w:rPr>
          <w:rFonts w:ascii="Times New Roman" w:hAnsi="Times New Roman"/>
          <w:sz w:val="28"/>
          <w:szCs w:val="28"/>
        </w:rPr>
        <w:t xml:space="preserve"> теоретичної складової процесу транснаціоналізації</w:t>
      </w:r>
      <w:r>
        <w:rPr>
          <w:rFonts w:ascii="Times New Roman" w:hAnsi="Times New Roman"/>
          <w:sz w:val="28"/>
          <w:szCs w:val="28"/>
        </w:rPr>
        <w:t xml:space="preserve">; </w:t>
      </w:r>
    </w:p>
    <w:p w:rsidR="005639DF" w:rsidRDefault="00876CC4">
      <w:pPr>
        <w:pStyle w:val="Body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побудова регресійних моделей для КНР та США</w:t>
      </w:r>
      <w:r>
        <w:rPr>
          <w:rFonts w:ascii="Times New Roman" w:hAnsi="Times New Roman"/>
          <w:sz w:val="28"/>
          <w:szCs w:val="28"/>
        </w:rPr>
        <w:t xml:space="preserve">; </w:t>
      </w:r>
    </w:p>
    <w:p w:rsidR="005639DF" w:rsidRDefault="00876CC4">
      <w:pPr>
        <w:pStyle w:val="Body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аналіз зовнішньоекономічної діяльності заданих країн з Україною та виявлення основних  тенденцій у даному питанні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36"/>
          <w:szCs w:val="36"/>
        </w:rPr>
      </w:pPr>
      <w:r>
        <w:rPr>
          <w:rFonts w:ascii="Times New Roman" w:hAnsi="Times New Roman"/>
          <w:b/>
          <w:bCs/>
          <w:sz w:val="28"/>
          <w:szCs w:val="28"/>
        </w:rPr>
        <w:t>Об</w:t>
      </w:r>
      <w:r>
        <w:rPr>
          <w:rFonts w:ascii="Times New Roman" w:hAnsi="Times New Roman"/>
          <w:b/>
          <w:bCs/>
          <w:sz w:val="28"/>
          <w:szCs w:val="28"/>
        </w:rPr>
        <w:t>'</w:t>
      </w:r>
      <w:r>
        <w:rPr>
          <w:rFonts w:ascii="Times New Roman" w:hAnsi="Times New Roman"/>
          <w:b/>
          <w:bCs/>
          <w:sz w:val="28"/>
          <w:szCs w:val="28"/>
        </w:rPr>
        <w:t>єктом дослідження</w:t>
      </w:r>
      <w:r>
        <w:rPr>
          <w:rFonts w:ascii="Times New Roman" w:hAnsi="Times New Roman"/>
          <w:sz w:val="28"/>
          <w:szCs w:val="28"/>
        </w:rPr>
        <w:t xml:space="preserve"> є інвестиційна діяльність США та Китаю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b/>
          <w:bCs/>
          <w:sz w:val="28"/>
          <w:szCs w:val="28"/>
        </w:rPr>
        <w:t>Предметом дослідження</w:t>
      </w:r>
      <w:r>
        <w:rPr>
          <w:rFonts w:ascii="Times New Roman" w:hAnsi="Times New Roman"/>
          <w:sz w:val="28"/>
          <w:szCs w:val="28"/>
        </w:rPr>
        <w:t xml:space="preserve"> є вплив транснаціоналізації капіталу на економічний розвиток США та Китаю</w:t>
      </w:r>
      <w:r>
        <w:rPr>
          <w:rFonts w:ascii="Times New Roman" w:hAnsi="Times New Roman"/>
          <w:sz w:val="28"/>
          <w:szCs w:val="28"/>
        </w:rPr>
        <w:t>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36"/>
          <w:szCs w:val="36"/>
        </w:rPr>
      </w:pPr>
      <w:r>
        <w:rPr>
          <w:rFonts w:ascii="Times New Roman" w:hAnsi="Times New Roman"/>
          <w:sz w:val="28"/>
          <w:szCs w:val="28"/>
        </w:rPr>
        <w:t>У даній дипломній роботі були використані дані з національних сайтів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наукових статей та публікацій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міжнародних звіті</w:t>
      </w:r>
      <w:r>
        <w:rPr>
          <w:rFonts w:ascii="Times New Roman" w:hAnsi="Times New Roman"/>
          <w:sz w:val="28"/>
          <w:szCs w:val="28"/>
        </w:rPr>
        <w:t>в та аналітичних робіт</w:t>
      </w:r>
      <w:r>
        <w:rPr>
          <w:rFonts w:ascii="Times New Roman" w:hAnsi="Times New Roman"/>
          <w:sz w:val="28"/>
          <w:szCs w:val="28"/>
        </w:rPr>
        <w:t>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Робота складається зі змісту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вступу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трьох розділів та двох підрозділів у другому розділі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висновків та списку використаної літератури та додатків</w:t>
      </w:r>
      <w:r>
        <w:rPr>
          <w:rFonts w:ascii="Times New Roman" w:hAnsi="Times New Roman"/>
          <w:sz w:val="28"/>
          <w:szCs w:val="28"/>
        </w:rPr>
        <w:t>.</w:t>
      </w: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639DF" w:rsidRDefault="00876CC4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РОЗДІЛ </w:t>
      </w:r>
      <w:r>
        <w:rPr>
          <w:rFonts w:ascii="Times New Roman" w:hAnsi="Times New Roman"/>
          <w:sz w:val="28"/>
          <w:szCs w:val="28"/>
        </w:rPr>
        <w:t>1</w:t>
      </w:r>
    </w:p>
    <w:p w:rsidR="005639DF" w:rsidRDefault="00876CC4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Основи теоретичних досліджень транснаціоналізації національних економ</w:t>
      </w:r>
      <w:r>
        <w:rPr>
          <w:rFonts w:ascii="Times New Roman" w:hAnsi="Times New Roman"/>
          <w:b/>
          <w:bCs/>
          <w:sz w:val="28"/>
          <w:szCs w:val="28"/>
        </w:rPr>
        <w:t>ік та світового господарства</w:t>
      </w: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Економіки США та Китаю на сьогоднішній день можна сміливо назвати найбільшими у світі не тільки за розмірами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але і за рівнем впливу на світовий ВВП і стійке зростання світової економіки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Більше третини світових показників є н</w:t>
      </w:r>
      <w:r>
        <w:rPr>
          <w:rFonts w:ascii="Times New Roman" w:hAnsi="Times New Roman"/>
          <w:sz w:val="28"/>
          <w:szCs w:val="28"/>
        </w:rPr>
        <w:t>апряму залежними від цих двох економічних гігантів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Глобалізація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 явище займає дуже вагоме місце у економіках усіх країн у світі і дає нові поштовхи до їх економічного розвитку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Вона призводить до прискорення всіх процесів розвитку у всьому світі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 на</w:t>
      </w:r>
      <w:r>
        <w:rPr>
          <w:rFonts w:ascii="Times New Roman" w:hAnsi="Times New Roman"/>
          <w:sz w:val="28"/>
          <w:szCs w:val="28"/>
        </w:rPr>
        <w:t xml:space="preserve"> рівні компаній та ТНК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так і на національному рівні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Вона загострює конкуренцію між різного роду компаніями та державами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Компанії США та КНР займають лідируючі позиціі на світовому ринка за рівнями виробництва та інвестиційної діяльності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Але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незважаючи</w:t>
      </w:r>
      <w:r>
        <w:rPr>
          <w:rFonts w:ascii="Times New Roman" w:hAnsi="Times New Roman"/>
          <w:sz w:val="28"/>
          <w:szCs w:val="28"/>
        </w:rPr>
        <w:t xml:space="preserve"> на чималу взаємозалежність цих двох країн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неможливо не згадати про сьогоденні торговельні конфлікти у яких знаходяться так звані “партнери”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З самого моменту вступу Китаю до Всесвітньої торгової організації у </w:t>
      </w:r>
      <w:r>
        <w:rPr>
          <w:rFonts w:ascii="Times New Roman" w:hAnsi="Times New Roman"/>
          <w:sz w:val="28"/>
          <w:szCs w:val="28"/>
        </w:rPr>
        <w:t xml:space="preserve">2001 </w:t>
      </w:r>
      <w:r>
        <w:rPr>
          <w:rFonts w:ascii="Times New Roman" w:hAnsi="Times New Roman"/>
          <w:sz w:val="28"/>
          <w:szCs w:val="28"/>
        </w:rPr>
        <w:t>році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західні сусіди тільки і робили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</w:t>
      </w:r>
      <w:r>
        <w:rPr>
          <w:rFonts w:ascii="Times New Roman" w:hAnsi="Times New Roman"/>
          <w:sz w:val="28"/>
          <w:szCs w:val="28"/>
        </w:rPr>
        <w:t xml:space="preserve"> намагалися вивсти китайську економіку із гри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подаючи позови до ВТО на Китай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Більшість з них пов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 xml:space="preserve">язані із порушення авоських прав або прихованням субсидій </w:t>
      </w:r>
      <w:r>
        <w:rPr>
          <w:rFonts w:ascii="Times New Roman" w:hAnsi="Times New Roman"/>
          <w:sz w:val="28"/>
          <w:szCs w:val="28"/>
          <w:lang w:val="pt-PT"/>
        </w:rPr>
        <w:t>[1].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Китай розцінювався Америкою як країна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фабрика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саме цим можна пояснити те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об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єми імпортова</w:t>
      </w:r>
      <w:r>
        <w:rPr>
          <w:rFonts w:ascii="Times New Roman" w:hAnsi="Times New Roman"/>
          <w:sz w:val="28"/>
          <w:szCs w:val="28"/>
        </w:rPr>
        <w:t>них товарів із США до Китаю значно перевищує об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 xml:space="preserve">єми експорту починаючи з </w:t>
      </w:r>
      <w:r>
        <w:rPr>
          <w:rFonts w:ascii="Times New Roman" w:hAnsi="Times New Roman"/>
          <w:sz w:val="28"/>
          <w:szCs w:val="28"/>
        </w:rPr>
        <w:t xml:space="preserve">2001 </w:t>
      </w:r>
      <w:r>
        <w:rPr>
          <w:rFonts w:ascii="Times New Roman" w:hAnsi="Times New Roman"/>
          <w:sz w:val="28"/>
          <w:szCs w:val="28"/>
          <w:lang w:val="ru-RU"/>
        </w:rPr>
        <w:t>року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Дефіцит торгового балансу США у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</w:rPr>
        <w:t xml:space="preserve">році склав </w:t>
      </w:r>
      <w:r>
        <w:rPr>
          <w:rFonts w:ascii="Times New Roman" w:hAnsi="Times New Roman"/>
          <w:sz w:val="28"/>
          <w:szCs w:val="28"/>
          <w:lang w:val="en-US"/>
        </w:rPr>
        <w:t xml:space="preserve">$310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Із Китаю до США було </w:t>
      </w:r>
      <w:r>
        <w:rPr>
          <w:rFonts w:ascii="Times New Roman" w:hAnsi="Times New Roman"/>
          <w:sz w:val="28"/>
          <w:szCs w:val="28"/>
        </w:rPr>
        <w:lastRenderedPageBreak/>
        <w:t xml:space="preserve">імпортовано товарів та послуг на майже </w:t>
      </w:r>
      <w:r>
        <w:rPr>
          <w:rFonts w:ascii="Times New Roman" w:hAnsi="Times New Roman"/>
          <w:sz w:val="28"/>
          <w:szCs w:val="28"/>
          <w:lang w:val="en-US"/>
        </w:rPr>
        <w:t xml:space="preserve">$458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ru-RU"/>
        </w:rPr>
        <w:t>у той час як экспорт</w:t>
      </w:r>
      <w:r>
        <w:rPr>
          <w:rFonts w:ascii="Times New Roman" w:hAnsi="Times New Roman"/>
          <w:sz w:val="28"/>
          <w:szCs w:val="28"/>
          <w:lang w:val="ru-RU"/>
        </w:rPr>
        <w:t xml:space="preserve"> склав лише </w:t>
      </w:r>
      <w:r>
        <w:rPr>
          <w:rFonts w:ascii="Times New Roman" w:hAnsi="Times New Roman"/>
          <w:sz w:val="28"/>
          <w:szCs w:val="28"/>
          <w:lang w:val="en-US"/>
        </w:rPr>
        <w:t xml:space="preserve">$124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 xml:space="preserve">США </w:t>
      </w:r>
      <w:r>
        <w:rPr>
          <w:rFonts w:ascii="Times New Roman" w:hAnsi="Times New Roman"/>
          <w:sz w:val="28"/>
          <w:szCs w:val="28"/>
          <w:lang w:val="pt-PT"/>
        </w:rPr>
        <w:t>[2].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Китайська Народна Республіка займає важливе місце у світовій економічній діяльності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та є важливим місцем для реалізації американської продукції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Ще колись незрозумілі та непотрібні опасіння США з приводу ринкових бар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єрів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несправедливої торгівлі та відсутність правомірності дій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на жаль на даному етапі вважається загрозою економічної конкурентоспроможності США та їх національної безпеки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Китай має дуже складну модель зросту і навіть враховуючи цей факт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на сьогоднішн</w:t>
      </w:r>
      <w:r>
        <w:rPr>
          <w:rFonts w:ascii="Times New Roman" w:hAnsi="Times New Roman"/>
          <w:sz w:val="28"/>
          <w:szCs w:val="28"/>
        </w:rPr>
        <w:t>ій день активно намагається вийти зі свого статусу лише торгового партнера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Активна промислова політика та розвиток високотехнологічних галузей під так званою “направляючою рукою держави”є основами “азіатського дива”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про що було заявлено у одній із праць </w:t>
      </w:r>
      <w:r>
        <w:rPr>
          <w:rFonts w:ascii="Times New Roman" w:hAnsi="Times New Roman"/>
          <w:sz w:val="28"/>
          <w:szCs w:val="28"/>
        </w:rPr>
        <w:t>МВФ “</w:t>
      </w:r>
      <w:r>
        <w:rPr>
          <w:rFonts w:ascii="Times New Roman" w:hAnsi="Times New Roman"/>
          <w:sz w:val="28"/>
          <w:szCs w:val="28"/>
          <w:lang w:val="en-US"/>
        </w:rPr>
        <w:t>The Return of the Policy That Shall Not Be Named: Principles of Industrial Policy</w:t>
      </w:r>
      <w:r>
        <w:rPr>
          <w:rFonts w:ascii="Times New Roman" w:hAnsi="Times New Roman"/>
          <w:sz w:val="28"/>
          <w:szCs w:val="28"/>
        </w:rPr>
        <w:t xml:space="preserve">” </w:t>
      </w:r>
      <w:r>
        <w:rPr>
          <w:rFonts w:ascii="Times New Roman" w:hAnsi="Times New Roman"/>
          <w:sz w:val="28"/>
          <w:szCs w:val="28"/>
          <w:lang w:val="pt-PT"/>
        </w:rPr>
        <w:t xml:space="preserve">[3].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Державне ж керівництво США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зокрема Дональд Трамп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який нещодавно покинув пост президента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дуже сильно критикував співробітництво із Китаєм і навіть заявляв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К</w:t>
      </w:r>
      <w:r>
        <w:rPr>
          <w:rFonts w:ascii="Times New Roman" w:hAnsi="Times New Roman"/>
          <w:sz w:val="28"/>
          <w:szCs w:val="28"/>
        </w:rPr>
        <w:t>итай “знущається над Америкою”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адже торговий дефіцит між країнами невпинно зростає протягом останніх </w:t>
      </w:r>
      <w:r>
        <w:rPr>
          <w:rFonts w:ascii="Times New Roman" w:hAnsi="Times New Roman"/>
          <w:sz w:val="28"/>
          <w:szCs w:val="28"/>
        </w:rPr>
        <w:t xml:space="preserve">10 </w:t>
      </w:r>
      <w:r>
        <w:rPr>
          <w:rFonts w:ascii="Times New Roman" w:hAnsi="Times New Roman"/>
          <w:sz w:val="28"/>
          <w:szCs w:val="28"/>
        </w:rPr>
        <w:t>років на користь Китаю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За останніми оцінками економістів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існує можливість того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що Китай у найближчі </w:t>
      </w:r>
      <w:r>
        <w:rPr>
          <w:rFonts w:ascii="Times New Roman" w:hAnsi="Times New Roman"/>
          <w:sz w:val="28"/>
          <w:szCs w:val="28"/>
        </w:rPr>
        <w:t xml:space="preserve">10-15 </w:t>
      </w:r>
      <w:r>
        <w:rPr>
          <w:rFonts w:ascii="Times New Roman" w:hAnsi="Times New Roman"/>
          <w:sz w:val="28"/>
          <w:szCs w:val="28"/>
        </w:rPr>
        <w:t>років пережене США за об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ємом ВВП</w:t>
      </w:r>
      <w:r>
        <w:rPr>
          <w:rFonts w:ascii="Times New Roman" w:hAnsi="Times New Roman"/>
          <w:sz w:val="28"/>
          <w:szCs w:val="28"/>
        </w:rPr>
        <w:t xml:space="preserve">, </w:t>
      </w:r>
      <w:r w:rsidRPr="00876CC4">
        <w:rPr>
          <w:rFonts w:ascii="Times New Roman" w:hAnsi="Times New Roman"/>
          <w:sz w:val="28"/>
          <w:szCs w:val="28"/>
        </w:rPr>
        <w:t>зокрема</w:t>
      </w:r>
      <w:r w:rsidRPr="00876CC4">
        <w:rPr>
          <w:rFonts w:ascii="Times New Roman" w:hAnsi="Times New Roman"/>
          <w:sz w:val="28"/>
          <w:szCs w:val="28"/>
        </w:rPr>
        <w:t xml:space="preserve"> про це пише корреспондент Едвард Вонг для “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876CC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New</w:t>
      </w:r>
      <w:r w:rsidRPr="00876CC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York</w:t>
      </w:r>
      <w:r w:rsidRPr="00876CC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Times</w:t>
      </w:r>
      <w:r>
        <w:rPr>
          <w:rFonts w:ascii="Times New Roman" w:hAnsi="Times New Roman"/>
          <w:sz w:val="28"/>
          <w:szCs w:val="28"/>
        </w:rPr>
        <w:t xml:space="preserve">” </w:t>
      </w:r>
      <w:r>
        <w:rPr>
          <w:rFonts w:ascii="Times New Roman" w:hAnsi="Times New Roman"/>
          <w:sz w:val="28"/>
          <w:szCs w:val="28"/>
          <w:lang w:val="pt-PT"/>
        </w:rPr>
        <w:t xml:space="preserve">[4].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Але якщо роздивитися торговий конфлікт США та Китаю детальніше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можна підкреслити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у більшості своїй дана суперечка є більше битвою за технологічну перевагу на світовому ринку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Даний</w:t>
      </w:r>
      <w:r>
        <w:rPr>
          <w:rFonts w:ascii="Times New Roman" w:hAnsi="Times New Roman"/>
          <w:sz w:val="28"/>
          <w:szCs w:val="28"/>
        </w:rPr>
        <w:t xml:space="preserve"> конфлікт зі своїм найбільшим торгових партнерів став для США однією із причин істотного падіння показнику ВВП за минулий рік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Цей показник знизився на </w:t>
      </w:r>
      <w:r>
        <w:rPr>
          <w:rFonts w:ascii="Times New Roman" w:hAnsi="Times New Roman"/>
          <w:sz w:val="28"/>
          <w:szCs w:val="28"/>
        </w:rPr>
        <w:t xml:space="preserve">3,5% </w:t>
      </w:r>
      <w:r>
        <w:rPr>
          <w:rFonts w:ascii="Times New Roman" w:hAnsi="Times New Roman"/>
          <w:sz w:val="28"/>
          <w:szCs w:val="28"/>
        </w:rPr>
        <w:t xml:space="preserve">з </w:t>
      </w:r>
      <w:r>
        <w:rPr>
          <w:rFonts w:ascii="Times New Roman" w:hAnsi="Times New Roman"/>
          <w:sz w:val="28"/>
          <w:szCs w:val="28"/>
        </w:rPr>
        <w:t xml:space="preserve">2019 </w:t>
      </w:r>
      <w:r>
        <w:rPr>
          <w:rFonts w:ascii="Times New Roman" w:hAnsi="Times New Roman"/>
          <w:sz w:val="28"/>
          <w:szCs w:val="28"/>
          <w:lang w:val="ru-RU"/>
        </w:rPr>
        <w:t>року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є найбільшим падіння даного показника з часів останньої світової кризи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Також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економіка США у останньому кварталі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</w:rPr>
        <w:t xml:space="preserve">року снизилась на </w:t>
      </w:r>
      <w:r>
        <w:rPr>
          <w:rFonts w:ascii="Times New Roman" w:hAnsi="Times New Roman"/>
          <w:sz w:val="28"/>
          <w:szCs w:val="28"/>
        </w:rPr>
        <w:t xml:space="preserve">2,5%, </w:t>
      </w:r>
      <w:r>
        <w:rPr>
          <w:rFonts w:ascii="Times New Roman" w:hAnsi="Times New Roman"/>
          <w:sz w:val="28"/>
          <w:szCs w:val="28"/>
        </w:rPr>
        <w:t xml:space="preserve">а у другому кварталі було </w:t>
      </w:r>
      <w:r>
        <w:rPr>
          <w:rFonts w:ascii="Times New Roman" w:hAnsi="Times New Roman"/>
          <w:sz w:val="28"/>
          <w:szCs w:val="28"/>
        </w:rPr>
        <w:lastRenderedPageBreak/>
        <w:t xml:space="preserve">вагоме падіння у </w:t>
      </w:r>
      <w:r>
        <w:rPr>
          <w:rFonts w:ascii="Times New Roman" w:hAnsi="Times New Roman"/>
          <w:sz w:val="28"/>
          <w:szCs w:val="28"/>
        </w:rPr>
        <w:t xml:space="preserve">9%. </w:t>
      </w:r>
      <w:r>
        <w:rPr>
          <w:rFonts w:ascii="Times New Roman" w:hAnsi="Times New Roman"/>
          <w:sz w:val="28"/>
          <w:szCs w:val="28"/>
        </w:rPr>
        <w:t>Усі ці дані можна знайти  у щорічнику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який випускається Міністерством торгівлі США </w:t>
      </w:r>
      <w:r>
        <w:rPr>
          <w:rFonts w:ascii="Times New Roman" w:hAnsi="Times New Roman"/>
          <w:sz w:val="28"/>
          <w:szCs w:val="28"/>
          <w:lang w:val="pt-PT"/>
        </w:rPr>
        <w:t xml:space="preserve">[5].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Дана американсько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китайська війна за першість у технол</w:t>
      </w:r>
      <w:r>
        <w:rPr>
          <w:rFonts w:ascii="Times New Roman" w:hAnsi="Times New Roman"/>
          <w:sz w:val="28"/>
          <w:szCs w:val="28"/>
        </w:rPr>
        <w:t>огічній промисловості обумовлена тим фактом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на сьогоднішній день весь світ знаходиться на етапі стрімкого розвитку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який включає у себе важливість інноваційного включення в усі сфери життя людей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Вміле поєднання політик і правильна та стійка взаємодія </w:t>
      </w:r>
      <w:r>
        <w:rPr>
          <w:rFonts w:ascii="Times New Roman" w:hAnsi="Times New Roman"/>
          <w:sz w:val="28"/>
          <w:szCs w:val="28"/>
        </w:rPr>
        <w:t>приватного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державного та міжнародних секторів є дуже важливим у розвитку економік не тільки розвиваючихся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але і вже розвинутих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Транснаціональні компанії у даному питанні виступають дійовими обличчями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У першу чергу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ТНК займають дуже важливе місце у сти</w:t>
      </w:r>
      <w:r>
        <w:rPr>
          <w:rFonts w:ascii="Times New Roman" w:hAnsi="Times New Roman"/>
          <w:sz w:val="28"/>
          <w:szCs w:val="28"/>
        </w:rPr>
        <w:t>муляції подальшого міжнародного співробітництва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визначають рівень конкурентоспроможності товарів на міжнародних ринках та регулюють міжнародний рух капіталу та інвестицій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Китай та США можуть похвалитися значною кількістю великих ТНК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які є дуже вагомими</w:t>
      </w:r>
      <w:r>
        <w:rPr>
          <w:rFonts w:ascii="Times New Roman" w:hAnsi="Times New Roman"/>
          <w:sz w:val="28"/>
          <w:szCs w:val="28"/>
        </w:rPr>
        <w:t xml:space="preserve"> гравцями на світовому ринку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Найбільшими ТНК Китаю є</w:t>
      </w:r>
      <w:r>
        <w:rPr>
          <w:rFonts w:ascii="Times New Roman" w:hAnsi="Times New Roman"/>
          <w:sz w:val="28"/>
          <w:szCs w:val="28"/>
        </w:rPr>
        <w:t>:</w:t>
      </w:r>
    </w:p>
    <w:p w:rsidR="005639DF" w:rsidRDefault="00876CC4">
      <w:pPr>
        <w:pStyle w:val="Bod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  <w:lang w:val="fr-FR"/>
        </w:rPr>
      </w:pPr>
      <w:r>
        <w:rPr>
          <w:rFonts w:ascii="Times New Roman" w:hAnsi="Times New Roman"/>
          <w:sz w:val="28"/>
          <w:szCs w:val="28"/>
          <w:lang w:val="fr-FR"/>
        </w:rPr>
        <w:t xml:space="preserve">China National Petroleum Corporation - </w:t>
      </w:r>
      <w:r>
        <w:rPr>
          <w:rFonts w:ascii="Times New Roman" w:hAnsi="Times New Roman"/>
          <w:sz w:val="28"/>
          <w:szCs w:val="28"/>
        </w:rPr>
        <w:t>найбільша ТНК Китаю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основна діяльність </w:t>
      </w:r>
      <w:r>
        <w:rPr>
          <w:rFonts w:ascii="Times New Roman" w:hAnsi="Times New Roman"/>
          <w:sz w:val="28"/>
          <w:szCs w:val="28"/>
        </w:rPr>
        <w:t xml:space="preserve">- </w:t>
      </w:r>
      <w:r w:rsidRPr="00876CC4">
        <w:rPr>
          <w:rFonts w:ascii="Times New Roman" w:hAnsi="Times New Roman"/>
          <w:sz w:val="28"/>
          <w:szCs w:val="28"/>
        </w:rPr>
        <w:t>енергетика та нафтопереробка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Володіє зарубіжними активами на </w:t>
      </w:r>
      <w:r>
        <w:rPr>
          <w:rFonts w:ascii="Times New Roman" w:hAnsi="Times New Roman"/>
          <w:sz w:val="28"/>
          <w:szCs w:val="28"/>
          <w:lang w:val="en-US"/>
        </w:rPr>
        <w:t xml:space="preserve">$144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США із щорічним дохідністю у </w:t>
      </w:r>
      <w:r>
        <w:rPr>
          <w:rFonts w:ascii="Times New Roman" w:hAnsi="Times New Roman"/>
          <w:sz w:val="28"/>
          <w:szCs w:val="28"/>
          <w:lang w:val="en-US"/>
        </w:rPr>
        <w:t xml:space="preserve">$179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>;</w:t>
      </w:r>
    </w:p>
    <w:p w:rsidR="005639DF" w:rsidRDefault="00876CC4">
      <w:pPr>
        <w:pStyle w:val="Bod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  <w:lang w:val="fr-FR"/>
        </w:rPr>
      </w:pPr>
      <w:r>
        <w:rPr>
          <w:rFonts w:ascii="Times New Roman" w:hAnsi="Times New Roman"/>
          <w:sz w:val="28"/>
          <w:szCs w:val="28"/>
          <w:lang w:val="fr-FR"/>
        </w:rPr>
        <w:t xml:space="preserve">Sinopec - </w:t>
      </w:r>
      <w:r>
        <w:rPr>
          <w:rFonts w:ascii="Times New Roman" w:hAnsi="Times New Roman"/>
          <w:sz w:val="28"/>
          <w:szCs w:val="28"/>
        </w:rPr>
        <w:t>другий за об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ємами китайський ТНК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Основна діяльність </w:t>
      </w: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  <w:lang w:val="ru-RU"/>
        </w:rPr>
        <w:t>нафтопереробка та енергетика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Зарубіжні активи </w:t>
      </w:r>
      <w:r>
        <w:rPr>
          <w:rFonts w:ascii="Times New Roman" w:hAnsi="Times New Roman"/>
          <w:sz w:val="28"/>
          <w:szCs w:val="28"/>
          <w:lang w:val="en-US"/>
        </w:rPr>
        <w:t xml:space="preserve">- $97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у той час як їх дохідність складає </w:t>
      </w:r>
      <w:r>
        <w:rPr>
          <w:rFonts w:ascii="Times New Roman" w:hAnsi="Times New Roman"/>
          <w:sz w:val="28"/>
          <w:szCs w:val="28"/>
          <w:lang w:val="en-US"/>
        </w:rPr>
        <w:t xml:space="preserve">$137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>;</w:t>
      </w:r>
    </w:p>
    <w:p w:rsidR="005639DF" w:rsidRDefault="00876CC4">
      <w:pPr>
        <w:pStyle w:val="Bod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  <w:lang w:val="fr-FR"/>
        </w:rPr>
      </w:pPr>
      <w:r>
        <w:rPr>
          <w:rFonts w:ascii="Times New Roman" w:hAnsi="Times New Roman"/>
          <w:sz w:val="28"/>
          <w:szCs w:val="28"/>
          <w:lang w:val="fr-FR"/>
        </w:rPr>
        <w:t xml:space="preserve">CITIC Group - </w:t>
      </w:r>
      <w:r>
        <w:rPr>
          <w:rFonts w:ascii="Times New Roman" w:hAnsi="Times New Roman"/>
          <w:sz w:val="28"/>
          <w:szCs w:val="28"/>
        </w:rPr>
        <w:t xml:space="preserve">один із найбільших провайдерів </w:t>
      </w:r>
      <w:r>
        <w:rPr>
          <w:rFonts w:ascii="Times New Roman" w:hAnsi="Times New Roman"/>
          <w:sz w:val="28"/>
          <w:szCs w:val="28"/>
        </w:rPr>
        <w:t>фінансових послуг із Китаю на міжнародному та національному ринках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Щорічних дохід складає </w:t>
      </w:r>
      <w:r>
        <w:rPr>
          <w:rFonts w:ascii="Times New Roman" w:hAnsi="Times New Roman"/>
          <w:sz w:val="28"/>
          <w:szCs w:val="28"/>
          <w:lang w:val="en-US"/>
        </w:rPr>
        <w:t xml:space="preserve">$14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а зарубіжних активів у володінні </w:t>
      </w:r>
      <w:r>
        <w:rPr>
          <w:rFonts w:ascii="Times New Roman" w:hAnsi="Times New Roman"/>
          <w:sz w:val="28"/>
          <w:szCs w:val="28"/>
          <w:lang w:val="en-US"/>
        </w:rPr>
        <w:t xml:space="preserve">- $89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>;</w:t>
      </w:r>
    </w:p>
    <w:p w:rsidR="005639DF" w:rsidRDefault="00876CC4">
      <w:pPr>
        <w:pStyle w:val="Bod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876CC4">
        <w:rPr>
          <w:rFonts w:ascii="Times New Roman" w:hAnsi="Times New Roman"/>
          <w:sz w:val="28"/>
          <w:szCs w:val="28"/>
          <w:lang w:val="fr-FR"/>
        </w:rPr>
        <w:t xml:space="preserve">China Cosco Shipping Group - </w:t>
      </w:r>
      <w:r>
        <w:rPr>
          <w:rFonts w:ascii="Times New Roman" w:hAnsi="Times New Roman"/>
          <w:sz w:val="28"/>
          <w:szCs w:val="28"/>
        </w:rPr>
        <w:t>логістична компанія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займається морськими вантажоперевез</w:t>
      </w:r>
      <w:r>
        <w:rPr>
          <w:rFonts w:ascii="Times New Roman" w:hAnsi="Times New Roman"/>
          <w:sz w:val="28"/>
          <w:szCs w:val="28"/>
        </w:rPr>
        <w:t>еннями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Компанія володія зарубіжними активами </w:t>
      </w:r>
      <w:r>
        <w:rPr>
          <w:rFonts w:ascii="Times New Roman" w:hAnsi="Times New Roman"/>
          <w:sz w:val="28"/>
          <w:szCs w:val="28"/>
        </w:rPr>
        <w:lastRenderedPageBreak/>
        <w:t xml:space="preserve">на </w:t>
      </w:r>
      <w:r>
        <w:rPr>
          <w:rFonts w:ascii="Times New Roman" w:hAnsi="Times New Roman"/>
          <w:sz w:val="28"/>
          <w:szCs w:val="28"/>
          <w:lang w:val="en-US"/>
        </w:rPr>
        <w:t xml:space="preserve">$87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,  </w:t>
      </w:r>
      <w:r>
        <w:rPr>
          <w:rFonts w:ascii="Times New Roman" w:hAnsi="Times New Roman"/>
          <w:sz w:val="28"/>
          <w:szCs w:val="28"/>
        </w:rPr>
        <w:t xml:space="preserve">а щорічні прибутки складають </w:t>
      </w:r>
      <w:r>
        <w:rPr>
          <w:rFonts w:ascii="Times New Roman" w:hAnsi="Times New Roman"/>
          <w:sz w:val="28"/>
          <w:szCs w:val="28"/>
          <w:lang w:val="en-US"/>
        </w:rPr>
        <w:t xml:space="preserve">$23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>;</w:t>
      </w:r>
    </w:p>
    <w:p w:rsidR="005639DF" w:rsidRDefault="00876CC4">
      <w:pPr>
        <w:pStyle w:val="Bod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China National Offshore Oil Corporation, </w:t>
      </w:r>
      <w:r>
        <w:rPr>
          <w:rFonts w:ascii="Times New Roman" w:hAnsi="Times New Roman"/>
          <w:sz w:val="28"/>
          <w:szCs w:val="28"/>
        </w:rPr>
        <w:t xml:space="preserve">що спеціалізується на нафтопереробці та логістичних послугах і володіють іноземними активами на сумму </w:t>
      </w:r>
      <w:r>
        <w:rPr>
          <w:rFonts w:ascii="Times New Roman" w:hAnsi="Times New Roman"/>
          <w:sz w:val="28"/>
          <w:szCs w:val="28"/>
          <w:lang w:val="en-US"/>
        </w:rPr>
        <w:t xml:space="preserve">$75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США з прибутками від інвестицій у розмірі  </w:t>
      </w:r>
      <w:r>
        <w:rPr>
          <w:rFonts w:ascii="Times New Roman" w:hAnsi="Times New Roman"/>
          <w:sz w:val="28"/>
          <w:szCs w:val="28"/>
          <w:lang w:val="en-US"/>
        </w:rPr>
        <w:t xml:space="preserve">$71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США на рік </w:t>
      </w:r>
      <w:r>
        <w:rPr>
          <w:rFonts w:ascii="Times New Roman" w:hAnsi="Times New Roman"/>
          <w:sz w:val="28"/>
          <w:szCs w:val="28"/>
          <w:lang w:val="pt-PT"/>
        </w:rPr>
        <w:t>[6].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 результатами дослідження ЮНКТАД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у випадку китайських патент</w:t>
      </w:r>
      <w:r>
        <w:rPr>
          <w:rFonts w:ascii="Times New Roman" w:hAnsi="Times New Roman"/>
          <w:sz w:val="28"/>
          <w:szCs w:val="28"/>
        </w:rPr>
        <w:t>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відсоток міжнародного співробітництва складає</w:t>
      </w:r>
      <w:r>
        <w:rPr>
          <w:rFonts w:ascii="Times New Roman" w:hAnsi="Times New Roman"/>
          <w:sz w:val="28"/>
          <w:szCs w:val="28"/>
        </w:rPr>
        <w:t xml:space="preserve">: 18,2% - </w:t>
      </w:r>
      <w:r>
        <w:rPr>
          <w:rFonts w:ascii="Times New Roman" w:hAnsi="Times New Roman"/>
          <w:sz w:val="28"/>
          <w:szCs w:val="28"/>
        </w:rPr>
        <w:t>електроніка</w:t>
      </w:r>
      <w:r>
        <w:rPr>
          <w:rFonts w:ascii="Times New Roman" w:hAnsi="Times New Roman"/>
          <w:sz w:val="28"/>
          <w:szCs w:val="28"/>
        </w:rPr>
        <w:t xml:space="preserve">, 15,4% - </w:t>
      </w:r>
      <w:r>
        <w:rPr>
          <w:rFonts w:ascii="Times New Roman" w:hAnsi="Times New Roman"/>
          <w:sz w:val="28"/>
          <w:szCs w:val="28"/>
        </w:rPr>
        <w:t>хімія</w:t>
      </w:r>
      <w:r>
        <w:rPr>
          <w:rFonts w:ascii="Times New Roman" w:hAnsi="Times New Roman"/>
          <w:sz w:val="28"/>
          <w:szCs w:val="28"/>
        </w:rPr>
        <w:t xml:space="preserve">, 20% - </w:t>
      </w:r>
      <w:r>
        <w:rPr>
          <w:rFonts w:ascii="Times New Roman" w:hAnsi="Times New Roman"/>
          <w:sz w:val="28"/>
          <w:szCs w:val="28"/>
          <w:lang w:val="ru-RU"/>
        </w:rPr>
        <w:t>фармацевтика</w:t>
      </w:r>
      <w:r>
        <w:rPr>
          <w:rFonts w:ascii="Times New Roman" w:hAnsi="Times New Roman"/>
          <w:sz w:val="28"/>
          <w:szCs w:val="28"/>
        </w:rPr>
        <w:t xml:space="preserve">, 11% - </w:t>
      </w:r>
      <w:r>
        <w:rPr>
          <w:rFonts w:ascii="Times New Roman" w:hAnsi="Times New Roman"/>
          <w:sz w:val="28"/>
          <w:szCs w:val="28"/>
        </w:rPr>
        <w:t>автомобілебудування</w:t>
      </w:r>
      <w:r>
        <w:rPr>
          <w:rFonts w:ascii="Times New Roman" w:hAnsi="Times New Roman"/>
          <w:sz w:val="28"/>
          <w:szCs w:val="28"/>
        </w:rPr>
        <w:t xml:space="preserve">, 9,4% - </w:t>
      </w:r>
      <w:r>
        <w:rPr>
          <w:rFonts w:ascii="Times New Roman" w:hAnsi="Times New Roman"/>
          <w:sz w:val="28"/>
          <w:szCs w:val="28"/>
        </w:rPr>
        <w:t>транспортування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ТНК Китаю дуже сильно різняться від схожих міжнародних ТНК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адже у більшості своїй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шляхом введен</w:t>
      </w:r>
      <w:r>
        <w:rPr>
          <w:rFonts w:ascii="Times New Roman" w:hAnsi="Times New Roman"/>
          <w:sz w:val="28"/>
          <w:szCs w:val="28"/>
        </w:rPr>
        <w:t>ня вірної та поступової державної економічної політики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яка і стала тим самим рушієм та ініціювала і стимулювала процес переходу до світового ринку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поступового відкриття економіки та технологічного модернізування національних виробництв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також інфрастру</w:t>
      </w:r>
      <w:r>
        <w:rPr>
          <w:rFonts w:ascii="Times New Roman" w:hAnsi="Times New Roman"/>
          <w:sz w:val="28"/>
          <w:szCs w:val="28"/>
        </w:rPr>
        <w:t>ктур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На сьогоденному етапі розвитку світового економічного простору неможливо роздивляти інвестиційні політики країн у відриві від державної політики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тому важливо розуміння такого стрімкого розвитку і вживаних заходів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завдяки яким КНР досягає сталого ек</w:t>
      </w:r>
      <w:r>
        <w:rPr>
          <w:rFonts w:ascii="Times New Roman" w:hAnsi="Times New Roman"/>
          <w:sz w:val="28"/>
          <w:szCs w:val="28"/>
        </w:rPr>
        <w:t>ономічного зростання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У Китаї був застосований чотирьохетапний перехід до ринкової економіки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кожен із етапів відрізняється основними напрямами політики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застосованими інструментами та ефектами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які вони мали на економіку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Перший етап включав у себе перехід до більш активного впливу на виробництво </w:t>
      </w: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</w:rPr>
        <w:t>були введені планові об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єми виробництва на приватних та державних підприємствах у більшості секторах китайської економіки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Другий етап був орієнтований на доцільне розподілення </w:t>
      </w:r>
      <w:r>
        <w:rPr>
          <w:rFonts w:ascii="Times New Roman" w:hAnsi="Times New Roman"/>
          <w:sz w:val="28"/>
          <w:szCs w:val="28"/>
        </w:rPr>
        <w:t>ресурсів серед виробництвами і підприємствами та на зниження вартості виробничих матеріалів у наступні роки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За рахунок того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об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єми виробництва нестанно і швидко зростали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частина підприємств перейшла на державне забезпечення </w:t>
      </w:r>
      <w:r>
        <w:rPr>
          <w:rFonts w:ascii="Times New Roman" w:hAnsi="Times New Roman"/>
          <w:sz w:val="28"/>
          <w:szCs w:val="28"/>
        </w:rPr>
        <w:lastRenderedPageBreak/>
        <w:t>замість вже існуючого прив</w:t>
      </w:r>
      <w:r>
        <w:rPr>
          <w:rFonts w:ascii="Times New Roman" w:hAnsi="Times New Roman"/>
          <w:sz w:val="28"/>
          <w:szCs w:val="28"/>
        </w:rPr>
        <w:t>атного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як результат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ефективно стимулювати економічне зростання у Китаї у </w:t>
      </w:r>
      <w:r>
        <w:rPr>
          <w:rFonts w:ascii="Times New Roman" w:hAnsi="Times New Roman"/>
          <w:sz w:val="28"/>
          <w:szCs w:val="28"/>
        </w:rPr>
        <w:t>1980-</w:t>
      </w:r>
      <w:r>
        <w:rPr>
          <w:rFonts w:ascii="Times New Roman" w:hAnsi="Times New Roman"/>
          <w:sz w:val="28"/>
          <w:szCs w:val="28"/>
        </w:rPr>
        <w:t>ті роки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Також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була введення інституційна політика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допомогла у адаптації національної продукції на міжнародних ринках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у свою чергу стимулювало експорт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Третій етап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розпочавшийся у </w:t>
      </w:r>
      <w:r>
        <w:rPr>
          <w:rFonts w:ascii="Times New Roman" w:hAnsi="Times New Roman"/>
          <w:sz w:val="28"/>
          <w:szCs w:val="28"/>
        </w:rPr>
        <w:t xml:space="preserve">1994 </w:t>
      </w:r>
      <w:r>
        <w:rPr>
          <w:rFonts w:ascii="Times New Roman" w:hAnsi="Times New Roman"/>
          <w:sz w:val="28"/>
          <w:szCs w:val="28"/>
        </w:rPr>
        <w:t>році відрізнявся запровадженням нової “соціалістичної ринкової економіки”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спровокувала зростання конкурентоспроможності китайських товарів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також поширення китайського експорту у світі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Зростали також і об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 xml:space="preserve">єми прямих іноземних </w:t>
      </w:r>
      <w:r>
        <w:rPr>
          <w:rFonts w:ascii="Times New Roman" w:hAnsi="Times New Roman"/>
          <w:sz w:val="28"/>
          <w:szCs w:val="28"/>
        </w:rPr>
        <w:t>інвестицій з Китаю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робили китайські фірми молодими але дуже конкурентоспроможними гравцями на іноземних ринках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На даному етапі було задіяно чимало різного роду фіскальних та фінансових заходів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були введені також програми націлені на розвиток НДДКР та</w:t>
      </w:r>
      <w:r>
        <w:rPr>
          <w:rFonts w:ascii="Times New Roman" w:hAnsi="Times New Roman"/>
          <w:sz w:val="28"/>
          <w:szCs w:val="28"/>
        </w:rPr>
        <w:t xml:space="preserve"> технологічних промисловостей та послуг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сьогоднішній день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Китайський уряд заявляє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що до </w:t>
      </w:r>
      <w:r>
        <w:rPr>
          <w:rFonts w:ascii="Times New Roman" w:hAnsi="Times New Roman"/>
          <w:sz w:val="28"/>
          <w:szCs w:val="28"/>
        </w:rPr>
        <w:t xml:space="preserve">2050 </w:t>
      </w:r>
      <w:r>
        <w:rPr>
          <w:rFonts w:ascii="Times New Roman" w:hAnsi="Times New Roman"/>
          <w:sz w:val="28"/>
          <w:szCs w:val="28"/>
        </w:rPr>
        <w:t xml:space="preserve">року Китай посяде місце “Передової світової технологічної держави” </w:t>
      </w:r>
      <w:r>
        <w:rPr>
          <w:rFonts w:ascii="Times New Roman" w:hAnsi="Times New Roman"/>
          <w:sz w:val="28"/>
          <w:szCs w:val="28"/>
          <w:lang w:val="pt-PT"/>
        </w:rPr>
        <w:t xml:space="preserve">[7]. </w:t>
      </w:r>
      <w:r>
        <w:rPr>
          <w:rFonts w:ascii="Times New Roman" w:hAnsi="Times New Roman"/>
          <w:sz w:val="28"/>
          <w:szCs w:val="28"/>
        </w:rPr>
        <w:t>Згідно з даними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відображеними на </w:t>
      </w:r>
      <w:r>
        <w:rPr>
          <w:rFonts w:ascii="Times New Roman" w:hAnsi="Times New Roman"/>
          <w:sz w:val="28"/>
          <w:szCs w:val="28"/>
        </w:rPr>
        <w:t xml:space="preserve">OECD, </w:t>
      </w:r>
      <w:r>
        <w:rPr>
          <w:rFonts w:ascii="Times New Roman" w:hAnsi="Times New Roman"/>
          <w:sz w:val="28"/>
          <w:szCs w:val="28"/>
        </w:rPr>
        <w:t xml:space="preserve">протягом останніх </w:t>
      </w:r>
      <w:r>
        <w:rPr>
          <w:rFonts w:ascii="Times New Roman" w:hAnsi="Times New Roman"/>
          <w:sz w:val="28"/>
          <w:szCs w:val="28"/>
        </w:rPr>
        <w:t>20-</w:t>
      </w:r>
      <w:r>
        <w:rPr>
          <w:rFonts w:ascii="Times New Roman" w:hAnsi="Times New Roman"/>
          <w:sz w:val="28"/>
          <w:szCs w:val="28"/>
        </w:rPr>
        <w:t>ти років можна побачити</w:t>
      </w:r>
      <w:r>
        <w:rPr>
          <w:rFonts w:ascii="Times New Roman" w:hAnsi="Times New Roman"/>
          <w:sz w:val="28"/>
          <w:szCs w:val="28"/>
        </w:rPr>
        <w:t xml:space="preserve"> збільшення долі витрат від ВВП КНР на розвиток НІОКР від </w:t>
      </w:r>
      <w:r>
        <w:rPr>
          <w:rFonts w:ascii="Times New Roman" w:hAnsi="Times New Roman"/>
          <w:sz w:val="28"/>
          <w:szCs w:val="28"/>
        </w:rPr>
        <w:t xml:space="preserve">0,9% </w:t>
      </w:r>
      <w:r>
        <w:rPr>
          <w:rFonts w:ascii="Times New Roman" w:hAnsi="Times New Roman"/>
          <w:sz w:val="28"/>
          <w:szCs w:val="28"/>
        </w:rPr>
        <w:t xml:space="preserve">на початку періоду та до майже </w:t>
      </w:r>
      <w:r>
        <w:rPr>
          <w:rFonts w:ascii="Times New Roman" w:hAnsi="Times New Roman"/>
          <w:sz w:val="28"/>
          <w:szCs w:val="28"/>
        </w:rPr>
        <w:t>3%</w:t>
      </w:r>
      <w:r>
        <w:rPr>
          <w:rFonts w:ascii="Times New Roman" w:hAnsi="Times New Roman"/>
          <w:sz w:val="28"/>
          <w:szCs w:val="28"/>
        </w:rPr>
        <w:t>на сьогоднішній день</w:t>
      </w:r>
      <w:r>
        <w:rPr>
          <w:rFonts w:ascii="Times New Roman" w:hAnsi="Times New Roman"/>
          <w:sz w:val="28"/>
          <w:szCs w:val="28"/>
        </w:rPr>
        <w:t>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Відслідкувати витрати на розвиток інноваційної діяльності та технологій таких гігантів як США та КНР протягом періоду </w:t>
      </w:r>
      <w:r>
        <w:rPr>
          <w:rFonts w:ascii="Times New Roman" w:hAnsi="Times New Roman"/>
          <w:sz w:val="28"/>
          <w:szCs w:val="28"/>
        </w:rPr>
        <w:t xml:space="preserve">2000-2020 </w:t>
      </w:r>
      <w:r>
        <w:rPr>
          <w:rFonts w:ascii="Times New Roman" w:hAnsi="Times New Roman"/>
          <w:sz w:val="28"/>
          <w:szCs w:val="28"/>
        </w:rPr>
        <w:t xml:space="preserve">років </w:t>
      </w:r>
      <w:r>
        <w:rPr>
          <w:rFonts w:ascii="Times New Roman" w:hAnsi="Times New Roman"/>
          <w:sz w:val="28"/>
          <w:szCs w:val="28"/>
        </w:rPr>
        <w:t>можна нижче на Рис</w:t>
      </w:r>
      <w:r>
        <w:rPr>
          <w:rFonts w:ascii="Times New Roman" w:hAnsi="Times New Roman"/>
          <w:sz w:val="28"/>
          <w:szCs w:val="28"/>
        </w:rPr>
        <w:t>. 1.1.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drawing>
          <wp:anchor distT="0" distB="0" distL="152400" distR="152400" simplePos="0" relativeHeight="251659264" behindDoc="0" locked="0" layoutInCell="1" allowOverlap="1">
            <wp:simplePos x="0" y="0"/>
            <wp:positionH relativeFrom="margin">
              <wp:posOffset>247150</wp:posOffset>
            </wp:positionH>
            <wp:positionV relativeFrom="line">
              <wp:posOffset>686866</wp:posOffset>
            </wp:positionV>
            <wp:extent cx="6126407" cy="1842741"/>
            <wp:effectExtent l="0" t="0" r="0" b="0"/>
            <wp:wrapTopAndBottom distT="0" distB="0"/>
            <wp:docPr id="1073741825" name="officeArt object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anchor>
        </w:drawing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t>Рис</w:t>
      </w:r>
      <w:r>
        <w:rPr>
          <w:rFonts w:ascii="Times New Roman" w:hAnsi="Times New Roman"/>
          <w:i/>
          <w:iCs/>
          <w:sz w:val="28"/>
          <w:szCs w:val="28"/>
        </w:rPr>
        <w:t xml:space="preserve">. 1.1. </w:t>
      </w:r>
      <w:r>
        <w:rPr>
          <w:rFonts w:ascii="Times New Roman" w:hAnsi="Times New Roman"/>
          <w:i/>
          <w:iCs/>
          <w:sz w:val="28"/>
          <w:szCs w:val="28"/>
        </w:rPr>
        <w:t>Витрати США та Китаю на розвиток НІОКР у відсотковому свівідношенні до ВВП</w:t>
      </w:r>
      <w:r>
        <w:rPr>
          <w:rFonts w:ascii="Times New Roman" w:hAnsi="Times New Roman"/>
          <w:i/>
          <w:iCs/>
          <w:sz w:val="28"/>
          <w:szCs w:val="28"/>
        </w:rPr>
        <w:t xml:space="preserve">. 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t>Джерело</w:t>
      </w:r>
      <w:r>
        <w:rPr>
          <w:rFonts w:ascii="Times New Roman" w:hAnsi="Times New Roman"/>
          <w:i/>
          <w:iCs/>
          <w:sz w:val="28"/>
          <w:szCs w:val="28"/>
        </w:rPr>
        <w:t xml:space="preserve">: </w:t>
      </w:r>
      <w:r>
        <w:rPr>
          <w:rFonts w:ascii="Times New Roman" w:hAnsi="Times New Roman"/>
          <w:i/>
          <w:iCs/>
          <w:sz w:val="28"/>
          <w:szCs w:val="28"/>
        </w:rPr>
        <w:t>складено автором на основі джерел</w:t>
      </w:r>
      <w:r>
        <w:rPr>
          <w:rFonts w:ascii="Times New Roman" w:hAnsi="Times New Roman"/>
          <w:i/>
          <w:iCs/>
          <w:sz w:val="28"/>
          <w:szCs w:val="28"/>
        </w:rPr>
        <w:t>: [</w:t>
      </w:r>
      <w:r w:rsidRPr="00876CC4">
        <w:rPr>
          <w:rFonts w:ascii="Times New Roman" w:hAnsi="Times New Roman"/>
          <w:i/>
          <w:iCs/>
          <w:sz w:val="28"/>
          <w:szCs w:val="28"/>
          <w:lang w:val="ru-RU"/>
        </w:rPr>
        <w:t>15</w:t>
      </w:r>
      <w:r>
        <w:rPr>
          <w:rFonts w:ascii="Times New Roman" w:hAnsi="Times New Roman"/>
          <w:i/>
          <w:iCs/>
          <w:sz w:val="28"/>
          <w:szCs w:val="28"/>
        </w:rPr>
        <w:t>].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Навіть у </w:t>
      </w:r>
      <w:r>
        <w:rPr>
          <w:rFonts w:ascii="Times New Roman" w:hAnsi="Times New Roman"/>
          <w:sz w:val="28"/>
          <w:szCs w:val="28"/>
        </w:rPr>
        <w:t xml:space="preserve">2021 </w:t>
      </w:r>
      <w:r>
        <w:rPr>
          <w:rFonts w:ascii="Times New Roman" w:hAnsi="Times New Roman"/>
          <w:sz w:val="28"/>
          <w:szCs w:val="28"/>
        </w:rPr>
        <w:t>році Китай є одним із найбільших інвесторів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Об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єми прямих іноземних інвестиці</w:t>
      </w:r>
      <w:r>
        <w:rPr>
          <w:rFonts w:ascii="Times New Roman" w:hAnsi="Times New Roman"/>
          <w:sz w:val="28"/>
          <w:szCs w:val="28"/>
        </w:rPr>
        <w:t>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які надходять з підприємств Китаю зосереджені на групі із </w:t>
      </w:r>
      <w:r>
        <w:rPr>
          <w:rFonts w:ascii="Times New Roman" w:hAnsi="Times New Roman"/>
          <w:sz w:val="28"/>
          <w:szCs w:val="28"/>
        </w:rPr>
        <w:t xml:space="preserve">120 </w:t>
      </w:r>
      <w:r>
        <w:rPr>
          <w:rFonts w:ascii="Times New Roman" w:hAnsi="Times New Roman"/>
          <w:sz w:val="28"/>
          <w:szCs w:val="28"/>
        </w:rPr>
        <w:t>державних підприємств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які вважаються достатньо “зрілими” для інвестиційної експансії з погляду уряду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Відтік прямих інвестицій став для Китаю дуже гарним методом для подальшого зросту міжнар</w:t>
      </w:r>
      <w:r>
        <w:rPr>
          <w:rFonts w:ascii="Times New Roman" w:hAnsi="Times New Roman"/>
          <w:sz w:val="28"/>
          <w:szCs w:val="28"/>
        </w:rPr>
        <w:t>одної активності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Була сформована та задіяна також спеціальна експансійна політика для стимуляції зростання об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ємів прямих іноземних інвестицій зі сторони китайських корпорацій та фірм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Дана політика була запропонована державним урядом і досі є регульованою</w:t>
      </w:r>
      <w:r>
        <w:rPr>
          <w:rFonts w:ascii="Times New Roman" w:hAnsi="Times New Roman"/>
          <w:sz w:val="28"/>
          <w:szCs w:val="28"/>
        </w:rPr>
        <w:t xml:space="preserve"> на рівні вищих інституційних структур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Поточна політика включає ряд заходів</w:t>
      </w:r>
      <w:r>
        <w:rPr>
          <w:rFonts w:ascii="Times New Roman" w:hAnsi="Times New Roman"/>
          <w:sz w:val="28"/>
          <w:szCs w:val="28"/>
        </w:rPr>
        <w:t xml:space="preserve">,  </w:t>
      </w:r>
      <w:r>
        <w:rPr>
          <w:rFonts w:ascii="Times New Roman" w:hAnsi="Times New Roman"/>
          <w:sz w:val="28"/>
          <w:szCs w:val="28"/>
        </w:rPr>
        <w:t>які включають у себе</w:t>
      </w:r>
      <w:r>
        <w:rPr>
          <w:rFonts w:ascii="Times New Roman" w:hAnsi="Times New Roman"/>
          <w:sz w:val="28"/>
          <w:szCs w:val="28"/>
        </w:rPr>
        <w:t>:</w:t>
      </w:r>
    </w:p>
    <w:p w:rsidR="005639DF" w:rsidRDefault="00876CC4">
      <w:pPr>
        <w:pStyle w:val="Body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фінансову на податкову політики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наприклад фіксований обмінний курс китайського юаню</w:t>
      </w:r>
      <w:r>
        <w:rPr>
          <w:rFonts w:ascii="Times New Roman" w:hAnsi="Times New Roman"/>
          <w:sz w:val="28"/>
          <w:szCs w:val="28"/>
        </w:rPr>
        <w:t>);</w:t>
      </w:r>
    </w:p>
    <w:p w:rsidR="005639DF" w:rsidRDefault="00876CC4">
      <w:pPr>
        <w:pStyle w:val="Body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механізми захисту від ризиків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наприклад страхові субсидії</w:t>
      </w:r>
      <w:r>
        <w:rPr>
          <w:rFonts w:ascii="Times New Roman" w:hAnsi="Times New Roman"/>
          <w:sz w:val="28"/>
          <w:szCs w:val="28"/>
        </w:rPr>
        <w:t>);</w:t>
      </w:r>
    </w:p>
    <w:p w:rsidR="005639DF" w:rsidRDefault="00876CC4">
      <w:pPr>
        <w:pStyle w:val="Body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>екомендації для інвесторів</w:t>
      </w:r>
      <w:r>
        <w:rPr>
          <w:rFonts w:ascii="Times New Roman" w:hAnsi="Times New Roman"/>
          <w:sz w:val="28"/>
          <w:szCs w:val="28"/>
        </w:rPr>
        <w:t xml:space="preserve">; </w:t>
      </w:r>
    </w:p>
    <w:p w:rsidR="005639DF" w:rsidRDefault="00876CC4">
      <w:pPr>
        <w:pStyle w:val="Body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компенсаційні заходи для китайських інвесторів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та інші</w:t>
      </w:r>
      <w:r>
        <w:rPr>
          <w:rFonts w:ascii="Times New Roman" w:hAnsi="Times New Roman"/>
          <w:sz w:val="28"/>
          <w:szCs w:val="28"/>
        </w:rPr>
        <w:t>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у свою чергу зовсім не відстає від свого суперника КНР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американські компанії роздивляються на світовому ринку як лідери інноваційного сектору економіки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Науково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ехнічні проекти та інноваційні впровадження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організаційні та соціальні інновації приваблюють увагу міжнародних партнерів і сьогодні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Хоча азіатські сусіди зовсім не відстають у розвиненості своїх систем і правильності застосування систем та заходів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США т</w:t>
      </w:r>
      <w:r>
        <w:rPr>
          <w:rFonts w:ascii="Times New Roman" w:hAnsi="Times New Roman"/>
          <w:sz w:val="28"/>
          <w:szCs w:val="28"/>
        </w:rPr>
        <w:t>а американські корпорації протягом довгих років залишаються найбільш вірно організованою системою організації соціально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економічної діяльності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Високий попит на акції американських компаній відображає лояльність да провідні позиції у світовій економіці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</w:t>
      </w:r>
      <w:r>
        <w:rPr>
          <w:rFonts w:ascii="Times New Roman" w:hAnsi="Times New Roman"/>
          <w:sz w:val="28"/>
          <w:szCs w:val="28"/>
        </w:rPr>
        <w:t>атребуваність американських акцій на світових фондових ринках та актуальність даного роду інвестицій можна прослідкувати навіть у Індексі Доу Джонса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у складі розрахунку котрого більшість позицій все ще займають ТНК 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А США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у свою чергу </w:t>
      </w:r>
      <w:r>
        <w:rPr>
          <w:rFonts w:ascii="Times New Roman" w:hAnsi="Times New Roman"/>
          <w:sz w:val="28"/>
          <w:szCs w:val="28"/>
        </w:rPr>
        <w:lastRenderedPageBreak/>
        <w:t>залишається лід</w:t>
      </w:r>
      <w:r>
        <w:rPr>
          <w:rFonts w:ascii="Times New Roman" w:hAnsi="Times New Roman"/>
          <w:sz w:val="28"/>
          <w:szCs w:val="28"/>
        </w:rPr>
        <w:t>ером за часткою капіталізації на ринку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За останніми даними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станом на </w:t>
      </w:r>
      <w:r>
        <w:rPr>
          <w:rFonts w:ascii="Times New Roman" w:hAnsi="Times New Roman"/>
          <w:sz w:val="28"/>
          <w:szCs w:val="28"/>
        </w:rPr>
        <w:t xml:space="preserve">31 </w:t>
      </w:r>
      <w:r>
        <w:rPr>
          <w:rFonts w:ascii="Times New Roman" w:hAnsi="Times New Roman"/>
          <w:sz w:val="28"/>
          <w:szCs w:val="28"/>
        </w:rPr>
        <w:t xml:space="preserve">грудн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</w:rPr>
        <w:t xml:space="preserve">року доля капіталізації США у світовій економіці складала </w:t>
      </w:r>
      <w:r>
        <w:rPr>
          <w:rFonts w:ascii="Times New Roman" w:hAnsi="Times New Roman"/>
          <w:sz w:val="28"/>
          <w:szCs w:val="28"/>
          <w:lang w:val="pt-PT"/>
        </w:rPr>
        <w:t>56% [9].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США також не відстає від Китаю і в області технологічного розвитку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Згідно з даними </w:t>
      </w:r>
      <w:r>
        <w:rPr>
          <w:rFonts w:ascii="Times New Roman" w:hAnsi="Times New Roman"/>
          <w:sz w:val="28"/>
          <w:szCs w:val="28"/>
        </w:rPr>
        <w:t xml:space="preserve">OECD, </w:t>
      </w:r>
      <w:r>
        <w:rPr>
          <w:rFonts w:ascii="Times New Roman" w:hAnsi="Times New Roman"/>
          <w:sz w:val="28"/>
          <w:szCs w:val="28"/>
        </w:rPr>
        <w:t>протягом остан</w:t>
      </w:r>
      <w:r>
        <w:rPr>
          <w:rFonts w:ascii="Times New Roman" w:hAnsi="Times New Roman"/>
          <w:sz w:val="28"/>
          <w:szCs w:val="28"/>
        </w:rPr>
        <w:t xml:space="preserve">ніх </w:t>
      </w:r>
      <w:r>
        <w:rPr>
          <w:rFonts w:ascii="Times New Roman" w:hAnsi="Times New Roman"/>
          <w:sz w:val="28"/>
          <w:szCs w:val="28"/>
        </w:rPr>
        <w:t>20-</w:t>
      </w:r>
      <w:r>
        <w:rPr>
          <w:rFonts w:ascii="Times New Roman" w:hAnsi="Times New Roman"/>
          <w:sz w:val="28"/>
          <w:szCs w:val="28"/>
        </w:rPr>
        <w:t>ти років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США щорічно витрачає близько </w:t>
      </w:r>
      <w:r>
        <w:rPr>
          <w:rFonts w:ascii="Times New Roman" w:hAnsi="Times New Roman"/>
          <w:sz w:val="28"/>
          <w:szCs w:val="28"/>
        </w:rPr>
        <w:t xml:space="preserve">3% </w:t>
      </w:r>
      <w:r>
        <w:rPr>
          <w:rFonts w:ascii="Times New Roman" w:hAnsi="Times New Roman"/>
          <w:sz w:val="28"/>
          <w:szCs w:val="28"/>
        </w:rPr>
        <w:t>від ВВП на розвиток технологій та інновацій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Інноваційні механізми американської економіки закладені у правильному поєднанні діяльності компаній та наукових організацій різного розміру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Великі корпорації гра</w:t>
      </w:r>
      <w:r>
        <w:rPr>
          <w:rFonts w:ascii="Times New Roman" w:hAnsi="Times New Roman"/>
          <w:sz w:val="28"/>
          <w:szCs w:val="28"/>
        </w:rPr>
        <w:t>ють дуже важливу роль у організації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об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єднанні  та координації в інноваційному процесі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ТНК США також дуже часто займають місце головних суб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єктів в економічних кластерах та наукових парках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які націлені на об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єднання різного роду інноваційних компаній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організацій та університетів на одній території для подальшого виконання наукової діяльності</w:t>
      </w:r>
      <w:r>
        <w:rPr>
          <w:rFonts w:ascii="Times New Roman" w:hAnsi="Times New Roman"/>
          <w:sz w:val="28"/>
          <w:szCs w:val="28"/>
        </w:rPr>
        <w:t>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Спираючись на дослідження проведене журналом “</w:t>
      </w:r>
      <w:r>
        <w:rPr>
          <w:rFonts w:ascii="Times New Roman" w:hAnsi="Times New Roman"/>
          <w:sz w:val="28"/>
          <w:szCs w:val="28"/>
        </w:rPr>
        <w:t>Fortune</w:t>
      </w:r>
      <w:r>
        <w:rPr>
          <w:rFonts w:ascii="Times New Roman" w:hAnsi="Times New Roman"/>
          <w:sz w:val="28"/>
          <w:szCs w:val="28"/>
        </w:rPr>
        <w:t>”</w:t>
      </w:r>
      <w:r>
        <w:rPr>
          <w:rFonts w:ascii="Times New Roman" w:hAnsi="Times New Roman"/>
          <w:sz w:val="28"/>
          <w:szCs w:val="28"/>
          <w:lang w:val="pt-PT"/>
        </w:rPr>
        <w:t xml:space="preserve">[12], </w:t>
      </w:r>
      <w:r>
        <w:rPr>
          <w:rFonts w:ascii="Times New Roman" w:hAnsi="Times New Roman"/>
          <w:sz w:val="28"/>
          <w:szCs w:val="28"/>
        </w:rPr>
        <w:t xml:space="preserve">який щорічно визначає </w:t>
      </w:r>
      <w:r>
        <w:rPr>
          <w:rFonts w:ascii="Times New Roman" w:hAnsi="Times New Roman"/>
          <w:sz w:val="28"/>
          <w:szCs w:val="28"/>
        </w:rPr>
        <w:t xml:space="preserve">500 </w:t>
      </w:r>
      <w:r>
        <w:rPr>
          <w:rFonts w:ascii="Times New Roman" w:hAnsi="Times New Roman"/>
          <w:sz w:val="28"/>
          <w:szCs w:val="28"/>
        </w:rPr>
        <w:t>найбільших компаній світу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ми можемо побачити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американські компанії займ</w:t>
      </w:r>
      <w:r>
        <w:rPr>
          <w:rFonts w:ascii="Times New Roman" w:hAnsi="Times New Roman"/>
          <w:sz w:val="28"/>
          <w:szCs w:val="28"/>
        </w:rPr>
        <w:t>ають провідні місця у даному рейтингу у першій двадцятці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Цей журнал також пише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що дані компанії мають доходність розміром </w:t>
      </w:r>
      <w:r>
        <w:rPr>
          <w:rFonts w:ascii="Times New Roman" w:hAnsi="Times New Roman"/>
          <w:sz w:val="28"/>
          <w:szCs w:val="28"/>
        </w:rPr>
        <w:t xml:space="preserve">33,3 </w:t>
      </w:r>
      <w:r>
        <w:rPr>
          <w:rFonts w:ascii="Times New Roman" w:hAnsi="Times New Roman"/>
          <w:sz w:val="28"/>
          <w:szCs w:val="28"/>
        </w:rPr>
        <w:t>трлн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Найбільшими та найдоходнішими американськими ТНК у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</w:rPr>
        <w:t>році виступають</w:t>
      </w:r>
      <w:r>
        <w:rPr>
          <w:rFonts w:ascii="Times New Roman" w:hAnsi="Times New Roman"/>
          <w:sz w:val="28"/>
          <w:szCs w:val="28"/>
        </w:rPr>
        <w:t>:</w:t>
      </w:r>
    </w:p>
    <w:p w:rsidR="005639DF" w:rsidRDefault="00876CC4">
      <w:pPr>
        <w:pStyle w:val="Body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de-DE"/>
        </w:rPr>
      </w:pPr>
      <w:r>
        <w:rPr>
          <w:rFonts w:ascii="Times New Roman" w:hAnsi="Times New Roman"/>
          <w:sz w:val="28"/>
          <w:szCs w:val="28"/>
          <w:lang w:val="de-DE"/>
        </w:rPr>
        <w:t xml:space="preserve">Walmart  - </w:t>
      </w:r>
      <w:r>
        <w:rPr>
          <w:rFonts w:ascii="Times New Roman" w:hAnsi="Times New Roman"/>
          <w:sz w:val="28"/>
          <w:szCs w:val="28"/>
        </w:rPr>
        <w:t>компанія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яка займає перше</w:t>
      </w:r>
      <w:r>
        <w:rPr>
          <w:rFonts w:ascii="Times New Roman" w:hAnsi="Times New Roman"/>
          <w:sz w:val="28"/>
          <w:szCs w:val="28"/>
        </w:rPr>
        <w:t xml:space="preserve"> місце у даному рейтингу починаючи з </w:t>
      </w:r>
      <w:r>
        <w:rPr>
          <w:rFonts w:ascii="Times New Roman" w:hAnsi="Times New Roman"/>
          <w:sz w:val="28"/>
          <w:szCs w:val="28"/>
        </w:rPr>
        <w:t xml:space="preserve">2013 </w:t>
      </w:r>
      <w:r>
        <w:rPr>
          <w:rFonts w:ascii="Times New Roman" w:hAnsi="Times New Roman"/>
          <w:sz w:val="28"/>
          <w:szCs w:val="28"/>
          <w:lang w:val="ru-RU"/>
        </w:rPr>
        <w:t>року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Цей ринковий гігант володіє активами на </w:t>
      </w:r>
      <w:r>
        <w:rPr>
          <w:rFonts w:ascii="Times New Roman" w:hAnsi="Times New Roman"/>
          <w:sz w:val="28"/>
          <w:szCs w:val="28"/>
        </w:rPr>
        <w:t xml:space="preserve">237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США із щорічними доходами у розмірі </w:t>
      </w:r>
      <w:r>
        <w:rPr>
          <w:rFonts w:ascii="Times New Roman" w:hAnsi="Times New Roman"/>
          <w:sz w:val="28"/>
          <w:szCs w:val="28"/>
        </w:rPr>
        <w:t xml:space="preserve">523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>;</w:t>
      </w:r>
    </w:p>
    <w:p w:rsidR="005639DF" w:rsidRDefault="00876CC4">
      <w:pPr>
        <w:pStyle w:val="Body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Amazon - </w:t>
      </w:r>
      <w:r>
        <w:rPr>
          <w:rFonts w:ascii="Times New Roman" w:hAnsi="Times New Roman"/>
          <w:sz w:val="28"/>
          <w:szCs w:val="28"/>
        </w:rPr>
        <w:t xml:space="preserve">займає </w:t>
      </w:r>
      <w:r>
        <w:rPr>
          <w:rFonts w:ascii="Times New Roman" w:hAnsi="Times New Roman"/>
          <w:sz w:val="28"/>
          <w:szCs w:val="28"/>
        </w:rPr>
        <w:t xml:space="preserve">9 </w:t>
      </w:r>
      <w:r>
        <w:rPr>
          <w:rFonts w:ascii="Times New Roman" w:hAnsi="Times New Roman"/>
          <w:sz w:val="28"/>
          <w:szCs w:val="28"/>
        </w:rPr>
        <w:t>місце у рейтингу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з активами у </w:t>
      </w:r>
      <w:r>
        <w:rPr>
          <w:rFonts w:ascii="Times New Roman" w:hAnsi="Times New Roman"/>
          <w:sz w:val="28"/>
          <w:szCs w:val="28"/>
        </w:rPr>
        <w:t xml:space="preserve">225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Дохідність корпорації на рік складає </w:t>
      </w:r>
      <w:r>
        <w:rPr>
          <w:rFonts w:ascii="Times New Roman" w:hAnsi="Times New Roman"/>
          <w:sz w:val="28"/>
          <w:szCs w:val="28"/>
        </w:rPr>
        <w:t xml:space="preserve">280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>;</w:t>
      </w:r>
    </w:p>
    <w:p w:rsidR="005639DF" w:rsidRDefault="00876CC4">
      <w:pPr>
        <w:pStyle w:val="Body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Apple</w:t>
      </w:r>
      <w:r w:rsidRPr="00876CC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Inc</w:t>
      </w:r>
      <w:r w:rsidRPr="00876CC4">
        <w:rPr>
          <w:rFonts w:ascii="Times New Roman" w:hAnsi="Times New Roman"/>
          <w:sz w:val="28"/>
          <w:szCs w:val="28"/>
        </w:rPr>
        <w:t xml:space="preserve">. - </w:t>
      </w:r>
      <w:r>
        <w:rPr>
          <w:rFonts w:ascii="Times New Roman" w:hAnsi="Times New Roman"/>
          <w:sz w:val="28"/>
          <w:szCs w:val="28"/>
        </w:rPr>
        <w:t xml:space="preserve">капіталізація </w:t>
      </w:r>
      <w:r>
        <w:rPr>
          <w:rFonts w:ascii="Times New Roman" w:hAnsi="Times New Roman"/>
          <w:sz w:val="28"/>
          <w:szCs w:val="28"/>
        </w:rPr>
        <w:t xml:space="preserve">338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 w:rsidRPr="00876CC4">
        <w:rPr>
          <w:rFonts w:ascii="Times New Roman" w:hAnsi="Times New Roman"/>
          <w:sz w:val="28"/>
          <w:szCs w:val="28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у той час як дохідність складає </w:t>
      </w:r>
      <w:r>
        <w:rPr>
          <w:rFonts w:ascii="Times New Roman" w:hAnsi="Times New Roman"/>
          <w:sz w:val="28"/>
          <w:szCs w:val="28"/>
        </w:rPr>
        <w:t xml:space="preserve">260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; </w:t>
      </w:r>
    </w:p>
    <w:p w:rsidR="005639DF" w:rsidRDefault="00876CC4">
      <w:pPr>
        <w:pStyle w:val="Body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CVS Health - </w:t>
      </w:r>
      <w:r>
        <w:rPr>
          <w:rFonts w:ascii="Times New Roman" w:hAnsi="Times New Roman"/>
          <w:sz w:val="28"/>
          <w:szCs w:val="28"/>
        </w:rPr>
        <w:t>об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 xml:space="preserve">єми активів у володінні </w:t>
      </w:r>
      <w:r>
        <w:rPr>
          <w:rFonts w:ascii="Times New Roman" w:hAnsi="Times New Roman"/>
          <w:sz w:val="28"/>
          <w:szCs w:val="28"/>
        </w:rPr>
        <w:t xml:space="preserve">- 222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а дохідність корпорації </w:t>
      </w:r>
      <w:r>
        <w:rPr>
          <w:rFonts w:ascii="Times New Roman" w:hAnsi="Times New Roman"/>
          <w:sz w:val="28"/>
          <w:szCs w:val="28"/>
        </w:rPr>
        <w:t xml:space="preserve">- 256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США на рік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У виграшному положенні знаходяться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у більшості своїй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ринкові гіганти завдяки діяльності за кордоном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яка приносить гарні фінансові результати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Також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незважаючи на розміри та глобальний вплив американських корпорацій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потрібно </w:t>
      </w:r>
      <w:r>
        <w:rPr>
          <w:rFonts w:ascii="Times New Roman" w:hAnsi="Times New Roman"/>
          <w:sz w:val="28"/>
          <w:szCs w:val="28"/>
        </w:rPr>
        <w:t>зауважити більшу стійкість американських ТНК до кризових ситуацій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Також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дуже важливо зауважити та проаналізувати такий показник як Міжнародна інвестиційна позиція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Обидві країни мають стійкі та стабільні значення даного показника протягом багатьох років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Міжнародна інвестиційна позиція як показник відображає кількість іноземних активів країни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не враховуючи її боргових зобов’язань перед іншими країнами світу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Тобто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відображає найчіткіше картину інвестиційної діяльності китайських та американських ТНК та</w:t>
      </w:r>
      <w:r>
        <w:rPr>
          <w:rFonts w:ascii="Times New Roman" w:hAnsi="Times New Roman"/>
          <w:sz w:val="28"/>
          <w:szCs w:val="28"/>
        </w:rPr>
        <w:t xml:space="preserve"> приватних підприємств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На Рис</w:t>
      </w:r>
      <w:r>
        <w:rPr>
          <w:rFonts w:ascii="Times New Roman" w:hAnsi="Times New Roman"/>
          <w:sz w:val="28"/>
          <w:szCs w:val="28"/>
        </w:rPr>
        <w:t xml:space="preserve">. 1.2, </w:t>
      </w:r>
      <w:r>
        <w:rPr>
          <w:rFonts w:ascii="Times New Roman" w:hAnsi="Times New Roman"/>
          <w:sz w:val="28"/>
          <w:szCs w:val="28"/>
        </w:rPr>
        <w:t xml:space="preserve">зображеному нижче можна прослідкувати динаміку даного показника у США та Китаї протягом останніх </w:t>
      </w:r>
      <w:r>
        <w:rPr>
          <w:rFonts w:ascii="Times New Roman" w:hAnsi="Times New Roman"/>
          <w:sz w:val="28"/>
          <w:szCs w:val="28"/>
        </w:rPr>
        <w:t xml:space="preserve">20 </w:t>
      </w:r>
      <w:r>
        <w:rPr>
          <w:rFonts w:ascii="Times New Roman" w:hAnsi="Times New Roman"/>
          <w:sz w:val="28"/>
          <w:szCs w:val="28"/>
        </w:rPr>
        <w:t>років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t>Рис</w:t>
      </w:r>
      <w:r>
        <w:rPr>
          <w:rFonts w:ascii="Times New Roman" w:hAnsi="Times New Roman"/>
          <w:i/>
          <w:iCs/>
          <w:sz w:val="28"/>
          <w:szCs w:val="28"/>
        </w:rPr>
        <w:t xml:space="preserve">. 1.2. </w:t>
      </w:r>
      <w:r>
        <w:rPr>
          <w:rFonts w:ascii="Times New Roman" w:hAnsi="Times New Roman"/>
          <w:i/>
          <w:iCs/>
          <w:sz w:val="28"/>
          <w:szCs w:val="28"/>
        </w:rPr>
        <w:t xml:space="preserve">Динаміка показнику Міжнародної інвестиційної позиції США та Китаю за період </w:t>
      </w:r>
      <w:r>
        <w:rPr>
          <w:rFonts w:ascii="Times New Roman" w:hAnsi="Times New Roman"/>
          <w:i/>
          <w:iCs/>
          <w:sz w:val="28"/>
          <w:szCs w:val="28"/>
        </w:rPr>
        <w:t xml:space="preserve">2000-2020 </w:t>
      </w:r>
      <w:r>
        <w:rPr>
          <w:rFonts w:ascii="Times New Roman" w:hAnsi="Times New Roman"/>
          <w:i/>
          <w:iCs/>
          <w:sz w:val="28"/>
          <w:szCs w:val="28"/>
        </w:rPr>
        <w:t>років</w:t>
      </w:r>
      <w:r>
        <w:rPr>
          <w:rFonts w:ascii="Times New Roman" w:hAnsi="Times New Roman"/>
          <w:i/>
          <w:iCs/>
          <w:sz w:val="28"/>
          <w:szCs w:val="28"/>
        </w:rPr>
        <w:t>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t>Джерело</w:t>
      </w:r>
      <w:r>
        <w:rPr>
          <w:rFonts w:ascii="Times New Roman" w:hAnsi="Times New Roman"/>
          <w:i/>
          <w:iCs/>
          <w:sz w:val="28"/>
          <w:szCs w:val="28"/>
        </w:rPr>
        <w:t>:</w:t>
      </w:r>
      <w:r>
        <w:rPr>
          <w:rFonts w:ascii="Times New Roman" w:hAnsi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</w:rPr>
        <w:t>складено автором на основі джерел</w:t>
      </w:r>
      <w:r>
        <w:rPr>
          <w:rFonts w:ascii="Times New Roman" w:hAnsi="Times New Roman"/>
          <w:i/>
          <w:iCs/>
          <w:sz w:val="28"/>
          <w:szCs w:val="28"/>
        </w:rPr>
        <w:t>: [</w:t>
      </w:r>
      <w:r w:rsidRPr="00876CC4">
        <w:rPr>
          <w:rFonts w:ascii="Times New Roman" w:hAnsi="Times New Roman"/>
          <w:i/>
          <w:iCs/>
          <w:sz w:val="28"/>
          <w:szCs w:val="28"/>
          <w:lang w:val="ru-RU"/>
        </w:rPr>
        <w:t>15</w:t>
      </w:r>
      <w:r>
        <w:rPr>
          <w:rFonts w:ascii="Times New Roman" w:hAnsi="Times New Roman"/>
          <w:i/>
          <w:iCs/>
          <w:sz w:val="28"/>
          <w:szCs w:val="28"/>
        </w:rPr>
        <w:t>].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Враховуючи ситуацію з пандемією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 якій на даний момент знаходяться не тільки американські та китайські інвестори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й інвестори у всьому світі</w:t>
      </w:r>
      <w:r>
        <w:rPr>
          <w:rFonts w:ascii="Times New Roman" w:hAnsi="Times New Roman"/>
          <w:sz w:val="28"/>
          <w:szCs w:val="28"/>
        </w:rPr>
        <w:t xml:space="preserve">, </w:t>
      </w:r>
      <w:r w:rsidRPr="00876CC4">
        <w:rPr>
          <w:rFonts w:ascii="Times New Roman" w:hAnsi="Times New Roman"/>
          <w:sz w:val="28"/>
          <w:szCs w:val="28"/>
        </w:rPr>
        <w:t xml:space="preserve">у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</w:rPr>
        <w:t>році потоки прямих іноземних інвестицій значно зменшилися чере</w:t>
      </w:r>
      <w:r>
        <w:rPr>
          <w:rFonts w:ascii="Times New Roman" w:hAnsi="Times New Roman"/>
          <w:sz w:val="28"/>
          <w:szCs w:val="28"/>
        </w:rPr>
        <w:t>з протекціоністські політики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які були задіяні </w:t>
      </w:r>
      <w:r>
        <w:rPr>
          <w:noProof/>
        </w:rPr>
        <w:drawing>
          <wp:anchor distT="152400" distB="152400" distL="152400" distR="152400" simplePos="0" relativeHeight="251660288" behindDoc="0" locked="0" layoutInCell="1" allowOverlap="1">
            <wp:simplePos x="0" y="0"/>
            <wp:positionH relativeFrom="page">
              <wp:posOffset>720403</wp:posOffset>
            </wp:positionH>
            <wp:positionV relativeFrom="page">
              <wp:posOffset>2159093</wp:posOffset>
            </wp:positionV>
            <wp:extent cx="6119653" cy="2182412"/>
            <wp:effectExtent l="0" t="0" r="0" b="0"/>
            <wp:wrapTopAndBottom distT="152400" distB="152400"/>
            <wp:docPr id="1073741826" name="officeArt object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anchor>
        </w:drawing>
      </w:r>
      <w:r>
        <w:rPr>
          <w:rFonts w:ascii="Times New Roman" w:hAnsi="Times New Roman"/>
          <w:sz w:val="28"/>
          <w:szCs w:val="28"/>
        </w:rPr>
        <w:t xml:space="preserve">у країнах заради подолання кризису </w:t>
      </w:r>
      <w:r>
        <w:rPr>
          <w:rFonts w:ascii="Times New Roman" w:hAnsi="Times New Roman"/>
          <w:sz w:val="28"/>
          <w:szCs w:val="28"/>
          <w:lang w:val="da-DK"/>
        </w:rPr>
        <w:t xml:space="preserve">COVID-19. </w:t>
      </w:r>
      <w:r>
        <w:rPr>
          <w:rFonts w:ascii="Times New Roman" w:hAnsi="Times New Roman"/>
          <w:sz w:val="28"/>
          <w:szCs w:val="28"/>
        </w:rPr>
        <w:t>За прогнозами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які були зроблені під час проведення дослідження командою ЮНКТАД у їх доповіді “</w:t>
      </w:r>
      <w:r>
        <w:rPr>
          <w:rFonts w:ascii="Times New Roman" w:hAnsi="Times New Roman"/>
          <w:sz w:val="28"/>
          <w:szCs w:val="28"/>
          <w:lang w:val="en-US"/>
        </w:rPr>
        <w:t>World Investment Report 2020</w:t>
      </w:r>
      <w:r>
        <w:rPr>
          <w:rFonts w:ascii="Times New Roman" w:hAnsi="Times New Roman"/>
          <w:sz w:val="28"/>
          <w:szCs w:val="28"/>
        </w:rPr>
        <w:t xml:space="preserve">” </w:t>
      </w:r>
      <w:r>
        <w:rPr>
          <w:rFonts w:ascii="Times New Roman" w:hAnsi="Times New Roman"/>
          <w:sz w:val="28"/>
          <w:szCs w:val="28"/>
          <w:lang w:val="en-US"/>
        </w:rPr>
        <w:t xml:space="preserve">(United Nations Conference on Trade and Development, Geneva, 2020)[11], </w:t>
      </w:r>
      <w:r>
        <w:rPr>
          <w:rFonts w:ascii="Times New Roman" w:hAnsi="Times New Roman"/>
          <w:sz w:val="28"/>
          <w:szCs w:val="28"/>
          <w:lang w:val="ru-RU"/>
        </w:rPr>
        <w:t>було зазначено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у найближчу роки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у особливості у </w:t>
      </w:r>
      <w:r>
        <w:rPr>
          <w:rFonts w:ascii="Times New Roman" w:hAnsi="Times New Roman"/>
          <w:sz w:val="28"/>
          <w:szCs w:val="28"/>
        </w:rPr>
        <w:t xml:space="preserve">2021 </w:t>
      </w:r>
      <w:r>
        <w:rPr>
          <w:rFonts w:ascii="Times New Roman" w:hAnsi="Times New Roman"/>
          <w:sz w:val="28"/>
          <w:szCs w:val="28"/>
        </w:rPr>
        <w:t>році об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 xml:space="preserve">єми прямих іноземних інвестицій знову знизяться ще на </w:t>
      </w:r>
      <w:r>
        <w:rPr>
          <w:rFonts w:ascii="Times New Roman" w:hAnsi="Times New Roman"/>
          <w:sz w:val="28"/>
          <w:szCs w:val="28"/>
        </w:rPr>
        <w:t xml:space="preserve">5-10% </w:t>
      </w:r>
      <w:r>
        <w:rPr>
          <w:rFonts w:ascii="Times New Roman" w:hAnsi="Times New Roman"/>
          <w:sz w:val="28"/>
          <w:szCs w:val="28"/>
        </w:rPr>
        <w:t xml:space="preserve">по відношенню до </w:t>
      </w:r>
      <w:r>
        <w:rPr>
          <w:rFonts w:ascii="Times New Roman" w:hAnsi="Times New Roman"/>
          <w:sz w:val="28"/>
          <w:szCs w:val="28"/>
        </w:rPr>
        <w:t xml:space="preserve">2019 </w:t>
      </w:r>
      <w:r>
        <w:rPr>
          <w:rFonts w:ascii="Times New Roman" w:hAnsi="Times New Roman"/>
          <w:sz w:val="28"/>
          <w:szCs w:val="28"/>
          <w:lang w:val="ru-RU"/>
        </w:rPr>
        <w:t>року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Як приклад можна привести те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навіть під час написання даної доповіді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у серпні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  <w:lang w:val="ru-RU"/>
        </w:rPr>
        <w:t>року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глобальні потоки прямих інвестицій вже були на рекордній мітці у </w:t>
      </w:r>
      <w:r>
        <w:rPr>
          <w:rFonts w:ascii="Times New Roman" w:hAnsi="Times New Roman"/>
          <w:sz w:val="28"/>
          <w:szCs w:val="28"/>
        </w:rPr>
        <w:t xml:space="preserve">1,2 </w:t>
      </w:r>
      <w:r>
        <w:rPr>
          <w:rFonts w:ascii="Times New Roman" w:hAnsi="Times New Roman"/>
          <w:sz w:val="28"/>
          <w:szCs w:val="28"/>
        </w:rPr>
        <w:t>трлн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яка востаннє була помітна у </w:t>
      </w:r>
      <w:r>
        <w:rPr>
          <w:rFonts w:ascii="Times New Roman" w:hAnsi="Times New Roman"/>
          <w:sz w:val="28"/>
          <w:szCs w:val="28"/>
        </w:rPr>
        <w:t xml:space="preserve">2009 </w:t>
      </w:r>
      <w:r>
        <w:rPr>
          <w:rFonts w:ascii="Times New Roman" w:hAnsi="Times New Roman"/>
          <w:sz w:val="28"/>
          <w:szCs w:val="28"/>
        </w:rPr>
        <w:t xml:space="preserve">році після глобальної кризи </w:t>
      </w:r>
      <w:r>
        <w:rPr>
          <w:rFonts w:ascii="Times New Roman" w:hAnsi="Times New Roman"/>
          <w:sz w:val="28"/>
          <w:szCs w:val="28"/>
        </w:rPr>
        <w:t xml:space="preserve">2008 </w:t>
      </w:r>
      <w:r>
        <w:rPr>
          <w:rFonts w:ascii="Times New Roman" w:hAnsi="Times New Roman"/>
          <w:sz w:val="28"/>
          <w:szCs w:val="28"/>
          <w:lang w:val="ru-RU"/>
        </w:rPr>
        <w:t>року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Пікового свого значення показник г</w:t>
      </w:r>
      <w:r>
        <w:rPr>
          <w:rFonts w:ascii="Times New Roman" w:hAnsi="Times New Roman"/>
          <w:sz w:val="28"/>
          <w:szCs w:val="28"/>
        </w:rPr>
        <w:t xml:space="preserve">лобальних потоків інвестицій набував у </w:t>
      </w:r>
      <w:r>
        <w:rPr>
          <w:rFonts w:ascii="Times New Roman" w:hAnsi="Times New Roman"/>
          <w:sz w:val="28"/>
          <w:szCs w:val="28"/>
        </w:rPr>
        <w:t xml:space="preserve">2015 </w:t>
      </w:r>
      <w:r>
        <w:rPr>
          <w:rFonts w:ascii="Times New Roman" w:hAnsi="Times New Roman"/>
          <w:sz w:val="28"/>
          <w:szCs w:val="28"/>
        </w:rPr>
        <w:t xml:space="preserve">році у розмірі </w:t>
      </w:r>
      <w:r>
        <w:rPr>
          <w:rFonts w:ascii="Times New Roman" w:hAnsi="Times New Roman"/>
          <w:sz w:val="28"/>
          <w:szCs w:val="28"/>
        </w:rPr>
        <w:t xml:space="preserve">2 </w:t>
      </w:r>
      <w:r>
        <w:rPr>
          <w:rFonts w:ascii="Times New Roman" w:hAnsi="Times New Roman"/>
          <w:sz w:val="28"/>
          <w:szCs w:val="28"/>
        </w:rPr>
        <w:t>трлн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який вже у </w:t>
      </w:r>
      <w:r>
        <w:rPr>
          <w:rFonts w:ascii="Times New Roman" w:hAnsi="Times New Roman"/>
          <w:sz w:val="28"/>
          <w:szCs w:val="28"/>
        </w:rPr>
        <w:t xml:space="preserve">2019 </w:t>
      </w:r>
      <w:r>
        <w:rPr>
          <w:rFonts w:ascii="Times New Roman" w:hAnsi="Times New Roman"/>
          <w:sz w:val="28"/>
          <w:szCs w:val="28"/>
        </w:rPr>
        <w:t xml:space="preserve">році знизився на </w:t>
      </w:r>
      <w:r>
        <w:rPr>
          <w:rFonts w:ascii="Times New Roman" w:hAnsi="Times New Roman"/>
          <w:sz w:val="28"/>
          <w:szCs w:val="28"/>
        </w:rPr>
        <w:t xml:space="preserve">60% </w:t>
      </w:r>
      <w:r>
        <w:rPr>
          <w:rFonts w:ascii="Times New Roman" w:hAnsi="Times New Roman"/>
          <w:sz w:val="28"/>
          <w:szCs w:val="28"/>
          <w:lang w:val="ru-RU"/>
        </w:rPr>
        <w:t xml:space="preserve">до позначки у </w:t>
      </w:r>
      <w:r>
        <w:rPr>
          <w:rFonts w:ascii="Times New Roman" w:hAnsi="Times New Roman"/>
          <w:sz w:val="28"/>
          <w:szCs w:val="28"/>
        </w:rPr>
        <w:t xml:space="preserve">1,5 </w:t>
      </w:r>
      <w:r>
        <w:rPr>
          <w:rFonts w:ascii="Times New Roman" w:hAnsi="Times New Roman"/>
          <w:sz w:val="28"/>
          <w:szCs w:val="28"/>
        </w:rPr>
        <w:t>трлн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Регулюючі органи США помітили під час пандемії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що відбулася затримка у вже підтвердженних злиттях </w:t>
      </w:r>
      <w:r>
        <w:rPr>
          <w:rFonts w:ascii="Times New Roman" w:hAnsi="Times New Roman"/>
          <w:sz w:val="28"/>
          <w:szCs w:val="28"/>
        </w:rPr>
        <w:t>американських компаній із такими іноземними компаніями як великобританська логістична компанія “</w:t>
      </w:r>
      <w:r>
        <w:rPr>
          <w:rFonts w:ascii="Times New Roman" w:hAnsi="Times New Roman"/>
          <w:sz w:val="28"/>
          <w:szCs w:val="28"/>
        </w:rPr>
        <w:t>Deliveroo</w:t>
      </w:r>
      <w:r>
        <w:rPr>
          <w:rFonts w:ascii="Times New Roman" w:hAnsi="Times New Roman"/>
          <w:sz w:val="28"/>
          <w:szCs w:val="28"/>
        </w:rPr>
        <w:t>”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 приклад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Знизилась ціна на фінансових ринках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впали у вартості чимала </w:t>
      </w:r>
      <w:r>
        <w:rPr>
          <w:rFonts w:ascii="Times New Roman" w:hAnsi="Times New Roman"/>
          <w:sz w:val="28"/>
          <w:szCs w:val="28"/>
        </w:rPr>
        <w:lastRenderedPageBreak/>
        <w:t>кількість акцій компаній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які були претендентами на злиття зі сторони амери</w:t>
      </w:r>
      <w:r>
        <w:rPr>
          <w:rFonts w:ascii="Times New Roman" w:hAnsi="Times New Roman"/>
          <w:sz w:val="28"/>
          <w:szCs w:val="28"/>
        </w:rPr>
        <w:t>канських гігантів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Причиною цьому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 вважають чимало джерел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була низька ефективність політики протидії розповсюдженню епідемії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цей час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обсяги прямих іноземних інвестицій Китаю навпаки показали зростання на </w:t>
      </w:r>
      <w:r>
        <w:rPr>
          <w:rFonts w:ascii="Times New Roman" w:hAnsi="Times New Roman"/>
          <w:sz w:val="28"/>
          <w:szCs w:val="28"/>
        </w:rPr>
        <w:t xml:space="preserve">4%, </w:t>
      </w:r>
      <w:r>
        <w:rPr>
          <w:rFonts w:ascii="Times New Roman" w:hAnsi="Times New Roman"/>
          <w:sz w:val="28"/>
          <w:szCs w:val="28"/>
        </w:rPr>
        <w:t>як вже було зазначено раніше у даній ди</w:t>
      </w:r>
      <w:r>
        <w:rPr>
          <w:rFonts w:ascii="Times New Roman" w:hAnsi="Times New Roman"/>
          <w:sz w:val="28"/>
          <w:szCs w:val="28"/>
        </w:rPr>
        <w:t>пломній роботі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Більше того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американський інститут підприємства та Глобальний трекер інвестицій від </w:t>
      </w:r>
      <w:r>
        <w:rPr>
          <w:rFonts w:ascii="Times New Roman" w:hAnsi="Times New Roman"/>
          <w:sz w:val="28"/>
          <w:szCs w:val="28"/>
          <w:lang w:val="en-US"/>
        </w:rPr>
        <w:t>Heritage</w:t>
      </w:r>
      <w:r w:rsidRPr="00876CC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Foundation</w:t>
      </w:r>
      <w:r w:rsidRPr="00876CC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шляхом аналізу найкрупніших інвестицій Китаю</w:t>
      </w:r>
      <w:r>
        <w:rPr>
          <w:rFonts w:ascii="Times New Roman" w:hAnsi="Times New Roman"/>
          <w:sz w:val="28"/>
          <w:szCs w:val="28"/>
        </w:rPr>
        <w:t xml:space="preserve">, </w:t>
      </w:r>
      <w:r w:rsidRPr="00876CC4">
        <w:rPr>
          <w:rFonts w:ascii="Times New Roman" w:hAnsi="Times New Roman"/>
          <w:sz w:val="28"/>
          <w:szCs w:val="28"/>
        </w:rPr>
        <w:t>виявили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основним реципієнтом інвестицій виступають 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Даний аналіз був проведений Д</w:t>
      </w:r>
      <w:r>
        <w:rPr>
          <w:rFonts w:ascii="Times New Roman" w:hAnsi="Times New Roman"/>
          <w:sz w:val="28"/>
          <w:szCs w:val="28"/>
        </w:rPr>
        <w:t xml:space="preserve">ереком Сизорзом у січні </w:t>
      </w:r>
      <w:r>
        <w:rPr>
          <w:rFonts w:ascii="Times New Roman" w:hAnsi="Times New Roman"/>
          <w:sz w:val="28"/>
          <w:szCs w:val="28"/>
        </w:rPr>
        <w:t xml:space="preserve">2021 </w:t>
      </w:r>
      <w:r>
        <w:rPr>
          <w:rFonts w:ascii="Times New Roman" w:hAnsi="Times New Roman"/>
          <w:sz w:val="28"/>
          <w:szCs w:val="28"/>
        </w:rPr>
        <w:t>року у його праці “</w:t>
      </w:r>
      <w:r>
        <w:rPr>
          <w:rFonts w:ascii="Times New Roman" w:hAnsi="Times New Roman"/>
          <w:sz w:val="28"/>
          <w:szCs w:val="28"/>
        </w:rPr>
        <w:t>China</w:t>
      </w:r>
      <w:r>
        <w:rPr>
          <w:rFonts w:ascii="Times New Roman" w:hAnsi="Times New Roman"/>
          <w:sz w:val="28"/>
          <w:szCs w:val="28"/>
          <w:rtl/>
        </w:rPr>
        <w:t>’</w:t>
      </w:r>
      <w:r>
        <w:rPr>
          <w:rFonts w:ascii="Times New Roman" w:hAnsi="Times New Roman"/>
          <w:sz w:val="28"/>
          <w:szCs w:val="28"/>
          <w:lang w:val="en-US"/>
        </w:rPr>
        <w:t>s</w:t>
      </w:r>
      <w:r w:rsidRPr="00876CC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coming</w:t>
      </w:r>
      <w:r w:rsidRPr="00876CC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global</w:t>
      </w:r>
      <w:r w:rsidRPr="00876CC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investment</w:t>
      </w:r>
      <w:r w:rsidRPr="00876CC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recovery</w:t>
      </w:r>
      <w:r w:rsidRPr="00876CC4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  <w:lang w:val="en-US"/>
        </w:rPr>
        <w:t>How</w:t>
      </w:r>
      <w:r w:rsidRPr="00876CC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far</w:t>
      </w:r>
      <w:r w:rsidRPr="00876CC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will</w:t>
      </w:r>
      <w:r w:rsidRPr="00876CC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it</w:t>
      </w:r>
      <w:r w:rsidRPr="00876CC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go</w:t>
      </w:r>
      <w:r w:rsidRPr="00876CC4">
        <w:rPr>
          <w:rFonts w:ascii="Times New Roman" w:hAnsi="Times New Roman"/>
          <w:sz w:val="28"/>
          <w:szCs w:val="28"/>
        </w:rPr>
        <w:t>?</w:t>
      </w:r>
      <w:r>
        <w:rPr>
          <w:rFonts w:ascii="Times New Roman" w:hAnsi="Times New Roman"/>
          <w:sz w:val="28"/>
          <w:szCs w:val="28"/>
        </w:rPr>
        <w:t>”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У своїй праці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автор зауважує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за даними трекеру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інвестиції зменшуються та складають не більше </w:t>
      </w:r>
      <w:r>
        <w:rPr>
          <w:rFonts w:ascii="Times New Roman" w:hAnsi="Times New Roman"/>
          <w:sz w:val="28"/>
          <w:szCs w:val="28"/>
        </w:rPr>
        <w:t xml:space="preserve">30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 w:rsidRPr="00876CC4">
        <w:rPr>
          <w:rFonts w:ascii="Times New Roman" w:hAnsi="Times New Roman"/>
          <w:sz w:val="28"/>
          <w:szCs w:val="28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Він вважає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дане явище</w:t>
      </w:r>
      <w:r>
        <w:rPr>
          <w:rFonts w:ascii="Times New Roman" w:hAnsi="Times New Roman"/>
          <w:sz w:val="28"/>
          <w:szCs w:val="28"/>
        </w:rPr>
        <w:t xml:space="preserve"> було спровоковано саме пандемію та на сьогоденному етапі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недоступністю вакцинацій </w:t>
      </w:r>
      <w:r>
        <w:rPr>
          <w:rFonts w:ascii="Times New Roman" w:hAnsi="Times New Roman"/>
          <w:sz w:val="28"/>
          <w:szCs w:val="28"/>
          <w:lang w:val="pt-PT"/>
        </w:rPr>
        <w:t xml:space="preserve">[12].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У період з </w:t>
      </w:r>
      <w:r>
        <w:rPr>
          <w:rFonts w:ascii="Times New Roman" w:hAnsi="Times New Roman"/>
          <w:sz w:val="28"/>
          <w:szCs w:val="28"/>
        </w:rPr>
        <w:t xml:space="preserve">2005 </w:t>
      </w:r>
      <w:r>
        <w:rPr>
          <w:rFonts w:ascii="Times New Roman" w:hAnsi="Times New Roman"/>
          <w:sz w:val="28"/>
          <w:szCs w:val="28"/>
        </w:rPr>
        <w:t xml:space="preserve">до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</w:rPr>
        <w:t>років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США отримали більше </w:t>
      </w:r>
      <w:r>
        <w:rPr>
          <w:rFonts w:ascii="Times New Roman" w:hAnsi="Times New Roman"/>
          <w:sz w:val="28"/>
          <w:szCs w:val="28"/>
        </w:rPr>
        <w:t xml:space="preserve">180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 w:rsidRPr="00876CC4">
        <w:rPr>
          <w:rFonts w:ascii="Times New Roman" w:hAnsi="Times New Roman"/>
          <w:sz w:val="28"/>
          <w:szCs w:val="28"/>
        </w:rPr>
        <w:t>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Але не дивлячись на такі об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єми інвестицій задіяних у взаємовідносинах цих двох країн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КНР </w:t>
      </w:r>
      <w:r>
        <w:rPr>
          <w:rFonts w:ascii="Times New Roman" w:hAnsi="Times New Roman"/>
          <w:sz w:val="28"/>
          <w:szCs w:val="28"/>
        </w:rPr>
        <w:t>продовжує отримувати різного роду фінансові обмеження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Описані дані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також можна прослідкувати у Додатку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Але хоч об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єми інвестицій можна назвати чималими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вони не є вагомими для США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адже у </w:t>
      </w:r>
      <w:r>
        <w:rPr>
          <w:rFonts w:ascii="Times New Roman" w:hAnsi="Times New Roman"/>
          <w:sz w:val="28"/>
          <w:szCs w:val="28"/>
        </w:rPr>
        <w:t xml:space="preserve">2019-2020 </w:t>
      </w:r>
      <w:r>
        <w:rPr>
          <w:rFonts w:ascii="Times New Roman" w:hAnsi="Times New Roman"/>
          <w:sz w:val="28"/>
          <w:szCs w:val="28"/>
        </w:rPr>
        <w:t xml:space="preserve">роках вони досягли трохи більше </w:t>
      </w:r>
      <w:r>
        <w:rPr>
          <w:rFonts w:ascii="Times New Roman" w:hAnsi="Times New Roman"/>
          <w:sz w:val="28"/>
          <w:szCs w:val="28"/>
        </w:rPr>
        <w:t xml:space="preserve">1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Та п</w:t>
      </w:r>
      <w:r>
        <w:rPr>
          <w:rFonts w:ascii="Times New Roman" w:hAnsi="Times New Roman"/>
          <w:sz w:val="28"/>
          <w:szCs w:val="28"/>
        </w:rPr>
        <w:t>отрібно зауважити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що Китай став більш серйозним конкурентом для США після покупки американських казначейських облігацій на суму </w:t>
      </w:r>
      <w:r>
        <w:rPr>
          <w:rFonts w:ascii="Times New Roman" w:hAnsi="Times New Roman"/>
          <w:sz w:val="28"/>
          <w:szCs w:val="28"/>
        </w:rPr>
        <w:t xml:space="preserve">1,1 </w:t>
      </w:r>
      <w:r>
        <w:rPr>
          <w:rFonts w:ascii="Times New Roman" w:hAnsi="Times New Roman"/>
          <w:sz w:val="28"/>
          <w:szCs w:val="28"/>
        </w:rPr>
        <w:t>трлн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 xml:space="preserve">США протягом </w:t>
      </w:r>
      <w:r>
        <w:rPr>
          <w:rFonts w:ascii="Times New Roman" w:hAnsi="Times New Roman"/>
          <w:sz w:val="28"/>
          <w:szCs w:val="28"/>
        </w:rPr>
        <w:t xml:space="preserve">2015-2018 </w:t>
      </w:r>
      <w:r>
        <w:rPr>
          <w:rFonts w:ascii="Times New Roman" w:hAnsi="Times New Roman"/>
          <w:sz w:val="28"/>
          <w:szCs w:val="28"/>
        </w:rPr>
        <w:t>років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Усі фінансові угоди були повністю добровільними та дозволяли американцям отримат</w:t>
      </w:r>
      <w:r>
        <w:rPr>
          <w:rFonts w:ascii="Times New Roman" w:hAnsi="Times New Roman"/>
          <w:sz w:val="28"/>
          <w:szCs w:val="28"/>
        </w:rPr>
        <w:t>и користь від власних активів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Американський уряд готовий співпрацювати із КНР лише з рядом умов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які не будуть порушувати особисті границі американських виробників та інноваторів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Вважається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всі китайські підприємства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будь вони приватними або ж держав</w:t>
      </w:r>
      <w:r>
        <w:rPr>
          <w:rFonts w:ascii="Times New Roman" w:hAnsi="Times New Roman"/>
          <w:sz w:val="28"/>
          <w:szCs w:val="28"/>
        </w:rPr>
        <w:t>ними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мають працювати лише на основі власних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не вкрадених технологій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А компанії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порушують будь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яким чином права людини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або інтелектуальної власності </w:t>
      </w:r>
      <w:r>
        <w:rPr>
          <w:rFonts w:ascii="Times New Roman" w:hAnsi="Times New Roman"/>
          <w:sz w:val="28"/>
          <w:szCs w:val="28"/>
        </w:rPr>
        <w:lastRenderedPageBreak/>
        <w:t>мають бути взагалі заборонені та притягнуті до відповідальності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Можливо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така політика в дійсност</w:t>
      </w:r>
      <w:r>
        <w:rPr>
          <w:rFonts w:ascii="Times New Roman" w:hAnsi="Times New Roman"/>
          <w:sz w:val="28"/>
          <w:szCs w:val="28"/>
        </w:rPr>
        <w:t>і стане рушієм для Китаю у нарощенні кількості власних інноваційних технологій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але допоки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це викликає лише як наслідок конфлікти між двома світовими гігантами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Як зазначено у звіті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ru-RU"/>
        </w:rPr>
        <w:t xml:space="preserve">випущеному </w:t>
      </w:r>
      <w:r>
        <w:rPr>
          <w:rFonts w:ascii="Times New Roman" w:hAnsi="Times New Roman"/>
          <w:sz w:val="28"/>
          <w:szCs w:val="28"/>
        </w:rPr>
        <w:t xml:space="preserve">CRS </w:t>
      </w:r>
      <w:r>
        <w:rPr>
          <w:rFonts w:ascii="Times New Roman" w:hAnsi="Times New Roman"/>
          <w:sz w:val="28"/>
          <w:szCs w:val="28"/>
          <w:lang w:val="ru-RU"/>
        </w:rPr>
        <w:t xml:space="preserve">у лютому </w:t>
      </w:r>
      <w:r>
        <w:rPr>
          <w:rFonts w:ascii="Times New Roman" w:hAnsi="Times New Roman"/>
          <w:sz w:val="28"/>
          <w:szCs w:val="28"/>
        </w:rPr>
        <w:t xml:space="preserve">2021 </w:t>
      </w:r>
      <w:r>
        <w:rPr>
          <w:rFonts w:ascii="Times New Roman" w:hAnsi="Times New Roman"/>
          <w:sz w:val="28"/>
          <w:szCs w:val="28"/>
          <w:lang w:val="ru-RU"/>
        </w:rPr>
        <w:t>року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використання Китаєм його промислової</w:t>
      </w:r>
      <w:r>
        <w:rPr>
          <w:rFonts w:ascii="Times New Roman" w:hAnsi="Times New Roman"/>
          <w:sz w:val="28"/>
          <w:szCs w:val="28"/>
        </w:rPr>
        <w:t xml:space="preserve"> політики задля економічного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технологічного та воєнного розвитку хвилює 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Такий проект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як наприклад “Зроблено у Китаї </w:t>
      </w:r>
      <w:r>
        <w:rPr>
          <w:rFonts w:ascii="Times New Roman" w:hAnsi="Times New Roman"/>
          <w:sz w:val="28"/>
          <w:szCs w:val="28"/>
        </w:rPr>
        <w:t>2025</w:t>
      </w:r>
      <w:r>
        <w:rPr>
          <w:rFonts w:ascii="Times New Roman" w:hAnsi="Times New Roman"/>
          <w:sz w:val="28"/>
          <w:szCs w:val="28"/>
        </w:rPr>
        <w:t>” є націленим на створення конкурентних переваг на ринках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Найбільшим камнем зіткнення у даній ситуації є те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що КНР здебільшого </w:t>
      </w:r>
      <w:r>
        <w:rPr>
          <w:rFonts w:ascii="Times New Roman" w:hAnsi="Times New Roman"/>
          <w:sz w:val="28"/>
          <w:szCs w:val="28"/>
        </w:rPr>
        <w:t>використовує для досягнення результату досвід американських компаній та їх технологій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Також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автори підкреслювали таку причину забезспокоєння як технологічний розвиток кібернетики у Китаї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підкреслюючи кількість кібератак на уряд США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університети та комп</w:t>
      </w:r>
      <w:r>
        <w:rPr>
          <w:rFonts w:ascii="Times New Roman" w:hAnsi="Times New Roman"/>
          <w:sz w:val="28"/>
          <w:szCs w:val="28"/>
        </w:rPr>
        <w:t xml:space="preserve">анії сьогодні </w:t>
      </w:r>
      <w:r>
        <w:rPr>
          <w:rFonts w:ascii="Times New Roman" w:hAnsi="Times New Roman"/>
          <w:sz w:val="28"/>
          <w:szCs w:val="28"/>
        </w:rPr>
        <w:t xml:space="preserve">[19]. 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 останніми новинами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після вступу на пост президента США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Джо Байдена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ми можемо побачити поліпшення у відношеннях між США та КНР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адже проводиться перегляд усіх тарифів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проваджень та політик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застосованих по відношенню до Китаю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</w:t>
      </w:r>
      <w:r>
        <w:rPr>
          <w:rFonts w:ascii="Times New Roman" w:hAnsi="Times New Roman"/>
          <w:sz w:val="28"/>
          <w:szCs w:val="28"/>
        </w:rPr>
        <w:t>кі були введені під час правління Дональда Трампа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Більшість тарифів вже нанесли чималих збитків економіці 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Хоча скоріш за все більшість проваджень залишиться незмінними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найжорсткіші з них у перспективі будуть зняті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Таким чином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ми можемо побачити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за весь час розвитку американсько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китайських взаємовідносин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країни досі залишились дуже вагомими гравцями на світових ринках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але сприйняття КНР зі сторони США помітно змінилось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Раніше економічний партнер та союзник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на сьогодні один із найголовніши</w:t>
      </w:r>
      <w:r>
        <w:rPr>
          <w:rFonts w:ascii="Times New Roman" w:hAnsi="Times New Roman"/>
          <w:sz w:val="28"/>
          <w:szCs w:val="28"/>
        </w:rPr>
        <w:t>х конкурентів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а за Стратегією національної безпеки США </w:t>
      </w: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</w:rPr>
        <w:t>одна із найбільших  стратегічних загроз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Країни є у певній мірі взаємозалежними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хоча КНР намагається відійти від свого партнера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Говорячи про торговый баланс США та Китаю та їх двосторонні </w:t>
      </w:r>
      <w:r>
        <w:rPr>
          <w:rFonts w:ascii="Times New Roman" w:hAnsi="Times New Roman"/>
          <w:sz w:val="28"/>
          <w:szCs w:val="28"/>
        </w:rPr>
        <w:t>торговельні відносини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важливо буде підкреслити діяльність афілійованих компаній на територіях один </w:t>
      </w:r>
      <w:r>
        <w:rPr>
          <w:rFonts w:ascii="Times New Roman" w:hAnsi="Times New Roman"/>
          <w:sz w:val="28"/>
          <w:szCs w:val="28"/>
        </w:rPr>
        <w:lastRenderedPageBreak/>
        <w:t>одного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і саме враховуючи інвестиційну діяльність  такого роду американських компаній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можна побачити більш збалансовану картину американсько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китайських вза</w:t>
      </w:r>
      <w:r>
        <w:rPr>
          <w:rFonts w:ascii="Times New Roman" w:hAnsi="Times New Roman"/>
          <w:sz w:val="28"/>
          <w:szCs w:val="28"/>
        </w:rPr>
        <w:t>ємовідносин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у яких США займає більш масштабну роль у економіці КНР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хоча може так і не здаватися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Так само у в становищі Китая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який в останній час є найбільшим кредитором США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5639DF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639DF" w:rsidRDefault="00876CC4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РОЗДІЛ </w:t>
      </w:r>
      <w:r>
        <w:rPr>
          <w:rFonts w:ascii="Times New Roman" w:hAnsi="Times New Roman"/>
          <w:sz w:val="28"/>
          <w:szCs w:val="28"/>
        </w:rPr>
        <w:t>2</w:t>
      </w:r>
    </w:p>
    <w:p w:rsidR="005639DF" w:rsidRDefault="00876CC4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Вплив процесів транснаціоналізації на економіки США</w:t>
      </w:r>
      <w:r>
        <w:rPr>
          <w:rFonts w:ascii="Times New Roman" w:hAnsi="Times New Roman"/>
          <w:b/>
          <w:bCs/>
          <w:sz w:val="28"/>
          <w:szCs w:val="28"/>
        </w:rPr>
        <w:t xml:space="preserve"> та Китаю</w:t>
      </w: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2.1 </w:t>
      </w:r>
      <w:r>
        <w:rPr>
          <w:rFonts w:ascii="Times New Roman" w:hAnsi="Times New Roman"/>
          <w:b/>
          <w:bCs/>
          <w:sz w:val="28"/>
          <w:szCs w:val="28"/>
        </w:rPr>
        <w:t>Порівняльний аналіз фінансових рахунків платіжних балансів США та Китаю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Фінансовий рахунок є частиною платіжного балансу країни і виступає показником збільшення або зменшення міжнародної власності на активи </w:t>
      </w:r>
      <w:r>
        <w:rPr>
          <w:rFonts w:ascii="Times New Roman" w:hAnsi="Times New Roman"/>
          <w:sz w:val="28"/>
          <w:szCs w:val="28"/>
        </w:rPr>
        <w:lastRenderedPageBreak/>
        <w:t>конкретної країни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Власниками можу</w:t>
      </w:r>
      <w:r>
        <w:rPr>
          <w:rFonts w:ascii="Times New Roman" w:hAnsi="Times New Roman"/>
          <w:sz w:val="28"/>
          <w:szCs w:val="28"/>
        </w:rPr>
        <w:t>ть бути приватні особи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підприємства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уряд або його центральний банк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Активи включають прямі інвестиції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цінні папери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такі як акції та облігації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і товари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такі як золото і тверда валюта</w:t>
      </w:r>
      <w:r>
        <w:rPr>
          <w:rFonts w:ascii="Times New Roman" w:hAnsi="Times New Roman"/>
          <w:sz w:val="28"/>
          <w:szCs w:val="28"/>
        </w:rPr>
        <w:t>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Саме завдяки фінансовому рахунку країни можно проаналізувати межі д</w:t>
      </w:r>
      <w:r>
        <w:rPr>
          <w:rFonts w:ascii="Times New Roman" w:hAnsi="Times New Roman"/>
          <w:sz w:val="28"/>
          <w:szCs w:val="28"/>
        </w:rPr>
        <w:t>іяльності держави на світовому ринку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виявити основні напрямки стратегій інвестування та розвитку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У даному розділі будуть порівняни фінансові рахунки Китаю та США з метою виявлення закономірностей та відмінностей у напрямках інвестиційної та фінансової по</w:t>
      </w:r>
      <w:r>
        <w:rPr>
          <w:rFonts w:ascii="Times New Roman" w:hAnsi="Times New Roman"/>
          <w:sz w:val="28"/>
          <w:szCs w:val="28"/>
        </w:rPr>
        <w:t>літики</w:t>
      </w:r>
      <w:r>
        <w:rPr>
          <w:rFonts w:ascii="Times New Roman" w:hAnsi="Times New Roman"/>
          <w:sz w:val="28"/>
          <w:szCs w:val="28"/>
        </w:rPr>
        <w:t>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першу чергу варто зауважити що Китай і США є великими та сильними фінансовими центрами світу і значна кількість потоків інвестицій налагоджена саме між цими двома інвестиційними гігантами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Інвестиції відіграють все більшу роль в комерційних зв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яз</w:t>
      </w:r>
      <w:r>
        <w:rPr>
          <w:rFonts w:ascii="Times New Roman" w:hAnsi="Times New Roman"/>
          <w:sz w:val="28"/>
          <w:szCs w:val="28"/>
        </w:rPr>
        <w:t>ках США з Китайською Народною Республікою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Протягом багатьох років уряд КНР інвестував велику частину своїх валютних резервів в американські активи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зокрема в казначейські цінні папери 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Китай є найбільшим в світі утримувачем валютних резервів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і за станом на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</w:rPr>
        <w:t xml:space="preserve">року його резерви становили </w:t>
      </w:r>
      <w:r>
        <w:rPr>
          <w:rFonts w:ascii="Times New Roman" w:hAnsi="Times New Roman"/>
          <w:sz w:val="28"/>
          <w:szCs w:val="28"/>
        </w:rPr>
        <w:t xml:space="preserve">3,39 </w:t>
      </w:r>
      <w:r>
        <w:rPr>
          <w:rFonts w:ascii="Times New Roman" w:hAnsi="Times New Roman"/>
          <w:sz w:val="28"/>
          <w:szCs w:val="28"/>
        </w:rPr>
        <w:t>трильйона доларів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Ці великі резерви обумовлені позитивним сальдо торгового балансу Китаю і припливом інвестицій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Дії уряду щодо припинення або уповільнення зростання курсу національної валюти і обмеженн</w:t>
      </w:r>
      <w:r>
        <w:rPr>
          <w:rFonts w:ascii="Times New Roman" w:hAnsi="Times New Roman"/>
          <w:sz w:val="28"/>
          <w:szCs w:val="28"/>
        </w:rPr>
        <w:t>я відтоку капіталу також сприяли зростанню резервів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З </w:t>
      </w:r>
      <w:r>
        <w:rPr>
          <w:rFonts w:ascii="Times New Roman" w:hAnsi="Times New Roman"/>
          <w:sz w:val="28"/>
          <w:szCs w:val="28"/>
        </w:rPr>
        <w:t xml:space="preserve">1999 </w:t>
      </w:r>
      <w:r>
        <w:rPr>
          <w:rFonts w:ascii="Times New Roman" w:hAnsi="Times New Roman"/>
          <w:sz w:val="28"/>
          <w:szCs w:val="28"/>
        </w:rPr>
        <w:t>року уряд КНР проводить політику зовнішніх інвестицій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яка спрямована на диверсифікацію іноземних інвестицій в матеріальні активи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заохочуючи свої компанії </w:t>
      </w: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</w:rPr>
        <w:t xml:space="preserve">багато хто з яких є державними </w:t>
      </w: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</w:rPr>
        <w:t>інвес</w:t>
      </w:r>
      <w:r>
        <w:rPr>
          <w:rFonts w:ascii="Times New Roman" w:hAnsi="Times New Roman"/>
          <w:sz w:val="28"/>
          <w:szCs w:val="28"/>
        </w:rPr>
        <w:t>тувати за кордоном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Ці інвестиції спрямовані на отримання доступу до найважливіших видів сировини і передових технологій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також на створення зарубіжного простору для розширення інфраструктури і створення ринків для китайських товарів і послуг</w:t>
      </w:r>
      <w:r>
        <w:rPr>
          <w:rFonts w:ascii="Times New Roman" w:hAnsi="Times New Roman"/>
          <w:sz w:val="28"/>
          <w:szCs w:val="28"/>
        </w:rPr>
        <w:t>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той час </w:t>
      </w:r>
      <w:r>
        <w:rPr>
          <w:rFonts w:ascii="Times New Roman" w:hAnsi="Times New Roman"/>
          <w:sz w:val="28"/>
          <w:szCs w:val="28"/>
        </w:rPr>
        <w:t>як значна частина китайських інвестицій в США вкладається в американські державні і приватні цінні папери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американський капітал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надходить в Китай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 основному приймає форму прямих іноземних інвестицій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lastRenderedPageBreak/>
        <w:t xml:space="preserve">переважно через китайські обмеженя на портфельні </w:t>
      </w:r>
      <w:r>
        <w:rPr>
          <w:rFonts w:ascii="Times New Roman" w:hAnsi="Times New Roman"/>
          <w:sz w:val="28"/>
          <w:szCs w:val="28"/>
        </w:rPr>
        <w:t>інвестиції і правил інвестування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які встановлюють вимоги або стимули до продажу та закупівель в залежності від інвестиційної чи виробничої присутності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Спочатку американські інвестиції в Китаї були спрямовані на експортно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орієнтоване виробництво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З </w:t>
      </w:r>
      <w:r>
        <w:rPr>
          <w:rFonts w:ascii="Times New Roman" w:hAnsi="Times New Roman"/>
          <w:sz w:val="28"/>
          <w:szCs w:val="28"/>
        </w:rPr>
        <w:t>1990-</w:t>
      </w:r>
      <w:r>
        <w:rPr>
          <w:rFonts w:ascii="Times New Roman" w:hAnsi="Times New Roman"/>
          <w:sz w:val="28"/>
          <w:szCs w:val="28"/>
        </w:rPr>
        <w:t>х</w:t>
      </w:r>
      <w:r>
        <w:rPr>
          <w:rFonts w:ascii="Times New Roman" w:hAnsi="Times New Roman"/>
          <w:sz w:val="28"/>
          <w:szCs w:val="28"/>
        </w:rPr>
        <w:t xml:space="preserve"> років американські інвестиції поширилися на виробництво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дистрибуцію і послуги для внутрішнього ринку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 останні роки Китай також прагне поступово відкрити для іноземних інвесторів певну участь в своїх ринках капіталу і боргових зобов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  <w:lang w:val="ru-RU"/>
        </w:rPr>
        <w:t>язань</w:t>
      </w:r>
      <w:r>
        <w:rPr>
          <w:rFonts w:ascii="Times New Roman" w:hAnsi="Times New Roman"/>
          <w:sz w:val="28"/>
          <w:szCs w:val="28"/>
        </w:rPr>
        <w:t>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 оцінками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обсяг зовнішніх ПІІ Китаю в світі значно зріс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 xml:space="preserve">з </w:t>
      </w:r>
      <w:r>
        <w:rPr>
          <w:rFonts w:ascii="Times New Roman" w:hAnsi="Times New Roman"/>
          <w:sz w:val="28"/>
          <w:szCs w:val="28"/>
        </w:rPr>
        <w:t xml:space="preserve">35 </w:t>
      </w:r>
      <w:r>
        <w:rPr>
          <w:rFonts w:ascii="Times New Roman" w:hAnsi="Times New Roman"/>
          <w:sz w:val="28"/>
          <w:szCs w:val="28"/>
        </w:rPr>
        <w:t xml:space="preserve">млрд доларів </w:t>
      </w:r>
      <w:r>
        <w:rPr>
          <w:rFonts w:ascii="Times New Roman" w:hAnsi="Times New Roman"/>
          <w:sz w:val="28"/>
          <w:szCs w:val="28"/>
        </w:rPr>
        <w:t xml:space="preserve">(0,5% </w:t>
      </w:r>
      <w:r>
        <w:rPr>
          <w:rFonts w:ascii="Times New Roman" w:hAnsi="Times New Roman"/>
          <w:sz w:val="28"/>
          <w:szCs w:val="28"/>
        </w:rPr>
        <w:t>від світового обсягу</w:t>
      </w:r>
      <w:r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 xml:space="preserve">в </w:t>
      </w:r>
      <w:r>
        <w:rPr>
          <w:rFonts w:ascii="Times New Roman" w:hAnsi="Times New Roman"/>
          <w:sz w:val="28"/>
          <w:szCs w:val="28"/>
        </w:rPr>
        <w:t xml:space="preserve">2001 </w:t>
      </w:r>
      <w:r>
        <w:rPr>
          <w:rFonts w:ascii="Times New Roman" w:hAnsi="Times New Roman"/>
          <w:sz w:val="28"/>
          <w:szCs w:val="28"/>
        </w:rPr>
        <w:t xml:space="preserve">році до </w:t>
      </w:r>
      <w:r>
        <w:rPr>
          <w:rFonts w:ascii="Times New Roman" w:hAnsi="Times New Roman"/>
          <w:sz w:val="28"/>
          <w:szCs w:val="28"/>
        </w:rPr>
        <w:t xml:space="preserve">2 </w:t>
      </w:r>
      <w:r>
        <w:rPr>
          <w:rFonts w:ascii="Times New Roman" w:hAnsi="Times New Roman"/>
          <w:sz w:val="28"/>
          <w:szCs w:val="28"/>
        </w:rPr>
        <w:t xml:space="preserve">трлн доларів </w:t>
      </w:r>
      <w:r>
        <w:rPr>
          <w:rFonts w:ascii="Times New Roman" w:hAnsi="Times New Roman"/>
          <w:sz w:val="28"/>
          <w:szCs w:val="28"/>
        </w:rPr>
        <w:t xml:space="preserve">(6% </w:t>
      </w:r>
      <w:r>
        <w:rPr>
          <w:rFonts w:ascii="Times New Roman" w:hAnsi="Times New Roman"/>
          <w:sz w:val="28"/>
          <w:szCs w:val="28"/>
        </w:rPr>
        <w:t>від світового обсягу</w:t>
      </w:r>
      <w:r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 xml:space="preserve">в </w:t>
      </w:r>
      <w:r>
        <w:rPr>
          <w:rFonts w:ascii="Times New Roman" w:hAnsi="Times New Roman"/>
          <w:sz w:val="28"/>
          <w:szCs w:val="28"/>
        </w:rPr>
        <w:t xml:space="preserve">2019 </w:t>
      </w:r>
      <w:r>
        <w:rPr>
          <w:rFonts w:ascii="Times New Roman" w:hAnsi="Times New Roman"/>
          <w:sz w:val="28"/>
          <w:szCs w:val="28"/>
        </w:rPr>
        <w:t>році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Однак рівень двосторонніх ПІІ залишається низьким у порівнянні із загальним обсягом комерційни</w:t>
      </w:r>
      <w:r>
        <w:rPr>
          <w:rFonts w:ascii="Times New Roman" w:hAnsi="Times New Roman"/>
          <w:sz w:val="28"/>
          <w:szCs w:val="28"/>
        </w:rPr>
        <w:t>х відносин між США і Китаєм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Почасти це пояснюється зростаючим почуттям невизначеності і ризику в інвестиційному кліматі Китаю в світлі зростаючої торгової напруженості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урядових обмежень КНР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а також недавніх побоювань з приводу концентрації ланцюжка </w:t>
      </w:r>
      <w:r>
        <w:rPr>
          <w:rFonts w:ascii="Times New Roman" w:hAnsi="Times New Roman"/>
          <w:sz w:val="28"/>
          <w:szCs w:val="28"/>
        </w:rPr>
        <w:t>поставок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виявленої під час пандемії </w:t>
      </w:r>
      <w:r>
        <w:rPr>
          <w:rFonts w:ascii="Times New Roman" w:hAnsi="Times New Roman"/>
          <w:sz w:val="28"/>
          <w:szCs w:val="28"/>
          <w:lang w:val="da-DK"/>
        </w:rPr>
        <w:t xml:space="preserve">COVID-19. </w:t>
      </w:r>
      <w:r>
        <w:rPr>
          <w:rFonts w:ascii="Times New Roman" w:hAnsi="Times New Roman"/>
          <w:sz w:val="28"/>
          <w:szCs w:val="28"/>
        </w:rPr>
        <w:t>Хоча уряд КНР внесли зміни в свою політику в області ПІІ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вони продовжують вводити як офіційні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так і неофіційні умови і обмеження на іноземні інвестиції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Індекс обмежувальні регулювання ПІІ </w:t>
      </w:r>
      <w:r>
        <w:rPr>
          <w:rFonts w:ascii="Times New Roman" w:hAnsi="Times New Roman"/>
          <w:sz w:val="28"/>
          <w:szCs w:val="28"/>
        </w:rPr>
        <w:t xml:space="preserve">2019 </w:t>
      </w:r>
      <w:r>
        <w:rPr>
          <w:rFonts w:ascii="Times New Roman" w:hAnsi="Times New Roman"/>
          <w:sz w:val="28"/>
          <w:szCs w:val="28"/>
        </w:rPr>
        <w:t>року Організа</w:t>
      </w:r>
      <w:r>
        <w:rPr>
          <w:rFonts w:ascii="Times New Roman" w:hAnsi="Times New Roman"/>
          <w:sz w:val="28"/>
          <w:szCs w:val="28"/>
        </w:rPr>
        <w:t xml:space="preserve">ції економічного співробітництва і розвитку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ОЕСР</w:t>
      </w:r>
      <w:r>
        <w:rPr>
          <w:rFonts w:ascii="Times New Roman" w:hAnsi="Times New Roman"/>
          <w:sz w:val="28"/>
          <w:szCs w:val="28"/>
        </w:rPr>
        <w:t xml:space="preserve">), </w:t>
      </w:r>
      <w:r>
        <w:rPr>
          <w:rFonts w:ascii="Times New Roman" w:hAnsi="Times New Roman"/>
          <w:sz w:val="28"/>
          <w:szCs w:val="28"/>
        </w:rPr>
        <w:t xml:space="preserve">який вимірює законодавчі обмеження на ПІІ в </w:t>
      </w:r>
      <w:r>
        <w:rPr>
          <w:rFonts w:ascii="Times New Roman" w:hAnsi="Times New Roman"/>
          <w:sz w:val="28"/>
          <w:szCs w:val="28"/>
        </w:rPr>
        <w:t xml:space="preserve">84 </w:t>
      </w:r>
      <w:r>
        <w:rPr>
          <w:rFonts w:ascii="Times New Roman" w:hAnsi="Times New Roman"/>
          <w:sz w:val="28"/>
          <w:szCs w:val="28"/>
        </w:rPr>
        <w:t>країнах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поставив китайський режим ПІІ на третє місце за ступенем обмеження</w:t>
      </w:r>
      <w:r w:rsidRPr="00876CC4">
        <w:rPr>
          <w:rFonts w:ascii="Times New Roman" w:hAnsi="Times New Roman"/>
          <w:sz w:val="28"/>
          <w:szCs w:val="28"/>
        </w:rPr>
        <w:t xml:space="preserve"> [18]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Порівняльну динаміку ПІІ із КНР та в них можна відслідкувати нижче на Рис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2.1.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t>Рис</w:t>
      </w:r>
      <w:r>
        <w:rPr>
          <w:rFonts w:ascii="Times New Roman" w:hAnsi="Times New Roman"/>
          <w:i/>
          <w:iCs/>
          <w:sz w:val="28"/>
          <w:szCs w:val="28"/>
        </w:rPr>
        <w:t xml:space="preserve">. 2.1. </w:t>
      </w:r>
      <w:r>
        <w:rPr>
          <w:rFonts w:ascii="Times New Roman" w:hAnsi="Times New Roman"/>
          <w:i/>
          <w:iCs/>
          <w:sz w:val="28"/>
          <w:szCs w:val="28"/>
        </w:rPr>
        <w:t xml:space="preserve">Об’єми прямих іноземних інвестицій у КНР та з них протягом </w:t>
      </w:r>
      <w:r>
        <w:rPr>
          <w:rFonts w:ascii="Times New Roman" w:hAnsi="Times New Roman"/>
          <w:i/>
          <w:iCs/>
          <w:sz w:val="28"/>
          <w:szCs w:val="28"/>
        </w:rPr>
        <w:t xml:space="preserve">2005-2020 </w:t>
      </w:r>
      <w:r>
        <w:rPr>
          <w:rFonts w:ascii="Times New Roman" w:hAnsi="Times New Roman"/>
          <w:i/>
          <w:iCs/>
          <w:sz w:val="28"/>
          <w:szCs w:val="28"/>
        </w:rPr>
        <w:t>років</w:t>
      </w:r>
      <w:r>
        <w:rPr>
          <w:rFonts w:ascii="Times New Roman" w:hAnsi="Times New Roman"/>
          <w:i/>
          <w:iCs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t>Джерело</w:t>
      </w:r>
      <w:r>
        <w:rPr>
          <w:rFonts w:ascii="Times New Roman" w:hAnsi="Times New Roman"/>
          <w:i/>
          <w:iCs/>
          <w:sz w:val="28"/>
          <w:szCs w:val="28"/>
        </w:rPr>
        <w:t xml:space="preserve">: </w:t>
      </w:r>
      <w:r>
        <w:rPr>
          <w:rFonts w:ascii="Times New Roman" w:hAnsi="Times New Roman"/>
          <w:i/>
          <w:iCs/>
          <w:sz w:val="28"/>
          <w:szCs w:val="28"/>
        </w:rPr>
        <w:t>складено автором на основі джерел</w:t>
      </w:r>
      <w:r>
        <w:rPr>
          <w:rFonts w:ascii="Times New Roman" w:hAnsi="Times New Roman"/>
          <w:i/>
          <w:iCs/>
          <w:sz w:val="28"/>
          <w:szCs w:val="28"/>
        </w:rPr>
        <w:t>: [</w:t>
      </w:r>
      <w:r w:rsidRPr="00876CC4">
        <w:rPr>
          <w:rFonts w:ascii="Times New Roman" w:hAnsi="Times New Roman"/>
          <w:i/>
          <w:iCs/>
          <w:sz w:val="28"/>
          <w:szCs w:val="28"/>
          <w:lang w:val="ru-RU"/>
        </w:rPr>
        <w:t>17</w:t>
      </w:r>
      <w:r>
        <w:rPr>
          <w:rFonts w:ascii="Times New Roman" w:hAnsi="Times New Roman"/>
          <w:i/>
          <w:iCs/>
          <w:sz w:val="28"/>
          <w:szCs w:val="28"/>
        </w:rPr>
        <w:t>].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 </w:t>
      </w:r>
      <w:r>
        <w:rPr>
          <w:rFonts w:ascii="Times New Roman" w:hAnsi="Times New Roman"/>
          <w:sz w:val="28"/>
          <w:szCs w:val="28"/>
        </w:rPr>
        <w:t xml:space="preserve">2017 </w:t>
      </w:r>
      <w:r>
        <w:rPr>
          <w:rFonts w:ascii="Times New Roman" w:hAnsi="Times New Roman"/>
          <w:sz w:val="28"/>
          <w:szCs w:val="28"/>
        </w:rPr>
        <w:t>року посилення контролю уряду КНР за відтоком капіталу і додаткова перевірка урядом США деяких державних і</w:t>
      </w:r>
      <w:r>
        <w:rPr>
          <w:rFonts w:ascii="Times New Roman" w:hAnsi="Times New Roman"/>
          <w:sz w:val="28"/>
          <w:szCs w:val="28"/>
        </w:rPr>
        <w:t>нвестицій КНР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які направляються і фінансуються державою в стратегічні сектори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сприяли </w:t>
      </w:r>
      <w:r>
        <w:rPr>
          <w:rFonts w:ascii="Times New Roman" w:hAnsi="Times New Roman"/>
          <w:sz w:val="28"/>
          <w:szCs w:val="28"/>
        </w:rPr>
        <w:lastRenderedPageBreak/>
        <w:t>уповільненню припливу китайських ПІІ в 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Занепокоєння з приводу здатності Комітету з іноземних інвестицій в США </w:t>
      </w:r>
      <w:r>
        <w:rPr>
          <w:rFonts w:ascii="Times New Roman" w:hAnsi="Times New Roman"/>
          <w:sz w:val="28"/>
          <w:szCs w:val="28"/>
          <w:lang w:val="fr-FR"/>
        </w:rPr>
        <w:t xml:space="preserve">(CFIUS) </w:t>
      </w:r>
      <w:r>
        <w:rPr>
          <w:rFonts w:ascii="Times New Roman" w:hAnsi="Times New Roman"/>
          <w:sz w:val="28"/>
          <w:szCs w:val="28"/>
        </w:rPr>
        <w:t xml:space="preserve">адекватно розглядати аспекти національної </w:t>
      </w:r>
      <w:r>
        <w:rPr>
          <w:rFonts w:ascii="Times New Roman" w:hAnsi="Times New Roman"/>
          <w:sz w:val="28"/>
          <w:szCs w:val="28"/>
        </w:rPr>
        <w:t>безпеки ПІІ в американській економіці призвела до прийняття Закону про модернізацію огляду ризиків</w:t>
      </w:r>
      <w:r>
        <w:rPr>
          <w:noProof/>
        </w:rPr>
        <w:drawing>
          <wp:anchor distT="152400" distB="152400" distL="152400" distR="152400" simplePos="0" relativeHeight="251662336" behindDoc="0" locked="0" layoutInCell="1" allowOverlap="1">
            <wp:simplePos x="0" y="0"/>
            <wp:positionH relativeFrom="page">
              <wp:posOffset>742280</wp:posOffset>
            </wp:positionH>
            <wp:positionV relativeFrom="page">
              <wp:posOffset>1602616</wp:posOffset>
            </wp:positionV>
            <wp:extent cx="6418682" cy="1894852"/>
            <wp:effectExtent l="0" t="0" r="0" b="0"/>
            <wp:wrapTopAndBottom distT="152400" distB="152400"/>
            <wp:docPr id="1073741827" name="officeArt object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anchor>
        </w:drawing>
      </w:r>
      <w:r>
        <w:rPr>
          <w:rFonts w:ascii="Times New Roman" w:hAnsi="Times New Roman"/>
          <w:sz w:val="28"/>
          <w:szCs w:val="28"/>
        </w:rPr>
        <w:t xml:space="preserve"> іноземних інвестицій </w:t>
      </w:r>
      <w:r>
        <w:rPr>
          <w:rFonts w:ascii="Times New Roman" w:hAnsi="Times New Roman"/>
          <w:sz w:val="28"/>
          <w:szCs w:val="28"/>
        </w:rPr>
        <w:t xml:space="preserve">2018 </w:t>
      </w:r>
      <w:r w:rsidRPr="00876CC4">
        <w:rPr>
          <w:rFonts w:ascii="Times New Roman" w:hAnsi="Times New Roman"/>
          <w:sz w:val="28"/>
          <w:szCs w:val="28"/>
        </w:rPr>
        <w:t>року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Закон спрямований на модернізацію </w:t>
      </w:r>
      <w:r>
        <w:rPr>
          <w:rFonts w:ascii="Times New Roman" w:hAnsi="Times New Roman"/>
          <w:sz w:val="28"/>
          <w:szCs w:val="28"/>
          <w:lang w:val="fr-FR"/>
        </w:rPr>
        <w:t xml:space="preserve">CFIUS </w:t>
      </w:r>
      <w:r>
        <w:rPr>
          <w:rFonts w:ascii="Times New Roman" w:hAnsi="Times New Roman"/>
          <w:sz w:val="28"/>
          <w:szCs w:val="28"/>
        </w:rPr>
        <w:t>і розширення типів інвестицій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підлягають перевірці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включаючи певні неконтролююч</w:t>
      </w:r>
      <w:r>
        <w:rPr>
          <w:rFonts w:ascii="Times New Roman" w:hAnsi="Times New Roman"/>
          <w:sz w:val="28"/>
          <w:szCs w:val="28"/>
        </w:rPr>
        <w:t xml:space="preserve">их інвестиції в </w:t>
      </w:r>
      <w:r>
        <w:rPr>
          <w:rFonts w:ascii="Times New Roman" w:hAnsi="Times New Roman"/>
          <w:sz w:val="28"/>
          <w:szCs w:val="28"/>
          <w:lang w:val="ru-RU"/>
        </w:rPr>
        <w:t>"</w:t>
      </w:r>
      <w:r>
        <w:rPr>
          <w:rFonts w:ascii="Times New Roman" w:hAnsi="Times New Roman"/>
          <w:sz w:val="28"/>
          <w:szCs w:val="28"/>
        </w:rPr>
        <w:t>критичні технології</w:t>
      </w:r>
      <w:r>
        <w:rPr>
          <w:rFonts w:ascii="Times New Roman" w:hAnsi="Times New Roman"/>
          <w:sz w:val="28"/>
          <w:szCs w:val="28"/>
          <w:lang w:val="ru-RU"/>
        </w:rPr>
        <w:t>".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Нещодавні опитування американських і інших ділових груп в Китаї показують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компанії можуть все більш обережно оцінювати перспективи китайського ринку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переважно через передбачуваного зростаючого протекціонізму і то</w:t>
      </w:r>
      <w:r>
        <w:rPr>
          <w:rFonts w:ascii="Times New Roman" w:hAnsi="Times New Roman"/>
          <w:sz w:val="28"/>
          <w:szCs w:val="28"/>
        </w:rPr>
        <w:t>ргової напруженості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Тим не менш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є області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представляють інтерес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прикладом чого є кілька великих угод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таких як інвестиції </w:t>
      </w:r>
      <w:r>
        <w:rPr>
          <w:rFonts w:ascii="Times New Roman" w:hAnsi="Times New Roman"/>
          <w:sz w:val="28"/>
          <w:szCs w:val="28"/>
        </w:rPr>
        <w:t xml:space="preserve">Tesla Inc. </w:t>
      </w:r>
      <w:r>
        <w:rPr>
          <w:rFonts w:ascii="Times New Roman" w:hAnsi="Times New Roman"/>
          <w:sz w:val="28"/>
          <w:szCs w:val="28"/>
        </w:rPr>
        <w:t xml:space="preserve">в розмірі </w:t>
      </w:r>
      <w:r w:rsidRPr="00876CC4">
        <w:rPr>
          <w:rFonts w:ascii="Times New Roman" w:hAnsi="Times New Roman"/>
          <w:sz w:val="28"/>
          <w:szCs w:val="28"/>
        </w:rPr>
        <w:t xml:space="preserve">$ 5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 w:rsidRPr="00876CC4">
        <w:rPr>
          <w:rFonts w:ascii="Times New Roman" w:hAnsi="Times New Roman"/>
          <w:sz w:val="28"/>
          <w:szCs w:val="28"/>
        </w:rPr>
        <w:t>в завод поблизу Шанхая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також бича реакція Уолл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стріт на дискретне відкриття декількох америка</w:t>
      </w:r>
      <w:r>
        <w:rPr>
          <w:rFonts w:ascii="Times New Roman" w:hAnsi="Times New Roman"/>
          <w:sz w:val="28"/>
          <w:szCs w:val="28"/>
        </w:rPr>
        <w:t>нських фінансових компаній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Більш того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 найближчій перспективі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оскільки Китай став першою великою економікою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що повернулася до зростання під час пандемії </w:t>
      </w:r>
      <w:r>
        <w:rPr>
          <w:rFonts w:ascii="Times New Roman" w:hAnsi="Times New Roman"/>
          <w:sz w:val="28"/>
          <w:szCs w:val="28"/>
          <w:lang w:val="da-DK"/>
        </w:rPr>
        <w:t xml:space="preserve">COVID-19, </w:t>
      </w:r>
      <w:r>
        <w:rPr>
          <w:rFonts w:ascii="Times New Roman" w:hAnsi="Times New Roman"/>
          <w:sz w:val="28"/>
          <w:szCs w:val="28"/>
        </w:rPr>
        <w:t>він став економічним світлою плямою для багатьох компаній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Після оголошення в грудні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</w:rPr>
        <w:t>року про укладення попередньої інвестиційної угоди між Європейським союзом і КНР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Китай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 повідомляється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погодився частково відкрити деякі сектори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може зробити його ринок більш привабливим для деяких інвесторів з ЄС</w:t>
      </w:r>
      <w:r>
        <w:rPr>
          <w:rFonts w:ascii="Times New Roman" w:hAnsi="Times New Roman"/>
          <w:sz w:val="28"/>
          <w:szCs w:val="28"/>
        </w:rPr>
        <w:t>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Згідно з доповіддю про світ</w:t>
      </w:r>
      <w:r>
        <w:rPr>
          <w:rFonts w:ascii="Times New Roman" w:hAnsi="Times New Roman"/>
          <w:sz w:val="28"/>
          <w:szCs w:val="28"/>
        </w:rPr>
        <w:t xml:space="preserve">ові інвестиції за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</w:rPr>
        <w:t>рік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опублікованому ЮНКТАД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в </w:t>
      </w:r>
      <w:r>
        <w:rPr>
          <w:rFonts w:ascii="Times New Roman" w:hAnsi="Times New Roman"/>
          <w:sz w:val="28"/>
          <w:szCs w:val="28"/>
        </w:rPr>
        <w:t xml:space="preserve">2018-2019 </w:t>
      </w:r>
      <w:r>
        <w:rPr>
          <w:rFonts w:ascii="Times New Roman" w:hAnsi="Times New Roman"/>
          <w:sz w:val="28"/>
          <w:szCs w:val="28"/>
        </w:rPr>
        <w:t xml:space="preserve">роках приплив ПІІ продовжував збільшуватися </w:t>
      </w: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</w:rPr>
        <w:t xml:space="preserve">із </w:t>
      </w:r>
      <w:r>
        <w:rPr>
          <w:rFonts w:ascii="Times New Roman" w:hAnsi="Times New Roman"/>
          <w:sz w:val="28"/>
          <w:szCs w:val="28"/>
        </w:rPr>
        <w:t xml:space="preserve">138 </w:t>
      </w:r>
      <w:r>
        <w:rPr>
          <w:rFonts w:ascii="Times New Roman" w:hAnsi="Times New Roman"/>
          <w:sz w:val="28"/>
          <w:szCs w:val="28"/>
        </w:rPr>
        <w:t xml:space="preserve">до </w:t>
      </w:r>
      <w:r>
        <w:rPr>
          <w:rFonts w:ascii="Times New Roman" w:hAnsi="Times New Roman"/>
          <w:sz w:val="28"/>
          <w:szCs w:val="28"/>
        </w:rPr>
        <w:t xml:space="preserve">141 </w:t>
      </w:r>
      <w:r>
        <w:rPr>
          <w:rFonts w:ascii="Times New Roman" w:hAnsi="Times New Roman"/>
          <w:sz w:val="28"/>
          <w:szCs w:val="28"/>
        </w:rPr>
        <w:t xml:space="preserve">мільярдів доларів США </w:t>
      </w:r>
      <w:r>
        <w:rPr>
          <w:rFonts w:ascii="Times New Roman" w:hAnsi="Times New Roman"/>
          <w:sz w:val="28"/>
          <w:szCs w:val="28"/>
        </w:rPr>
        <w:t xml:space="preserve">(+ 2%). </w:t>
      </w:r>
      <w:r>
        <w:rPr>
          <w:rFonts w:ascii="Times New Roman" w:hAnsi="Times New Roman"/>
          <w:sz w:val="28"/>
          <w:szCs w:val="28"/>
        </w:rPr>
        <w:t>Цьому зростанню сприяють плани лібералізації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швидкий розвиток високотехнологічного сектора і створення</w:t>
      </w:r>
      <w:r>
        <w:rPr>
          <w:rFonts w:ascii="Times New Roman" w:hAnsi="Times New Roman"/>
          <w:sz w:val="28"/>
          <w:szCs w:val="28"/>
        </w:rPr>
        <w:t xml:space="preserve"> з</w:t>
      </w:r>
      <w:r>
        <w:rPr>
          <w:noProof/>
        </w:rPr>
        <w:drawing>
          <wp:anchor distT="152400" distB="152400" distL="152400" distR="152400" simplePos="0" relativeHeight="251661312" behindDoc="0" locked="0" layoutInCell="1" allowOverlap="1">
            <wp:simplePos x="0" y="0"/>
            <wp:positionH relativeFrom="page">
              <wp:posOffset>663236</wp:posOffset>
            </wp:positionH>
            <wp:positionV relativeFrom="page">
              <wp:posOffset>5076724</wp:posOffset>
            </wp:positionV>
            <wp:extent cx="6233584" cy="1894852"/>
            <wp:effectExtent l="0" t="0" r="0" b="0"/>
            <wp:wrapTopAndBottom distT="152400" distB="152400"/>
            <wp:docPr id="1073741828" name="officeArt object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anchor>
        </w:drawing>
      </w:r>
      <w:r>
        <w:rPr>
          <w:rFonts w:ascii="Times New Roman" w:hAnsi="Times New Roman"/>
          <w:sz w:val="28"/>
          <w:szCs w:val="28"/>
        </w:rPr>
        <w:t>он вільної торгівлі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Порівняльну динаміку ПІІ із США та в них можна відслідкувати нижче на Рис</w:t>
      </w:r>
      <w:r>
        <w:rPr>
          <w:rFonts w:ascii="Times New Roman" w:hAnsi="Times New Roman"/>
          <w:sz w:val="28"/>
          <w:szCs w:val="28"/>
        </w:rPr>
        <w:t xml:space="preserve">. 2.2.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</w:rPr>
        <w:t>Рис</w:t>
      </w:r>
      <w:r>
        <w:rPr>
          <w:rFonts w:ascii="Times New Roman" w:hAnsi="Times New Roman"/>
          <w:i/>
          <w:iCs/>
          <w:sz w:val="28"/>
          <w:szCs w:val="28"/>
        </w:rPr>
        <w:t xml:space="preserve">. 2.2. </w:t>
      </w:r>
      <w:r>
        <w:rPr>
          <w:rFonts w:ascii="Times New Roman" w:hAnsi="Times New Roman"/>
          <w:i/>
          <w:iCs/>
          <w:sz w:val="28"/>
          <w:szCs w:val="28"/>
        </w:rPr>
        <w:t xml:space="preserve">Об’єми прямих іноземних інвестицій у США та з них протягом </w:t>
      </w:r>
      <w:r>
        <w:rPr>
          <w:rFonts w:ascii="Times New Roman" w:hAnsi="Times New Roman"/>
          <w:i/>
          <w:iCs/>
          <w:sz w:val="28"/>
          <w:szCs w:val="28"/>
        </w:rPr>
        <w:t xml:space="preserve">2000-2020 </w:t>
      </w:r>
      <w:r>
        <w:rPr>
          <w:rFonts w:ascii="Times New Roman" w:hAnsi="Times New Roman"/>
          <w:i/>
          <w:iCs/>
          <w:sz w:val="28"/>
          <w:szCs w:val="28"/>
        </w:rPr>
        <w:t>років</w:t>
      </w:r>
      <w:r>
        <w:rPr>
          <w:rFonts w:ascii="Times New Roman" w:hAnsi="Times New Roman"/>
          <w:i/>
          <w:iCs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t>Джерело</w:t>
      </w:r>
      <w:r>
        <w:rPr>
          <w:rFonts w:ascii="Times New Roman" w:hAnsi="Times New Roman"/>
          <w:i/>
          <w:iCs/>
          <w:sz w:val="28"/>
          <w:szCs w:val="28"/>
        </w:rPr>
        <w:t xml:space="preserve">: </w:t>
      </w:r>
      <w:r>
        <w:rPr>
          <w:rFonts w:ascii="Times New Roman" w:hAnsi="Times New Roman"/>
          <w:i/>
          <w:iCs/>
          <w:sz w:val="28"/>
          <w:szCs w:val="28"/>
        </w:rPr>
        <w:t>складено автором на основі джерел</w:t>
      </w:r>
      <w:r>
        <w:rPr>
          <w:rFonts w:ascii="Times New Roman" w:hAnsi="Times New Roman"/>
          <w:i/>
          <w:iCs/>
          <w:sz w:val="28"/>
          <w:szCs w:val="28"/>
        </w:rPr>
        <w:t>: [33].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Обсяг ПІІ в </w:t>
      </w:r>
      <w:r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 xml:space="preserve">019 </w:t>
      </w:r>
      <w:r>
        <w:rPr>
          <w:rFonts w:ascii="Times New Roman" w:hAnsi="Times New Roman"/>
          <w:sz w:val="28"/>
          <w:szCs w:val="28"/>
        </w:rPr>
        <w:t xml:space="preserve">році досяг </w:t>
      </w:r>
      <w:r>
        <w:rPr>
          <w:rFonts w:ascii="Times New Roman" w:hAnsi="Times New Roman"/>
          <w:sz w:val="28"/>
          <w:szCs w:val="28"/>
        </w:rPr>
        <w:t xml:space="preserve">1 769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доларів США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що є ростом у порівнянні з </w:t>
      </w:r>
      <w:r>
        <w:rPr>
          <w:rFonts w:ascii="Times New Roman" w:hAnsi="Times New Roman"/>
          <w:sz w:val="28"/>
          <w:szCs w:val="28"/>
        </w:rPr>
        <w:t xml:space="preserve">2010 </w:t>
      </w:r>
      <w:r>
        <w:rPr>
          <w:rFonts w:ascii="Times New Roman" w:hAnsi="Times New Roman"/>
          <w:sz w:val="28"/>
          <w:szCs w:val="28"/>
        </w:rPr>
        <w:t>роком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коли обсяг ПІІ становив </w:t>
      </w:r>
      <w:r>
        <w:rPr>
          <w:rFonts w:ascii="Times New Roman" w:hAnsi="Times New Roman"/>
          <w:sz w:val="28"/>
          <w:szCs w:val="28"/>
        </w:rPr>
        <w:t xml:space="preserve">587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доларів 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У </w:t>
      </w:r>
      <w:r>
        <w:rPr>
          <w:rFonts w:ascii="Times New Roman" w:hAnsi="Times New Roman"/>
          <w:sz w:val="28"/>
          <w:szCs w:val="28"/>
        </w:rPr>
        <w:t xml:space="preserve">2019 </w:t>
      </w:r>
      <w:r>
        <w:rPr>
          <w:rFonts w:ascii="Times New Roman" w:hAnsi="Times New Roman"/>
          <w:sz w:val="28"/>
          <w:szCs w:val="28"/>
        </w:rPr>
        <w:t>Китай посів друге місце в світі за обсягом ПІІ після США і перед Сінгапуром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Країна є найбільшим реципієнтом в Азії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Реалізація проектів і розширення виробничих інвестицій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таких як інвестиції </w:t>
      </w:r>
      <w:r>
        <w:rPr>
          <w:rFonts w:ascii="Times New Roman" w:hAnsi="Times New Roman"/>
          <w:sz w:val="28"/>
          <w:szCs w:val="28"/>
        </w:rPr>
        <w:t>BASF (</w:t>
      </w:r>
      <w:r>
        <w:rPr>
          <w:rFonts w:ascii="Times New Roman" w:hAnsi="Times New Roman"/>
          <w:sz w:val="28"/>
          <w:szCs w:val="28"/>
        </w:rPr>
        <w:t>Німеччина</w:t>
      </w:r>
      <w:r>
        <w:rPr>
          <w:rFonts w:ascii="Times New Roman" w:hAnsi="Times New Roman"/>
          <w:sz w:val="28"/>
          <w:szCs w:val="28"/>
          <w:lang w:val="pt-PT"/>
        </w:rPr>
        <w:t>), Exxon Mobil (</w:t>
      </w:r>
      <w:r w:rsidRPr="00876CC4">
        <w:rPr>
          <w:rFonts w:ascii="Times New Roman" w:hAnsi="Times New Roman"/>
          <w:sz w:val="28"/>
          <w:szCs w:val="28"/>
        </w:rPr>
        <w:t>США</w:t>
      </w:r>
      <w:r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>і автомобільних транснаціональних корпорацій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таких як </w:t>
      </w:r>
      <w:r>
        <w:rPr>
          <w:rFonts w:ascii="Times New Roman" w:hAnsi="Times New Roman"/>
          <w:sz w:val="28"/>
          <w:szCs w:val="28"/>
        </w:rPr>
        <w:t>Tesla (</w:t>
      </w:r>
      <w:r w:rsidRPr="00876CC4">
        <w:rPr>
          <w:rFonts w:ascii="Times New Roman" w:hAnsi="Times New Roman"/>
          <w:sz w:val="28"/>
          <w:szCs w:val="28"/>
        </w:rPr>
        <w:t>США</w:t>
      </w:r>
      <w:r>
        <w:rPr>
          <w:rFonts w:ascii="Times New Roman" w:hAnsi="Times New Roman"/>
          <w:sz w:val="28"/>
          <w:szCs w:val="28"/>
        </w:rPr>
        <w:t>), Toyota (</w:t>
      </w:r>
      <w:r>
        <w:rPr>
          <w:rFonts w:ascii="Times New Roman" w:hAnsi="Times New Roman"/>
          <w:sz w:val="28"/>
          <w:szCs w:val="28"/>
        </w:rPr>
        <w:t>Японія</w:t>
      </w:r>
      <w:r>
        <w:rPr>
          <w:rFonts w:ascii="Times New Roman" w:hAnsi="Times New Roman"/>
          <w:sz w:val="28"/>
          <w:szCs w:val="28"/>
          <w:lang w:val="nl-NL"/>
        </w:rPr>
        <w:t xml:space="preserve">), Volkswagen </w:t>
      </w:r>
      <w:r>
        <w:rPr>
          <w:rFonts w:ascii="Times New Roman" w:hAnsi="Times New Roman"/>
          <w:sz w:val="28"/>
          <w:szCs w:val="28"/>
        </w:rPr>
        <w:t xml:space="preserve">і </w:t>
      </w:r>
      <w:r>
        <w:rPr>
          <w:rFonts w:ascii="Times New Roman" w:hAnsi="Times New Roman"/>
          <w:sz w:val="28"/>
          <w:szCs w:val="28"/>
        </w:rPr>
        <w:t>Daimler (</w:t>
      </w:r>
      <w:r>
        <w:rPr>
          <w:rFonts w:ascii="Times New Roman" w:hAnsi="Times New Roman"/>
          <w:sz w:val="28"/>
          <w:szCs w:val="28"/>
        </w:rPr>
        <w:t>Німеччина</w:t>
      </w:r>
      <w:r>
        <w:rPr>
          <w:rFonts w:ascii="Times New Roman" w:hAnsi="Times New Roman"/>
          <w:sz w:val="28"/>
          <w:szCs w:val="28"/>
        </w:rPr>
        <w:t xml:space="preserve">), </w:t>
      </w:r>
      <w:r w:rsidRPr="00876CC4">
        <w:rPr>
          <w:rFonts w:ascii="Times New Roman" w:hAnsi="Times New Roman"/>
          <w:sz w:val="28"/>
          <w:szCs w:val="28"/>
        </w:rPr>
        <w:t>сприяли зростання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Основн</w:t>
      </w:r>
      <w:r>
        <w:rPr>
          <w:rFonts w:ascii="Times New Roman" w:hAnsi="Times New Roman"/>
          <w:sz w:val="28"/>
          <w:szCs w:val="28"/>
        </w:rPr>
        <w:t>і інвестори Китаю залишалися в цілому стабільними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Приплив коштів з США і Європи скоротився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але регіональні інвестиції продовжують збільшуватися в міру зростання потоків з країн АСЕАН</w:t>
      </w:r>
      <w:r>
        <w:rPr>
          <w:rFonts w:ascii="Times New Roman" w:hAnsi="Times New Roman"/>
          <w:sz w:val="28"/>
          <w:szCs w:val="28"/>
        </w:rPr>
        <w:t xml:space="preserve">. </w:t>
      </w:r>
      <w:r w:rsidRPr="00876CC4">
        <w:rPr>
          <w:rFonts w:ascii="Times New Roman" w:hAnsi="Times New Roman"/>
          <w:sz w:val="28"/>
          <w:szCs w:val="28"/>
        </w:rPr>
        <w:t>Гонконг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Сінгапур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Віргінські острови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Південна Корея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Кайманові остро</w:t>
      </w:r>
      <w:r>
        <w:rPr>
          <w:rFonts w:ascii="Times New Roman" w:hAnsi="Times New Roman"/>
          <w:sz w:val="28"/>
          <w:szCs w:val="28"/>
        </w:rPr>
        <w:t>ви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Японія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Німеччина і США є основними інвесторами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Інвестиції в основному орієнтовані на виробництво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нерухомість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лізинговий бізнес і послуги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комп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 xml:space="preserve">ютерні </w:t>
      </w:r>
      <w:r>
        <w:rPr>
          <w:rFonts w:ascii="Times New Roman" w:hAnsi="Times New Roman"/>
          <w:sz w:val="28"/>
          <w:szCs w:val="28"/>
        </w:rPr>
        <w:lastRenderedPageBreak/>
        <w:t>послуги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оптову і роздрібну торгівлю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фінансове посередництво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наукові дослідження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транспорт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ене</w:t>
      </w:r>
      <w:r>
        <w:rPr>
          <w:rFonts w:ascii="Times New Roman" w:hAnsi="Times New Roman"/>
          <w:sz w:val="28"/>
          <w:szCs w:val="28"/>
        </w:rPr>
        <w:t>ргетику і будівництво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За даними останнього Монітору глобальних інвестиційних тенденцій ЮНКТАД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опублікованого </w:t>
      </w:r>
      <w:r>
        <w:rPr>
          <w:rFonts w:ascii="Times New Roman" w:hAnsi="Times New Roman"/>
          <w:sz w:val="28"/>
          <w:szCs w:val="28"/>
        </w:rPr>
        <w:t xml:space="preserve">24 </w:t>
      </w:r>
      <w:r>
        <w:rPr>
          <w:rFonts w:ascii="Times New Roman" w:hAnsi="Times New Roman"/>
          <w:sz w:val="28"/>
          <w:szCs w:val="28"/>
        </w:rPr>
        <w:t xml:space="preserve">січня </w:t>
      </w:r>
      <w:r>
        <w:rPr>
          <w:rFonts w:ascii="Times New Roman" w:hAnsi="Times New Roman"/>
          <w:sz w:val="28"/>
          <w:szCs w:val="28"/>
        </w:rPr>
        <w:t xml:space="preserve">2021 </w:t>
      </w:r>
      <w:r>
        <w:rPr>
          <w:rFonts w:ascii="Times New Roman" w:hAnsi="Times New Roman"/>
          <w:sz w:val="28"/>
          <w:szCs w:val="28"/>
        </w:rPr>
        <w:t xml:space="preserve">року глобальні потоки прямих іноземних інвестицій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ПІІ</w:t>
      </w:r>
      <w:r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 xml:space="preserve">в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</w:rPr>
        <w:t xml:space="preserve">році скоротилися на </w:t>
      </w:r>
      <w:r>
        <w:rPr>
          <w:rFonts w:ascii="Times New Roman" w:hAnsi="Times New Roman"/>
          <w:sz w:val="28"/>
          <w:szCs w:val="28"/>
        </w:rPr>
        <w:t xml:space="preserve">42% </w:t>
      </w:r>
      <w:r>
        <w:rPr>
          <w:rFonts w:ascii="Times New Roman" w:hAnsi="Times New Roman"/>
          <w:sz w:val="28"/>
          <w:szCs w:val="28"/>
        </w:rPr>
        <w:t xml:space="preserve">в порівнянні з </w:t>
      </w:r>
      <w:r>
        <w:rPr>
          <w:rFonts w:ascii="Times New Roman" w:hAnsi="Times New Roman"/>
          <w:sz w:val="28"/>
          <w:szCs w:val="28"/>
        </w:rPr>
        <w:t xml:space="preserve">2019 </w:t>
      </w:r>
      <w:r>
        <w:rPr>
          <w:rFonts w:ascii="Times New Roman" w:hAnsi="Times New Roman"/>
          <w:sz w:val="28"/>
          <w:szCs w:val="28"/>
        </w:rPr>
        <w:t>роком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але виросли на </w:t>
      </w:r>
      <w:r>
        <w:rPr>
          <w:rFonts w:ascii="Times New Roman" w:hAnsi="Times New Roman"/>
          <w:sz w:val="28"/>
          <w:szCs w:val="28"/>
        </w:rPr>
        <w:t xml:space="preserve">12% </w:t>
      </w:r>
      <w:r>
        <w:rPr>
          <w:rFonts w:ascii="Times New Roman" w:hAnsi="Times New Roman"/>
          <w:sz w:val="28"/>
          <w:szCs w:val="28"/>
        </w:rPr>
        <w:t>у Східній Азії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У цьому глобальному контексті ПІІ Китаю збільшилися на </w:t>
      </w:r>
      <w:r>
        <w:rPr>
          <w:rFonts w:ascii="Times New Roman" w:hAnsi="Times New Roman"/>
          <w:sz w:val="28"/>
          <w:szCs w:val="28"/>
        </w:rPr>
        <w:t xml:space="preserve">4% </w:t>
      </w:r>
      <w:r>
        <w:rPr>
          <w:rFonts w:ascii="Times New Roman" w:hAnsi="Times New Roman"/>
          <w:sz w:val="28"/>
          <w:szCs w:val="28"/>
        </w:rPr>
        <w:t>за той же період часу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ru-RU"/>
        </w:rPr>
        <w:t xml:space="preserve">чому сприяв </w:t>
      </w:r>
      <w:r>
        <w:rPr>
          <w:rFonts w:ascii="Times New Roman" w:hAnsi="Times New Roman"/>
          <w:sz w:val="28"/>
          <w:szCs w:val="28"/>
        </w:rPr>
        <w:t>84% -</w:t>
      </w:r>
      <w:r>
        <w:rPr>
          <w:rFonts w:ascii="Times New Roman" w:hAnsi="Times New Roman"/>
          <w:sz w:val="28"/>
          <w:szCs w:val="28"/>
        </w:rPr>
        <w:t xml:space="preserve">ве зростання вартості угод </w:t>
      </w:r>
      <w:r>
        <w:rPr>
          <w:rFonts w:ascii="Times New Roman" w:hAnsi="Times New Roman"/>
          <w:sz w:val="28"/>
          <w:szCs w:val="28"/>
        </w:rPr>
        <w:t xml:space="preserve">M&amp;A, </w:t>
      </w:r>
      <w:r>
        <w:rPr>
          <w:rFonts w:ascii="Times New Roman" w:hAnsi="Times New Roman"/>
          <w:sz w:val="28"/>
          <w:szCs w:val="28"/>
        </w:rPr>
        <w:t>в основному в сфері інформаційних послуг і електронної комерції</w:t>
      </w:r>
      <w:r>
        <w:rPr>
          <w:rFonts w:ascii="Times New Roman" w:hAnsi="Times New Roman"/>
          <w:sz w:val="28"/>
          <w:szCs w:val="28"/>
        </w:rPr>
        <w:t>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Китай зайняв </w:t>
      </w:r>
      <w:r>
        <w:rPr>
          <w:rFonts w:ascii="Times New Roman" w:hAnsi="Times New Roman"/>
          <w:sz w:val="28"/>
          <w:szCs w:val="28"/>
        </w:rPr>
        <w:t>31-</w:t>
      </w:r>
      <w:r>
        <w:rPr>
          <w:rFonts w:ascii="Times New Roman" w:hAnsi="Times New Roman"/>
          <w:sz w:val="28"/>
          <w:szCs w:val="28"/>
        </w:rPr>
        <w:t xml:space="preserve">е місце з </w:t>
      </w:r>
      <w:r>
        <w:rPr>
          <w:rFonts w:ascii="Times New Roman" w:hAnsi="Times New Roman"/>
          <w:sz w:val="28"/>
          <w:szCs w:val="28"/>
        </w:rPr>
        <w:t xml:space="preserve">190 </w:t>
      </w:r>
      <w:r>
        <w:rPr>
          <w:rFonts w:ascii="Times New Roman" w:hAnsi="Times New Roman"/>
          <w:sz w:val="28"/>
          <w:szCs w:val="28"/>
        </w:rPr>
        <w:t>країн у зві</w:t>
      </w:r>
      <w:r>
        <w:rPr>
          <w:rFonts w:ascii="Times New Roman" w:hAnsi="Times New Roman"/>
          <w:sz w:val="28"/>
          <w:szCs w:val="28"/>
        </w:rPr>
        <w:t xml:space="preserve">ті Світового банку </w:t>
      </w:r>
      <w:r w:rsidRPr="00876CC4">
        <w:rPr>
          <w:rFonts w:ascii="Times New Roman" w:hAnsi="Times New Roman"/>
          <w:sz w:val="28"/>
          <w:szCs w:val="28"/>
        </w:rPr>
        <w:t>"</w:t>
      </w:r>
      <w:r>
        <w:rPr>
          <w:rFonts w:ascii="Times New Roman" w:hAnsi="Times New Roman"/>
          <w:sz w:val="28"/>
          <w:szCs w:val="28"/>
        </w:rPr>
        <w:t>Ведення бізнесу</w:t>
      </w:r>
      <w:r w:rsidRPr="00876CC4">
        <w:rPr>
          <w:rFonts w:ascii="Times New Roman" w:hAnsi="Times New Roman"/>
          <w:sz w:val="28"/>
          <w:szCs w:val="28"/>
        </w:rPr>
        <w:t xml:space="preserve">" </w:t>
      </w:r>
      <w:r>
        <w:rPr>
          <w:rFonts w:ascii="Times New Roman" w:hAnsi="Times New Roman"/>
          <w:sz w:val="28"/>
          <w:szCs w:val="28"/>
        </w:rPr>
        <w:t xml:space="preserve">за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</w:rPr>
        <w:t>рік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що є значним поліпшенням у порівнянні з </w:t>
      </w:r>
      <w:r>
        <w:rPr>
          <w:rFonts w:ascii="Times New Roman" w:hAnsi="Times New Roman"/>
          <w:sz w:val="28"/>
          <w:szCs w:val="28"/>
        </w:rPr>
        <w:t xml:space="preserve">2019 </w:t>
      </w:r>
      <w:r>
        <w:rPr>
          <w:rFonts w:ascii="Times New Roman" w:hAnsi="Times New Roman"/>
          <w:sz w:val="28"/>
          <w:szCs w:val="28"/>
        </w:rPr>
        <w:t>роком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коли він займав </w:t>
      </w:r>
      <w:r>
        <w:rPr>
          <w:rFonts w:ascii="Times New Roman" w:hAnsi="Times New Roman"/>
          <w:sz w:val="28"/>
          <w:szCs w:val="28"/>
        </w:rPr>
        <w:t>46-</w:t>
      </w:r>
      <w:r>
        <w:rPr>
          <w:rFonts w:ascii="Times New Roman" w:hAnsi="Times New Roman"/>
          <w:sz w:val="28"/>
          <w:szCs w:val="28"/>
        </w:rPr>
        <w:t>е місце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Китай увійшов в десятку країн з найбільш високими показниками за період між звітами </w:t>
      </w:r>
      <w:r>
        <w:rPr>
          <w:rFonts w:ascii="Times New Roman" w:hAnsi="Times New Roman"/>
          <w:sz w:val="28"/>
          <w:szCs w:val="28"/>
        </w:rPr>
        <w:t xml:space="preserve">2019 </w:t>
      </w:r>
      <w:r>
        <w:rPr>
          <w:rFonts w:ascii="Times New Roman" w:hAnsi="Times New Roman"/>
          <w:sz w:val="28"/>
          <w:szCs w:val="28"/>
        </w:rPr>
        <w:t xml:space="preserve">та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</w:rPr>
        <w:t>років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Цей прогрес відображає</w:t>
      </w:r>
      <w:r>
        <w:rPr>
          <w:rFonts w:ascii="Times New Roman" w:hAnsi="Times New Roman"/>
          <w:sz w:val="28"/>
          <w:szCs w:val="28"/>
        </w:rPr>
        <w:t xml:space="preserve"> поліпшення по широкому спектру під компонентів </w:t>
      </w: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</w:rPr>
        <w:t>від процедур відкриття бізнесу до заходів щодо поліпшення доступу до електрики і отримання дозволів на будівництво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Країна продемонструвала програми реформ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спрямованих на поліпшення регуляторного середовищ</w:t>
      </w:r>
      <w:r>
        <w:rPr>
          <w:rFonts w:ascii="Times New Roman" w:hAnsi="Times New Roman"/>
          <w:sz w:val="28"/>
          <w:szCs w:val="28"/>
        </w:rPr>
        <w:t>а для бізнесу в країні протягом кількох років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Реформи в основному спрямовані на підвищення ефективності бізнес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процесів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таких як зниження податків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торгівля зі зниженням тарифів і зниження бар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єрів для іноземних інвесторів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 метою подальшого залучення і</w:t>
      </w:r>
      <w:r>
        <w:rPr>
          <w:rFonts w:ascii="Times New Roman" w:hAnsi="Times New Roman"/>
          <w:sz w:val="28"/>
          <w:szCs w:val="28"/>
        </w:rPr>
        <w:t>ноземних інвестицій в країні впроваджені механізми поліпшення реалізації великих іноземних інвестиційних проектів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зниження імпортних тарифів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упорядкування митного оформлення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також створення системи онлайн подачі документів для регулювання ПІІ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Завдяки</w:t>
      </w:r>
      <w:r>
        <w:rPr>
          <w:rFonts w:ascii="Times New Roman" w:hAnsi="Times New Roman"/>
          <w:sz w:val="28"/>
          <w:szCs w:val="28"/>
        </w:rPr>
        <w:t xml:space="preserve"> наявності великої кількості працівників і потенційних партнерів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які хочуть навчатися і розвиватися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країна є базою для низькозатратного виробництва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робить її привабливим ринком для інвесторів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Тим не менш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деякі фактори можуть перешкоджати інвестиція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наприклад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відсутність прозорості в Китаї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правова невизначеність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низький рівень захисту прав інтелектуальної власності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корупція або протекціоністські заходи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сприяють місцевому бізнесу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Притік ПІІ в високотехнологічний </w:t>
      </w:r>
      <w:r>
        <w:rPr>
          <w:rFonts w:ascii="Times New Roman" w:hAnsi="Times New Roman"/>
          <w:sz w:val="28"/>
          <w:szCs w:val="28"/>
        </w:rPr>
        <w:lastRenderedPageBreak/>
        <w:t>сектор значно збільшується і</w:t>
      </w:r>
      <w:r>
        <w:rPr>
          <w:rFonts w:ascii="Times New Roman" w:hAnsi="Times New Roman"/>
          <w:sz w:val="28"/>
          <w:szCs w:val="28"/>
        </w:rPr>
        <w:t xml:space="preserve"> в даний час складає майже третину від загального припливу</w:t>
      </w:r>
      <w:r>
        <w:rPr>
          <w:rFonts w:ascii="Times New Roman" w:hAnsi="Times New Roman"/>
          <w:sz w:val="28"/>
          <w:szCs w:val="28"/>
        </w:rPr>
        <w:t>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Що стосується США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то згідно з доповіддю ЮНКТАД про світові інвестиції за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</w:rPr>
        <w:t>рік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приплив ПІІ в </w:t>
      </w:r>
      <w:r>
        <w:rPr>
          <w:rFonts w:ascii="Times New Roman" w:hAnsi="Times New Roman"/>
          <w:sz w:val="28"/>
          <w:szCs w:val="28"/>
        </w:rPr>
        <w:t xml:space="preserve">2019 </w:t>
      </w:r>
      <w:r>
        <w:rPr>
          <w:rFonts w:ascii="Times New Roman" w:hAnsi="Times New Roman"/>
          <w:sz w:val="28"/>
          <w:szCs w:val="28"/>
        </w:rPr>
        <w:t xml:space="preserve">році склав </w:t>
      </w:r>
      <w:r>
        <w:rPr>
          <w:rFonts w:ascii="Times New Roman" w:hAnsi="Times New Roman"/>
          <w:sz w:val="28"/>
          <w:szCs w:val="28"/>
        </w:rPr>
        <w:t xml:space="preserve">246 </w:t>
      </w:r>
      <w:r>
        <w:rPr>
          <w:rFonts w:ascii="Times New Roman" w:hAnsi="Times New Roman"/>
          <w:sz w:val="28"/>
          <w:szCs w:val="28"/>
        </w:rPr>
        <w:t>млрд доларів США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що нижче </w:t>
      </w:r>
      <w:r>
        <w:rPr>
          <w:rFonts w:ascii="Times New Roman" w:hAnsi="Times New Roman"/>
          <w:sz w:val="28"/>
          <w:szCs w:val="28"/>
        </w:rPr>
        <w:t xml:space="preserve">254 </w:t>
      </w:r>
      <w:r>
        <w:rPr>
          <w:rFonts w:ascii="Times New Roman" w:hAnsi="Times New Roman"/>
          <w:sz w:val="28"/>
          <w:szCs w:val="28"/>
        </w:rPr>
        <w:t xml:space="preserve">млрд доларів США </w:t>
      </w:r>
      <w:r>
        <w:rPr>
          <w:rFonts w:ascii="Times New Roman" w:hAnsi="Times New Roman"/>
          <w:sz w:val="28"/>
          <w:szCs w:val="28"/>
        </w:rPr>
        <w:t xml:space="preserve">2018 </w:t>
      </w:r>
      <w:r>
        <w:rPr>
          <w:rFonts w:ascii="Times New Roman" w:hAnsi="Times New Roman"/>
          <w:sz w:val="28"/>
          <w:szCs w:val="28"/>
        </w:rPr>
        <w:t xml:space="preserve">роки </w:t>
      </w:r>
      <w:r>
        <w:rPr>
          <w:rFonts w:ascii="Times New Roman" w:hAnsi="Times New Roman"/>
          <w:sz w:val="28"/>
          <w:szCs w:val="28"/>
        </w:rPr>
        <w:t xml:space="preserve">(-2,9%). </w:t>
      </w:r>
      <w:r>
        <w:rPr>
          <w:rFonts w:ascii="Times New Roman" w:hAnsi="Times New Roman"/>
          <w:sz w:val="28"/>
          <w:szCs w:val="28"/>
        </w:rPr>
        <w:t xml:space="preserve">Зниження в </w:t>
      </w:r>
      <w:r>
        <w:rPr>
          <w:rFonts w:ascii="Times New Roman" w:hAnsi="Times New Roman"/>
          <w:sz w:val="28"/>
          <w:szCs w:val="28"/>
        </w:rPr>
        <w:t>основному пов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язане з падінням продажів транскордонних злиттів і поглинань четвертий рік поспіль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Обсяг ПІІ США в </w:t>
      </w:r>
      <w:r>
        <w:rPr>
          <w:rFonts w:ascii="Times New Roman" w:hAnsi="Times New Roman"/>
          <w:sz w:val="28"/>
          <w:szCs w:val="28"/>
        </w:rPr>
        <w:t xml:space="preserve">2019 </w:t>
      </w:r>
      <w:r>
        <w:rPr>
          <w:rFonts w:ascii="Times New Roman" w:hAnsi="Times New Roman"/>
          <w:sz w:val="28"/>
          <w:szCs w:val="28"/>
        </w:rPr>
        <w:t xml:space="preserve">році досяг </w:t>
      </w:r>
      <w:r>
        <w:rPr>
          <w:rFonts w:ascii="Times New Roman" w:hAnsi="Times New Roman"/>
          <w:sz w:val="28"/>
          <w:szCs w:val="28"/>
        </w:rPr>
        <w:t xml:space="preserve">USD 9 465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Країна залишилася головним напрямком для ПІІ в </w:t>
      </w:r>
      <w:r>
        <w:rPr>
          <w:rFonts w:ascii="Times New Roman" w:hAnsi="Times New Roman"/>
          <w:sz w:val="28"/>
          <w:szCs w:val="28"/>
        </w:rPr>
        <w:t xml:space="preserve">2019 </w:t>
      </w:r>
      <w:r>
        <w:rPr>
          <w:rFonts w:ascii="Times New Roman" w:hAnsi="Times New Roman"/>
          <w:sz w:val="28"/>
          <w:szCs w:val="28"/>
        </w:rPr>
        <w:t>році завдяки великій споживчій базі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передбачуваний і проз</w:t>
      </w:r>
      <w:r>
        <w:rPr>
          <w:rFonts w:ascii="Times New Roman" w:hAnsi="Times New Roman"/>
          <w:sz w:val="28"/>
          <w:szCs w:val="28"/>
        </w:rPr>
        <w:t>орій систему правосуддя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продуктивній робочій силі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високорозвиненій інфраструктурі та діловому середовищі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сприяє інноваціям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У </w:t>
      </w:r>
      <w:r>
        <w:rPr>
          <w:rFonts w:ascii="Times New Roman" w:hAnsi="Times New Roman"/>
          <w:sz w:val="28"/>
          <w:szCs w:val="28"/>
        </w:rPr>
        <w:t xml:space="preserve">2019 </w:t>
      </w:r>
      <w:r>
        <w:rPr>
          <w:rFonts w:ascii="Times New Roman" w:hAnsi="Times New Roman"/>
          <w:sz w:val="28"/>
          <w:szCs w:val="28"/>
        </w:rPr>
        <w:t xml:space="preserve">США стали другим за величиною інвестором в світі </w:t>
      </w: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</w:rPr>
        <w:t xml:space="preserve">після Японії </w:t>
      </w: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</w:rPr>
        <w:t xml:space="preserve">з відтоком ПІІ в розмірі </w:t>
      </w:r>
      <w:r>
        <w:rPr>
          <w:rFonts w:ascii="Times New Roman" w:hAnsi="Times New Roman"/>
          <w:sz w:val="28"/>
          <w:szCs w:val="28"/>
        </w:rPr>
        <w:t xml:space="preserve">125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доларів 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Основ</w:t>
      </w:r>
      <w:r>
        <w:rPr>
          <w:rFonts w:ascii="Times New Roman" w:hAnsi="Times New Roman"/>
          <w:sz w:val="28"/>
          <w:szCs w:val="28"/>
        </w:rPr>
        <w:t>ними країнами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інвесторами в США є Великобританія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Канада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Японія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Німеччина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Ірландія та Франція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Велика частина цих інвестицій спрямована в обробну промисловість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фінансову і страхову діяльність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торгівлю і технічне обслуговування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Однак після спалаху епідемії </w:t>
      </w:r>
      <w:r>
        <w:rPr>
          <w:rFonts w:ascii="Times New Roman" w:hAnsi="Times New Roman"/>
          <w:sz w:val="28"/>
          <w:szCs w:val="28"/>
          <w:lang w:val="da-DK"/>
        </w:rPr>
        <w:t xml:space="preserve">COVID-19 </w:t>
      </w:r>
      <w:r>
        <w:rPr>
          <w:rFonts w:ascii="Times New Roman" w:hAnsi="Times New Roman"/>
          <w:sz w:val="28"/>
          <w:szCs w:val="28"/>
        </w:rPr>
        <w:t xml:space="preserve">приплив ПІІ в США скоротився на </w:t>
      </w:r>
      <w:r>
        <w:rPr>
          <w:rFonts w:ascii="Times New Roman" w:hAnsi="Times New Roman"/>
          <w:sz w:val="28"/>
          <w:szCs w:val="28"/>
        </w:rPr>
        <w:t xml:space="preserve">49% </w:t>
      </w:r>
      <w:r>
        <w:rPr>
          <w:rFonts w:ascii="Times New Roman" w:hAnsi="Times New Roman"/>
          <w:sz w:val="28"/>
          <w:szCs w:val="28"/>
        </w:rPr>
        <w:t xml:space="preserve">і склав приблизно </w:t>
      </w:r>
      <w:r w:rsidRPr="00876CC4">
        <w:rPr>
          <w:rFonts w:ascii="Times New Roman" w:hAnsi="Times New Roman"/>
          <w:sz w:val="28"/>
          <w:szCs w:val="28"/>
        </w:rPr>
        <w:t xml:space="preserve">134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доларів США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причому найбільше постраждали оптова торгівля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фінансові послуги та обробна промисловість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ЮНКТАД</w:t>
      </w:r>
      <w:r>
        <w:rPr>
          <w:rFonts w:ascii="Times New Roman" w:hAnsi="Times New Roman"/>
          <w:sz w:val="28"/>
          <w:szCs w:val="28"/>
        </w:rPr>
        <w:t xml:space="preserve">). </w:t>
      </w:r>
      <w:r>
        <w:rPr>
          <w:rFonts w:ascii="Times New Roman" w:hAnsi="Times New Roman"/>
          <w:sz w:val="28"/>
          <w:szCs w:val="28"/>
        </w:rPr>
        <w:t>Країна все ж показала кращі результати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іж більшість розвинених країн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в яких загальне середнє падіння ПІІ в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</w:rPr>
        <w:t xml:space="preserve">році склало </w:t>
      </w:r>
      <w:r>
        <w:rPr>
          <w:rFonts w:ascii="Times New Roman" w:hAnsi="Times New Roman"/>
          <w:sz w:val="28"/>
          <w:szCs w:val="28"/>
        </w:rPr>
        <w:t>69%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 [11]</w:t>
      </w:r>
      <w:r>
        <w:rPr>
          <w:rFonts w:ascii="Times New Roman" w:hAnsi="Times New Roman"/>
          <w:sz w:val="28"/>
          <w:szCs w:val="28"/>
        </w:rPr>
        <w:t>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Згідно з доповіддю Світового банку </w:t>
      </w:r>
      <w:r>
        <w:rPr>
          <w:rFonts w:ascii="Times New Roman" w:hAnsi="Times New Roman"/>
          <w:sz w:val="28"/>
          <w:szCs w:val="28"/>
          <w:lang w:val="ru-RU"/>
        </w:rPr>
        <w:t>"</w:t>
      </w:r>
      <w:r>
        <w:rPr>
          <w:rFonts w:ascii="Times New Roman" w:hAnsi="Times New Roman"/>
          <w:sz w:val="28"/>
          <w:szCs w:val="28"/>
        </w:rPr>
        <w:t xml:space="preserve">Ведення бізнесу </w:t>
      </w:r>
      <w:r>
        <w:rPr>
          <w:rFonts w:ascii="Times New Roman" w:hAnsi="Times New Roman"/>
          <w:sz w:val="28"/>
          <w:szCs w:val="28"/>
        </w:rPr>
        <w:t xml:space="preserve">2020", </w:t>
      </w:r>
      <w:r>
        <w:rPr>
          <w:rFonts w:ascii="Times New Roman" w:hAnsi="Times New Roman"/>
          <w:sz w:val="28"/>
          <w:szCs w:val="28"/>
        </w:rPr>
        <w:t xml:space="preserve">Сполучені Штати займають </w:t>
      </w:r>
      <w:r>
        <w:rPr>
          <w:rFonts w:ascii="Times New Roman" w:hAnsi="Times New Roman"/>
          <w:sz w:val="28"/>
          <w:szCs w:val="28"/>
        </w:rPr>
        <w:t>6-</w:t>
      </w:r>
      <w:r>
        <w:rPr>
          <w:rFonts w:ascii="Times New Roman" w:hAnsi="Times New Roman"/>
          <w:sz w:val="28"/>
          <w:szCs w:val="28"/>
        </w:rPr>
        <w:t xml:space="preserve">е місце серед </w:t>
      </w:r>
      <w:r>
        <w:rPr>
          <w:rFonts w:ascii="Times New Roman" w:hAnsi="Times New Roman"/>
          <w:sz w:val="28"/>
          <w:szCs w:val="28"/>
        </w:rPr>
        <w:t xml:space="preserve">190 </w:t>
      </w:r>
      <w:r>
        <w:rPr>
          <w:rFonts w:ascii="Times New Roman" w:hAnsi="Times New Roman"/>
          <w:sz w:val="28"/>
          <w:szCs w:val="28"/>
        </w:rPr>
        <w:t>країн за якістю ділового клімату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піднявшись на дві пози</w:t>
      </w:r>
      <w:r>
        <w:rPr>
          <w:rFonts w:ascii="Times New Roman" w:hAnsi="Times New Roman"/>
          <w:sz w:val="28"/>
          <w:szCs w:val="28"/>
        </w:rPr>
        <w:t xml:space="preserve">ції в порівнянні з </w:t>
      </w:r>
      <w:r>
        <w:rPr>
          <w:rFonts w:ascii="Times New Roman" w:hAnsi="Times New Roman"/>
          <w:sz w:val="28"/>
          <w:szCs w:val="28"/>
        </w:rPr>
        <w:t xml:space="preserve">2019 </w:t>
      </w:r>
      <w:r>
        <w:rPr>
          <w:rFonts w:ascii="Times New Roman" w:hAnsi="Times New Roman"/>
          <w:sz w:val="28"/>
          <w:szCs w:val="28"/>
        </w:rPr>
        <w:t>роком</w:t>
      </w:r>
      <w:r>
        <w:rPr>
          <w:rFonts w:ascii="Times New Roman" w:hAnsi="Times New Roman"/>
          <w:sz w:val="28"/>
          <w:szCs w:val="28"/>
        </w:rPr>
        <w:t xml:space="preserve"> [32]. </w:t>
      </w:r>
      <w:r>
        <w:rPr>
          <w:rFonts w:ascii="Times New Roman" w:hAnsi="Times New Roman"/>
          <w:sz w:val="28"/>
          <w:szCs w:val="28"/>
        </w:rPr>
        <w:t>Країна залишається провідною економічною державою світу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найбільшим міжнародним фінансовим центром і третьою за чисельністю населення країною в світі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Сполучені Штати є однією з країн з найкращими показниками по сплаті п</w:t>
      </w:r>
      <w:r>
        <w:rPr>
          <w:rFonts w:ascii="Times New Roman" w:hAnsi="Times New Roman"/>
          <w:sz w:val="28"/>
          <w:szCs w:val="28"/>
        </w:rPr>
        <w:t>одатків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Відкрити бізнес стало простіше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подача в режимі онлайн заяви про надання інформації для компаній з обмеженою відповідальністю</w:t>
      </w:r>
      <w:r>
        <w:rPr>
          <w:rFonts w:ascii="Times New Roman" w:hAnsi="Times New Roman"/>
          <w:sz w:val="28"/>
          <w:szCs w:val="28"/>
        </w:rPr>
        <w:t xml:space="preserve">), </w:t>
      </w:r>
      <w:r>
        <w:rPr>
          <w:rFonts w:ascii="Times New Roman" w:hAnsi="Times New Roman"/>
          <w:sz w:val="28"/>
          <w:szCs w:val="28"/>
        </w:rPr>
        <w:t xml:space="preserve">а </w:t>
      </w:r>
      <w:r>
        <w:rPr>
          <w:rFonts w:ascii="Times New Roman" w:hAnsi="Times New Roman"/>
          <w:sz w:val="28"/>
          <w:szCs w:val="28"/>
        </w:rPr>
        <w:lastRenderedPageBreak/>
        <w:t xml:space="preserve">забезпечити виконання контрактів </w:t>
      </w: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</w:rPr>
        <w:t xml:space="preserve">теж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електронна подача і електронна оплата судових витрат</w:t>
      </w:r>
      <w:r>
        <w:rPr>
          <w:rFonts w:ascii="Times New Roman" w:hAnsi="Times New Roman"/>
          <w:sz w:val="28"/>
          <w:szCs w:val="28"/>
        </w:rPr>
        <w:t xml:space="preserve">). </w:t>
      </w:r>
      <w:r>
        <w:rPr>
          <w:rFonts w:ascii="Times New Roman" w:hAnsi="Times New Roman"/>
          <w:sz w:val="28"/>
          <w:szCs w:val="28"/>
        </w:rPr>
        <w:t xml:space="preserve">До негативних сторін </w:t>
      </w:r>
      <w:r>
        <w:rPr>
          <w:rFonts w:ascii="Times New Roman" w:hAnsi="Times New Roman"/>
          <w:sz w:val="28"/>
          <w:szCs w:val="28"/>
        </w:rPr>
        <w:t>можна віднести зростаюча нерівність і поляризоване політичний ландшафт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а також високий рівень заборгованості домогосподарств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 xml:space="preserve">за оцінками </w:t>
      </w:r>
      <w:r>
        <w:rPr>
          <w:rFonts w:ascii="Times New Roman" w:hAnsi="Times New Roman"/>
          <w:sz w:val="28"/>
          <w:szCs w:val="28"/>
        </w:rPr>
        <w:t xml:space="preserve">Coface, 129% </w:t>
      </w:r>
      <w:r>
        <w:rPr>
          <w:rFonts w:ascii="Times New Roman" w:hAnsi="Times New Roman"/>
          <w:sz w:val="28"/>
          <w:szCs w:val="28"/>
        </w:rPr>
        <w:t>від валового наявного доходу</w:t>
      </w:r>
      <w:r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>і невпевненість у відновленні економіки після кризи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викликаної </w:t>
      </w:r>
      <w:r>
        <w:rPr>
          <w:rFonts w:ascii="Times New Roman" w:hAnsi="Times New Roman"/>
          <w:sz w:val="28"/>
          <w:szCs w:val="28"/>
          <w:lang w:val="da-DK"/>
        </w:rPr>
        <w:t>COVID-19 (</w:t>
      </w:r>
      <w:r>
        <w:rPr>
          <w:rFonts w:ascii="Times New Roman" w:hAnsi="Times New Roman"/>
          <w:sz w:val="28"/>
          <w:szCs w:val="28"/>
        </w:rPr>
        <w:t xml:space="preserve">рівень безробіття підскочив з </w:t>
      </w:r>
      <w:r>
        <w:rPr>
          <w:rFonts w:ascii="Times New Roman" w:hAnsi="Times New Roman"/>
          <w:sz w:val="28"/>
          <w:szCs w:val="28"/>
        </w:rPr>
        <w:t xml:space="preserve">3,5 % </w:t>
      </w:r>
      <w:r w:rsidRPr="00876CC4">
        <w:rPr>
          <w:rFonts w:ascii="Times New Roman" w:hAnsi="Times New Roman"/>
          <w:sz w:val="28"/>
          <w:szCs w:val="28"/>
        </w:rPr>
        <w:t xml:space="preserve">в лютому </w:t>
      </w:r>
      <w:r>
        <w:rPr>
          <w:rFonts w:ascii="Times New Roman" w:hAnsi="Times New Roman"/>
          <w:sz w:val="28"/>
          <w:szCs w:val="28"/>
        </w:rPr>
        <w:t xml:space="preserve">2020 </w:t>
      </w:r>
      <w:r w:rsidRPr="00876CC4">
        <w:rPr>
          <w:rFonts w:ascii="Times New Roman" w:hAnsi="Times New Roman"/>
          <w:sz w:val="28"/>
          <w:szCs w:val="28"/>
        </w:rPr>
        <w:t xml:space="preserve">року </w:t>
      </w: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</w:rPr>
        <w:t xml:space="preserve">найнижчого рівня з </w:t>
      </w:r>
      <w:r>
        <w:rPr>
          <w:rFonts w:ascii="Times New Roman" w:hAnsi="Times New Roman"/>
          <w:sz w:val="28"/>
          <w:szCs w:val="28"/>
        </w:rPr>
        <w:t xml:space="preserve">1969 </w:t>
      </w:r>
      <w:r w:rsidRPr="00876CC4">
        <w:rPr>
          <w:rFonts w:ascii="Times New Roman" w:hAnsi="Times New Roman"/>
          <w:sz w:val="28"/>
          <w:szCs w:val="28"/>
        </w:rPr>
        <w:t xml:space="preserve">року </w:t>
      </w: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</w:rPr>
        <w:t xml:space="preserve">до </w:t>
      </w:r>
      <w:r>
        <w:rPr>
          <w:rFonts w:ascii="Times New Roman" w:hAnsi="Times New Roman"/>
          <w:sz w:val="28"/>
          <w:szCs w:val="28"/>
        </w:rPr>
        <w:t xml:space="preserve">14,7% </w:t>
      </w:r>
      <w:r>
        <w:rPr>
          <w:rFonts w:ascii="Times New Roman" w:hAnsi="Times New Roman"/>
          <w:sz w:val="28"/>
          <w:szCs w:val="28"/>
        </w:rPr>
        <w:t>у квітні</w:t>
      </w:r>
      <w:r>
        <w:rPr>
          <w:rFonts w:ascii="Times New Roman" w:hAnsi="Times New Roman"/>
          <w:sz w:val="28"/>
          <w:szCs w:val="28"/>
        </w:rPr>
        <w:t xml:space="preserve">). </w:t>
      </w:r>
      <w:r>
        <w:rPr>
          <w:rFonts w:ascii="Times New Roman" w:hAnsi="Times New Roman"/>
          <w:sz w:val="28"/>
          <w:szCs w:val="28"/>
        </w:rPr>
        <w:t>Крім того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Закон про модернізацію оцінки ризиків іноземних інвестицій </w:t>
      </w:r>
      <w:r>
        <w:rPr>
          <w:rFonts w:ascii="Times New Roman" w:hAnsi="Times New Roman"/>
          <w:sz w:val="28"/>
          <w:szCs w:val="28"/>
          <w:lang w:val="de-DE"/>
        </w:rPr>
        <w:t xml:space="preserve">(FIRRMA), </w:t>
      </w:r>
      <w:r>
        <w:rPr>
          <w:rFonts w:ascii="Times New Roman" w:hAnsi="Times New Roman"/>
          <w:sz w:val="28"/>
          <w:szCs w:val="28"/>
        </w:rPr>
        <w:t xml:space="preserve">прийнятий в середині </w:t>
      </w:r>
      <w:r>
        <w:rPr>
          <w:rFonts w:ascii="Times New Roman" w:hAnsi="Times New Roman"/>
          <w:sz w:val="28"/>
          <w:szCs w:val="28"/>
        </w:rPr>
        <w:t xml:space="preserve">2018 </w:t>
      </w:r>
      <w:r w:rsidRPr="00876CC4">
        <w:rPr>
          <w:rFonts w:ascii="Times New Roman" w:hAnsi="Times New Roman"/>
          <w:sz w:val="28"/>
          <w:szCs w:val="28"/>
        </w:rPr>
        <w:t>року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значно розширив повноваження Комісії</w:t>
      </w:r>
      <w:r>
        <w:rPr>
          <w:rFonts w:ascii="Times New Roman" w:hAnsi="Times New Roman"/>
          <w:sz w:val="28"/>
          <w:szCs w:val="28"/>
        </w:rPr>
        <w:t xml:space="preserve"> з іноземних інвестицій по розгляду питань національної безпеки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що вважається однією з основних причин скорочення китайських інвестицій в США в останні роки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оскільки багато китайських компаній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інвесторів є державними</w:t>
      </w:r>
      <w:r>
        <w:rPr>
          <w:rFonts w:ascii="Times New Roman" w:hAnsi="Times New Roman"/>
          <w:sz w:val="28"/>
          <w:szCs w:val="28"/>
        </w:rPr>
        <w:t>).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2.2. </w:t>
      </w:r>
      <w:r>
        <w:rPr>
          <w:rFonts w:ascii="Times New Roman" w:hAnsi="Times New Roman"/>
          <w:b/>
          <w:bCs/>
          <w:sz w:val="28"/>
          <w:szCs w:val="28"/>
        </w:rPr>
        <w:t xml:space="preserve">Економетричний аналіз </w:t>
      </w:r>
      <w:r>
        <w:rPr>
          <w:rFonts w:ascii="Times New Roman" w:hAnsi="Times New Roman"/>
          <w:b/>
          <w:bCs/>
          <w:sz w:val="28"/>
          <w:szCs w:val="28"/>
        </w:rPr>
        <w:t>макроекономічних ефектів впливу ТНК на економічний розвиток та торговий баланс США та Китаю як країн</w:t>
      </w:r>
      <w:r>
        <w:rPr>
          <w:rFonts w:ascii="Times New Roman" w:hAnsi="Times New Roman"/>
          <w:b/>
          <w:bCs/>
          <w:sz w:val="28"/>
          <w:szCs w:val="28"/>
        </w:rPr>
        <w:t>-</w:t>
      </w:r>
      <w:r>
        <w:rPr>
          <w:rFonts w:ascii="Times New Roman" w:hAnsi="Times New Roman"/>
          <w:b/>
          <w:bCs/>
          <w:sz w:val="28"/>
          <w:szCs w:val="28"/>
        </w:rPr>
        <w:t>інвесторів</w:t>
      </w:r>
    </w:p>
    <w:p w:rsidR="005639DF" w:rsidRDefault="00876CC4">
      <w:pPr>
        <w:pStyle w:val="Body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даному підрозділі буде виконаний економетричний регресійний аналіз впливу інвестиційної діяльності на такі фактори як ВВП та торгівля США та </w:t>
      </w:r>
      <w:r>
        <w:rPr>
          <w:rFonts w:ascii="Times New Roman" w:hAnsi="Times New Roman"/>
          <w:sz w:val="28"/>
          <w:szCs w:val="28"/>
        </w:rPr>
        <w:t>Китаю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Регресійний аналіз застосовується для вирішення наступних типів проблем</w:t>
      </w:r>
      <w:r>
        <w:rPr>
          <w:rFonts w:ascii="Times New Roman" w:hAnsi="Times New Roman"/>
          <w:sz w:val="28"/>
          <w:szCs w:val="28"/>
        </w:rPr>
        <w:t xml:space="preserve">: </w:t>
      </w:r>
    </w:p>
    <w:p w:rsidR="005639DF" w:rsidRDefault="00876CC4">
      <w:pPr>
        <w:pStyle w:val="Body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виявлення незалежної змінної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яка пов’язана із залежною змінною</w:t>
      </w:r>
      <w:r>
        <w:rPr>
          <w:rFonts w:ascii="Times New Roman" w:hAnsi="Times New Roman"/>
          <w:sz w:val="28"/>
          <w:szCs w:val="28"/>
        </w:rPr>
        <w:t xml:space="preserve">; </w:t>
      </w:r>
    </w:p>
    <w:p w:rsidR="005639DF" w:rsidRDefault="00876CC4">
      <w:pPr>
        <w:pStyle w:val="Body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розуміння відношення між залежною та незалежною змінною</w:t>
      </w:r>
      <w:r>
        <w:rPr>
          <w:rFonts w:ascii="Times New Roman" w:hAnsi="Times New Roman"/>
          <w:sz w:val="28"/>
          <w:szCs w:val="28"/>
        </w:rPr>
        <w:t xml:space="preserve">; </w:t>
      </w:r>
    </w:p>
    <w:p w:rsidR="005639DF" w:rsidRDefault="00876CC4">
      <w:pPr>
        <w:pStyle w:val="Body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передбачення невідомих значень залежної змінної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Регресійний аналіз у даній роботі моделюється на основі Методу найменших квадратів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що являється однією із форм множинної лінійної </w:t>
      </w:r>
      <w:r>
        <w:rPr>
          <w:rFonts w:ascii="Times New Roman" w:hAnsi="Times New Roman"/>
          <w:sz w:val="28"/>
          <w:szCs w:val="28"/>
        </w:rPr>
        <w:lastRenderedPageBreak/>
        <w:t>регресії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згідно з якою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співвідношення залежної та незалежної змінних моделюється за допомогою лінійного рівняння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враховуюч</w:t>
      </w:r>
      <w:r>
        <w:rPr>
          <w:rFonts w:ascii="Times New Roman" w:hAnsi="Times New Roman"/>
          <w:sz w:val="28"/>
          <w:szCs w:val="28"/>
        </w:rPr>
        <w:t>и досліджувані дані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Застосувавши лінійне рівняння регресії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наша модель матиме вигляд</w:t>
      </w:r>
      <w:r>
        <w:rPr>
          <w:rFonts w:ascii="Times New Roman" w:hAnsi="Times New Roman"/>
          <w:sz w:val="28"/>
          <w:szCs w:val="28"/>
        </w:rPr>
        <w:t xml:space="preserve">: </w:t>
      </w:r>
    </w:p>
    <w:p w:rsidR="005639DF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vertAlign w:val="subscript"/>
        </w:rPr>
      </w:pPr>
      <w:r>
        <w:rPr>
          <w:rFonts w:ascii="Times New Roman" w:hAnsi="Times New Roman"/>
          <w:b/>
          <w:bCs/>
          <w:sz w:val="28"/>
          <w:szCs w:val="28"/>
        </w:rPr>
        <w:t>GDP(TRADE)</w:t>
      </w:r>
      <w:r>
        <w:rPr>
          <w:rFonts w:ascii="Times New Roman" w:hAnsi="Times New Roman"/>
          <w:b/>
          <w:bCs/>
          <w:sz w:val="28"/>
          <w:szCs w:val="28"/>
        </w:rPr>
        <w:t xml:space="preserve"> = </w:t>
      </w:r>
      <w:r>
        <w:rPr>
          <w:rFonts w:ascii="Times New Roman" w:hAnsi="Times New Roman"/>
          <w:b/>
          <w:bCs/>
          <w:sz w:val="28"/>
          <w:szCs w:val="28"/>
        </w:rPr>
        <w:t>β</w:t>
      </w:r>
      <w:r>
        <w:rPr>
          <w:rFonts w:ascii="Times New Roman" w:hAnsi="Times New Roman"/>
          <w:b/>
          <w:bCs/>
          <w:sz w:val="28"/>
          <w:szCs w:val="28"/>
        </w:rPr>
        <w:t>1*</w:t>
      </w:r>
      <w:r>
        <w:rPr>
          <w:rFonts w:ascii="Times New Roman" w:hAnsi="Times New Roman"/>
          <w:b/>
          <w:bCs/>
          <w:sz w:val="28"/>
          <w:szCs w:val="28"/>
        </w:rPr>
        <w:t>X</w:t>
      </w:r>
      <w:r>
        <w:rPr>
          <w:rFonts w:ascii="Times New Roman" w:hAnsi="Times New Roman"/>
          <w:b/>
          <w:bCs/>
          <w:sz w:val="28"/>
          <w:szCs w:val="28"/>
          <w:vertAlign w:val="subscript"/>
        </w:rPr>
        <w:t>1</w:t>
      </w:r>
      <w:r>
        <w:rPr>
          <w:rFonts w:ascii="Times New Roman" w:hAnsi="Times New Roman"/>
          <w:b/>
          <w:bCs/>
          <w:sz w:val="28"/>
          <w:szCs w:val="28"/>
        </w:rPr>
        <w:t xml:space="preserve">+ </w:t>
      </w:r>
      <w:r>
        <w:rPr>
          <w:rFonts w:ascii="Times New Roman" w:hAnsi="Times New Roman"/>
          <w:b/>
          <w:bCs/>
          <w:sz w:val="28"/>
          <w:szCs w:val="28"/>
        </w:rPr>
        <w:t>β</w:t>
      </w:r>
      <w:r>
        <w:rPr>
          <w:rFonts w:ascii="Times New Roman" w:hAnsi="Times New Roman"/>
          <w:b/>
          <w:bCs/>
          <w:sz w:val="28"/>
          <w:szCs w:val="28"/>
        </w:rPr>
        <w:t>2*</w:t>
      </w:r>
      <w:r>
        <w:rPr>
          <w:rFonts w:ascii="Times New Roman" w:hAnsi="Times New Roman"/>
          <w:b/>
          <w:bCs/>
          <w:sz w:val="28"/>
          <w:szCs w:val="28"/>
        </w:rPr>
        <w:t>X</w:t>
      </w:r>
      <w:r>
        <w:rPr>
          <w:rFonts w:ascii="Times New Roman" w:hAnsi="Times New Roman"/>
          <w:b/>
          <w:bCs/>
          <w:sz w:val="28"/>
          <w:szCs w:val="28"/>
          <w:vertAlign w:val="subscript"/>
        </w:rPr>
        <w:t>2</w:t>
      </w:r>
      <w:r>
        <w:rPr>
          <w:rFonts w:ascii="Times New Roman" w:hAnsi="Times New Roman"/>
          <w:b/>
          <w:bCs/>
          <w:sz w:val="28"/>
          <w:szCs w:val="28"/>
        </w:rPr>
        <w:t xml:space="preserve"> + </w:t>
      </w:r>
      <w:r>
        <w:rPr>
          <w:rFonts w:ascii="Times New Roman" w:hAnsi="Times New Roman"/>
          <w:b/>
          <w:bCs/>
          <w:sz w:val="28"/>
          <w:szCs w:val="28"/>
        </w:rPr>
        <w:t>β</w:t>
      </w:r>
      <w:r>
        <w:rPr>
          <w:rFonts w:ascii="Times New Roman" w:hAnsi="Times New Roman"/>
          <w:b/>
          <w:bCs/>
          <w:sz w:val="28"/>
          <w:szCs w:val="28"/>
        </w:rPr>
        <w:t>3*</w:t>
      </w:r>
      <w:r>
        <w:rPr>
          <w:rFonts w:ascii="Times New Roman" w:hAnsi="Times New Roman"/>
          <w:b/>
          <w:bCs/>
          <w:sz w:val="28"/>
          <w:szCs w:val="28"/>
        </w:rPr>
        <w:t>X</w:t>
      </w:r>
      <w:r>
        <w:rPr>
          <w:rFonts w:ascii="Times New Roman" w:hAnsi="Times New Roman"/>
          <w:b/>
          <w:bCs/>
          <w:sz w:val="28"/>
          <w:szCs w:val="28"/>
          <w:vertAlign w:val="subscript"/>
        </w:rPr>
        <w:t>3</w:t>
      </w:r>
      <w:r>
        <w:rPr>
          <w:rFonts w:ascii="Times New Roman" w:hAnsi="Times New Roman"/>
          <w:b/>
          <w:bCs/>
          <w:sz w:val="28"/>
          <w:szCs w:val="28"/>
          <w:vertAlign w:val="subscript"/>
        </w:rPr>
        <w:t>.</w:t>
      </w:r>
    </w:p>
    <w:p w:rsidR="005639DF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vertAlign w:val="subscript"/>
        </w:rPr>
        <w:t xml:space="preserve"> </w:t>
      </w:r>
      <w:r>
        <w:rPr>
          <w:rFonts w:ascii="Times New Roman" w:hAnsi="Times New Roman"/>
          <w:sz w:val="28"/>
          <w:szCs w:val="28"/>
        </w:rPr>
        <w:t>Рівняння регресії дає можливість оцінити вплив кожної незалежної змінної на прогнозовані значення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враховуючи коефіцієнт регресії </w:t>
      </w:r>
      <w:r>
        <w:rPr>
          <w:rFonts w:ascii="Times New Roman" w:hAnsi="Times New Roman"/>
          <w:sz w:val="28"/>
          <w:szCs w:val="28"/>
        </w:rPr>
        <w:t>для кожної незалежної змінної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для оцінки точності моделі використовується ряд критеріїв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описаних далі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76CC4">
        <w:rPr>
          <w:rFonts w:ascii="Times New Roman" w:hAnsi="Times New Roman"/>
          <w:sz w:val="28"/>
          <w:szCs w:val="28"/>
          <w:lang w:val="ru-RU"/>
        </w:rPr>
        <w:t>Для визначення статистичної значимості даної моделі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876CC4">
        <w:rPr>
          <w:rFonts w:ascii="Times New Roman" w:hAnsi="Times New Roman"/>
          <w:sz w:val="28"/>
          <w:szCs w:val="28"/>
          <w:lang w:val="ru-RU"/>
        </w:rPr>
        <w:t>проаналізуємо отримані значення критеріїв регресійної моделі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</w:rPr>
        <w:t>У ході аналізу регресійної моделі</w:t>
      </w:r>
      <w:r>
        <w:rPr>
          <w:rFonts w:ascii="Times New Roman" w:hAnsi="Times New Roman"/>
          <w:sz w:val="28"/>
          <w:szCs w:val="28"/>
        </w:rPr>
        <w:t xml:space="preserve"> основними та вагомими є такі критерії</w:t>
      </w:r>
      <w:r>
        <w:rPr>
          <w:rFonts w:ascii="Times New Roman" w:hAnsi="Times New Roman"/>
          <w:sz w:val="28"/>
          <w:szCs w:val="28"/>
        </w:rPr>
        <w:t xml:space="preserve">: </w:t>
      </w:r>
    </w:p>
    <w:p w:rsidR="005639DF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t-</w:t>
      </w:r>
      <w:r>
        <w:rPr>
          <w:rFonts w:ascii="Times New Roman" w:hAnsi="Times New Roman"/>
          <w:sz w:val="28"/>
          <w:szCs w:val="28"/>
          <w:lang w:val="ru-RU"/>
        </w:rPr>
        <w:t>Критер</w:t>
      </w:r>
      <w:r>
        <w:rPr>
          <w:rFonts w:ascii="Times New Roman" w:hAnsi="Times New Roman"/>
          <w:sz w:val="28"/>
          <w:szCs w:val="28"/>
        </w:rPr>
        <w:t>ій Стьюдента – локальний статистичний показник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котрий відображає можливості прогнозування для кожної незалежної змінної окремо та показує наскільки великою є помилка у обчисленнях</w:t>
      </w:r>
      <w:r>
        <w:rPr>
          <w:rFonts w:ascii="Times New Roman" w:hAnsi="Times New Roman"/>
          <w:sz w:val="28"/>
          <w:szCs w:val="28"/>
        </w:rPr>
        <w:t xml:space="preserve">; </w:t>
      </w:r>
      <w:r>
        <w:rPr>
          <w:rFonts w:ascii="Times New Roman" w:hAnsi="Times New Roman"/>
          <w:sz w:val="28"/>
          <w:szCs w:val="28"/>
        </w:rPr>
        <w:t>згідно з теорією значення</w:t>
      </w:r>
      <w:r>
        <w:rPr>
          <w:rFonts w:ascii="Times New Roman" w:hAnsi="Times New Roman"/>
          <w:sz w:val="28"/>
          <w:szCs w:val="28"/>
        </w:rPr>
        <w:t xml:space="preserve"> критерію має бути більше </w:t>
      </w:r>
      <w:r>
        <w:rPr>
          <w:rFonts w:ascii="Times New Roman" w:hAnsi="Times New Roman"/>
          <w:sz w:val="28"/>
          <w:szCs w:val="28"/>
        </w:rPr>
        <w:t xml:space="preserve">2,015 </w:t>
      </w:r>
      <w:r>
        <w:rPr>
          <w:rFonts w:ascii="Times New Roman" w:hAnsi="Times New Roman"/>
          <w:sz w:val="28"/>
          <w:szCs w:val="28"/>
        </w:rPr>
        <w:t>по модулю</w:t>
      </w:r>
      <w:r>
        <w:rPr>
          <w:rFonts w:ascii="Times New Roman" w:hAnsi="Times New Roman"/>
          <w:sz w:val="28"/>
          <w:szCs w:val="28"/>
        </w:rPr>
        <w:t xml:space="preserve">; </w:t>
      </w:r>
    </w:p>
    <w:p w:rsidR="005639DF" w:rsidRPr="00876CC4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F</w:t>
      </w:r>
      <w:r w:rsidRPr="00876CC4">
        <w:rPr>
          <w:rFonts w:ascii="Times New Roman" w:hAnsi="Times New Roman"/>
          <w:sz w:val="28"/>
          <w:szCs w:val="28"/>
          <w:lang w:val="ru-RU"/>
        </w:rPr>
        <w:t>-</w:t>
      </w:r>
      <w:r w:rsidRPr="00876CC4">
        <w:rPr>
          <w:rFonts w:ascii="Times New Roman" w:hAnsi="Times New Roman"/>
          <w:sz w:val="28"/>
          <w:szCs w:val="28"/>
          <w:lang w:val="ru-RU"/>
        </w:rPr>
        <w:t>коефіцієнт Фішера – глобальний статистичний показник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значення якого служить для перевірки моделі на адекватність та має складати більше 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20 </w:t>
      </w:r>
      <w:r w:rsidRPr="00876CC4">
        <w:rPr>
          <w:rFonts w:ascii="Times New Roman" w:hAnsi="Times New Roman"/>
          <w:sz w:val="28"/>
          <w:szCs w:val="28"/>
          <w:lang w:val="ru-RU"/>
        </w:rPr>
        <w:t>по модулю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; </w:t>
      </w:r>
    </w:p>
    <w:p w:rsidR="005639DF" w:rsidRPr="00876CC4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876CC4">
        <w:rPr>
          <w:rFonts w:ascii="Times New Roman" w:hAnsi="Times New Roman"/>
          <w:sz w:val="28"/>
          <w:szCs w:val="28"/>
          <w:lang w:val="ru-RU"/>
        </w:rPr>
        <w:t xml:space="preserve">Коефіцієнт детермінації </w:t>
      </w:r>
      <w:r w:rsidRPr="00876CC4">
        <w:rPr>
          <w:rFonts w:ascii="Times New Roman" w:hAnsi="Times New Roman"/>
          <w:sz w:val="28"/>
          <w:szCs w:val="28"/>
          <w:lang w:val="ru-RU"/>
        </w:rPr>
        <w:t>(</w:t>
      </w:r>
      <w:r>
        <w:rPr>
          <w:rFonts w:ascii="Times New Roman" w:hAnsi="Times New Roman"/>
          <w:sz w:val="28"/>
          <w:szCs w:val="28"/>
        </w:rPr>
        <w:t>R</w:t>
      </w:r>
      <w:r w:rsidRPr="00876CC4">
        <w:rPr>
          <w:rFonts w:ascii="Times New Roman" w:hAnsi="Times New Roman"/>
          <w:sz w:val="28"/>
          <w:szCs w:val="28"/>
          <w:vertAlign w:val="superscript"/>
          <w:lang w:val="ru-RU"/>
        </w:rPr>
        <w:t>2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) 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– 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одна з найбільш ефективних </w:t>
      </w:r>
      <w:r w:rsidRPr="00876CC4">
        <w:rPr>
          <w:rFonts w:ascii="Times New Roman" w:hAnsi="Times New Roman"/>
          <w:sz w:val="28"/>
          <w:szCs w:val="28"/>
          <w:lang w:val="ru-RU"/>
        </w:rPr>
        <w:t>оцінок адекватності регресійної моделі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876CC4">
        <w:rPr>
          <w:rFonts w:ascii="Times New Roman" w:hAnsi="Times New Roman"/>
          <w:sz w:val="28"/>
          <w:szCs w:val="28"/>
          <w:lang w:val="ru-RU"/>
        </w:rPr>
        <w:t>міра якості рівняння регресії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; 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значення має приближуватися до 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1, </w:t>
      </w:r>
      <w:r w:rsidRPr="00876CC4">
        <w:rPr>
          <w:rFonts w:ascii="Times New Roman" w:hAnsi="Times New Roman"/>
          <w:sz w:val="28"/>
          <w:szCs w:val="28"/>
          <w:lang w:val="ru-RU"/>
        </w:rPr>
        <w:t>що буде означати високу якість побудованого рівняння і його можливо використовувати для подальшого прогнозування та аналізу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Для побудови регресійний </w:t>
      </w:r>
      <w:r>
        <w:rPr>
          <w:rFonts w:ascii="Times New Roman" w:hAnsi="Times New Roman"/>
          <w:sz w:val="28"/>
          <w:szCs w:val="28"/>
        </w:rPr>
        <w:t xml:space="preserve">моделей для США та КНР та аналізу потенційного впливу на макроекономічну діяльність були використані дані за період </w:t>
      </w:r>
      <w:r>
        <w:rPr>
          <w:rFonts w:ascii="Times New Roman" w:hAnsi="Times New Roman"/>
          <w:sz w:val="28"/>
          <w:szCs w:val="28"/>
        </w:rPr>
        <w:t xml:space="preserve">2001-2020 </w:t>
      </w:r>
      <w:r>
        <w:rPr>
          <w:rFonts w:ascii="Times New Roman" w:hAnsi="Times New Roman"/>
          <w:sz w:val="28"/>
          <w:szCs w:val="28"/>
        </w:rPr>
        <w:t xml:space="preserve">років та показники зазначені у Таблиці </w:t>
      </w:r>
      <w:r>
        <w:rPr>
          <w:rFonts w:ascii="Times New Roman" w:hAnsi="Times New Roman"/>
          <w:sz w:val="28"/>
          <w:szCs w:val="28"/>
        </w:rPr>
        <w:t xml:space="preserve">2.1 </w:t>
      </w:r>
      <w:r>
        <w:rPr>
          <w:rFonts w:ascii="Times New Roman" w:hAnsi="Times New Roman"/>
          <w:sz w:val="28"/>
          <w:szCs w:val="28"/>
        </w:rPr>
        <w:t xml:space="preserve">нижче </w:t>
      </w: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876CC4">
      <w:pPr>
        <w:pStyle w:val="Body"/>
        <w:spacing w:line="360" w:lineRule="auto"/>
        <w:ind w:firstLine="850"/>
        <w:jc w:val="right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t xml:space="preserve">Таблиця </w:t>
      </w:r>
      <w:r>
        <w:rPr>
          <w:rFonts w:ascii="Times New Roman" w:hAnsi="Times New Roman"/>
          <w:i/>
          <w:iCs/>
          <w:sz w:val="28"/>
          <w:szCs w:val="28"/>
        </w:rPr>
        <w:t>2.1</w:t>
      </w:r>
    </w:p>
    <w:p w:rsidR="005639DF" w:rsidRDefault="00876CC4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lastRenderedPageBreak/>
        <w:t xml:space="preserve">Скорочення та обозначення показників застосованих для побудови регресійний моделей </w:t>
      </w:r>
    </w:p>
    <w:tbl>
      <w:tblPr>
        <w:tblStyle w:val="TableNormal"/>
        <w:tblW w:w="9617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808"/>
        <w:gridCol w:w="4809"/>
      </w:tblGrid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/>
        </w:trPr>
        <w:tc>
          <w:tcPr>
            <w:tcW w:w="4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ВВП </w:t>
            </w:r>
          </w:p>
        </w:tc>
        <w:tc>
          <w:tcPr>
            <w:tcW w:w="4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GDP 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/>
        </w:trPr>
        <w:tc>
          <w:tcPr>
            <w:tcW w:w="4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Торговельний баланс товарів та послуг</w:t>
            </w:r>
          </w:p>
        </w:tc>
        <w:tc>
          <w:tcPr>
            <w:tcW w:w="4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Trade balance 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/>
        </w:trPr>
        <w:tc>
          <w:tcPr>
            <w:tcW w:w="4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Потоки прямих іноземних інвестицій з аналізованої країни </w:t>
            </w:r>
          </w:p>
        </w:tc>
        <w:tc>
          <w:tcPr>
            <w:tcW w:w="4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Outward FDI 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/>
        </w:trPr>
        <w:tc>
          <w:tcPr>
            <w:tcW w:w="4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Потоки прямих іноземних інвестицій до аналізованої країни </w:t>
            </w:r>
          </w:p>
        </w:tc>
        <w:tc>
          <w:tcPr>
            <w:tcW w:w="4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Inward FDI 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/>
        </w:trPr>
        <w:tc>
          <w:tcPr>
            <w:tcW w:w="4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Валова вартість акцій компаній країни на фінансових ринках </w:t>
            </w:r>
          </w:p>
        </w:tc>
        <w:tc>
          <w:tcPr>
            <w:tcW w:w="4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Shares on the market 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/>
        </w:trPr>
        <w:tc>
          <w:tcPr>
            <w:tcW w:w="4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Фінансовий рахунок </w:t>
            </w:r>
          </w:p>
        </w:tc>
        <w:tc>
          <w:tcPr>
            <w:tcW w:w="4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Financial Account 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/>
        </w:trPr>
        <w:tc>
          <w:tcPr>
            <w:tcW w:w="4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Міжнародна Інвестиційна позиція </w:t>
            </w:r>
          </w:p>
        </w:tc>
        <w:tc>
          <w:tcPr>
            <w:tcW w:w="4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IIP</w:t>
            </w:r>
          </w:p>
        </w:tc>
      </w:tr>
    </w:tbl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t>Побудовано автором</w:t>
      </w:r>
      <w:r>
        <w:rPr>
          <w:rFonts w:ascii="Times New Roman" w:hAnsi="Times New Roman"/>
          <w:i/>
          <w:iCs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Pr="00876CC4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76CC4">
        <w:rPr>
          <w:rFonts w:ascii="Times New Roman" w:hAnsi="Times New Roman"/>
          <w:sz w:val="28"/>
          <w:szCs w:val="28"/>
          <w:lang w:val="ru-RU"/>
        </w:rPr>
        <w:t>Побудувавши китайську модель ефектів впливу на ВВП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876CC4">
        <w:rPr>
          <w:rFonts w:ascii="Times New Roman" w:hAnsi="Times New Roman"/>
          <w:sz w:val="28"/>
          <w:szCs w:val="28"/>
          <w:lang w:val="ru-RU"/>
        </w:rPr>
        <w:t>було отримано такі значення показників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876CC4">
        <w:rPr>
          <w:rFonts w:ascii="Times New Roman" w:hAnsi="Times New Roman"/>
          <w:sz w:val="28"/>
          <w:szCs w:val="28"/>
          <w:lang w:val="ru-RU"/>
        </w:rPr>
        <w:t>зазначених у Додатку А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. </w:t>
      </w:r>
    </w:p>
    <w:p w:rsidR="005639DF" w:rsidRPr="00876CC4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76CC4">
        <w:rPr>
          <w:rFonts w:ascii="Times New Roman" w:hAnsi="Times New Roman"/>
          <w:sz w:val="28"/>
          <w:szCs w:val="28"/>
          <w:lang w:val="ru-RU"/>
        </w:rPr>
        <w:t>Згідно з результатами побудованої китайської моделі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876CC4">
        <w:rPr>
          <w:rFonts w:ascii="Times New Roman" w:hAnsi="Times New Roman"/>
          <w:sz w:val="28"/>
          <w:szCs w:val="28"/>
          <w:lang w:val="ru-RU"/>
        </w:rPr>
        <w:t>ми маємо наступні висновки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: </w:t>
      </w:r>
    </w:p>
    <w:p w:rsidR="005639DF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GDP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Arial Unicode MS" w:hAnsi="Arial Unicode MS"/>
          <w:sz w:val="28"/>
          <w:szCs w:val="28"/>
        </w:rPr>
        <w:t>⇒</w:t>
      </w:r>
      <w:r>
        <w:rPr>
          <w:rFonts w:ascii="Times New Roman" w:hAnsi="Times New Roman"/>
          <w:sz w:val="28"/>
          <w:szCs w:val="28"/>
        </w:rPr>
        <w:t xml:space="preserve"> Outward FDI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; </w:t>
      </w:r>
    </w:p>
    <w:p w:rsidR="005639DF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GDP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Arial Unicode MS" w:hAnsi="Arial Unicode MS"/>
          <w:sz w:val="28"/>
          <w:szCs w:val="28"/>
        </w:rPr>
        <w:t>⇒</w:t>
      </w:r>
      <w:r>
        <w:rPr>
          <w:rFonts w:ascii="Times New Roman" w:hAnsi="Times New Roman"/>
          <w:sz w:val="28"/>
          <w:szCs w:val="28"/>
        </w:rPr>
        <w:t xml:space="preserve"> Inward FDI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; </w:t>
      </w:r>
    </w:p>
    <w:p w:rsidR="005639DF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GDP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Arial Unicode MS" w:hAnsi="Arial Unicode MS"/>
          <w:sz w:val="28"/>
          <w:szCs w:val="28"/>
        </w:rPr>
        <w:t>⇒</w:t>
      </w:r>
      <w:r>
        <w:rPr>
          <w:rFonts w:ascii="Times New Roman" w:hAnsi="Times New Roman"/>
          <w:sz w:val="28"/>
          <w:szCs w:val="28"/>
        </w:rPr>
        <w:t xml:space="preserve"> Shares on market </w:t>
      </w:r>
      <w:r>
        <w:rPr>
          <w:rFonts w:ascii="Times New Roman" w:hAnsi="Times New Roman"/>
          <w:sz w:val="28"/>
          <w:szCs w:val="28"/>
        </w:rPr>
        <w:t>↓</w:t>
      </w:r>
      <w:r>
        <w:rPr>
          <w:rFonts w:ascii="Times New Roman" w:hAnsi="Times New Roman"/>
          <w:sz w:val="28"/>
          <w:szCs w:val="28"/>
        </w:rPr>
        <w:t>;</w:t>
      </w:r>
    </w:p>
    <w:p w:rsidR="005639DF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GDP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Arial Unicode MS" w:hAnsi="Arial Unicode MS"/>
          <w:sz w:val="28"/>
          <w:szCs w:val="28"/>
        </w:rPr>
        <w:t>⇒</w:t>
      </w:r>
      <w:r>
        <w:rPr>
          <w:rFonts w:ascii="Times New Roman" w:hAnsi="Times New Roman"/>
          <w:sz w:val="28"/>
          <w:szCs w:val="28"/>
        </w:rPr>
        <w:t xml:space="preserve"> Financial Account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>;</w:t>
      </w:r>
    </w:p>
    <w:p w:rsidR="005639DF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GDP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Arial Unicode MS" w:hAnsi="Arial Unicode MS"/>
          <w:sz w:val="28"/>
          <w:szCs w:val="28"/>
        </w:rPr>
        <w:t>⇒</w:t>
      </w:r>
      <w:r>
        <w:rPr>
          <w:rFonts w:ascii="Times New Roman" w:hAnsi="Times New Roman"/>
          <w:sz w:val="28"/>
          <w:szCs w:val="28"/>
        </w:rPr>
        <w:t xml:space="preserve"> IIP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Pr="00876CC4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76CC4">
        <w:rPr>
          <w:rFonts w:ascii="Times New Roman" w:hAnsi="Times New Roman"/>
          <w:sz w:val="28"/>
          <w:szCs w:val="28"/>
          <w:lang w:val="ru-RU"/>
        </w:rPr>
        <w:t>Враховуючи отримані значення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876CC4">
        <w:rPr>
          <w:rFonts w:ascii="Times New Roman" w:hAnsi="Times New Roman"/>
          <w:sz w:val="28"/>
          <w:szCs w:val="28"/>
          <w:lang w:val="ru-RU"/>
        </w:rPr>
        <w:t>модель приймає даний вигляд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: </w:t>
      </w:r>
    </w:p>
    <w:p w:rsidR="005639DF" w:rsidRPr="00876CC4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vertAlign w:val="subscript"/>
          <w:lang w:val="ru-RU"/>
        </w:rPr>
      </w:pPr>
      <w:r>
        <w:rPr>
          <w:rFonts w:ascii="Times New Roman" w:hAnsi="Times New Roman"/>
          <w:b/>
          <w:bCs/>
          <w:sz w:val="28"/>
          <w:szCs w:val="28"/>
        </w:rPr>
        <w:t>GDP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 = 0,46*</w:t>
      </w:r>
      <w:r>
        <w:rPr>
          <w:rFonts w:ascii="Times New Roman" w:hAnsi="Times New Roman"/>
          <w:b/>
          <w:bCs/>
          <w:sz w:val="28"/>
          <w:szCs w:val="28"/>
        </w:rPr>
        <w:t>X</w:t>
      </w:r>
      <w:r w:rsidRPr="00876CC4">
        <w:rPr>
          <w:rFonts w:ascii="Times New Roman" w:hAnsi="Times New Roman"/>
          <w:b/>
          <w:bCs/>
          <w:sz w:val="28"/>
          <w:szCs w:val="28"/>
          <w:vertAlign w:val="subscript"/>
          <w:lang w:val="ru-RU"/>
        </w:rPr>
        <w:t>1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+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0,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543*</w:t>
      </w:r>
      <w:r>
        <w:rPr>
          <w:rFonts w:ascii="Times New Roman" w:hAnsi="Times New Roman"/>
          <w:b/>
          <w:bCs/>
          <w:sz w:val="28"/>
          <w:szCs w:val="28"/>
        </w:rPr>
        <w:t>X</w:t>
      </w:r>
      <w:r w:rsidRPr="00876CC4">
        <w:rPr>
          <w:rFonts w:ascii="Times New Roman" w:hAnsi="Times New Roman"/>
          <w:b/>
          <w:bCs/>
          <w:sz w:val="28"/>
          <w:szCs w:val="28"/>
          <w:vertAlign w:val="subscript"/>
          <w:lang w:val="ru-RU"/>
        </w:rPr>
        <w:t>2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 -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0,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023*</w:t>
      </w:r>
      <w:r>
        <w:rPr>
          <w:rFonts w:ascii="Times New Roman" w:hAnsi="Times New Roman"/>
          <w:b/>
          <w:bCs/>
          <w:sz w:val="28"/>
          <w:szCs w:val="28"/>
        </w:rPr>
        <w:t>X</w:t>
      </w:r>
      <w:r w:rsidRPr="00876CC4">
        <w:rPr>
          <w:rFonts w:ascii="Times New Roman" w:hAnsi="Times New Roman"/>
          <w:b/>
          <w:bCs/>
          <w:sz w:val="28"/>
          <w:szCs w:val="28"/>
          <w:vertAlign w:val="subscript"/>
          <w:lang w:val="ru-RU"/>
        </w:rPr>
        <w:t xml:space="preserve">3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+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0,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051*</w:t>
      </w:r>
      <w:r>
        <w:rPr>
          <w:rFonts w:ascii="Times New Roman" w:hAnsi="Times New Roman"/>
          <w:b/>
          <w:bCs/>
          <w:sz w:val="28"/>
          <w:szCs w:val="28"/>
        </w:rPr>
        <w:t>X</w:t>
      </w:r>
      <w:r w:rsidRPr="00876CC4">
        <w:rPr>
          <w:rFonts w:ascii="Times New Roman" w:hAnsi="Times New Roman"/>
          <w:b/>
          <w:bCs/>
          <w:sz w:val="28"/>
          <w:szCs w:val="28"/>
          <w:vertAlign w:val="subscript"/>
          <w:lang w:val="ru-RU"/>
        </w:rPr>
        <w:t xml:space="preserve">4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+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0,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088*</w:t>
      </w:r>
      <w:r>
        <w:rPr>
          <w:rFonts w:ascii="Times New Roman" w:hAnsi="Times New Roman"/>
          <w:b/>
          <w:bCs/>
          <w:sz w:val="28"/>
          <w:szCs w:val="28"/>
        </w:rPr>
        <w:t>X</w:t>
      </w:r>
      <w:r w:rsidRPr="00876CC4">
        <w:rPr>
          <w:rFonts w:ascii="Times New Roman" w:hAnsi="Times New Roman"/>
          <w:b/>
          <w:bCs/>
          <w:sz w:val="28"/>
          <w:szCs w:val="28"/>
          <w:vertAlign w:val="subscript"/>
          <w:lang w:val="ru-RU"/>
        </w:rPr>
        <w:t>5</w:t>
      </w:r>
      <w:r w:rsidRPr="00876CC4">
        <w:rPr>
          <w:rFonts w:ascii="Times New Roman" w:hAnsi="Times New Roman"/>
          <w:b/>
          <w:bCs/>
          <w:sz w:val="28"/>
          <w:szCs w:val="28"/>
          <w:vertAlign w:val="subscript"/>
          <w:lang w:val="ru-RU"/>
        </w:rPr>
        <w:t>.</w:t>
      </w:r>
    </w:p>
    <w:p w:rsidR="005639DF" w:rsidRPr="00876CC4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76CC4">
        <w:rPr>
          <w:rFonts w:ascii="Times New Roman" w:hAnsi="Times New Roman"/>
          <w:b/>
          <w:bCs/>
          <w:sz w:val="28"/>
          <w:szCs w:val="28"/>
          <w:vertAlign w:val="subscript"/>
          <w:lang w:val="ru-RU"/>
        </w:rPr>
        <w:t xml:space="preserve">                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(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8,796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)  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  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(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6,343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)      (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-0,749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)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    (1,287)         (1,228)</w:t>
      </w:r>
    </w:p>
    <w:p w:rsidR="005639DF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76CC4">
        <w:rPr>
          <w:rFonts w:ascii="Times New Roman" w:hAnsi="Times New Roman"/>
          <w:sz w:val="28"/>
          <w:szCs w:val="28"/>
          <w:lang w:val="ru-RU"/>
        </w:rPr>
        <w:lastRenderedPageBreak/>
        <w:t>Дана модель відповідає усім заданим параметрам критеріїв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Коефіцієнт Фішера досягає значення </w:t>
      </w:r>
      <w:r>
        <w:rPr>
          <w:rFonts w:ascii="Times New Roman" w:hAnsi="Times New Roman"/>
          <w:sz w:val="28"/>
          <w:szCs w:val="28"/>
        </w:rPr>
        <w:t xml:space="preserve">462,613, </w:t>
      </w:r>
      <w:r>
        <w:rPr>
          <w:rFonts w:ascii="Times New Roman" w:hAnsi="Times New Roman"/>
          <w:sz w:val="28"/>
          <w:szCs w:val="28"/>
        </w:rPr>
        <w:t xml:space="preserve">що є більше </w:t>
      </w:r>
      <w:r>
        <w:rPr>
          <w:rFonts w:ascii="Times New Roman" w:hAnsi="Times New Roman"/>
          <w:sz w:val="28"/>
          <w:szCs w:val="28"/>
        </w:rPr>
        <w:t xml:space="preserve">20, </w:t>
      </w:r>
      <w:r>
        <w:rPr>
          <w:rFonts w:ascii="Times New Roman" w:hAnsi="Times New Roman"/>
          <w:sz w:val="28"/>
          <w:szCs w:val="28"/>
        </w:rPr>
        <w:t xml:space="preserve">а його значимість складає </w:t>
      </w:r>
      <w:r>
        <w:rPr>
          <w:rFonts w:ascii="Times New Roman" w:hAnsi="Times New Roman"/>
          <w:sz w:val="28"/>
          <w:szCs w:val="28"/>
        </w:rPr>
        <w:t xml:space="preserve">0,00, </w:t>
      </w:r>
      <w:r>
        <w:rPr>
          <w:rFonts w:ascii="Times New Roman" w:hAnsi="Times New Roman"/>
          <w:sz w:val="28"/>
          <w:szCs w:val="28"/>
        </w:rPr>
        <w:t>що говорить про високу якість побудованої моделі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Pr="00876CC4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Згідно з побудованою моделл</w:t>
      </w:r>
      <w:r>
        <w:rPr>
          <w:rFonts w:ascii="Times New Roman" w:hAnsi="Times New Roman"/>
          <w:sz w:val="28"/>
          <w:szCs w:val="28"/>
        </w:rPr>
        <w:t>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найбільша кореляція відбувається між ВВП та двосторонніми потоками прямих іноземних інвестицій</w:t>
      </w:r>
      <w:r>
        <w:rPr>
          <w:rFonts w:ascii="Times New Roman" w:hAnsi="Times New Roman"/>
          <w:sz w:val="28"/>
          <w:szCs w:val="28"/>
        </w:rPr>
        <w:t xml:space="preserve">. </w:t>
      </w:r>
      <w:r w:rsidRPr="00876CC4">
        <w:rPr>
          <w:rFonts w:ascii="Times New Roman" w:hAnsi="Times New Roman"/>
          <w:sz w:val="28"/>
          <w:szCs w:val="28"/>
          <w:lang w:val="ru-RU"/>
        </w:rPr>
        <w:t>Протилежна кореляція відбувається у ВВП Китаю з вартістю акцій національних компаній на фінансових ринках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Наступна китайська модель відображає залежність </w:t>
      </w:r>
      <w:r>
        <w:rPr>
          <w:rFonts w:ascii="Times New Roman" w:hAnsi="Times New Roman"/>
          <w:sz w:val="28"/>
          <w:szCs w:val="28"/>
        </w:rPr>
        <w:t>торгівельного балансу від заданих раніше факторів наступним чином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 (</w:t>
      </w:r>
      <w:r>
        <w:rPr>
          <w:rFonts w:ascii="Times New Roman" w:hAnsi="Times New Roman"/>
          <w:sz w:val="28"/>
          <w:szCs w:val="28"/>
        </w:rPr>
        <w:t>Додаток А</w:t>
      </w:r>
      <w:r>
        <w:rPr>
          <w:rFonts w:ascii="Times New Roman" w:hAnsi="Times New Roman"/>
          <w:sz w:val="28"/>
          <w:szCs w:val="28"/>
        </w:rPr>
        <w:t xml:space="preserve">): </w:t>
      </w:r>
    </w:p>
    <w:p w:rsidR="005639DF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Trade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Arial Unicode MS" w:hAnsi="Arial Unicode MS"/>
          <w:sz w:val="28"/>
          <w:szCs w:val="28"/>
        </w:rPr>
        <w:t>⇒</w:t>
      </w:r>
      <w:r>
        <w:rPr>
          <w:rFonts w:ascii="Times New Roman" w:hAnsi="Times New Roman"/>
          <w:sz w:val="28"/>
          <w:szCs w:val="28"/>
        </w:rPr>
        <w:t xml:space="preserve"> Outward FDI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; </w:t>
      </w:r>
    </w:p>
    <w:p w:rsidR="005639DF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Trade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Arial Unicode MS" w:hAnsi="Arial Unicode MS"/>
          <w:sz w:val="28"/>
          <w:szCs w:val="28"/>
        </w:rPr>
        <w:t>⇒</w:t>
      </w:r>
      <w:r>
        <w:rPr>
          <w:rFonts w:ascii="Times New Roman" w:hAnsi="Times New Roman"/>
          <w:sz w:val="28"/>
          <w:szCs w:val="28"/>
        </w:rPr>
        <w:t xml:space="preserve"> Inward FDI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; </w:t>
      </w:r>
    </w:p>
    <w:p w:rsidR="005639DF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Trade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Arial Unicode MS" w:hAnsi="Arial Unicode MS"/>
          <w:sz w:val="28"/>
          <w:szCs w:val="28"/>
        </w:rPr>
        <w:t>⇒</w:t>
      </w:r>
      <w:r>
        <w:rPr>
          <w:rFonts w:ascii="Times New Roman" w:hAnsi="Times New Roman"/>
          <w:sz w:val="28"/>
          <w:szCs w:val="28"/>
        </w:rPr>
        <w:t xml:space="preserve"> Shares on market </w:t>
      </w:r>
      <w:r>
        <w:rPr>
          <w:rFonts w:ascii="Times New Roman" w:hAnsi="Times New Roman"/>
          <w:sz w:val="28"/>
          <w:szCs w:val="28"/>
        </w:rPr>
        <w:t>↓</w:t>
      </w:r>
      <w:r>
        <w:rPr>
          <w:rFonts w:ascii="Times New Roman" w:hAnsi="Times New Roman"/>
          <w:sz w:val="28"/>
          <w:szCs w:val="28"/>
        </w:rPr>
        <w:t>;</w:t>
      </w:r>
    </w:p>
    <w:p w:rsidR="005639DF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Trade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Arial Unicode MS" w:hAnsi="Arial Unicode MS"/>
          <w:sz w:val="28"/>
          <w:szCs w:val="28"/>
        </w:rPr>
        <w:t>⇒</w:t>
      </w:r>
      <w:r>
        <w:rPr>
          <w:rFonts w:ascii="Times New Roman" w:hAnsi="Times New Roman"/>
          <w:sz w:val="28"/>
          <w:szCs w:val="28"/>
        </w:rPr>
        <w:t xml:space="preserve"> Financial Account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>;</w:t>
      </w:r>
    </w:p>
    <w:p w:rsidR="005639DF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Trade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Arial Unicode MS" w:hAnsi="Arial Unicode MS"/>
          <w:sz w:val="28"/>
          <w:szCs w:val="28"/>
        </w:rPr>
        <w:t>⇒</w:t>
      </w:r>
      <w:r>
        <w:rPr>
          <w:rFonts w:ascii="Times New Roman" w:hAnsi="Times New Roman"/>
          <w:sz w:val="28"/>
          <w:szCs w:val="28"/>
        </w:rPr>
        <w:t xml:space="preserve"> IIP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Pr="00876CC4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76CC4">
        <w:rPr>
          <w:rFonts w:ascii="Times New Roman" w:hAnsi="Times New Roman"/>
          <w:sz w:val="28"/>
          <w:szCs w:val="28"/>
          <w:lang w:val="ru-RU"/>
        </w:rPr>
        <w:t>Враховуючи отримані значення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модель приймає </w:t>
      </w:r>
      <w:r w:rsidRPr="00876CC4">
        <w:rPr>
          <w:rFonts w:ascii="Times New Roman" w:hAnsi="Times New Roman"/>
          <w:sz w:val="28"/>
          <w:szCs w:val="28"/>
          <w:lang w:val="ru-RU"/>
        </w:rPr>
        <w:t>даний вигляд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: </w:t>
      </w:r>
    </w:p>
    <w:p w:rsidR="005639DF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vertAlign w:val="subscript"/>
        </w:rPr>
      </w:pPr>
      <w:r>
        <w:rPr>
          <w:rFonts w:ascii="Times New Roman" w:hAnsi="Times New Roman"/>
          <w:b/>
          <w:bCs/>
          <w:sz w:val="28"/>
          <w:szCs w:val="28"/>
        </w:rPr>
        <w:t>Trade</w:t>
      </w:r>
      <w:r>
        <w:rPr>
          <w:rFonts w:ascii="Times New Roman" w:hAnsi="Times New Roman"/>
          <w:b/>
          <w:bCs/>
          <w:sz w:val="28"/>
          <w:szCs w:val="28"/>
        </w:rPr>
        <w:t xml:space="preserve"> = 0,155*</w:t>
      </w:r>
      <w:r>
        <w:rPr>
          <w:rFonts w:ascii="Times New Roman" w:hAnsi="Times New Roman"/>
          <w:b/>
          <w:bCs/>
          <w:sz w:val="28"/>
          <w:szCs w:val="28"/>
        </w:rPr>
        <w:t>X</w:t>
      </w:r>
      <w:r>
        <w:rPr>
          <w:rFonts w:ascii="Times New Roman" w:hAnsi="Times New Roman"/>
          <w:b/>
          <w:bCs/>
          <w:sz w:val="28"/>
          <w:szCs w:val="28"/>
          <w:vertAlign w:val="subscript"/>
        </w:rPr>
        <w:t>1</w:t>
      </w:r>
      <w:r>
        <w:rPr>
          <w:rFonts w:ascii="Times New Roman" w:hAnsi="Times New Roman"/>
          <w:b/>
          <w:bCs/>
          <w:sz w:val="28"/>
          <w:szCs w:val="28"/>
        </w:rPr>
        <w:t>+ 1,008*</w:t>
      </w:r>
      <w:r>
        <w:rPr>
          <w:rFonts w:ascii="Times New Roman" w:hAnsi="Times New Roman"/>
          <w:b/>
          <w:bCs/>
          <w:sz w:val="28"/>
          <w:szCs w:val="28"/>
        </w:rPr>
        <w:t>X</w:t>
      </w:r>
      <w:r>
        <w:rPr>
          <w:rFonts w:ascii="Times New Roman" w:hAnsi="Times New Roman"/>
          <w:b/>
          <w:bCs/>
          <w:sz w:val="28"/>
          <w:szCs w:val="28"/>
          <w:vertAlign w:val="subscript"/>
        </w:rPr>
        <w:t>2</w:t>
      </w:r>
      <w:r>
        <w:rPr>
          <w:rFonts w:ascii="Times New Roman" w:hAnsi="Times New Roman"/>
          <w:b/>
          <w:bCs/>
          <w:sz w:val="28"/>
          <w:szCs w:val="28"/>
        </w:rPr>
        <w:t xml:space="preserve"> - </w:t>
      </w:r>
      <w:r>
        <w:rPr>
          <w:rFonts w:ascii="Times New Roman" w:hAnsi="Times New Roman"/>
          <w:b/>
          <w:bCs/>
          <w:sz w:val="28"/>
          <w:szCs w:val="28"/>
        </w:rPr>
        <w:t>0,</w:t>
      </w:r>
      <w:r>
        <w:rPr>
          <w:rFonts w:ascii="Times New Roman" w:hAnsi="Times New Roman"/>
          <w:b/>
          <w:bCs/>
          <w:sz w:val="28"/>
          <w:szCs w:val="28"/>
        </w:rPr>
        <w:t>123*</w:t>
      </w:r>
      <w:r>
        <w:rPr>
          <w:rFonts w:ascii="Times New Roman" w:hAnsi="Times New Roman"/>
          <w:b/>
          <w:bCs/>
          <w:sz w:val="28"/>
          <w:szCs w:val="28"/>
        </w:rPr>
        <w:t>X</w:t>
      </w:r>
      <w:r>
        <w:rPr>
          <w:rFonts w:ascii="Times New Roman" w:hAnsi="Times New Roman"/>
          <w:b/>
          <w:bCs/>
          <w:sz w:val="28"/>
          <w:szCs w:val="28"/>
          <w:vertAlign w:val="subscript"/>
        </w:rPr>
        <w:t xml:space="preserve">3 </w:t>
      </w:r>
      <w:r>
        <w:rPr>
          <w:rFonts w:ascii="Times New Roman" w:hAnsi="Times New Roman"/>
          <w:b/>
          <w:bCs/>
          <w:sz w:val="28"/>
          <w:szCs w:val="28"/>
        </w:rPr>
        <w:t xml:space="preserve">+ </w:t>
      </w:r>
      <w:r>
        <w:rPr>
          <w:rFonts w:ascii="Times New Roman" w:hAnsi="Times New Roman"/>
          <w:b/>
          <w:bCs/>
          <w:sz w:val="28"/>
          <w:szCs w:val="28"/>
        </w:rPr>
        <w:t>0,</w:t>
      </w:r>
      <w:r>
        <w:rPr>
          <w:rFonts w:ascii="Times New Roman" w:hAnsi="Times New Roman"/>
          <w:b/>
          <w:bCs/>
          <w:sz w:val="28"/>
          <w:szCs w:val="28"/>
        </w:rPr>
        <w:t>182*</w:t>
      </w:r>
      <w:r>
        <w:rPr>
          <w:rFonts w:ascii="Times New Roman" w:hAnsi="Times New Roman"/>
          <w:b/>
          <w:bCs/>
          <w:sz w:val="28"/>
          <w:szCs w:val="28"/>
        </w:rPr>
        <w:t>X</w:t>
      </w:r>
      <w:r>
        <w:rPr>
          <w:rFonts w:ascii="Times New Roman" w:hAnsi="Times New Roman"/>
          <w:b/>
          <w:bCs/>
          <w:sz w:val="28"/>
          <w:szCs w:val="28"/>
          <w:vertAlign w:val="subscript"/>
        </w:rPr>
        <w:t xml:space="preserve">4 </w:t>
      </w:r>
      <w:r>
        <w:rPr>
          <w:rFonts w:ascii="Times New Roman" w:hAnsi="Times New Roman"/>
          <w:b/>
          <w:bCs/>
          <w:sz w:val="28"/>
          <w:szCs w:val="28"/>
        </w:rPr>
        <w:t xml:space="preserve">+ </w:t>
      </w:r>
      <w:r>
        <w:rPr>
          <w:rFonts w:ascii="Times New Roman" w:hAnsi="Times New Roman"/>
          <w:b/>
          <w:bCs/>
          <w:sz w:val="28"/>
          <w:szCs w:val="28"/>
        </w:rPr>
        <w:t>0,</w:t>
      </w:r>
      <w:r>
        <w:rPr>
          <w:rFonts w:ascii="Times New Roman" w:hAnsi="Times New Roman"/>
          <w:b/>
          <w:bCs/>
          <w:sz w:val="28"/>
          <w:szCs w:val="28"/>
        </w:rPr>
        <w:t>048*</w:t>
      </w:r>
      <w:r>
        <w:rPr>
          <w:rFonts w:ascii="Times New Roman" w:hAnsi="Times New Roman"/>
          <w:b/>
          <w:bCs/>
          <w:sz w:val="28"/>
          <w:szCs w:val="28"/>
        </w:rPr>
        <w:t>X</w:t>
      </w:r>
      <w:r>
        <w:rPr>
          <w:rFonts w:ascii="Times New Roman" w:hAnsi="Times New Roman"/>
          <w:b/>
          <w:bCs/>
          <w:sz w:val="28"/>
          <w:szCs w:val="28"/>
          <w:vertAlign w:val="subscript"/>
        </w:rPr>
        <w:t>5</w:t>
      </w:r>
      <w:r>
        <w:rPr>
          <w:rFonts w:ascii="Times New Roman" w:hAnsi="Times New Roman"/>
          <w:b/>
          <w:bCs/>
          <w:sz w:val="28"/>
          <w:szCs w:val="28"/>
          <w:vertAlign w:val="subscript"/>
        </w:rPr>
        <w:t>.</w:t>
      </w:r>
    </w:p>
    <w:p w:rsidR="005639DF" w:rsidRPr="00876CC4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/>
          <w:b/>
          <w:bCs/>
          <w:sz w:val="28"/>
          <w:szCs w:val="28"/>
          <w:vertAlign w:val="subscript"/>
        </w:rPr>
        <w:t xml:space="preserve">                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(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1,223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)  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  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(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4,854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)      (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-1,681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)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    (1,877)         (0,277)</w:t>
      </w:r>
    </w:p>
    <w:p w:rsidR="005639DF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76CC4">
        <w:rPr>
          <w:rFonts w:ascii="Times New Roman" w:hAnsi="Times New Roman"/>
          <w:sz w:val="28"/>
          <w:szCs w:val="28"/>
          <w:lang w:val="ru-RU"/>
        </w:rPr>
        <w:t>Дана модель відповідає усім заданим параметрам критеріїв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Коефіцієнт Фішера досягає значення </w:t>
      </w:r>
      <w:r>
        <w:rPr>
          <w:rFonts w:ascii="Times New Roman" w:hAnsi="Times New Roman"/>
          <w:sz w:val="28"/>
          <w:szCs w:val="28"/>
        </w:rPr>
        <w:t>76,954,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що є більше </w:t>
      </w:r>
      <w:r>
        <w:rPr>
          <w:rFonts w:ascii="Times New Roman" w:hAnsi="Times New Roman"/>
          <w:sz w:val="28"/>
          <w:szCs w:val="28"/>
        </w:rPr>
        <w:t xml:space="preserve">20, </w:t>
      </w:r>
      <w:r>
        <w:rPr>
          <w:rFonts w:ascii="Times New Roman" w:hAnsi="Times New Roman"/>
          <w:sz w:val="28"/>
          <w:szCs w:val="28"/>
        </w:rPr>
        <w:t xml:space="preserve">а його значимість складає </w:t>
      </w:r>
      <w:r>
        <w:rPr>
          <w:rFonts w:ascii="Times New Roman" w:hAnsi="Times New Roman"/>
          <w:sz w:val="28"/>
          <w:szCs w:val="28"/>
        </w:rPr>
        <w:t xml:space="preserve">0,00, </w:t>
      </w:r>
      <w:r>
        <w:rPr>
          <w:rFonts w:ascii="Times New Roman" w:hAnsi="Times New Roman"/>
          <w:sz w:val="28"/>
          <w:szCs w:val="28"/>
        </w:rPr>
        <w:t>що говорить про високу якість побудованої моделі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Згідно з побудованою моделлю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найбільша кореляція відбувається між торгівельним балансом та потоками прямих іноземних інвестицій з Китаю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Найменшою ж </w:t>
      </w:r>
      <w:r>
        <w:rPr>
          <w:rFonts w:ascii="Times New Roman" w:hAnsi="Times New Roman"/>
          <w:sz w:val="28"/>
          <w:szCs w:val="28"/>
        </w:rPr>
        <w:t>кореляція торгівельного балансу з Міжнародною інвестиційною позицією Китаю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Протилежна кореляція відбувається у торгівельного балансу Китаю з вартістю акцій національних компаній на фінансових ринках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Дві аналогічних моделі було побудовано також для аналі</w:t>
      </w:r>
      <w:r>
        <w:rPr>
          <w:rFonts w:ascii="Times New Roman" w:hAnsi="Times New Roman"/>
          <w:sz w:val="28"/>
          <w:szCs w:val="28"/>
        </w:rPr>
        <w:t>зу 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У Додатку А наведена Регресійна модель США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у якій проаналізований вплив п’яти макроекономічних показників задіяних раніше для визначення впливу на ВВП США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Pr="00876CC4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76CC4">
        <w:rPr>
          <w:rFonts w:ascii="Times New Roman" w:hAnsi="Times New Roman"/>
          <w:sz w:val="28"/>
          <w:szCs w:val="28"/>
          <w:lang w:val="ru-RU"/>
        </w:rPr>
        <w:t>Згідно з результатами побудованої китайської моделі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876CC4">
        <w:rPr>
          <w:rFonts w:ascii="Times New Roman" w:hAnsi="Times New Roman"/>
          <w:sz w:val="28"/>
          <w:szCs w:val="28"/>
          <w:lang w:val="ru-RU"/>
        </w:rPr>
        <w:t>ми маємо наступні висновки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: </w:t>
      </w:r>
    </w:p>
    <w:p w:rsidR="005639DF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GDP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Arial Unicode MS" w:hAnsi="Arial Unicode MS"/>
          <w:sz w:val="28"/>
          <w:szCs w:val="28"/>
        </w:rPr>
        <w:t>⇒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Outward FDI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; </w:t>
      </w:r>
    </w:p>
    <w:p w:rsidR="005639DF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GDP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Arial Unicode MS" w:hAnsi="Arial Unicode MS"/>
          <w:sz w:val="28"/>
          <w:szCs w:val="28"/>
        </w:rPr>
        <w:t>⇒</w:t>
      </w:r>
      <w:r>
        <w:rPr>
          <w:rFonts w:ascii="Times New Roman" w:hAnsi="Times New Roman"/>
          <w:sz w:val="28"/>
          <w:szCs w:val="28"/>
        </w:rPr>
        <w:t xml:space="preserve"> Inward FDI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; </w:t>
      </w:r>
    </w:p>
    <w:p w:rsidR="005639DF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GDP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Arial Unicode MS" w:hAnsi="Arial Unicode MS"/>
          <w:sz w:val="28"/>
          <w:szCs w:val="28"/>
        </w:rPr>
        <w:t>⇒</w:t>
      </w:r>
      <w:r>
        <w:rPr>
          <w:rFonts w:ascii="Times New Roman" w:hAnsi="Times New Roman"/>
          <w:sz w:val="28"/>
          <w:szCs w:val="28"/>
        </w:rPr>
        <w:t xml:space="preserve"> Shares on market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>;</w:t>
      </w:r>
    </w:p>
    <w:p w:rsidR="005639DF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GDP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Arial Unicode MS" w:hAnsi="Arial Unicode MS"/>
          <w:sz w:val="28"/>
          <w:szCs w:val="28"/>
        </w:rPr>
        <w:t>⇒</w:t>
      </w:r>
      <w:r>
        <w:rPr>
          <w:rFonts w:ascii="Times New Roman" w:hAnsi="Times New Roman"/>
          <w:sz w:val="28"/>
          <w:szCs w:val="28"/>
        </w:rPr>
        <w:t xml:space="preserve"> Financial Account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>;</w:t>
      </w:r>
    </w:p>
    <w:p w:rsidR="005639DF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GDP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Arial Unicode MS" w:hAnsi="Arial Unicode MS"/>
          <w:sz w:val="28"/>
          <w:szCs w:val="28"/>
        </w:rPr>
        <w:t>⇒</w:t>
      </w:r>
      <w:r>
        <w:rPr>
          <w:rFonts w:ascii="Times New Roman" w:hAnsi="Times New Roman"/>
          <w:sz w:val="28"/>
          <w:szCs w:val="28"/>
        </w:rPr>
        <w:t xml:space="preserve"> IIP </w:t>
      </w:r>
      <w:r>
        <w:rPr>
          <w:rFonts w:ascii="Times New Roman" w:hAnsi="Times New Roman"/>
          <w:sz w:val="28"/>
          <w:szCs w:val="28"/>
        </w:rPr>
        <w:t>↓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Pr="00876CC4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76CC4">
        <w:rPr>
          <w:rFonts w:ascii="Times New Roman" w:hAnsi="Times New Roman"/>
          <w:sz w:val="28"/>
          <w:szCs w:val="28"/>
          <w:lang w:val="ru-RU"/>
        </w:rPr>
        <w:t>Враховуючи отримані значення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876CC4">
        <w:rPr>
          <w:rFonts w:ascii="Times New Roman" w:hAnsi="Times New Roman"/>
          <w:sz w:val="28"/>
          <w:szCs w:val="28"/>
          <w:lang w:val="ru-RU"/>
        </w:rPr>
        <w:t>модель приймає даний вигляд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: </w:t>
      </w:r>
    </w:p>
    <w:p w:rsidR="005639DF" w:rsidRPr="00876CC4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vertAlign w:val="subscript"/>
          <w:lang w:val="ru-RU"/>
        </w:rPr>
      </w:pPr>
      <w:r>
        <w:rPr>
          <w:rFonts w:ascii="Times New Roman" w:hAnsi="Times New Roman"/>
          <w:b/>
          <w:bCs/>
          <w:sz w:val="28"/>
          <w:szCs w:val="28"/>
        </w:rPr>
        <w:t>GDP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 = 0,339*</w:t>
      </w:r>
      <w:r>
        <w:rPr>
          <w:rFonts w:ascii="Times New Roman" w:hAnsi="Times New Roman"/>
          <w:b/>
          <w:bCs/>
          <w:sz w:val="28"/>
          <w:szCs w:val="28"/>
        </w:rPr>
        <w:t>X</w:t>
      </w:r>
      <w:r w:rsidRPr="00876CC4">
        <w:rPr>
          <w:rFonts w:ascii="Times New Roman" w:hAnsi="Times New Roman"/>
          <w:b/>
          <w:bCs/>
          <w:sz w:val="28"/>
          <w:szCs w:val="28"/>
          <w:vertAlign w:val="subscript"/>
          <w:lang w:val="ru-RU"/>
        </w:rPr>
        <w:t>1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+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0,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276*</w:t>
      </w:r>
      <w:r>
        <w:rPr>
          <w:rFonts w:ascii="Times New Roman" w:hAnsi="Times New Roman"/>
          <w:b/>
          <w:bCs/>
          <w:sz w:val="28"/>
          <w:szCs w:val="28"/>
        </w:rPr>
        <w:t>X</w:t>
      </w:r>
      <w:r w:rsidRPr="00876CC4">
        <w:rPr>
          <w:rFonts w:ascii="Times New Roman" w:hAnsi="Times New Roman"/>
          <w:b/>
          <w:bCs/>
          <w:sz w:val="28"/>
          <w:szCs w:val="28"/>
          <w:vertAlign w:val="subscript"/>
          <w:lang w:val="ru-RU"/>
        </w:rPr>
        <w:t>2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 +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0,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141*</w:t>
      </w:r>
      <w:r>
        <w:rPr>
          <w:rFonts w:ascii="Times New Roman" w:hAnsi="Times New Roman"/>
          <w:b/>
          <w:bCs/>
          <w:sz w:val="28"/>
          <w:szCs w:val="28"/>
        </w:rPr>
        <w:t>X</w:t>
      </w:r>
      <w:r w:rsidRPr="00876CC4">
        <w:rPr>
          <w:rFonts w:ascii="Times New Roman" w:hAnsi="Times New Roman"/>
          <w:b/>
          <w:bCs/>
          <w:sz w:val="28"/>
          <w:szCs w:val="28"/>
          <w:vertAlign w:val="subscript"/>
          <w:lang w:val="ru-RU"/>
        </w:rPr>
        <w:t xml:space="preserve">3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+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0,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054*</w:t>
      </w:r>
      <w:r>
        <w:rPr>
          <w:rFonts w:ascii="Times New Roman" w:hAnsi="Times New Roman"/>
          <w:b/>
          <w:bCs/>
          <w:sz w:val="28"/>
          <w:szCs w:val="28"/>
        </w:rPr>
        <w:t>X</w:t>
      </w:r>
      <w:r w:rsidRPr="00876CC4">
        <w:rPr>
          <w:rFonts w:ascii="Times New Roman" w:hAnsi="Times New Roman"/>
          <w:b/>
          <w:bCs/>
          <w:sz w:val="28"/>
          <w:szCs w:val="28"/>
          <w:vertAlign w:val="subscript"/>
          <w:lang w:val="ru-RU"/>
        </w:rPr>
        <w:t xml:space="preserve">4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-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0,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329*</w:t>
      </w:r>
      <w:r>
        <w:rPr>
          <w:rFonts w:ascii="Times New Roman" w:hAnsi="Times New Roman"/>
          <w:b/>
          <w:bCs/>
          <w:sz w:val="28"/>
          <w:szCs w:val="28"/>
        </w:rPr>
        <w:t>X</w:t>
      </w:r>
      <w:r w:rsidRPr="00876CC4">
        <w:rPr>
          <w:rFonts w:ascii="Times New Roman" w:hAnsi="Times New Roman"/>
          <w:b/>
          <w:bCs/>
          <w:sz w:val="28"/>
          <w:szCs w:val="28"/>
          <w:vertAlign w:val="subscript"/>
          <w:lang w:val="ru-RU"/>
        </w:rPr>
        <w:t>5</w:t>
      </w:r>
      <w:r w:rsidRPr="00876CC4">
        <w:rPr>
          <w:rFonts w:ascii="Times New Roman" w:hAnsi="Times New Roman"/>
          <w:b/>
          <w:bCs/>
          <w:sz w:val="28"/>
          <w:szCs w:val="28"/>
          <w:vertAlign w:val="subscript"/>
          <w:lang w:val="ru-RU"/>
        </w:rPr>
        <w:t>.</w:t>
      </w:r>
    </w:p>
    <w:p w:rsidR="005639DF" w:rsidRPr="00876CC4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76CC4">
        <w:rPr>
          <w:rFonts w:ascii="Times New Roman" w:hAnsi="Times New Roman"/>
          <w:b/>
          <w:bCs/>
          <w:sz w:val="28"/>
          <w:szCs w:val="28"/>
          <w:vertAlign w:val="subscript"/>
          <w:lang w:val="ru-RU"/>
        </w:rPr>
        <w:t xml:space="preserve">                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(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1,77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)  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(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0,907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)     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   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(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2,358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)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(0,973)         (-1,79)</w:t>
      </w:r>
    </w:p>
    <w:p w:rsidR="005639DF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76CC4">
        <w:rPr>
          <w:rFonts w:ascii="Times New Roman" w:hAnsi="Times New Roman"/>
          <w:sz w:val="28"/>
          <w:szCs w:val="28"/>
          <w:lang w:val="ru-RU"/>
        </w:rPr>
        <w:t>Дана модель відповідає усім заданим параметрам критеріїв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Коефіцієнт Фішера досягає значення </w:t>
      </w:r>
      <w:r>
        <w:rPr>
          <w:rFonts w:ascii="Times New Roman" w:hAnsi="Times New Roman"/>
          <w:sz w:val="28"/>
          <w:szCs w:val="28"/>
        </w:rPr>
        <w:t xml:space="preserve">79,61, </w:t>
      </w:r>
      <w:r>
        <w:rPr>
          <w:rFonts w:ascii="Times New Roman" w:hAnsi="Times New Roman"/>
          <w:sz w:val="28"/>
          <w:szCs w:val="28"/>
        </w:rPr>
        <w:t xml:space="preserve">що є більше </w:t>
      </w:r>
      <w:r>
        <w:rPr>
          <w:rFonts w:ascii="Times New Roman" w:hAnsi="Times New Roman"/>
          <w:sz w:val="28"/>
          <w:szCs w:val="28"/>
        </w:rPr>
        <w:t xml:space="preserve">20, </w:t>
      </w:r>
      <w:r>
        <w:rPr>
          <w:rFonts w:ascii="Times New Roman" w:hAnsi="Times New Roman"/>
          <w:sz w:val="28"/>
          <w:szCs w:val="28"/>
        </w:rPr>
        <w:t xml:space="preserve">а його значимість складає </w:t>
      </w:r>
      <w:r>
        <w:rPr>
          <w:rFonts w:ascii="Times New Roman" w:hAnsi="Times New Roman"/>
          <w:sz w:val="28"/>
          <w:szCs w:val="28"/>
        </w:rPr>
        <w:t xml:space="preserve">0,00, </w:t>
      </w:r>
      <w:r>
        <w:rPr>
          <w:rFonts w:ascii="Times New Roman" w:hAnsi="Times New Roman"/>
          <w:sz w:val="28"/>
          <w:szCs w:val="28"/>
        </w:rPr>
        <w:t xml:space="preserve">що говорить про високу якість побудованої </w:t>
      </w:r>
      <w:r>
        <w:rPr>
          <w:rFonts w:ascii="Times New Roman" w:hAnsi="Times New Roman"/>
          <w:sz w:val="28"/>
          <w:szCs w:val="28"/>
        </w:rPr>
        <w:t>моделі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Згідно з побудованою моделлю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найбільша кореляція відбувається між ВВП та валовою вартістю акцій національних компаній на фінансових ринках</w:t>
      </w:r>
      <w:r>
        <w:rPr>
          <w:rFonts w:ascii="Times New Roman" w:hAnsi="Times New Roman"/>
          <w:sz w:val="28"/>
          <w:szCs w:val="28"/>
        </w:rPr>
        <w:t xml:space="preserve">. </w:t>
      </w:r>
      <w:r w:rsidRPr="00876CC4">
        <w:rPr>
          <w:rFonts w:ascii="Times New Roman" w:hAnsi="Times New Roman"/>
          <w:sz w:val="28"/>
          <w:szCs w:val="28"/>
          <w:lang w:val="ru-RU"/>
        </w:rPr>
        <w:t>Протилежна кореляція відбувається у ВВП США з показником міжнародної інвестиційної позиції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</w:rPr>
        <w:t>Найменшою є вз</w:t>
      </w:r>
      <w:r>
        <w:rPr>
          <w:rFonts w:ascii="Times New Roman" w:hAnsi="Times New Roman"/>
          <w:sz w:val="28"/>
          <w:szCs w:val="28"/>
        </w:rPr>
        <w:t>аємозалежність фінансового рахунку з ВВП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останній американській моделі була проаналізована взаємозалежність торгівельного балагсу США з п’ятьма пою макроекономічними показниками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згадуваними раніше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Дана модель відображає залежність торгівельного </w:t>
      </w:r>
      <w:r>
        <w:rPr>
          <w:rFonts w:ascii="Times New Roman" w:hAnsi="Times New Roman"/>
          <w:sz w:val="28"/>
          <w:szCs w:val="28"/>
        </w:rPr>
        <w:t>балансу від заданих раніше факторів наступним чином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 (</w:t>
      </w:r>
      <w:r>
        <w:rPr>
          <w:rFonts w:ascii="Times New Roman" w:hAnsi="Times New Roman"/>
          <w:sz w:val="28"/>
          <w:szCs w:val="28"/>
        </w:rPr>
        <w:t>Додаток А</w:t>
      </w:r>
      <w:r>
        <w:rPr>
          <w:rFonts w:ascii="Times New Roman" w:hAnsi="Times New Roman"/>
          <w:sz w:val="28"/>
          <w:szCs w:val="28"/>
        </w:rPr>
        <w:t xml:space="preserve">): </w:t>
      </w:r>
    </w:p>
    <w:p w:rsidR="005639DF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Trade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Arial Unicode MS" w:hAnsi="Arial Unicode MS"/>
          <w:sz w:val="28"/>
          <w:szCs w:val="28"/>
        </w:rPr>
        <w:t>⇒</w:t>
      </w:r>
      <w:r>
        <w:rPr>
          <w:rFonts w:ascii="Times New Roman" w:hAnsi="Times New Roman"/>
          <w:sz w:val="28"/>
          <w:szCs w:val="28"/>
        </w:rPr>
        <w:t xml:space="preserve"> Outward FDI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; </w:t>
      </w:r>
    </w:p>
    <w:p w:rsidR="005639DF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Trade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Arial Unicode MS" w:hAnsi="Arial Unicode MS"/>
          <w:sz w:val="28"/>
          <w:szCs w:val="28"/>
        </w:rPr>
        <w:t>⇒</w:t>
      </w:r>
      <w:r>
        <w:rPr>
          <w:rFonts w:ascii="Times New Roman" w:hAnsi="Times New Roman"/>
          <w:sz w:val="28"/>
          <w:szCs w:val="28"/>
        </w:rPr>
        <w:t xml:space="preserve"> Inward FDI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; </w:t>
      </w:r>
    </w:p>
    <w:p w:rsidR="005639DF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Trade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Arial Unicode MS" w:hAnsi="Arial Unicode MS"/>
          <w:sz w:val="28"/>
          <w:szCs w:val="28"/>
        </w:rPr>
        <w:t>⇒</w:t>
      </w:r>
      <w:r>
        <w:rPr>
          <w:rFonts w:ascii="Times New Roman" w:hAnsi="Times New Roman"/>
          <w:sz w:val="28"/>
          <w:szCs w:val="28"/>
        </w:rPr>
        <w:t xml:space="preserve"> Shares on market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>;</w:t>
      </w:r>
    </w:p>
    <w:p w:rsidR="005639DF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Trade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Arial Unicode MS" w:hAnsi="Arial Unicode MS"/>
          <w:sz w:val="28"/>
          <w:szCs w:val="28"/>
        </w:rPr>
        <w:t>⇒</w:t>
      </w:r>
      <w:r>
        <w:rPr>
          <w:rFonts w:ascii="Times New Roman" w:hAnsi="Times New Roman"/>
          <w:sz w:val="28"/>
          <w:szCs w:val="28"/>
        </w:rPr>
        <w:t xml:space="preserve"> Financial Account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>;</w:t>
      </w:r>
    </w:p>
    <w:p w:rsidR="005639DF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Trade </w:t>
      </w:r>
      <w:r>
        <w:rPr>
          <w:rFonts w:ascii="Times New Roman" w:hAnsi="Times New Roman"/>
          <w:sz w:val="28"/>
          <w:szCs w:val="28"/>
        </w:rPr>
        <w:t>↑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Arial Unicode MS" w:hAnsi="Arial Unicode MS"/>
          <w:sz w:val="28"/>
          <w:szCs w:val="28"/>
        </w:rPr>
        <w:t>⇒</w:t>
      </w:r>
      <w:r>
        <w:rPr>
          <w:rFonts w:ascii="Times New Roman" w:hAnsi="Times New Roman"/>
          <w:sz w:val="28"/>
          <w:szCs w:val="28"/>
        </w:rPr>
        <w:t xml:space="preserve"> IIP </w:t>
      </w:r>
      <w:r>
        <w:rPr>
          <w:rFonts w:ascii="Times New Roman" w:hAnsi="Times New Roman"/>
          <w:sz w:val="28"/>
          <w:szCs w:val="28"/>
        </w:rPr>
        <w:t>↓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Pr="00876CC4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76CC4">
        <w:rPr>
          <w:rFonts w:ascii="Times New Roman" w:hAnsi="Times New Roman"/>
          <w:sz w:val="28"/>
          <w:szCs w:val="28"/>
          <w:lang w:val="ru-RU"/>
        </w:rPr>
        <w:t>Враховуючи отримані значення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876CC4">
        <w:rPr>
          <w:rFonts w:ascii="Times New Roman" w:hAnsi="Times New Roman"/>
          <w:sz w:val="28"/>
          <w:szCs w:val="28"/>
          <w:lang w:val="ru-RU"/>
        </w:rPr>
        <w:t>модель приймає даний вигляд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: </w:t>
      </w:r>
    </w:p>
    <w:p w:rsidR="005639DF" w:rsidRPr="00876CC4" w:rsidRDefault="005639DF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5639DF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vertAlign w:val="subscript"/>
        </w:rPr>
      </w:pPr>
      <w:r>
        <w:rPr>
          <w:rFonts w:ascii="Times New Roman" w:hAnsi="Times New Roman"/>
          <w:b/>
          <w:bCs/>
          <w:sz w:val="28"/>
          <w:szCs w:val="28"/>
        </w:rPr>
        <w:t>Trade</w:t>
      </w:r>
      <w:r>
        <w:rPr>
          <w:rFonts w:ascii="Times New Roman" w:hAnsi="Times New Roman"/>
          <w:b/>
          <w:bCs/>
          <w:sz w:val="28"/>
          <w:szCs w:val="28"/>
        </w:rPr>
        <w:t xml:space="preserve"> = 0,205*</w:t>
      </w:r>
      <w:r>
        <w:rPr>
          <w:rFonts w:ascii="Times New Roman" w:hAnsi="Times New Roman"/>
          <w:b/>
          <w:bCs/>
          <w:sz w:val="28"/>
          <w:szCs w:val="28"/>
        </w:rPr>
        <w:t>X</w:t>
      </w:r>
      <w:r>
        <w:rPr>
          <w:rFonts w:ascii="Times New Roman" w:hAnsi="Times New Roman"/>
          <w:b/>
          <w:bCs/>
          <w:sz w:val="28"/>
          <w:szCs w:val="28"/>
          <w:vertAlign w:val="subscript"/>
        </w:rPr>
        <w:t>1</w:t>
      </w:r>
      <w:r>
        <w:rPr>
          <w:rFonts w:ascii="Times New Roman" w:hAnsi="Times New Roman"/>
          <w:b/>
          <w:bCs/>
          <w:sz w:val="28"/>
          <w:szCs w:val="28"/>
        </w:rPr>
        <w:t>+ 0,156*</w:t>
      </w:r>
      <w:r>
        <w:rPr>
          <w:rFonts w:ascii="Times New Roman" w:hAnsi="Times New Roman"/>
          <w:b/>
          <w:bCs/>
          <w:sz w:val="28"/>
          <w:szCs w:val="28"/>
        </w:rPr>
        <w:t>X</w:t>
      </w:r>
      <w:r>
        <w:rPr>
          <w:rFonts w:ascii="Times New Roman" w:hAnsi="Times New Roman"/>
          <w:b/>
          <w:bCs/>
          <w:sz w:val="28"/>
          <w:szCs w:val="28"/>
          <w:vertAlign w:val="subscript"/>
        </w:rPr>
        <w:t>2</w:t>
      </w:r>
      <w:r>
        <w:rPr>
          <w:rFonts w:ascii="Times New Roman" w:hAnsi="Times New Roman"/>
          <w:b/>
          <w:bCs/>
          <w:sz w:val="28"/>
          <w:szCs w:val="28"/>
        </w:rPr>
        <w:t xml:space="preserve"> + </w:t>
      </w:r>
      <w:r>
        <w:rPr>
          <w:rFonts w:ascii="Times New Roman" w:hAnsi="Times New Roman"/>
          <w:b/>
          <w:bCs/>
          <w:sz w:val="28"/>
          <w:szCs w:val="28"/>
        </w:rPr>
        <w:t>0,</w:t>
      </w:r>
      <w:r>
        <w:rPr>
          <w:rFonts w:ascii="Times New Roman" w:hAnsi="Times New Roman"/>
          <w:b/>
          <w:bCs/>
          <w:sz w:val="28"/>
          <w:szCs w:val="28"/>
        </w:rPr>
        <w:t>277*</w:t>
      </w:r>
      <w:r>
        <w:rPr>
          <w:rFonts w:ascii="Times New Roman" w:hAnsi="Times New Roman"/>
          <w:b/>
          <w:bCs/>
          <w:sz w:val="28"/>
          <w:szCs w:val="28"/>
        </w:rPr>
        <w:t>X</w:t>
      </w:r>
      <w:r>
        <w:rPr>
          <w:rFonts w:ascii="Times New Roman" w:hAnsi="Times New Roman"/>
          <w:b/>
          <w:bCs/>
          <w:sz w:val="28"/>
          <w:szCs w:val="28"/>
          <w:vertAlign w:val="subscript"/>
        </w:rPr>
        <w:t xml:space="preserve">3 </w:t>
      </w:r>
      <w:r>
        <w:rPr>
          <w:rFonts w:ascii="Times New Roman" w:hAnsi="Times New Roman"/>
          <w:b/>
          <w:bCs/>
          <w:sz w:val="28"/>
          <w:szCs w:val="28"/>
        </w:rPr>
        <w:t xml:space="preserve">+ </w:t>
      </w:r>
      <w:r>
        <w:rPr>
          <w:rFonts w:ascii="Times New Roman" w:hAnsi="Times New Roman"/>
          <w:b/>
          <w:bCs/>
          <w:sz w:val="28"/>
          <w:szCs w:val="28"/>
        </w:rPr>
        <w:t>0,</w:t>
      </w:r>
      <w:r>
        <w:rPr>
          <w:rFonts w:ascii="Times New Roman" w:hAnsi="Times New Roman"/>
          <w:b/>
          <w:bCs/>
          <w:sz w:val="28"/>
          <w:szCs w:val="28"/>
        </w:rPr>
        <w:t>208*</w:t>
      </w:r>
      <w:r>
        <w:rPr>
          <w:rFonts w:ascii="Times New Roman" w:hAnsi="Times New Roman"/>
          <w:b/>
          <w:bCs/>
          <w:sz w:val="28"/>
          <w:szCs w:val="28"/>
        </w:rPr>
        <w:t>X</w:t>
      </w:r>
      <w:r>
        <w:rPr>
          <w:rFonts w:ascii="Times New Roman" w:hAnsi="Times New Roman"/>
          <w:b/>
          <w:bCs/>
          <w:sz w:val="28"/>
          <w:szCs w:val="28"/>
          <w:vertAlign w:val="subscript"/>
        </w:rPr>
        <w:t xml:space="preserve">4 </w:t>
      </w:r>
      <w:r>
        <w:rPr>
          <w:rFonts w:ascii="Times New Roman" w:hAnsi="Times New Roman"/>
          <w:b/>
          <w:bCs/>
          <w:sz w:val="28"/>
          <w:szCs w:val="28"/>
        </w:rPr>
        <w:t xml:space="preserve">- </w:t>
      </w:r>
      <w:r>
        <w:rPr>
          <w:rFonts w:ascii="Times New Roman" w:hAnsi="Times New Roman"/>
          <w:b/>
          <w:bCs/>
          <w:sz w:val="28"/>
          <w:szCs w:val="28"/>
        </w:rPr>
        <w:t>0,</w:t>
      </w:r>
      <w:r>
        <w:rPr>
          <w:rFonts w:ascii="Times New Roman" w:hAnsi="Times New Roman"/>
          <w:b/>
          <w:bCs/>
          <w:sz w:val="28"/>
          <w:szCs w:val="28"/>
        </w:rPr>
        <w:t>449*</w:t>
      </w:r>
      <w:r>
        <w:rPr>
          <w:rFonts w:ascii="Times New Roman" w:hAnsi="Times New Roman"/>
          <w:b/>
          <w:bCs/>
          <w:sz w:val="28"/>
          <w:szCs w:val="28"/>
        </w:rPr>
        <w:t>X</w:t>
      </w:r>
      <w:r>
        <w:rPr>
          <w:rFonts w:ascii="Times New Roman" w:hAnsi="Times New Roman"/>
          <w:b/>
          <w:bCs/>
          <w:sz w:val="28"/>
          <w:szCs w:val="28"/>
          <w:vertAlign w:val="subscript"/>
        </w:rPr>
        <w:t>5</w:t>
      </w:r>
      <w:r>
        <w:rPr>
          <w:rFonts w:ascii="Times New Roman" w:hAnsi="Times New Roman"/>
          <w:b/>
          <w:bCs/>
          <w:sz w:val="28"/>
          <w:szCs w:val="28"/>
          <w:vertAlign w:val="subscript"/>
        </w:rPr>
        <w:t>.</w:t>
      </w:r>
    </w:p>
    <w:p w:rsidR="005639DF" w:rsidRPr="00876CC4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/>
          <w:b/>
          <w:bCs/>
          <w:sz w:val="28"/>
          <w:szCs w:val="28"/>
          <w:vertAlign w:val="subscript"/>
        </w:rPr>
        <w:t xml:space="preserve">                 </w:t>
      </w:r>
      <w:r>
        <w:rPr>
          <w:rFonts w:ascii="Times New Roman" w:hAnsi="Times New Roman"/>
          <w:b/>
          <w:bCs/>
          <w:sz w:val="28"/>
          <w:szCs w:val="28"/>
          <w:vertAlign w:val="subscript"/>
        </w:rPr>
        <w:t xml:space="preserve">      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(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1,057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)  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  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(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0,507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)     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  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(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>4,577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) </w:t>
      </w:r>
      <w:r w:rsidRPr="00876CC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(3,679)       (-2,42)</w:t>
      </w:r>
    </w:p>
    <w:p w:rsidR="005639DF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76CC4">
        <w:rPr>
          <w:rFonts w:ascii="Times New Roman" w:hAnsi="Times New Roman"/>
          <w:sz w:val="28"/>
          <w:szCs w:val="28"/>
          <w:lang w:val="ru-RU"/>
        </w:rPr>
        <w:t>Побудована американська модель відповідає усім заданим параметрам критеріїв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</w:rPr>
        <w:t>Коефіцієнт Фішера досягає зн</w:t>
      </w:r>
      <w:r>
        <w:rPr>
          <w:rFonts w:ascii="Times New Roman" w:hAnsi="Times New Roman"/>
          <w:sz w:val="28"/>
          <w:szCs w:val="28"/>
        </w:rPr>
        <w:t xml:space="preserve">ачення </w:t>
      </w:r>
      <w:r>
        <w:rPr>
          <w:rFonts w:ascii="Times New Roman" w:hAnsi="Times New Roman"/>
          <w:sz w:val="28"/>
          <w:szCs w:val="28"/>
        </w:rPr>
        <w:t xml:space="preserve">77,758, </w:t>
      </w:r>
      <w:r>
        <w:rPr>
          <w:rFonts w:ascii="Times New Roman" w:hAnsi="Times New Roman"/>
          <w:sz w:val="28"/>
          <w:szCs w:val="28"/>
        </w:rPr>
        <w:t xml:space="preserve">що є більше </w:t>
      </w:r>
      <w:r>
        <w:rPr>
          <w:rFonts w:ascii="Times New Roman" w:hAnsi="Times New Roman"/>
          <w:sz w:val="28"/>
          <w:szCs w:val="28"/>
        </w:rPr>
        <w:t xml:space="preserve">20, </w:t>
      </w:r>
      <w:r>
        <w:rPr>
          <w:rFonts w:ascii="Times New Roman" w:hAnsi="Times New Roman"/>
          <w:sz w:val="28"/>
          <w:szCs w:val="28"/>
        </w:rPr>
        <w:t xml:space="preserve">а його значимість складає </w:t>
      </w:r>
      <w:r>
        <w:rPr>
          <w:rFonts w:ascii="Times New Roman" w:hAnsi="Times New Roman"/>
          <w:sz w:val="28"/>
          <w:szCs w:val="28"/>
        </w:rPr>
        <w:t xml:space="preserve">0,00, </w:t>
      </w:r>
      <w:r>
        <w:rPr>
          <w:rFonts w:ascii="Times New Roman" w:hAnsi="Times New Roman"/>
          <w:sz w:val="28"/>
          <w:szCs w:val="28"/>
        </w:rPr>
        <w:t>що говорить про високу якість побудованої моделі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Pr="00876CC4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Згідно з отриманою моделлю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ми можемо побачити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що найбільша взаємозалежність в американській моделі між торгівельним балансом та валовою </w:t>
      </w:r>
      <w:r>
        <w:rPr>
          <w:rFonts w:ascii="Times New Roman" w:hAnsi="Times New Roman"/>
          <w:sz w:val="28"/>
          <w:szCs w:val="28"/>
        </w:rPr>
        <w:t>вартість на акції національних компаній і фінансовим рахунком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Протилежна кореляція відбувається між показником міжнародної інвестиційної політики та торгівельним балансом</w:t>
      </w:r>
      <w:r>
        <w:rPr>
          <w:rFonts w:ascii="Times New Roman" w:hAnsi="Times New Roman"/>
          <w:sz w:val="28"/>
          <w:szCs w:val="28"/>
        </w:rPr>
        <w:t xml:space="preserve">. </w:t>
      </w:r>
      <w:r w:rsidRPr="00876CC4">
        <w:rPr>
          <w:rFonts w:ascii="Times New Roman" w:hAnsi="Times New Roman"/>
          <w:sz w:val="28"/>
          <w:szCs w:val="28"/>
          <w:lang w:val="ru-RU"/>
        </w:rPr>
        <w:t>У то самий час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876CC4">
        <w:rPr>
          <w:rFonts w:ascii="Times New Roman" w:hAnsi="Times New Roman"/>
          <w:sz w:val="28"/>
          <w:szCs w:val="28"/>
          <w:lang w:val="ru-RU"/>
        </w:rPr>
        <w:t>найменша взаємозалежність торгівельного балансу США спостерігається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 із прямими іноземними інвестиціями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876CC4">
        <w:rPr>
          <w:rFonts w:ascii="Times New Roman" w:hAnsi="Times New Roman"/>
          <w:sz w:val="28"/>
          <w:szCs w:val="28"/>
          <w:lang w:val="ru-RU"/>
        </w:rPr>
        <w:t>що заходять до країни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. </w:t>
      </w:r>
    </w:p>
    <w:p w:rsidR="005639DF" w:rsidRPr="00876CC4" w:rsidRDefault="00876CC4">
      <w:pPr>
        <w:pStyle w:val="Default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76CC4">
        <w:rPr>
          <w:rFonts w:ascii="Times New Roman" w:hAnsi="Times New Roman"/>
          <w:sz w:val="28"/>
          <w:szCs w:val="28"/>
          <w:lang w:val="ru-RU"/>
        </w:rPr>
        <w:t>Отже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876CC4">
        <w:rPr>
          <w:rFonts w:ascii="Times New Roman" w:hAnsi="Times New Roman"/>
          <w:sz w:val="28"/>
          <w:szCs w:val="28"/>
          <w:lang w:val="ru-RU"/>
        </w:rPr>
        <w:t>із проведеного аналізу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876CC4">
        <w:rPr>
          <w:rFonts w:ascii="Times New Roman" w:hAnsi="Times New Roman"/>
          <w:sz w:val="28"/>
          <w:szCs w:val="28"/>
          <w:lang w:val="ru-RU"/>
        </w:rPr>
        <w:t>ми можемо зробити наступні висновки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: </w:t>
      </w:r>
    </w:p>
    <w:p w:rsidR="005639DF" w:rsidRPr="00876CC4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876CC4">
        <w:rPr>
          <w:rFonts w:ascii="Times New Roman" w:hAnsi="Times New Roman"/>
          <w:sz w:val="28"/>
          <w:szCs w:val="28"/>
          <w:lang w:val="ru-RU"/>
        </w:rPr>
        <w:t>найбільша взаємозалежність ВВП Китаю спостерігається з двосторонніми потоками прямих іноземних інвестицій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; </w:t>
      </w:r>
    </w:p>
    <w:p w:rsidR="005639DF" w:rsidRPr="00876CC4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876CC4">
        <w:rPr>
          <w:rFonts w:ascii="Times New Roman" w:hAnsi="Times New Roman"/>
          <w:sz w:val="28"/>
          <w:szCs w:val="28"/>
          <w:lang w:val="ru-RU"/>
        </w:rPr>
        <w:t>торгівельний баланс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 корелюється з потоками прямих іноземних інвестицій з Китаю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; </w:t>
      </w:r>
    </w:p>
    <w:p w:rsidR="005639DF" w:rsidRPr="00876CC4" w:rsidRDefault="00876CC4">
      <w:pPr>
        <w:pStyle w:val="Default"/>
        <w:numPr>
          <w:ilvl w:val="0"/>
          <w:numId w:val="6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876CC4">
        <w:rPr>
          <w:rFonts w:ascii="Times New Roman" w:hAnsi="Times New Roman"/>
          <w:sz w:val="28"/>
          <w:szCs w:val="28"/>
          <w:lang w:val="ru-RU"/>
        </w:rPr>
        <w:lastRenderedPageBreak/>
        <w:t>найбільша кореляція ВВП та торгівельного балансу США спостерігається по відношенню до валової вартості акцій національних компаній на фінансових ринках</w:t>
      </w:r>
      <w:r w:rsidRPr="00876CC4">
        <w:rPr>
          <w:rFonts w:ascii="Times New Roman" w:hAnsi="Times New Roman"/>
          <w:sz w:val="28"/>
          <w:szCs w:val="28"/>
          <w:lang w:val="ru-RU"/>
        </w:rPr>
        <w:t xml:space="preserve">. </w:t>
      </w: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876CC4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РОЗДІЛ </w:t>
      </w:r>
      <w:r>
        <w:rPr>
          <w:rFonts w:ascii="Times New Roman" w:hAnsi="Times New Roman"/>
          <w:sz w:val="28"/>
          <w:szCs w:val="28"/>
        </w:rPr>
        <w:t>3</w:t>
      </w:r>
    </w:p>
    <w:p w:rsidR="005639DF" w:rsidRDefault="00876CC4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Участь України у транснаціоналізації капіталу на прикладі співпраці з США та Китаєм</w:t>
      </w:r>
    </w:p>
    <w:p w:rsidR="005639DF" w:rsidRDefault="005639DF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Двосторонні відносини між Україною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Китаєм та США поклали початок ще задовго до сьогодення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Наразі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усіма трьома країнами здійснюється робота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яка у більшості спрямована </w:t>
      </w:r>
      <w:r>
        <w:rPr>
          <w:rFonts w:ascii="Times New Roman" w:hAnsi="Times New Roman"/>
          <w:sz w:val="28"/>
          <w:szCs w:val="28"/>
        </w:rPr>
        <w:t>на розширення областей співробітництва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Взаємодія з такими світовими гігантами як США та КНР відкриває великі можливості для модернізації економіки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сталого розвитку національного господарства та кооперації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Регулярний обмін делегаціями та міжнародна комун</w:t>
      </w:r>
      <w:r>
        <w:rPr>
          <w:rFonts w:ascii="Times New Roman" w:hAnsi="Times New Roman"/>
          <w:sz w:val="28"/>
          <w:szCs w:val="28"/>
        </w:rPr>
        <w:t>ікація стимулює обмін досвідом та укріпленню віднсин між цими трьома країнами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Вперше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дипломатичні відносини між Україною та США були встановлені </w:t>
      </w:r>
      <w:r>
        <w:rPr>
          <w:rFonts w:ascii="Times New Roman" w:hAnsi="Times New Roman"/>
          <w:sz w:val="28"/>
          <w:szCs w:val="28"/>
        </w:rPr>
        <w:t xml:space="preserve">3 </w:t>
      </w:r>
      <w:r>
        <w:rPr>
          <w:rFonts w:ascii="Times New Roman" w:hAnsi="Times New Roman"/>
          <w:sz w:val="28"/>
          <w:szCs w:val="28"/>
        </w:rPr>
        <w:t xml:space="preserve">січня </w:t>
      </w:r>
      <w:r>
        <w:rPr>
          <w:rFonts w:ascii="Times New Roman" w:hAnsi="Times New Roman"/>
          <w:sz w:val="28"/>
          <w:szCs w:val="28"/>
        </w:rPr>
        <w:t xml:space="preserve">1992 </w:t>
      </w:r>
      <w:r>
        <w:rPr>
          <w:rFonts w:ascii="Times New Roman" w:hAnsi="Times New Roman"/>
          <w:sz w:val="28"/>
          <w:szCs w:val="28"/>
          <w:lang w:val="ru-RU"/>
        </w:rPr>
        <w:t>року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Країни протягом усього часу мають відносини у вигляді стратегічного партнерства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дані відносини були закріплені та задокументовані у спільних заявах президентів України та США від </w:t>
      </w:r>
      <w:r>
        <w:rPr>
          <w:rFonts w:ascii="Times New Roman" w:hAnsi="Times New Roman"/>
          <w:sz w:val="28"/>
          <w:szCs w:val="28"/>
        </w:rPr>
        <w:t xml:space="preserve">5 </w:t>
      </w:r>
      <w:r>
        <w:rPr>
          <w:rFonts w:ascii="Times New Roman" w:hAnsi="Times New Roman"/>
          <w:sz w:val="28"/>
          <w:szCs w:val="28"/>
        </w:rPr>
        <w:t xml:space="preserve">червня </w:t>
      </w:r>
      <w:r>
        <w:rPr>
          <w:rFonts w:ascii="Times New Roman" w:hAnsi="Times New Roman"/>
          <w:sz w:val="28"/>
          <w:szCs w:val="28"/>
        </w:rPr>
        <w:lastRenderedPageBreak/>
        <w:t xml:space="preserve">2000 </w:t>
      </w:r>
      <w:r>
        <w:rPr>
          <w:rFonts w:ascii="Times New Roman" w:hAnsi="Times New Roman"/>
          <w:sz w:val="28"/>
          <w:szCs w:val="28"/>
          <w:lang w:val="ru-RU"/>
        </w:rPr>
        <w:t>року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також у Хартії про стратегічне партнерство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яка була підписана </w:t>
      </w:r>
      <w:r>
        <w:rPr>
          <w:rFonts w:ascii="Times New Roman" w:hAnsi="Times New Roman"/>
          <w:sz w:val="28"/>
          <w:szCs w:val="28"/>
        </w:rPr>
        <w:t xml:space="preserve">19 </w:t>
      </w:r>
      <w:r>
        <w:rPr>
          <w:rFonts w:ascii="Times New Roman" w:hAnsi="Times New Roman"/>
          <w:sz w:val="28"/>
          <w:szCs w:val="28"/>
        </w:rPr>
        <w:t xml:space="preserve">грудня </w:t>
      </w:r>
      <w:r>
        <w:rPr>
          <w:rFonts w:ascii="Times New Roman" w:hAnsi="Times New Roman"/>
          <w:sz w:val="28"/>
          <w:szCs w:val="28"/>
        </w:rPr>
        <w:t xml:space="preserve">2008 </w:t>
      </w:r>
      <w:r>
        <w:rPr>
          <w:rFonts w:ascii="Times New Roman" w:hAnsi="Times New Roman"/>
          <w:sz w:val="28"/>
          <w:szCs w:val="28"/>
        </w:rPr>
        <w:t>року і визначила основні пріоритети двосторонньої взаємод</w:t>
      </w:r>
      <w:r>
        <w:rPr>
          <w:rFonts w:ascii="Times New Roman" w:hAnsi="Times New Roman"/>
          <w:sz w:val="28"/>
          <w:szCs w:val="28"/>
        </w:rPr>
        <w:t>ії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Сполучені штати протягом довгого часу сприяють збереженню цілісності України та її незалежності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також виступають основним інвестором та торговельним партнером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За минулі три роки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відносини України з США трохи погіршилися після тиску зі сторони кол</w:t>
      </w:r>
      <w:r>
        <w:rPr>
          <w:rFonts w:ascii="Times New Roman" w:hAnsi="Times New Roman"/>
          <w:sz w:val="28"/>
          <w:szCs w:val="28"/>
        </w:rPr>
        <w:t xml:space="preserve">ишнього президента США Дональда Трампа на Київ у </w:t>
      </w:r>
      <w:r>
        <w:rPr>
          <w:rFonts w:ascii="Times New Roman" w:hAnsi="Times New Roman"/>
          <w:sz w:val="28"/>
          <w:szCs w:val="28"/>
        </w:rPr>
        <w:t xml:space="preserve">2019 </w:t>
      </w:r>
      <w:r>
        <w:rPr>
          <w:rFonts w:ascii="Times New Roman" w:hAnsi="Times New Roman"/>
          <w:sz w:val="28"/>
          <w:szCs w:val="28"/>
        </w:rPr>
        <w:t>році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Наразі ж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після того як Джо Байден зайняв президентський піст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він дав чітко зрозуміти свою позицію щодо України та співробітництва США з нею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Ще у листопаді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  <w:lang w:val="ru-RU"/>
        </w:rPr>
        <w:t>року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Джо Байден у своєму інтерв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ю для ВВС висловив таку думку</w:t>
      </w:r>
      <w:r>
        <w:rPr>
          <w:rFonts w:ascii="Times New Roman" w:hAnsi="Times New Roman"/>
          <w:sz w:val="28"/>
          <w:szCs w:val="28"/>
          <w:lang w:val="ru-RU"/>
        </w:rPr>
        <w:t>: "</w:t>
      </w:r>
      <w:r>
        <w:rPr>
          <w:rFonts w:ascii="Times New Roman" w:hAnsi="Times New Roman"/>
          <w:sz w:val="28"/>
          <w:szCs w:val="28"/>
        </w:rPr>
        <w:t>Я хотів би зробити Україну пріоритетом зовнішньої політики 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Що стосується військової сфери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 б надав більше американської допомоги в галузі безпеки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зокрема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зброю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щоб зміцнити здатність України захищатися</w:t>
      </w:r>
      <w:r>
        <w:rPr>
          <w:rFonts w:ascii="Times New Roman" w:hAnsi="Times New Roman"/>
          <w:sz w:val="28"/>
          <w:szCs w:val="28"/>
          <w:lang w:val="pt-PT"/>
        </w:rPr>
        <w:t xml:space="preserve">"  [21].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Спи</w:t>
      </w:r>
      <w:r>
        <w:rPr>
          <w:rFonts w:ascii="Times New Roman" w:hAnsi="Times New Roman"/>
          <w:sz w:val="28"/>
          <w:szCs w:val="28"/>
        </w:rPr>
        <w:t>раючись на інформацію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яка надана Посольством США в Україні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допомога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яка надходить із США Україні у більшості спрямована на підтримку та розвиток економічної стабільності та сталого зростання України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як самостійної держави </w:t>
      </w:r>
      <w:r>
        <w:rPr>
          <w:rFonts w:ascii="Times New Roman" w:hAnsi="Times New Roman"/>
          <w:sz w:val="28"/>
          <w:szCs w:val="28"/>
          <w:lang w:val="pt-PT"/>
        </w:rPr>
        <w:t xml:space="preserve">[20].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Враховуючи той факт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що Україна протягом останніх </w:t>
      </w:r>
      <w:r>
        <w:rPr>
          <w:rFonts w:ascii="Times New Roman" w:hAnsi="Times New Roman"/>
          <w:sz w:val="28"/>
          <w:szCs w:val="28"/>
        </w:rPr>
        <w:t xml:space="preserve">10 </w:t>
      </w:r>
      <w:r>
        <w:rPr>
          <w:rFonts w:ascii="Times New Roman" w:hAnsi="Times New Roman"/>
          <w:sz w:val="28"/>
          <w:szCs w:val="28"/>
        </w:rPr>
        <w:t>років виступає чистим боржником по відношенню до інших країн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ми можемо побачити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що станом на </w:t>
      </w:r>
      <w:r>
        <w:rPr>
          <w:rFonts w:ascii="Times New Roman" w:hAnsi="Times New Roman"/>
          <w:sz w:val="28"/>
          <w:szCs w:val="28"/>
        </w:rPr>
        <w:t xml:space="preserve">31 </w:t>
      </w:r>
      <w:r>
        <w:rPr>
          <w:rFonts w:ascii="Times New Roman" w:hAnsi="Times New Roman"/>
          <w:sz w:val="28"/>
          <w:szCs w:val="28"/>
        </w:rPr>
        <w:t xml:space="preserve">грудня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</w:rPr>
        <w:t>року за даними Департаменту статистики та звітності Національного Банку України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заборгованість України за кредита</w:t>
      </w:r>
      <w:r>
        <w:rPr>
          <w:rFonts w:ascii="Times New Roman" w:hAnsi="Times New Roman"/>
          <w:sz w:val="28"/>
          <w:szCs w:val="28"/>
        </w:rPr>
        <w:t xml:space="preserve">ми реального сектору до США зі сторони фінансових корпорацій склала </w:t>
      </w:r>
      <w:r>
        <w:rPr>
          <w:rFonts w:ascii="Times New Roman" w:hAnsi="Times New Roman"/>
          <w:sz w:val="28"/>
          <w:szCs w:val="28"/>
        </w:rPr>
        <w:t xml:space="preserve">618 </w:t>
      </w:r>
      <w:r>
        <w:rPr>
          <w:rFonts w:ascii="Times New Roman" w:hAnsi="Times New Roman"/>
          <w:sz w:val="28"/>
          <w:szCs w:val="28"/>
        </w:rPr>
        <w:t>млн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Заборгованість за кредитами приватного сектору станом на </w:t>
      </w:r>
      <w:r>
        <w:rPr>
          <w:rFonts w:ascii="Times New Roman" w:hAnsi="Times New Roman"/>
          <w:sz w:val="28"/>
          <w:szCs w:val="28"/>
        </w:rPr>
        <w:t xml:space="preserve">31 </w:t>
      </w:r>
      <w:r>
        <w:rPr>
          <w:rFonts w:ascii="Times New Roman" w:hAnsi="Times New Roman"/>
          <w:sz w:val="28"/>
          <w:szCs w:val="28"/>
        </w:rPr>
        <w:t xml:space="preserve">грудня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</w:rPr>
        <w:t xml:space="preserve">року по відношенню до США склала </w:t>
      </w:r>
      <w:r>
        <w:rPr>
          <w:rFonts w:ascii="Times New Roman" w:hAnsi="Times New Roman"/>
          <w:sz w:val="28"/>
          <w:szCs w:val="28"/>
        </w:rPr>
        <w:t xml:space="preserve">1,181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, 1,110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США з яких склали довг</w:t>
      </w:r>
      <w:r>
        <w:rPr>
          <w:rFonts w:ascii="Times New Roman" w:hAnsi="Times New Roman"/>
          <w:sz w:val="28"/>
          <w:szCs w:val="28"/>
        </w:rPr>
        <w:t>острокові кредити приватного сектору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Сума заборгованості України перед нефінансовими корпораціями США на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</w:rPr>
        <w:t xml:space="preserve">рік склала </w:t>
      </w:r>
      <w:r>
        <w:rPr>
          <w:rFonts w:ascii="Times New Roman" w:hAnsi="Times New Roman"/>
          <w:sz w:val="28"/>
          <w:szCs w:val="28"/>
        </w:rPr>
        <w:t xml:space="preserve">1,116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За даним звітом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обсяг валового зовнішнього боргу України у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</w:rPr>
        <w:t xml:space="preserve">році зріс на </w:t>
      </w:r>
      <w:r>
        <w:rPr>
          <w:rFonts w:ascii="Times New Roman" w:hAnsi="Times New Roman"/>
          <w:sz w:val="28"/>
          <w:szCs w:val="28"/>
        </w:rPr>
        <w:t xml:space="preserve">4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США і склав </w:t>
      </w:r>
      <w:r>
        <w:rPr>
          <w:rFonts w:ascii="Times New Roman" w:hAnsi="Times New Roman"/>
          <w:sz w:val="28"/>
          <w:szCs w:val="28"/>
        </w:rPr>
        <w:t xml:space="preserve">125,7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Відносно ВВП обсяг боргу збільшився за рік із  </w:t>
      </w:r>
      <w:r>
        <w:rPr>
          <w:rFonts w:ascii="Times New Roman" w:hAnsi="Times New Roman"/>
          <w:sz w:val="28"/>
          <w:szCs w:val="28"/>
        </w:rPr>
        <w:t xml:space="preserve">78,6% </w:t>
      </w:r>
      <w:r>
        <w:rPr>
          <w:rFonts w:ascii="Times New Roman" w:hAnsi="Times New Roman"/>
          <w:sz w:val="28"/>
          <w:szCs w:val="28"/>
        </w:rPr>
        <w:t xml:space="preserve">до </w:t>
      </w:r>
      <w:r>
        <w:rPr>
          <w:rFonts w:ascii="Times New Roman" w:hAnsi="Times New Roman"/>
          <w:sz w:val="28"/>
          <w:szCs w:val="28"/>
        </w:rPr>
        <w:t xml:space="preserve">81,2 %.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Зовнішній борг державного сектору зріс на </w:t>
      </w:r>
      <w:r>
        <w:rPr>
          <w:rFonts w:ascii="Times New Roman" w:hAnsi="Times New Roman"/>
          <w:sz w:val="28"/>
          <w:szCs w:val="28"/>
        </w:rPr>
        <w:t xml:space="preserve">2,9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США і склав </w:t>
      </w:r>
      <w:r>
        <w:rPr>
          <w:rFonts w:ascii="Times New Roman" w:hAnsi="Times New Roman"/>
          <w:sz w:val="28"/>
          <w:szCs w:val="28"/>
        </w:rPr>
        <w:t xml:space="preserve">54,7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що становить </w:t>
      </w:r>
      <w:r>
        <w:rPr>
          <w:rFonts w:ascii="Times New Roman" w:hAnsi="Times New Roman"/>
          <w:sz w:val="28"/>
          <w:szCs w:val="28"/>
        </w:rPr>
        <w:t xml:space="preserve">35,3% </w:t>
      </w:r>
      <w:r>
        <w:rPr>
          <w:rFonts w:ascii="Times New Roman" w:hAnsi="Times New Roman"/>
          <w:sz w:val="28"/>
          <w:szCs w:val="28"/>
        </w:rPr>
        <w:t>від ВВП України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Основною валютою заборгованості України станом на </w:t>
      </w:r>
      <w:r>
        <w:rPr>
          <w:rFonts w:ascii="Times New Roman" w:hAnsi="Times New Roman"/>
          <w:sz w:val="28"/>
          <w:szCs w:val="28"/>
        </w:rPr>
        <w:t xml:space="preserve">31 </w:t>
      </w:r>
      <w:r>
        <w:rPr>
          <w:rFonts w:ascii="Times New Roman" w:hAnsi="Times New Roman"/>
          <w:sz w:val="28"/>
          <w:szCs w:val="28"/>
        </w:rPr>
        <w:t xml:space="preserve">грудня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</w:rPr>
        <w:t xml:space="preserve">року залишається долар США і становить </w:t>
      </w:r>
      <w:r>
        <w:rPr>
          <w:rFonts w:ascii="Times New Roman" w:hAnsi="Times New Roman"/>
          <w:sz w:val="28"/>
          <w:szCs w:val="28"/>
        </w:rPr>
        <w:t xml:space="preserve">61,6% </w:t>
      </w:r>
      <w:r>
        <w:rPr>
          <w:rFonts w:ascii="Times New Roman" w:hAnsi="Times New Roman"/>
          <w:sz w:val="28"/>
          <w:szCs w:val="28"/>
        </w:rPr>
        <w:t xml:space="preserve">від загального обсягу боргу </w:t>
      </w:r>
      <w:r>
        <w:rPr>
          <w:rFonts w:ascii="Times New Roman" w:hAnsi="Times New Roman"/>
          <w:sz w:val="28"/>
          <w:szCs w:val="28"/>
          <w:lang w:val="pt-PT"/>
        </w:rPr>
        <w:t xml:space="preserve">[22][23].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Як можна побачити з проаналізованих на даному етапі даних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проблема державної заборгованості України перед </w:t>
      </w:r>
      <w:r>
        <w:rPr>
          <w:rFonts w:ascii="Times New Roman" w:hAnsi="Times New Roman"/>
          <w:sz w:val="28"/>
          <w:szCs w:val="28"/>
        </w:rPr>
        <w:t>США та іншими країнами світу наразі має чимале значення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Зростання зовнішньої державної заборгованості пов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язане з постійним та зростаючим дефіцитом бюджету України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недостатнім обсягом золотовалютних резервів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також девальвацією валюти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яка пов’язана зі</w:t>
      </w:r>
      <w:r>
        <w:rPr>
          <w:rFonts w:ascii="Times New Roman" w:hAnsi="Times New Roman"/>
          <w:sz w:val="28"/>
          <w:szCs w:val="28"/>
        </w:rPr>
        <w:t xml:space="preserve"> зростанням інфляції та низкою інших проблем не тільки валютної системи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але і політичної структури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Також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важливо зауважити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США є одним із найбільших донорів для економіки України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Китай на даному етапі не входить до списку кредиторів України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чимал</w:t>
      </w:r>
      <w:r>
        <w:rPr>
          <w:rFonts w:ascii="Times New Roman" w:hAnsi="Times New Roman"/>
          <w:sz w:val="28"/>
          <w:szCs w:val="28"/>
        </w:rPr>
        <w:t>о китайських компаній є діючими на території України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але КНР не займає місце у списку кредиторів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76CC4">
        <w:rPr>
          <w:rFonts w:ascii="Times New Roman" w:hAnsi="Times New Roman"/>
          <w:sz w:val="28"/>
          <w:szCs w:val="28"/>
        </w:rPr>
        <w:t>Одн</w:t>
      </w:r>
      <w:r>
        <w:rPr>
          <w:rFonts w:ascii="Times New Roman" w:hAnsi="Times New Roman"/>
          <w:sz w:val="28"/>
          <w:szCs w:val="28"/>
        </w:rPr>
        <w:t>ією із найактуальніших цілей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які поставлені перед державою є залучення більшої кількості інвестицій до України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З </w:t>
      </w:r>
      <w:r>
        <w:rPr>
          <w:rFonts w:ascii="Times New Roman" w:hAnsi="Times New Roman"/>
          <w:sz w:val="28"/>
          <w:szCs w:val="28"/>
        </w:rPr>
        <w:t xml:space="preserve">1992 </w:t>
      </w:r>
      <w:r>
        <w:rPr>
          <w:rFonts w:ascii="Times New Roman" w:hAnsi="Times New Roman"/>
          <w:sz w:val="28"/>
          <w:szCs w:val="28"/>
        </w:rPr>
        <w:t xml:space="preserve">року в Україні функціонує “Закон </w:t>
      </w:r>
      <w:r>
        <w:rPr>
          <w:rFonts w:ascii="Times New Roman" w:hAnsi="Times New Roman"/>
          <w:sz w:val="28"/>
          <w:szCs w:val="28"/>
        </w:rPr>
        <w:t>про загальні засади створення і функціонування вільних економічних зон”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Зони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про які йдеться у даному законі у більшості своїй мають на меті залучення більшої кількості ПІІ задля подальшого сталого та швидкого економічного зростання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За цим проектом пови</w:t>
      </w:r>
      <w:r>
        <w:rPr>
          <w:rFonts w:ascii="Times New Roman" w:hAnsi="Times New Roman"/>
          <w:sz w:val="28"/>
          <w:szCs w:val="28"/>
        </w:rPr>
        <w:t>нна активізуватися та розвиватися підприємницька діяльність та приватний сектор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як наслідок мають зростати об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єми двосторонньої торгівлі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Однією із пріоритетних цілей вільних економічних зон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також виступає впровадження нових технологій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а також досвіду іноземних партнерів </w:t>
      </w:r>
      <w:r>
        <w:rPr>
          <w:rFonts w:ascii="Times New Roman" w:hAnsi="Times New Roman"/>
          <w:sz w:val="28"/>
          <w:szCs w:val="28"/>
          <w:lang w:val="pt-PT"/>
        </w:rPr>
        <w:t xml:space="preserve">[24].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На сьогоднішній день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 Україні функціонують кілька вільних економічних зон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таких як “Порто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Франко”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“Яворів”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“Донецьк”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“Рені”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але через політичну нестабільність та широкий спектр тіньової економіки та низку р</w:t>
      </w:r>
      <w:r>
        <w:rPr>
          <w:rFonts w:ascii="Times New Roman" w:hAnsi="Times New Roman"/>
          <w:sz w:val="28"/>
          <w:szCs w:val="28"/>
        </w:rPr>
        <w:t>ізних проблем пов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язаних із структурним функціонування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неготовністю законодавства та корупційності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не були впроваджені усі митні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валютні та інші умови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створені для підвищення та поліпшення інвестиційної діяльності в Україні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 даними Департаменту ста</w:t>
      </w:r>
      <w:r>
        <w:rPr>
          <w:rFonts w:ascii="Times New Roman" w:hAnsi="Times New Roman"/>
          <w:sz w:val="28"/>
          <w:szCs w:val="28"/>
        </w:rPr>
        <w:t>тистики та звітності Національного банку України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Китай займає вагому позицію за кількістю прямих інвестицій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які надходили до України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Хоча й станом на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</w:rPr>
        <w:t>рік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об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 xml:space="preserve">єми інвестицій знизилися з </w:t>
      </w:r>
      <w:r>
        <w:rPr>
          <w:rFonts w:ascii="Times New Roman" w:hAnsi="Times New Roman"/>
          <w:sz w:val="28"/>
          <w:szCs w:val="28"/>
        </w:rPr>
        <w:t xml:space="preserve">81,9 </w:t>
      </w:r>
      <w:r>
        <w:rPr>
          <w:rFonts w:ascii="Times New Roman" w:hAnsi="Times New Roman"/>
          <w:sz w:val="28"/>
          <w:szCs w:val="28"/>
        </w:rPr>
        <w:t>млн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 xml:space="preserve">США у </w:t>
      </w:r>
      <w:r>
        <w:rPr>
          <w:rFonts w:ascii="Times New Roman" w:hAnsi="Times New Roman"/>
          <w:sz w:val="28"/>
          <w:szCs w:val="28"/>
        </w:rPr>
        <w:t xml:space="preserve">2019 </w:t>
      </w:r>
      <w:r>
        <w:rPr>
          <w:rFonts w:ascii="Times New Roman" w:hAnsi="Times New Roman"/>
          <w:sz w:val="28"/>
          <w:szCs w:val="28"/>
        </w:rPr>
        <w:t xml:space="preserve">році до </w:t>
      </w:r>
      <w:r>
        <w:rPr>
          <w:rFonts w:ascii="Times New Roman" w:hAnsi="Times New Roman"/>
          <w:sz w:val="28"/>
          <w:szCs w:val="28"/>
        </w:rPr>
        <w:t xml:space="preserve">75,7 </w:t>
      </w:r>
      <w:r>
        <w:rPr>
          <w:rFonts w:ascii="Times New Roman" w:hAnsi="Times New Roman"/>
          <w:sz w:val="28"/>
          <w:szCs w:val="28"/>
        </w:rPr>
        <w:t>млн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 станом н</w:t>
      </w:r>
      <w:r>
        <w:rPr>
          <w:rFonts w:ascii="Times New Roman" w:hAnsi="Times New Roman"/>
          <w:sz w:val="28"/>
          <w:szCs w:val="28"/>
          <w:lang w:val="ru-RU"/>
        </w:rPr>
        <w:t xml:space="preserve">а </w:t>
      </w:r>
      <w:r>
        <w:rPr>
          <w:rFonts w:ascii="Times New Roman" w:hAnsi="Times New Roman"/>
          <w:sz w:val="28"/>
          <w:szCs w:val="28"/>
        </w:rPr>
        <w:t xml:space="preserve">31 </w:t>
      </w:r>
      <w:r>
        <w:rPr>
          <w:rFonts w:ascii="Times New Roman" w:hAnsi="Times New Roman"/>
          <w:sz w:val="28"/>
          <w:szCs w:val="28"/>
        </w:rPr>
        <w:t xml:space="preserve">грудня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  <w:lang w:val="ru-RU"/>
        </w:rPr>
        <w:t>року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Але треба зауважити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дуже стрімкий ріст у об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 xml:space="preserve">ємах прямих іноземних інвестицій до України із Китаю спостерігався уоли у </w:t>
      </w:r>
      <w:r>
        <w:rPr>
          <w:rFonts w:ascii="Times New Roman" w:hAnsi="Times New Roman"/>
          <w:sz w:val="28"/>
          <w:szCs w:val="28"/>
        </w:rPr>
        <w:t xml:space="preserve">2019 </w:t>
      </w:r>
      <w:r>
        <w:rPr>
          <w:rFonts w:ascii="Times New Roman" w:hAnsi="Times New Roman"/>
          <w:sz w:val="28"/>
          <w:szCs w:val="28"/>
        </w:rPr>
        <w:t xml:space="preserve">році інвестиції зросли до позначки </w:t>
      </w:r>
      <w:r>
        <w:rPr>
          <w:rFonts w:ascii="Times New Roman" w:hAnsi="Times New Roman"/>
          <w:sz w:val="28"/>
          <w:szCs w:val="28"/>
        </w:rPr>
        <w:t xml:space="preserve">81,9 </w:t>
      </w:r>
      <w:r>
        <w:rPr>
          <w:rFonts w:ascii="Times New Roman" w:hAnsi="Times New Roman"/>
          <w:sz w:val="28"/>
          <w:szCs w:val="28"/>
        </w:rPr>
        <w:t>млн</w:t>
      </w:r>
      <w:r>
        <w:rPr>
          <w:rFonts w:ascii="Times New Roman" w:hAnsi="Times New Roman"/>
          <w:sz w:val="28"/>
          <w:szCs w:val="28"/>
        </w:rPr>
        <w:t xml:space="preserve">. </w:t>
      </w:r>
      <w:r w:rsidRPr="00876CC4">
        <w:rPr>
          <w:rFonts w:ascii="Times New Roman" w:hAnsi="Times New Roman"/>
          <w:sz w:val="28"/>
          <w:szCs w:val="28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США з </w:t>
      </w:r>
      <w:r>
        <w:rPr>
          <w:rFonts w:ascii="Times New Roman" w:hAnsi="Times New Roman"/>
          <w:sz w:val="28"/>
          <w:szCs w:val="28"/>
        </w:rPr>
        <w:t xml:space="preserve">23,8 </w:t>
      </w:r>
      <w:r>
        <w:rPr>
          <w:rFonts w:ascii="Times New Roman" w:hAnsi="Times New Roman"/>
          <w:sz w:val="28"/>
          <w:szCs w:val="28"/>
        </w:rPr>
        <w:t>млн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США досягнутих у </w:t>
      </w:r>
      <w:r>
        <w:rPr>
          <w:rFonts w:ascii="Times New Roman" w:hAnsi="Times New Roman"/>
          <w:sz w:val="28"/>
          <w:szCs w:val="28"/>
        </w:rPr>
        <w:t xml:space="preserve">2018 </w:t>
      </w:r>
      <w:r>
        <w:rPr>
          <w:rFonts w:ascii="Times New Roman" w:hAnsi="Times New Roman"/>
          <w:sz w:val="28"/>
          <w:szCs w:val="28"/>
        </w:rPr>
        <w:t>році</w:t>
      </w:r>
      <w:r>
        <w:rPr>
          <w:rFonts w:ascii="Times New Roman" w:hAnsi="Times New Roman"/>
          <w:sz w:val="28"/>
          <w:szCs w:val="28"/>
        </w:rPr>
        <w:t xml:space="preserve"> [23].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той самий час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ми можемо побачити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відносно Китаю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Сполучені Штати виступають більшим відправником прямих іноземних інвестицій до України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Станом на </w:t>
      </w:r>
      <w:r>
        <w:rPr>
          <w:rFonts w:ascii="Times New Roman" w:hAnsi="Times New Roman"/>
          <w:sz w:val="28"/>
          <w:szCs w:val="28"/>
        </w:rPr>
        <w:t xml:space="preserve">31 </w:t>
      </w:r>
      <w:r>
        <w:rPr>
          <w:rFonts w:ascii="Times New Roman" w:hAnsi="Times New Roman"/>
          <w:sz w:val="28"/>
          <w:szCs w:val="28"/>
        </w:rPr>
        <w:t xml:space="preserve">грудня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  <w:lang w:val="ru-RU"/>
        </w:rPr>
        <w:t>року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загальний обсяг ПІІ був на позначці </w:t>
      </w:r>
      <w:r>
        <w:rPr>
          <w:rFonts w:ascii="Times New Roman" w:hAnsi="Times New Roman"/>
          <w:sz w:val="28"/>
          <w:szCs w:val="28"/>
        </w:rPr>
        <w:t xml:space="preserve">710,3 </w:t>
      </w:r>
      <w:r>
        <w:rPr>
          <w:rFonts w:ascii="Times New Roman" w:hAnsi="Times New Roman"/>
          <w:sz w:val="28"/>
          <w:szCs w:val="28"/>
        </w:rPr>
        <w:t>млн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Цей показник знизився </w:t>
      </w:r>
      <w:r>
        <w:rPr>
          <w:rFonts w:ascii="Times New Roman" w:hAnsi="Times New Roman"/>
          <w:sz w:val="28"/>
          <w:szCs w:val="28"/>
        </w:rPr>
        <w:t xml:space="preserve">порівняно з попереднім </w:t>
      </w:r>
      <w:r>
        <w:rPr>
          <w:rFonts w:ascii="Times New Roman" w:hAnsi="Times New Roman"/>
          <w:sz w:val="28"/>
          <w:szCs w:val="28"/>
        </w:rPr>
        <w:t xml:space="preserve">2019 </w:t>
      </w:r>
      <w:r>
        <w:rPr>
          <w:rFonts w:ascii="Times New Roman" w:hAnsi="Times New Roman"/>
          <w:sz w:val="28"/>
          <w:szCs w:val="28"/>
        </w:rPr>
        <w:t>роком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коли обсяг ПІІ склав </w:t>
      </w:r>
      <w:r>
        <w:rPr>
          <w:rFonts w:ascii="Times New Roman" w:hAnsi="Times New Roman"/>
          <w:sz w:val="28"/>
          <w:szCs w:val="28"/>
        </w:rPr>
        <w:t xml:space="preserve">811,7 </w:t>
      </w:r>
      <w:r>
        <w:rPr>
          <w:rFonts w:ascii="Times New Roman" w:hAnsi="Times New Roman"/>
          <w:sz w:val="28"/>
          <w:szCs w:val="28"/>
        </w:rPr>
        <w:t>млн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>.</w:t>
      </w:r>
    </w:p>
    <w:p w:rsidR="005639DF" w:rsidRDefault="00876CC4">
      <w:pPr>
        <w:pStyle w:val="Body"/>
        <w:spacing w:line="360" w:lineRule="auto"/>
        <w:ind w:firstLine="850"/>
        <w:jc w:val="right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t xml:space="preserve">Таблиця </w:t>
      </w:r>
      <w:r>
        <w:rPr>
          <w:rFonts w:ascii="Times New Roman" w:hAnsi="Times New Roman"/>
          <w:i/>
          <w:iCs/>
          <w:sz w:val="28"/>
          <w:szCs w:val="28"/>
        </w:rPr>
        <w:t>3.1</w:t>
      </w:r>
    </w:p>
    <w:p w:rsidR="005639DF" w:rsidRDefault="00876CC4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t xml:space="preserve"> Обсяги прямих іноземних інвестицій із Китаю та США до України</w:t>
      </w:r>
      <w:r>
        <w:rPr>
          <w:rFonts w:ascii="Times New Roman" w:hAnsi="Times New Roman"/>
          <w:i/>
          <w:iCs/>
          <w:sz w:val="28"/>
          <w:szCs w:val="28"/>
        </w:rPr>
        <w:t xml:space="preserve">. </w:t>
      </w:r>
    </w:p>
    <w:tbl>
      <w:tblPr>
        <w:tblStyle w:val="TableNormal"/>
        <w:tblW w:w="9573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174"/>
        <w:gridCol w:w="1400"/>
        <w:gridCol w:w="1400"/>
        <w:gridCol w:w="1399"/>
        <w:gridCol w:w="1400"/>
        <w:gridCol w:w="1400"/>
        <w:gridCol w:w="1400"/>
      </w:tblGrid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/>
        </w:trPr>
        <w:tc>
          <w:tcPr>
            <w:tcW w:w="1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Pr="00876CC4" w:rsidRDefault="005639DF">
            <w:pPr>
              <w:rPr>
                <w:lang w:val="ru-RU"/>
              </w:rPr>
            </w:pPr>
          </w:p>
        </w:tc>
        <w:tc>
          <w:tcPr>
            <w:tcW w:w="1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2015</w:t>
            </w:r>
          </w:p>
        </w:tc>
        <w:tc>
          <w:tcPr>
            <w:tcW w:w="1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2016</w:t>
            </w:r>
          </w:p>
        </w:tc>
        <w:tc>
          <w:tcPr>
            <w:tcW w:w="1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2017</w:t>
            </w:r>
          </w:p>
        </w:tc>
        <w:tc>
          <w:tcPr>
            <w:tcW w:w="1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2018</w:t>
            </w:r>
          </w:p>
        </w:tc>
        <w:tc>
          <w:tcPr>
            <w:tcW w:w="1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2019</w:t>
            </w:r>
          </w:p>
        </w:tc>
        <w:tc>
          <w:tcPr>
            <w:tcW w:w="1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2020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/>
        </w:trPr>
        <w:tc>
          <w:tcPr>
            <w:tcW w:w="1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ind w:firstLine="140"/>
              <w:jc w:val="center"/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Китай</w:t>
            </w:r>
          </w:p>
        </w:tc>
        <w:tc>
          <w:tcPr>
            <w:tcW w:w="1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24,8</w:t>
            </w:r>
          </w:p>
        </w:tc>
        <w:tc>
          <w:tcPr>
            <w:tcW w:w="1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24</w:t>
            </w:r>
          </w:p>
        </w:tc>
        <w:tc>
          <w:tcPr>
            <w:tcW w:w="1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25,8</w:t>
            </w:r>
          </w:p>
        </w:tc>
        <w:tc>
          <w:tcPr>
            <w:tcW w:w="1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23,8</w:t>
            </w:r>
          </w:p>
        </w:tc>
        <w:tc>
          <w:tcPr>
            <w:tcW w:w="1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81,8</w:t>
            </w:r>
          </w:p>
        </w:tc>
        <w:tc>
          <w:tcPr>
            <w:tcW w:w="1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75,7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/>
        </w:trPr>
        <w:tc>
          <w:tcPr>
            <w:tcW w:w="1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ind w:firstLine="140"/>
              <w:jc w:val="center"/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США</w:t>
            </w:r>
          </w:p>
        </w:tc>
        <w:tc>
          <w:tcPr>
            <w:tcW w:w="1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888,8</w:t>
            </w:r>
          </w:p>
        </w:tc>
        <w:tc>
          <w:tcPr>
            <w:tcW w:w="1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893</w:t>
            </w:r>
          </w:p>
        </w:tc>
        <w:tc>
          <w:tcPr>
            <w:tcW w:w="1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778,2</w:t>
            </w:r>
          </w:p>
        </w:tc>
        <w:tc>
          <w:tcPr>
            <w:tcW w:w="1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636,2</w:t>
            </w:r>
          </w:p>
        </w:tc>
        <w:tc>
          <w:tcPr>
            <w:tcW w:w="1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811,7</w:t>
            </w:r>
          </w:p>
        </w:tc>
        <w:tc>
          <w:tcPr>
            <w:tcW w:w="1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710,3</w:t>
            </w:r>
          </w:p>
        </w:tc>
      </w:tr>
    </w:tbl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t>Джерело</w:t>
      </w:r>
      <w:r>
        <w:rPr>
          <w:rFonts w:ascii="Times New Roman" w:hAnsi="Times New Roman"/>
          <w:i/>
          <w:iCs/>
          <w:sz w:val="28"/>
          <w:szCs w:val="28"/>
        </w:rPr>
        <w:t xml:space="preserve">: </w:t>
      </w:r>
      <w:r>
        <w:rPr>
          <w:rFonts w:ascii="Times New Roman" w:hAnsi="Times New Roman"/>
          <w:i/>
          <w:iCs/>
          <w:sz w:val="28"/>
          <w:szCs w:val="28"/>
        </w:rPr>
        <w:t>складено автором на основі джерел</w:t>
      </w:r>
      <w:r w:rsidRPr="00876CC4">
        <w:rPr>
          <w:rFonts w:ascii="Times New Roman" w:hAnsi="Times New Roman"/>
          <w:i/>
          <w:iCs/>
          <w:sz w:val="28"/>
          <w:szCs w:val="28"/>
          <w:lang w:val="ru-RU"/>
        </w:rPr>
        <w:t xml:space="preserve">: [23].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 видами діяльності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станом на </w:t>
      </w:r>
      <w:r>
        <w:rPr>
          <w:rFonts w:ascii="Times New Roman" w:hAnsi="Times New Roman"/>
          <w:sz w:val="28"/>
          <w:szCs w:val="28"/>
        </w:rPr>
        <w:t xml:space="preserve">31 </w:t>
      </w:r>
      <w:r>
        <w:rPr>
          <w:rFonts w:ascii="Times New Roman" w:hAnsi="Times New Roman"/>
          <w:sz w:val="28"/>
          <w:szCs w:val="28"/>
        </w:rPr>
        <w:t xml:space="preserve">грудня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  <w:lang w:val="ru-RU"/>
        </w:rPr>
        <w:t>року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прямих іноземних інвестицій надійшло найбільше у операції з нерухомим майном </w:t>
      </w:r>
      <w:r>
        <w:rPr>
          <w:rFonts w:ascii="Times New Roman" w:hAnsi="Times New Roman"/>
          <w:sz w:val="28"/>
          <w:szCs w:val="28"/>
        </w:rPr>
        <w:t xml:space="preserve">(4,599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), </w:t>
      </w:r>
      <w:r>
        <w:rPr>
          <w:rFonts w:ascii="Times New Roman" w:hAnsi="Times New Roman"/>
          <w:sz w:val="28"/>
          <w:szCs w:val="28"/>
        </w:rPr>
        <w:t xml:space="preserve">фінансову та страхову діяльність </w:t>
      </w:r>
      <w:r>
        <w:rPr>
          <w:rFonts w:ascii="Times New Roman" w:hAnsi="Times New Roman"/>
          <w:sz w:val="28"/>
          <w:szCs w:val="28"/>
        </w:rPr>
        <w:t xml:space="preserve">(4,515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), </w:t>
      </w:r>
      <w:r>
        <w:rPr>
          <w:rFonts w:ascii="Times New Roman" w:hAnsi="Times New Roman"/>
          <w:sz w:val="28"/>
          <w:szCs w:val="28"/>
        </w:rPr>
        <w:t xml:space="preserve">оптову </w:t>
      </w:r>
      <w:r>
        <w:rPr>
          <w:rFonts w:ascii="Times New Roman" w:hAnsi="Times New Roman"/>
          <w:sz w:val="28"/>
          <w:szCs w:val="28"/>
        </w:rPr>
        <w:lastRenderedPageBreak/>
        <w:t xml:space="preserve">та роздрібну торгівлю </w:t>
      </w:r>
      <w:r>
        <w:rPr>
          <w:rFonts w:ascii="Times New Roman" w:hAnsi="Times New Roman"/>
          <w:sz w:val="28"/>
          <w:szCs w:val="28"/>
        </w:rPr>
        <w:t xml:space="preserve">(7,842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), </w:t>
      </w:r>
      <w:r>
        <w:rPr>
          <w:rFonts w:ascii="Times New Roman" w:hAnsi="Times New Roman"/>
          <w:sz w:val="28"/>
          <w:szCs w:val="28"/>
        </w:rPr>
        <w:t>виробництво харчових продуктів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напоїв та тютюнових виробів </w:t>
      </w:r>
      <w:r>
        <w:rPr>
          <w:rFonts w:ascii="Times New Roman" w:hAnsi="Times New Roman"/>
          <w:sz w:val="28"/>
          <w:szCs w:val="28"/>
        </w:rPr>
        <w:t xml:space="preserve">(10,973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 xml:space="preserve">та у промисловість </w:t>
      </w:r>
      <w:r>
        <w:rPr>
          <w:rFonts w:ascii="Times New Roman" w:hAnsi="Times New Roman"/>
          <w:sz w:val="28"/>
          <w:szCs w:val="28"/>
        </w:rPr>
        <w:t xml:space="preserve">(19,422 </w:t>
      </w:r>
      <w:r>
        <w:rPr>
          <w:rFonts w:ascii="Times New Roman" w:hAnsi="Times New Roman"/>
          <w:sz w:val="28"/>
          <w:szCs w:val="28"/>
        </w:rPr>
        <w:t>млрд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долл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США</w:t>
      </w:r>
      <w:r>
        <w:rPr>
          <w:rFonts w:ascii="Times New Roman" w:hAnsi="Times New Roman"/>
          <w:sz w:val="28"/>
          <w:szCs w:val="28"/>
          <w:lang w:val="pt-PT"/>
        </w:rPr>
        <w:t xml:space="preserve">) [23].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Основними причинами такої волатильності інвестув</w:t>
      </w:r>
      <w:r>
        <w:rPr>
          <w:rFonts w:ascii="Times New Roman" w:hAnsi="Times New Roman"/>
          <w:sz w:val="28"/>
          <w:szCs w:val="28"/>
        </w:rPr>
        <w:t>ання в Україну не тільки за сторони США та Китаю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але і інших країн світу виступає політична та економічна нестабільність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яка підриває довіру інвесторів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Відсутність потрібної законодавчої бази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яка могла б захистити інвесторів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їх вклади та активи на дос</w:t>
      </w:r>
      <w:r>
        <w:rPr>
          <w:rFonts w:ascii="Times New Roman" w:hAnsi="Times New Roman"/>
          <w:sz w:val="28"/>
          <w:szCs w:val="28"/>
        </w:rPr>
        <w:t>татньому рівні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Проаналізувавши динаміку надходжень прямих іноземних інвестицій до України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можна зауважити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будь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яке загострення політичної ситуації у країні сприяє не тільки зменшенню об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ємів прямих іноземних інвестицій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але й зростанню відтоку коштів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Якщо аналізувати інвестиційну діяльність США та Китаю по відношенню до України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то можна підкреслити прямі інвестиції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надходять з Китаю у промисловий сектор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 особливості у підприємства з переробною промисловістю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Станом на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</w:rPr>
        <w:t>рік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до сектору обробної промисловості з Китаю надійшло ПІІ обсягом </w:t>
      </w:r>
      <w:r>
        <w:rPr>
          <w:rFonts w:ascii="Times New Roman" w:hAnsi="Times New Roman"/>
          <w:sz w:val="28"/>
          <w:szCs w:val="28"/>
        </w:rPr>
        <w:t xml:space="preserve">6,1 </w:t>
      </w:r>
      <w:r>
        <w:rPr>
          <w:rFonts w:ascii="Times New Roman" w:hAnsi="Times New Roman"/>
          <w:sz w:val="28"/>
          <w:szCs w:val="28"/>
        </w:rPr>
        <w:t>млн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дол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Із США у даний сектор надійшло </w:t>
      </w:r>
      <w:r>
        <w:rPr>
          <w:rFonts w:ascii="Times New Roman" w:hAnsi="Times New Roman"/>
          <w:sz w:val="28"/>
          <w:szCs w:val="28"/>
        </w:rPr>
        <w:t xml:space="preserve">42,4 </w:t>
      </w:r>
      <w:r>
        <w:rPr>
          <w:rFonts w:ascii="Times New Roman" w:hAnsi="Times New Roman"/>
          <w:sz w:val="28"/>
          <w:szCs w:val="28"/>
        </w:rPr>
        <w:t>млн дол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У енергетику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 особливості енергопостачання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надійшло у </w:t>
      </w:r>
      <w:r>
        <w:rPr>
          <w:rFonts w:ascii="Times New Roman" w:hAnsi="Times New Roman"/>
          <w:sz w:val="28"/>
          <w:szCs w:val="28"/>
        </w:rPr>
        <w:t xml:space="preserve">2020 </w:t>
      </w:r>
      <w:r>
        <w:rPr>
          <w:rFonts w:ascii="Times New Roman" w:hAnsi="Times New Roman"/>
          <w:sz w:val="28"/>
          <w:szCs w:val="28"/>
        </w:rPr>
        <w:t xml:space="preserve">році </w:t>
      </w:r>
      <w:r>
        <w:rPr>
          <w:rFonts w:ascii="Times New Roman" w:hAnsi="Times New Roman"/>
          <w:sz w:val="28"/>
          <w:szCs w:val="28"/>
        </w:rPr>
        <w:t xml:space="preserve">8,6 </w:t>
      </w:r>
      <w:r>
        <w:rPr>
          <w:rFonts w:ascii="Times New Roman" w:hAnsi="Times New Roman"/>
          <w:sz w:val="28"/>
          <w:szCs w:val="28"/>
        </w:rPr>
        <w:t>млн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дол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США із Китаю та </w:t>
      </w:r>
      <w:r>
        <w:rPr>
          <w:rFonts w:ascii="Times New Roman" w:hAnsi="Times New Roman"/>
          <w:sz w:val="28"/>
          <w:szCs w:val="28"/>
        </w:rPr>
        <w:t xml:space="preserve">12 </w:t>
      </w:r>
      <w:r>
        <w:rPr>
          <w:rFonts w:ascii="Times New Roman" w:hAnsi="Times New Roman"/>
          <w:sz w:val="28"/>
          <w:szCs w:val="28"/>
        </w:rPr>
        <w:t>млн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дол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США зі Сполуче</w:t>
      </w:r>
      <w:r>
        <w:rPr>
          <w:rFonts w:ascii="Times New Roman" w:hAnsi="Times New Roman"/>
          <w:sz w:val="28"/>
          <w:szCs w:val="28"/>
        </w:rPr>
        <w:t>них Штатів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У сфері будівництва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Китайські інвестори зробили внесок у розмірі </w:t>
      </w:r>
      <w:r>
        <w:rPr>
          <w:rFonts w:ascii="Times New Roman" w:hAnsi="Times New Roman"/>
          <w:sz w:val="28"/>
          <w:szCs w:val="28"/>
        </w:rPr>
        <w:t xml:space="preserve">1,6 </w:t>
      </w:r>
      <w:r>
        <w:rPr>
          <w:rFonts w:ascii="Times New Roman" w:hAnsi="Times New Roman"/>
          <w:sz w:val="28"/>
          <w:szCs w:val="28"/>
        </w:rPr>
        <w:t>млн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дол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США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у той час як США </w:t>
      </w:r>
      <w:r>
        <w:rPr>
          <w:rFonts w:ascii="Times New Roman" w:hAnsi="Times New Roman"/>
          <w:sz w:val="28"/>
          <w:szCs w:val="28"/>
        </w:rPr>
        <w:t xml:space="preserve">- 15,1 </w:t>
      </w:r>
      <w:r>
        <w:rPr>
          <w:rFonts w:ascii="Times New Roman" w:hAnsi="Times New Roman"/>
          <w:sz w:val="28"/>
          <w:szCs w:val="28"/>
        </w:rPr>
        <w:t>млн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дол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У сфері логістики інвестиційні потоки невеликі </w:t>
      </w:r>
      <w:r>
        <w:rPr>
          <w:rFonts w:ascii="Times New Roman" w:hAnsi="Times New Roman"/>
          <w:sz w:val="28"/>
          <w:szCs w:val="28"/>
        </w:rPr>
        <w:t xml:space="preserve">- 1,7 </w:t>
      </w:r>
      <w:r>
        <w:rPr>
          <w:rFonts w:ascii="Times New Roman" w:hAnsi="Times New Roman"/>
          <w:sz w:val="28"/>
          <w:szCs w:val="28"/>
        </w:rPr>
        <w:t xml:space="preserve">та </w:t>
      </w:r>
      <w:r>
        <w:rPr>
          <w:rFonts w:ascii="Times New Roman" w:hAnsi="Times New Roman"/>
          <w:sz w:val="28"/>
          <w:szCs w:val="28"/>
        </w:rPr>
        <w:t xml:space="preserve">2,2 </w:t>
      </w:r>
      <w:r>
        <w:rPr>
          <w:rFonts w:ascii="Times New Roman" w:hAnsi="Times New Roman"/>
          <w:sz w:val="28"/>
          <w:szCs w:val="28"/>
        </w:rPr>
        <w:t xml:space="preserve">відповідно </w:t>
      </w:r>
      <w:r>
        <w:rPr>
          <w:rFonts w:ascii="Times New Roman" w:hAnsi="Times New Roman"/>
          <w:sz w:val="28"/>
          <w:szCs w:val="28"/>
        </w:rPr>
        <w:t>[23].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сьогоднішній день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дуже гостро постає пи</w:t>
      </w:r>
      <w:r>
        <w:rPr>
          <w:rFonts w:ascii="Times New Roman" w:hAnsi="Times New Roman"/>
          <w:sz w:val="28"/>
          <w:szCs w:val="28"/>
        </w:rPr>
        <w:t>тання торгівельного конфлікту США та Китаю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адже у більшості своїй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Україна своєю політикою та економічною стабільністю прив’язана до цих двох країн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Більш того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на даному етапі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на протилежній стороні конфлікту знаходиться не тільки Китай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але й його тепе</w:t>
      </w:r>
      <w:r>
        <w:rPr>
          <w:rFonts w:ascii="Times New Roman" w:hAnsi="Times New Roman"/>
          <w:sz w:val="28"/>
          <w:szCs w:val="28"/>
        </w:rPr>
        <w:t>рішній союзник Росія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Поглиблення співвідносин між Китаєм та Росією проти США та України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яка знаходиться на позиції підтримки США та її політики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застосованої проти КНР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може призвести до погіршення експортних </w:t>
      </w:r>
      <w:r>
        <w:rPr>
          <w:rFonts w:ascii="Times New Roman" w:hAnsi="Times New Roman"/>
          <w:sz w:val="28"/>
          <w:szCs w:val="28"/>
        </w:rPr>
        <w:lastRenderedPageBreak/>
        <w:t>та імпортних умов для України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адже Китай виступає основним в найбільшим торгівельним партнером та споживачем української продукції </w:t>
      </w:r>
      <w:r>
        <w:rPr>
          <w:rFonts w:ascii="Times New Roman" w:hAnsi="Times New Roman"/>
          <w:sz w:val="28"/>
          <w:szCs w:val="28"/>
        </w:rPr>
        <w:t>[25].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Більш того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чимало політологів вважають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подальше співробітництво  Росії та Китаю може підштовхнути Китай до визнання Криму російським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також м</w:t>
      </w:r>
      <w:r>
        <w:rPr>
          <w:rFonts w:ascii="Times New Roman" w:hAnsi="Times New Roman"/>
          <w:sz w:val="28"/>
          <w:szCs w:val="28"/>
        </w:rPr>
        <w:t>оже стати камнем спотикання у відносинах Україна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Китай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США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Наразі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дуже сильно прослідковується проникнення китайських компаній у українське виробництво у сферах енергетики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сільського господарства та промисловості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Для України є дуже вигідним співробітн</w:t>
      </w:r>
      <w:r>
        <w:rPr>
          <w:rFonts w:ascii="Times New Roman" w:hAnsi="Times New Roman"/>
          <w:sz w:val="28"/>
          <w:szCs w:val="28"/>
        </w:rPr>
        <w:t>ицтво із Китаєм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адже вона як ніколи потребує додаткового фінансування транспортної інфрастуктури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Україна вже протягом довгого часу проводить перемови з КНР на тему розвитку торгівельних шляхів КНР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Україна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Завдяки дуже вдалому географічному положенню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аме українська логістична інфраструктура може стати для Китаю прямим шляхом до Європи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Надії України на фінансування зі сторони Китаю також обумовлено можливістю відновлення пошкодженого та зруйнованого раніше Донбасу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Китай також займає дуже вагому позиц</w:t>
      </w:r>
      <w:r>
        <w:rPr>
          <w:rFonts w:ascii="Times New Roman" w:hAnsi="Times New Roman"/>
          <w:sz w:val="28"/>
          <w:szCs w:val="28"/>
        </w:rPr>
        <w:t>ію у аграрному секторі України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Створення спільних підприємств із Китаєм та виробництво нової продукції відкриває нові можливості для обох країн на європейських ринках сбуту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А враховуючи перспективу введення дуже важливого та вагомого для України законопр</w:t>
      </w:r>
      <w:r>
        <w:rPr>
          <w:rFonts w:ascii="Times New Roman" w:hAnsi="Times New Roman"/>
          <w:sz w:val="28"/>
          <w:szCs w:val="28"/>
        </w:rPr>
        <w:t>оекту про відміну мораторіїв на землю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відкривається можливість переведення китайських підприємств на території України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Хоча цей законопроект є дуже спірним і має ряд своїх недоліків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він може відкрити нові шляхи для України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Але камнем зіткнення для под</w:t>
      </w:r>
      <w:r>
        <w:rPr>
          <w:rFonts w:ascii="Times New Roman" w:hAnsi="Times New Roman"/>
          <w:sz w:val="28"/>
          <w:szCs w:val="28"/>
        </w:rPr>
        <w:t>альших відносин України та КНР на сьогоднішній день є нещодавній конфлікт на основі арешту однієї з китайських компаній працюючих на території України «Мотор Січ»</w:t>
      </w:r>
      <w:r>
        <w:rPr>
          <w:rFonts w:ascii="Times New Roman" w:hAnsi="Times New Roman"/>
          <w:sz w:val="28"/>
          <w:szCs w:val="28"/>
        </w:rPr>
        <w:t xml:space="preserve">. 11 </w:t>
      </w:r>
      <w:r>
        <w:rPr>
          <w:rFonts w:ascii="Times New Roman" w:hAnsi="Times New Roman"/>
          <w:sz w:val="28"/>
          <w:szCs w:val="28"/>
        </w:rPr>
        <w:t xml:space="preserve">березня </w:t>
      </w:r>
      <w:r>
        <w:rPr>
          <w:rFonts w:ascii="Times New Roman" w:hAnsi="Times New Roman"/>
          <w:sz w:val="28"/>
          <w:szCs w:val="28"/>
        </w:rPr>
        <w:t xml:space="preserve">2021 </w:t>
      </w:r>
      <w:r>
        <w:rPr>
          <w:rFonts w:ascii="Times New Roman" w:hAnsi="Times New Roman"/>
          <w:sz w:val="28"/>
          <w:szCs w:val="28"/>
        </w:rPr>
        <w:t xml:space="preserve">року на засідання Наради національної безпеки та оборони України у главі із </w:t>
      </w:r>
      <w:r>
        <w:rPr>
          <w:rFonts w:ascii="Times New Roman" w:hAnsi="Times New Roman"/>
          <w:sz w:val="28"/>
          <w:szCs w:val="28"/>
        </w:rPr>
        <w:t>нинішнім президентом Володимиром Зеленським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було прийнято рішення і </w:t>
      </w:r>
      <w:r>
        <w:rPr>
          <w:rFonts w:ascii="Times New Roman" w:hAnsi="Times New Roman"/>
          <w:sz w:val="28"/>
          <w:szCs w:val="28"/>
        </w:rPr>
        <w:lastRenderedPageBreak/>
        <w:t>затверджене на законодавчому рівні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що виробництво «Мотор Січ» перейде у володіння до українського народу </w:t>
      </w:r>
      <w:r>
        <w:rPr>
          <w:rFonts w:ascii="Times New Roman" w:hAnsi="Times New Roman"/>
          <w:sz w:val="28"/>
          <w:szCs w:val="28"/>
        </w:rPr>
        <w:t xml:space="preserve">[25].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 раніше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Києвом було прийнято рішення до з приводу санкцій по відношенню </w:t>
      </w:r>
      <w:r>
        <w:rPr>
          <w:rFonts w:ascii="Times New Roman" w:hAnsi="Times New Roman"/>
          <w:sz w:val="28"/>
          <w:szCs w:val="28"/>
        </w:rPr>
        <w:t>до китайських інвесторів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Причиною введення такого роду обмежень стало виправдання української ради про те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«на даному етапі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Україна не може залишитися без можливості оборони»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На той час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під санкції потрапили такі вагомі інвестори як </w:t>
      </w:r>
      <w:r>
        <w:rPr>
          <w:rFonts w:ascii="Times New Roman" w:hAnsi="Times New Roman"/>
          <w:sz w:val="28"/>
          <w:szCs w:val="28"/>
        </w:rPr>
        <w:t>Skyrizon Aircraf</w:t>
      </w:r>
      <w:r>
        <w:rPr>
          <w:rFonts w:ascii="Times New Roman" w:hAnsi="Times New Roman"/>
          <w:sz w:val="28"/>
          <w:szCs w:val="28"/>
        </w:rPr>
        <w:t xml:space="preserve">t, Hong Kong Skyrizon, Beijing Skyrizon Aviation Industry Investment </w:t>
      </w:r>
      <w:r>
        <w:rPr>
          <w:rFonts w:ascii="Times New Roman" w:hAnsi="Times New Roman"/>
          <w:sz w:val="28"/>
          <w:szCs w:val="28"/>
        </w:rPr>
        <w:t xml:space="preserve">та </w:t>
      </w:r>
      <w:r>
        <w:rPr>
          <w:rFonts w:ascii="Times New Roman" w:hAnsi="Times New Roman"/>
          <w:sz w:val="28"/>
          <w:szCs w:val="28"/>
          <w:lang w:val="en-US"/>
        </w:rPr>
        <w:t>Beijing</w:t>
      </w:r>
      <w:r w:rsidRPr="00876CC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Xinwei</w:t>
      </w:r>
      <w:r w:rsidRPr="00876CC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Technology</w:t>
      </w:r>
      <w:r w:rsidRPr="00876CC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Group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За думкою Китаю такого роду поведінка абсолютно не має місця у міжнародних відносинах та співробітництві </w:t>
      </w:r>
      <w:r>
        <w:rPr>
          <w:rFonts w:ascii="Times New Roman" w:hAnsi="Times New Roman"/>
          <w:sz w:val="28"/>
          <w:szCs w:val="28"/>
        </w:rPr>
        <w:t xml:space="preserve">[26].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даному етапі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Україна встає на </w:t>
      </w:r>
      <w:r>
        <w:rPr>
          <w:rFonts w:ascii="Times New Roman" w:hAnsi="Times New Roman"/>
          <w:sz w:val="28"/>
          <w:szCs w:val="28"/>
        </w:rPr>
        <w:t>сторону США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намагаючись налагодити відносини із західними партнерами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абсолютно не враховуючи втрати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які можуть бути під час конфліктів з Китаєм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Не дивлячись на дуже напружену ситуацію у конфліктах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торгівельні відносини України з США та Китаєм </w:t>
      </w:r>
      <w:r>
        <w:rPr>
          <w:rFonts w:ascii="Times New Roman" w:hAnsi="Times New Roman"/>
          <w:sz w:val="28"/>
          <w:szCs w:val="28"/>
        </w:rPr>
        <w:t>продовжують стрімко розвиватися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Обидві країни є вагомими інвесторами на національному ринку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Двосторонні відносини у рамках торгівлі та виробництва не зменшують обертів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Україна все ще займає позицію друже привабливої країни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Також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важливо зауважити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на даному етапі розвитку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 Україні немає проблем із дискримінацією у сферах інвестування або торгівлі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Але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одна із проблем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на якій дуже акцентується увага зі сторони США </w:t>
      </w: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</w:rPr>
        <w:t>це права інтелектуальної власності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Н асьогоднішній день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Україна входить до с</w:t>
      </w:r>
      <w:r>
        <w:rPr>
          <w:rFonts w:ascii="Times New Roman" w:hAnsi="Times New Roman"/>
          <w:sz w:val="28"/>
          <w:szCs w:val="28"/>
        </w:rPr>
        <w:t xml:space="preserve">писку так званих “країн нагляду </w:t>
      </w:r>
      <w:r>
        <w:rPr>
          <w:rFonts w:ascii="Times New Roman" w:hAnsi="Times New Roman"/>
          <w:sz w:val="28"/>
          <w:szCs w:val="28"/>
        </w:rPr>
        <w:t>301</w:t>
      </w:r>
      <w:r>
        <w:rPr>
          <w:rFonts w:ascii="Times New Roman" w:hAnsi="Times New Roman"/>
          <w:sz w:val="28"/>
          <w:szCs w:val="28"/>
        </w:rPr>
        <w:t>”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Даний список складається з метою визначення найбільших порушників прав інтелектуальної власності та прийняти відповідні заходи у вигляді санкцій та обмежень зі сторони США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 даною проблемою також пов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язаний конфлікт С</w:t>
      </w:r>
      <w:r>
        <w:rPr>
          <w:rFonts w:ascii="Times New Roman" w:hAnsi="Times New Roman"/>
          <w:sz w:val="28"/>
          <w:szCs w:val="28"/>
        </w:rPr>
        <w:t>ША та Китаю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 було зазначено раніше</w:t>
      </w:r>
      <w:r>
        <w:rPr>
          <w:rFonts w:ascii="Times New Roman" w:hAnsi="Times New Roman"/>
          <w:sz w:val="28"/>
          <w:szCs w:val="28"/>
        </w:rPr>
        <w:t xml:space="preserve"> [28].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сьогодні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Україна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США та Китай знаходяться на етапі стратегічного партнерства та активно розвивають двосторонні відносини у торгівлі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інвестиційній діяльності та у політичній взаємодії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Незважаючи на деякі </w:t>
      </w:r>
      <w:r>
        <w:rPr>
          <w:rFonts w:ascii="Times New Roman" w:hAnsi="Times New Roman"/>
          <w:sz w:val="28"/>
          <w:szCs w:val="28"/>
        </w:rPr>
        <w:lastRenderedPageBreak/>
        <w:t>ко</w:t>
      </w:r>
      <w:r>
        <w:rPr>
          <w:rFonts w:ascii="Times New Roman" w:hAnsi="Times New Roman"/>
          <w:sz w:val="28"/>
          <w:szCs w:val="28"/>
        </w:rPr>
        <w:t>нфліктні ситуації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наразі Китай та США є одними за найбільших партнерів України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876CC4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ВИСНОВКИ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 виконаної роботи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зробленого аналізу та кропіткої роботи з використаними джерелами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ми можемо зробити висновок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Китай та США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навіть займаючи </w:t>
      </w:r>
      <w:r>
        <w:rPr>
          <w:rFonts w:ascii="Times New Roman" w:hAnsi="Times New Roman"/>
          <w:sz w:val="28"/>
          <w:szCs w:val="28"/>
        </w:rPr>
        <w:t>позиції світових гігантів так само як і інші країни мають ряд недоліків та неопрацьованих проблем у політичній та економічній структурах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даному етапі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виступаючи у ролі впливових гравців на світових ринках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країни відрізняються стійким та стабільним е</w:t>
      </w:r>
      <w:r>
        <w:rPr>
          <w:rFonts w:ascii="Times New Roman" w:hAnsi="Times New Roman"/>
          <w:sz w:val="28"/>
          <w:szCs w:val="28"/>
        </w:rPr>
        <w:t>кономічним зростанням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Ці дві країни можна назвати сучасними державами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Високий розвиток технологій та інноваційної діяльності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стрімке зростання економік робить США та КНР провідними країнами світу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Не дивлячись на конфліктні цінності та інтереси США та </w:t>
      </w:r>
      <w:r>
        <w:rPr>
          <w:rFonts w:ascii="Times New Roman" w:hAnsi="Times New Roman"/>
          <w:sz w:val="28"/>
          <w:szCs w:val="28"/>
        </w:rPr>
        <w:t>Китаю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також посилення конкуренції між ними наразі впливає на всі країни світу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Торгівельний конфлікт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який зараз триває між ними вже має свої наслідки для країн напряму пов’язаних з цими гігантами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Але конфліктність та конкурентність не є пріорітетними </w:t>
      </w:r>
      <w:r>
        <w:rPr>
          <w:rFonts w:ascii="Times New Roman" w:hAnsi="Times New Roman"/>
          <w:sz w:val="28"/>
          <w:szCs w:val="28"/>
        </w:rPr>
        <w:t>задачами держав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саме тому у деякому роді </w:t>
      </w:r>
      <w:r>
        <w:rPr>
          <w:rFonts w:ascii="Times New Roman" w:hAnsi="Times New Roman"/>
          <w:sz w:val="28"/>
          <w:szCs w:val="28"/>
        </w:rPr>
        <w:lastRenderedPageBreak/>
        <w:t>суперечку було вирішено шляхом укладення Торгівельної та економічної угоди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яка передбачає вирішення собою проблемних питань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Одним із елементів розширення зовнішньоекономічної діяльності вважається розвиток транс</w:t>
      </w:r>
      <w:r>
        <w:rPr>
          <w:rFonts w:ascii="Times New Roman" w:hAnsi="Times New Roman"/>
          <w:sz w:val="28"/>
          <w:szCs w:val="28"/>
        </w:rPr>
        <w:t>національних корпорацій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Лібералізація торгівлі розширює область діяльності різного роду ТНК та підвищує конкурентність даного сектору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Чимала кількість відомих ТНК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які контролюють більшість ринків у світі зосереджені у США та Китаї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Кажучи про досвід Укр</w:t>
      </w:r>
      <w:r>
        <w:rPr>
          <w:rFonts w:ascii="Times New Roman" w:hAnsi="Times New Roman"/>
          <w:sz w:val="28"/>
          <w:szCs w:val="28"/>
        </w:rPr>
        <w:t>аїни у даній сфері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ми можемо зауважити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інвестиційний клімат та політична стабільність у країні відіграє дуже важливу роль і вагомо впливає на об’єми інвестицій у цілому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Також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спостерігається ряд недоліків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перешкоджають вірному функціонуванню віл</w:t>
      </w:r>
      <w:r>
        <w:rPr>
          <w:rFonts w:ascii="Times New Roman" w:hAnsi="Times New Roman"/>
          <w:sz w:val="28"/>
          <w:szCs w:val="28"/>
        </w:rPr>
        <w:t>ьних економічних зон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прикладі США та Китаю можна проаналізувати як ті чи інші фактори впливають на довгостроковий та сталий розвиток економіки у різних умовах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Згідно з побудованими регресійними моделями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ми можемо зробити такі висновки</w:t>
      </w:r>
      <w:r>
        <w:rPr>
          <w:rFonts w:ascii="Times New Roman" w:hAnsi="Times New Roman"/>
          <w:sz w:val="28"/>
          <w:szCs w:val="28"/>
        </w:rPr>
        <w:t xml:space="preserve">: </w:t>
      </w:r>
    </w:p>
    <w:p w:rsidR="005639DF" w:rsidRDefault="00876CC4">
      <w:pPr>
        <w:pStyle w:val="Body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Найбільша вз</w:t>
      </w:r>
      <w:r>
        <w:rPr>
          <w:rFonts w:ascii="Times New Roman" w:hAnsi="Times New Roman"/>
          <w:sz w:val="28"/>
          <w:szCs w:val="28"/>
        </w:rPr>
        <w:t>аємозалежність ВВП Китаю спостерігається з двосторонніми потоками прямих іноземних інвестицій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тобто зі зростанням об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</w:rPr>
        <w:t>ємів прямих іноземних інвестицій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незважаючи на на напрямок їх руху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 наслідок спостерігається зростання ВВП</w:t>
      </w:r>
      <w:r>
        <w:rPr>
          <w:rFonts w:ascii="Times New Roman" w:hAnsi="Times New Roman"/>
          <w:sz w:val="28"/>
          <w:szCs w:val="28"/>
        </w:rPr>
        <w:t>;</w:t>
      </w:r>
    </w:p>
    <w:p w:rsidR="005639DF" w:rsidRDefault="00876CC4">
      <w:pPr>
        <w:pStyle w:val="Body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Торговельний баланс корелю</w:t>
      </w:r>
      <w:r>
        <w:rPr>
          <w:rFonts w:ascii="Times New Roman" w:hAnsi="Times New Roman"/>
          <w:sz w:val="28"/>
          <w:szCs w:val="28"/>
        </w:rPr>
        <w:t>ється з потоками прямих іноземних інвестицій з Китаю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тобто чим більшим є потоки прямих іноземних інвестицій з Китаю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тим більше ймовірність того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ВВП теж буде зростати</w:t>
      </w:r>
      <w:r>
        <w:rPr>
          <w:rFonts w:ascii="Times New Roman" w:hAnsi="Times New Roman"/>
          <w:sz w:val="28"/>
          <w:szCs w:val="28"/>
        </w:rPr>
        <w:t>;</w:t>
      </w:r>
    </w:p>
    <w:p w:rsidR="005639DF" w:rsidRDefault="00876CC4">
      <w:pPr>
        <w:pStyle w:val="Body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Найбільша кореляція ВВП та торговельного балансу США спостерігається по відношенню </w:t>
      </w:r>
      <w:r>
        <w:rPr>
          <w:rFonts w:ascii="Times New Roman" w:hAnsi="Times New Roman"/>
          <w:sz w:val="28"/>
          <w:szCs w:val="28"/>
        </w:rPr>
        <w:t>до валової вартості акцій національних компаній на фінансових ринках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означає подальше зростання цін на акції національних компаній при зростанні обсягів ВВП та торговельних балансів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876CC4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Отже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ми можемо зробити висновок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залежність економічної стабільн</w:t>
      </w:r>
      <w:r>
        <w:rPr>
          <w:rFonts w:ascii="Times New Roman" w:hAnsi="Times New Roman"/>
          <w:sz w:val="28"/>
          <w:szCs w:val="28"/>
        </w:rPr>
        <w:t xml:space="preserve">ості та сталого розвитку від міжнародної економічної діяльності є </w:t>
      </w:r>
      <w:r>
        <w:rPr>
          <w:rFonts w:ascii="Times New Roman" w:hAnsi="Times New Roman"/>
          <w:sz w:val="28"/>
          <w:szCs w:val="28"/>
        </w:rPr>
        <w:lastRenderedPageBreak/>
        <w:t>вагомою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Саме тому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на сьогоденному етапі розвитку української економіки та політичного укладу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дуже важливо буде приймати до уваги покращення умов залучення прямих іноземних інвестицій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Для</w:t>
      </w:r>
      <w:r>
        <w:rPr>
          <w:rFonts w:ascii="Times New Roman" w:hAnsi="Times New Roman"/>
          <w:sz w:val="28"/>
          <w:szCs w:val="28"/>
        </w:rPr>
        <w:t xml:space="preserve"> досягнення даної мети повинні бути застосовані заходи націлені на вдосконалення законодавчої складової інвестиційної діяльності та загальне поліпшення інвестиційного клімату у країні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876CC4">
      <w:pPr>
        <w:pStyle w:val="Body"/>
        <w:spacing w:line="360" w:lineRule="auto"/>
        <w:ind w:firstLine="8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СПИСОК ВИКОРИСТАНИХ ДЖЕРЕЛ </w:t>
      </w:r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Duties and Disputes Sorted by </w:t>
      </w:r>
      <w:r>
        <w:rPr>
          <w:rFonts w:ascii="Times New Roman" w:hAnsi="Times New Roman"/>
          <w:sz w:val="28"/>
          <w:szCs w:val="28"/>
          <w:lang w:val="en-US"/>
        </w:rPr>
        <w:t>Respondent. Disputes against  China (2021, April) - Office of United States Representative. Executive Office of the President.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12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https://ustr.gov/issue-areas/enforcement/dispute-settlement-proceedings/wto-dispute-settlement/disputes-sorted-respo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Statistical Data of US and China Trade in GGods and Services with the Subsidies. - THE PREMIER </w:t>
      </w:r>
      <w:r>
        <w:rPr>
          <w:rFonts w:ascii="Times New Roman" w:hAnsi="Times New Roman"/>
          <w:sz w:val="28"/>
          <w:szCs w:val="28"/>
          <w:lang w:val="en-US"/>
        </w:rPr>
        <w:t>SOURCE OF FREE U.S. TRADE &amp; TARIFF DATA.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13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https://dataweb.usitc.gov/trade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The Return of the Policy That Shall Not Be Named: Principles of Industrial Policy (2019, March).</w:t>
      </w:r>
      <w:r>
        <w:rPr>
          <w:rFonts w:ascii="Times New Roman" w:hAnsi="Times New Roman"/>
          <w:sz w:val="28"/>
          <w:szCs w:val="28"/>
          <w:lang w:val="en-US"/>
        </w:rPr>
        <w:t xml:space="preserve"> - International Monetary Fund. 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14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https://www.imf.org/en/Publi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cations/WP/Issues/2019/03/26/The-Return-of-the-Policy-That-Shall-Not-Be-Named-Principles-of-Industrial-Policy-46710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US Versus China: A New Era of Great Power Competition, but Without Boundaries (2020, June). - The New York Times.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15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https://www.nytimes.com/2019/06/26/world/asia/united-states-china-conflict.html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Gross Domestic Product, 4th Quarter and Year 2020 (Advance Esti</w:t>
      </w:r>
      <w:r>
        <w:rPr>
          <w:rFonts w:ascii="Times New Roman" w:hAnsi="Times New Roman"/>
          <w:sz w:val="28"/>
          <w:szCs w:val="28"/>
          <w:lang w:val="en-US"/>
        </w:rPr>
        <w:t>mate). - Bureau of Economic Analysis.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16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https://www.bea.gov/news/2021/gross-domestic-product-4th-quarter-and-ye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ar-2020-advance-estimate</w:t>
        </w:r>
      </w:hyperlink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it-IT"/>
        </w:rPr>
      </w:pPr>
      <w:r>
        <w:rPr>
          <w:rFonts w:ascii="Times New Roman" w:hAnsi="Times New Roman"/>
          <w:sz w:val="28"/>
          <w:szCs w:val="28"/>
          <w:lang w:val="it-IT"/>
        </w:rPr>
        <w:t>Top 10 Chinese multinationals in 2019. - China Daily.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17" w:history="1">
        <w:r>
          <w:rPr>
            <w:rStyle w:val="Hyperlink0"/>
            <w:rFonts w:ascii="Times New Roman" w:hAnsi="Times New Roman"/>
            <w:sz w:val="28"/>
            <w:szCs w:val="28"/>
          </w:rPr>
          <w:t>https://www.chinadaily.com.cn/a/201910/15/WS5da4f941a310cf3e35570719_11.html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China Inc. goes global. Transnational and national networks of China</w:t>
      </w:r>
      <w:r>
        <w:rPr>
          <w:rFonts w:ascii="Times New Roman" w:hAnsi="Times New Roman"/>
          <w:sz w:val="28"/>
          <w:szCs w:val="28"/>
          <w:rtl/>
        </w:rPr>
        <w:t>’</w:t>
      </w:r>
      <w:r>
        <w:rPr>
          <w:rFonts w:ascii="Times New Roman" w:hAnsi="Times New Roman"/>
          <w:sz w:val="28"/>
          <w:szCs w:val="28"/>
          <w:lang w:val="en-US"/>
        </w:rPr>
        <w:t>s globalizing business elite. - REVIEW OF INTERNATIONAL POLITICAL ECONOMY 2020. 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</w:t>
      </w:r>
      <w:r>
        <w:rPr>
          <w:rFonts w:ascii="Times New Roman" w:hAnsi="Times New Roman"/>
          <w:sz w:val="28"/>
          <w:szCs w:val="28"/>
        </w:rPr>
        <w:t>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18" w:history="1">
        <w:r>
          <w:rPr>
            <w:rStyle w:val="Hyperlink0"/>
            <w:rFonts w:ascii="Times New Roman" w:hAnsi="Times New Roman"/>
            <w:sz w:val="28"/>
            <w:szCs w:val="28"/>
            <w:lang w:val="pt-PT"/>
          </w:rPr>
          <w:t>https://www.tandfonline.com/doi/pdf/10.1080/09692290.2019.1675741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The Rise of Chinese Transnational Corporations. Anna Zorska. - Economic Studies NR 4. [</w:t>
      </w:r>
      <w:r>
        <w:rPr>
          <w:rFonts w:ascii="Times New Roman" w:hAnsi="Times New Roman"/>
          <w:sz w:val="28"/>
          <w:szCs w:val="28"/>
          <w:lang w:val="ru-RU"/>
        </w:rPr>
        <w:t>Електро</w:t>
      </w:r>
      <w:r>
        <w:rPr>
          <w:rFonts w:ascii="Times New Roman" w:hAnsi="Times New Roman"/>
          <w:sz w:val="28"/>
          <w:szCs w:val="28"/>
          <w:lang w:val="ru-RU"/>
        </w:rPr>
        <w:t>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19" w:history="1">
        <w:r>
          <w:rPr>
            <w:rStyle w:val="Hyperlink0"/>
            <w:rFonts w:ascii="Times New Roman" w:hAnsi="Times New Roman"/>
            <w:sz w:val="28"/>
            <w:szCs w:val="28"/>
          </w:rPr>
          <w:t>https://www.inepan.pl/pliki/studia_ekonomiczne/Studia%202010%204%2002A.Zorska.pdf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США приходиться </w:t>
      </w:r>
      <w:r>
        <w:rPr>
          <w:rFonts w:ascii="Times New Roman" w:hAnsi="Times New Roman"/>
          <w:sz w:val="28"/>
          <w:szCs w:val="28"/>
        </w:rPr>
        <w:t xml:space="preserve">56% </w:t>
      </w:r>
      <w:r>
        <w:rPr>
          <w:rFonts w:ascii="Times New Roman" w:hAnsi="Times New Roman"/>
          <w:sz w:val="28"/>
          <w:szCs w:val="28"/>
        </w:rPr>
        <w:t xml:space="preserve">валової вартості усього фондового ринку </w:t>
      </w:r>
      <w:r>
        <w:rPr>
          <w:rFonts w:ascii="Times New Roman" w:hAnsi="Times New Roman"/>
          <w:sz w:val="28"/>
          <w:szCs w:val="28"/>
        </w:rPr>
        <w:t xml:space="preserve">(2021, </w:t>
      </w:r>
      <w:r>
        <w:rPr>
          <w:rFonts w:ascii="Times New Roman" w:hAnsi="Times New Roman"/>
          <w:sz w:val="28"/>
          <w:szCs w:val="28"/>
        </w:rPr>
        <w:t>Квітень</w:t>
      </w:r>
      <w:r>
        <w:rPr>
          <w:rFonts w:ascii="Times New Roman" w:hAnsi="Times New Roman"/>
          <w:sz w:val="28"/>
          <w:szCs w:val="28"/>
        </w:rPr>
        <w:t xml:space="preserve">). - </w:t>
      </w:r>
      <w:r>
        <w:rPr>
          <w:rFonts w:ascii="Times New Roman" w:hAnsi="Times New Roman"/>
          <w:sz w:val="28"/>
          <w:szCs w:val="28"/>
        </w:rPr>
        <w:t>Фінам</w:t>
      </w:r>
      <w:r>
        <w:rPr>
          <w:rFonts w:ascii="Times New Roman" w:hAnsi="Times New Roman"/>
          <w:sz w:val="28"/>
          <w:szCs w:val="28"/>
          <w:lang w:val="pt-PT"/>
        </w:rPr>
        <w:t>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20" w:history="1">
        <w:r>
          <w:rPr>
            <w:rStyle w:val="Hyperlink0"/>
            <w:rFonts w:ascii="Times New Roman" w:hAnsi="Times New Roman"/>
            <w:sz w:val="28"/>
            <w:szCs w:val="28"/>
          </w:rPr>
          <w:t>https://www.finam.</w:t>
        </w:r>
        <w:r>
          <w:rPr>
            <w:rStyle w:val="Hyperlink0"/>
            <w:rFonts w:ascii="Times New Roman" w:hAnsi="Times New Roman"/>
            <w:sz w:val="28"/>
            <w:szCs w:val="28"/>
          </w:rPr>
          <w:t>ru/analysis/newsitem/na-ssha-prixoditsya-56-obsheiy-stoimosti-mirovogo-fondovogo-rynka-20210418-11000/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Transnational Corporations. Investment and Development. - United Nations Conference on Trade and Development UNCTAD. [</w:t>
      </w:r>
      <w:r>
        <w:rPr>
          <w:rFonts w:ascii="Times New Roman" w:hAnsi="Times New Roman"/>
          <w:sz w:val="28"/>
          <w:szCs w:val="28"/>
          <w:lang w:val="ru-RU"/>
        </w:rPr>
        <w:t xml:space="preserve">Електронний </w:t>
      </w:r>
      <w:r>
        <w:rPr>
          <w:rFonts w:ascii="Times New Roman" w:hAnsi="Times New Roman"/>
          <w:sz w:val="28"/>
          <w:szCs w:val="28"/>
          <w:lang w:val="ru-RU"/>
        </w:rPr>
        <w:lastRenderedPageBreak/>
        <w:t>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</w:t>
      </w:r>
      <w:r>
        <w:rPr>
          <w:rFonts w:ascii="Times New Roman" w:hAnsi="Times New Roman"/>
          <w:sz w:val="28"/>
          <w:szCs w:val="28"/>
        </w:rPr>
        <w:t>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21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https://unctad.org/system/files/official-document/diaeia2020d1_en.pdf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World Investment Report 2020. International Production Beyond the Pandemic. - United Nation</w:t>
      </w:r>
      <w:r>
        <w:rPr>
          <w:rFonts w:ascii="Times New Roman" w:hAnsi="Times New Roman"/>
          <w:sz w:val="28"/>
          <w:szCs w:val="28"/>
          <w:lang w:val="en-US"/>
        </w:rPr>
        <w:t>s Conference on Trade and Development UNCTAD.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22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https://unctad.org/system/files/official-document/wir2020_en.pdf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Global 500 Chart of the </w:t>
      </w:r>
      <w:r>
        <w:rPr>
          <w:rFonts w:ascii="Times New Roman" w:hAnsi="Times New Roman"/>
          <w:sz w:val="28"/>
          <w:szCs w:val="28"/>
          <w:lang w:val="en-US"/>
        </w:rPr>
        <w:t>Biggest TNCs in the world (2020, December). - Fortune.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23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https://fortune.com/global500/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China is coming to a global investment recovery: How far will it go?. Report  (2021,</w:t>
      </w:r>
      <w:r>
        <w:rPr>
          <w:rFonts w:ascii="Times New Roman" w:hAnsi="Times New Roman"/>
          <w:sz w:val="28"/>
          <w:szCs w:val="28"/>
          <w:lang w:val="en-US"/>
        </w:rPr>
        <w:t xml:space="preserve"> January). -  American Enterprise Institute.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24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https://www.aei.org/research-products/report/chinas-coming-global-investment-recovery-how-far-will-it-go/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Annual Reports of Chinese Economy. - National Bureau of Statistics of China.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25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http://www.stats.gov.cn/english/Statisticaldata/AnnualData/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Statistical Data for China and USA. International Investment Position Indicator. - International Monetary Fund.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26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https://data.imf.org/?sk=7A51304B-6426-40C0-83DD-CA473CA1FD52&amp;sId=1542633711584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Statistical Data for US and China. GDP. - WorldBank.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</w:rPr>
        <w:t>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27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https://data.worldbank.org/products/#ids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Statistical Data for China, Balance of Payments. - State Administration of Foreign Exchange.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28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http://www.safe.gov.cn/en/China/index.html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Statistical Data, Reports and Charts of US and CHina Macroeconomic Indicators. - OECD.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29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https://data.oecd.org/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lastRenderedPageBreak/>
        <w:t>CRS Annual Report (2021, February). - Library of Congress.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30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https://www.loc.gov/crsinfo/about/</w:t>
        </w:r>
      </w:hyperlink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Політика та історія дипломатичних відносин США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Україна</w:t>
      </w:r>
      <w:r>
        <w:rPr>
          <w:rFonts w:ascii="Times New Roman" w:hAnsi="Times New Roman"/>
          <w:sz w:val="28"/>
          <w:szCs w:val="28"/>
        </w:rPr>
        <w:t xml:space="preserve">. - </w:t>
      </w:r>
      <w:r>
        <w:rPr>
          <w:rFonts w:ascii="Times New Roman" w:hAnsi="Times New Roman"/>
          <w:sz w:val="28"/>
          <w:szCs w:val="28"/>
        </w:rPr>
        <w:t>Посольство США в Україні</w:t>
      </w:r>
      <w:r>
        <w:rPr>
          <w:rFonts w:ascii="Times New Roman" w:hAnsi="Times New Roman"/>
          <w:sz w:val="28"/>
          <w:szCs w:val="28"/>
          <w:lang w:val="pt-PT"/>
        </w:rPr>
        <w:t>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31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https://ua.usembassy.gov/uk/our-relationship-uk/policy-history-uk/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Як Байден змінить відносини С</w:t>
      </w:r>
      <w:r>
        <w:rPr>
          <w:rFonts w:ascii="Times New Roman" w:hAnsi="Times New Roman"/>
          <w:sz w:val="28"/>
          <w:szCs w:val="28"/>
        </w:rPr>
        <w:t>ША з Україною та іншими державами</w:t>
      </w:r>
      <w:r>
        <w:rPr>
          <w:rFonts w:ascii="Times New Roman" w:hAnsi="Times New Roman"/>
          <w:sz w:val="28"/>
          <w:szCs w:val="28"/>
        </w:rPr>
        <w:t xml:space="preserve">. (2020, </w:t>
      </w:r>
      <w:r>
        <w:rPr>
          <w:rFonts w:ascii="Times New Roman" w:hAnsi="Times New Roman"/>
          <w:sz w:val="28"/>
          <w:szCs w:val="28"/>
        </w:rPr>
        <w:t>Листопад</w:t>
      </w:r>
      <w:r>
        <w:rPr>
          <w:rFonts w:ascii="Times New Roman" w:hAnsi="Times New Roman"/>
          <w:sz w:val="28"/>
          <w:szCs w:val="28"/>
          <w:lang w:val="en-US"/>
        </w:rPr>
        <w:t>) - BBC New Ukraine.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32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https://www.bbc.com/ukrainian/features-54868246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Зовнішній борг України на кінець </w:t>
      </w:r>
      <w:r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 xml:space="preserve">020 </w:t>
      </w:r>
      <w:r>
        <w:rPr>
          <w:rFonts w:ascii="Times New Roman" w:hAnsi="Times New Roman"/>
          <w:sz w:val="28"/>
          <w:szCs w:val="28"/>
          <w:lang w:val="ru-RU"/>
        </w:rPr>
        <w:t>року</w:t>
      </w:r>
      <w:r>
        <w:rPr>
          <w:rFonts w:ascii="Times New Roman" w:hAnsi="Times New Roman"/>
          <w:sz w:val="28"/>
          <w:szCs w:val="28"/>
        </w:rPr>
        <w:t xml:space="preserve">. - </w:t>
      </w:r>
      <w:r>
        <w:rPr>
          <w:rFonts w:ascii="Times New Roman" w:hAnsi="Times New Roman"/>
          <w:sz w:val="28"/>
          <w:szCs w:val="28"/>
        </w:rPr>
        <w:t>Національний банк України</w:t>
      </w:r>
      <w:r>
        <w:rPr>
          <w:rFonts w:ascii="Times New Roman" w:hAnsi="Times New Roman"/>
          <w:sz w:val="28"/>
          <w:szCs w:val="28"/>
          <w:lang w:val="pt-PT"/>
        </w:rPr>
        <w:t>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- </w:t>
      </w:r>
      <w:r>
        <w:rPr>
          <w:rFonts w:ascii="Times New Roman" w:hAnsi="Times New Roman"/>
          <w:sz w:val="28"/>
          <w:szCs w:val="28"/>
        </w:rPr>
        <w:t>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33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https://bank.gov.ua/files/ES/ExDebt_y.pdf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Національний Банк України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Статистичні дані та звіти</w:t>
      </w:r>
      <w:r>
        <w:rPr>
          <w:rFonts w:ascii="Times New Roman" w:hAnsi="Times New Roman"/>
          <w:sz w:val="28"/>
          <w:szCs w:val="28"/>
          <w:lang w:val="pt-PT"/>
        </w:rPr>
        <w:t>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]: </w:t>
      </w:r>
      <w:r>
        <w:rPr>
          <w:rFonts w:ascii="Times New Roman" w:hAnsi="Times New Roman"/>
          <w:sz w:val="28"/>
          <w:szCs w:val="28"/>
        </w:rPr>
        <w:t>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34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https://bank.gov.ua</w:t>
        </w:r>
      </w:hyperlink>
      <w:r>
        <w:rPr>
          <w:rFonts w:ascii="Times New Roman" w:hAnsi="Times New Roman"/>
          <w:sz w:val="28"/>
          <w:szCs w:val="28"/>
        </w:rPr>
        <w:t xml:space="preserve">/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Закон України «Про загальні засади створення і функціонування спеціальних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вільних</w:t>
      </w:r>
      <w:r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 xml:space="preserve">економічних зон» від </w:t>
      </w:r>
      <w:r>
        <w:rPr>
          <w:rFonts w:ascii="Times New Roman" w:hAnsi="Times New Roman"/>
          <w:sz w:val="28"/>
          <w:szCs w:val="28"/>
        </w:rPr>
        <w:t>13.10</w:t>
      </w:r>
      <w:r>
        <w:rPr>
          <w:rFonts w:ascii="Times New Roman" w:hAnsi="Times New Roman"/>
          <w:sz w:val="28"/>
          <w:szCs w:val="28"/>
          <w:lang w:val="ru-RU"/>
        </w:rPr>
        <w:t>ю</w:t>
      </w:r>
      <w:r>
        <w:rPr>
          <w:rFonts w:ascii="Times New Roman" w:hAnsi="Times New Roman"/>
          <w:sz w:val="28"/>
          <w:szCs w:val="28"/>
        </w:rPr>
        <w:t xml:space="preserve">1992 </w:t>
      </w:r>
      <w:r>
        <w:rPr>
          <w:rFonts w:ascii="Times New Roman" w:hAnsi="Times New Roman"/>
          <w:sz w:val="28"/>
          <w:szCs w:val="28"/>
        </w:rPr>
        <w:t xml:space="preserve">року № </w:t>
      </w:r>
      <w:r>
        <w:rPr>
          <w:rFonts w:ascii="Times New Roman" w:hAnsi="Times New Roman"/>
          <w:sz w:val="28"/>
          <w:szCs w:val="28"/>
        </w:rPr>
        <w:t>2673-</w:t>
      </w:r>
      <w:r>
        <w:rPr>
          <w:rFonts w:ascii="Times New Roman" w:hAnsi="Times New Roman"/>
          <w:sz w:val="28"/>
          <w:szCs w:val="28"/>
        </w:rPr>
        <w:t>ХІІ</w:t>
      </w:r>
      <w:r>
        <w:rPr>
          <w:rFonts w:ascii="Times New Roman" w:hAnsi="Times New Roman"/>
          <w:sz w:val="28"/>
          <w:szCs w:val="28"/>
          <w:lang w:val="pt-PT"/>
        </w:rPr>
        <w:t>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- </w:t>
      </w:r>
      <w:r>
        <w:rPr>
          <w:rFonts w:ascii="Times New Roman" w:hAnsi="Times New Roman"/>
          <w:sz w:val="28"/>
          <w:szCs w:val="28"/>
        </w:rPr>
        <w:t>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35" w:history="1">
        <w:r>
          <w:rPr>
            <w:rStyle w:val="Hyperlink0"/>
            <w:rFonts w:ascii="Times New Roman" w:hAnsi="Times New Roman"/>
            <w:sz w:val="28"/>
            <w:szCs w:val="28"/>
          </w:rPr>
          <w:t>https://zakon.rada.gov.ua/laws/show/2673-12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Конфлікт з Пекіном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провокації конфлікта з “Мотор Січ” зі сторони Києва</w:t>
      </w:r>
      <w:r>
        <w:rPr>
          <w:rFonts w:ascii="Times New Roman" w:hAnsi="Times New Roman"/>
          <w:sz w:val="28"/>
          <w:szCs w:val="28"/>
        </w:rPr>
        <w:t xml:space="preserve">. (2021, </w:t>
      </w:r>
      <w:r>
        <w:rPr>
          <w:rFonts w:ascii="Times New Roman" w:hAnsi="Times New Roman"/>
          <w:sz w:val="28"/>
          <w:szCs w:val="28"/>
          <w:lang w:val="ru-RU"/>
        </w:rPr>
        <w:t>Травень</w:t>
      </w:r>
      <w:r>
        <w:rPr>
          <w:rFonts w:ascii="Times New Roman" w:hAnsi="Times New Roman"/>
          <w:sz w:val="28"/>
          <w:szCs w:val="28"/>
          <w:lang w:val="de-DE"/>
        </w:rPr>
        <w:t xml:space="preserve">) - RT, </w:t>
      </w:r>
      <w:r>
        <w:rPr>
          <w:rFonts w:ascii="Times New Roman" w:hAnsi="Times New Roman"/>
          <w:sz w:val="28"/>
          <w:szCs w:val="28"/>
          <w:lang w:val="ru-RU"/>
        </w:rPr>
        <w:t>Алексей Заквасин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Елизавета Комарова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ru-RU"/>
        </w:rPr>
        <w:t>Елена Онищук</w:t>
      </w:r>
      <w:r>
        <w:rPr>
          <w:rFonts w:ascii="Times New Roman" w:hAnsi="Times New Roman"/>
          <w:sz w:val="28"/>
          <w:szCs w:val="28"/>
          <w:lang w:val="pt-PT"/>
        </w:rPr>
        <w:t>. [</w:t>
      </w:r>
      <w:r>
        <w:rPr>
          <w:rFonts w:ascii="Times New Roman" w:hAnsi="Times New Roman"/>
          <w:sz w:val="28"/>
          <w:szCs w:val="28"/>
          <w:lang w:val="ru-RU"/>
        </w:rPr>
        <w:t xml:space="preserve">Електронний </w:t>
      </w:r>
      <w:r>
        <w:rPr>
          <w:rFonts w:ascii="Times New Roman" w:hAnsi="Times New Roman"/>
          <w:sz w:val="28"/>
          <w:szCs w:val="28"/>
          <w:lang w:val="ru-RU"/>
        </w:rPr>
        <w:t>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36" w:history="1">
        <w:r>
          <w:rPr>
            <w:rStyle w:val="Hyperlink0"/>
            <w:rFonts w:ascii="Times New Roman" w:hAnsi="Times New Roman"/>
            <w:sz w:val="28"/>
            <w:szCs w:val="28"/>
          </w:rPr>
          <w:t>https://www.google.com.ua/amp/s/russian.rt.com/ussr/article/844347-motor-sich-sbu-arest-kitai/amp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China Overtakes US</w:t>
      </w:r>
      <w:r>
        <w:rPr>
          <w:rFonts w:ascii="Times New Roman" w:hAnsi="Times New Roman"/>
          <w:sz w:val="28"/>
          <w:szCs w:val="28"/>
          <w:lang w:val="en-US"/>
        </w:rPr>
        <w:t xml:space="preserve"> as World</w:t>
      </w:r>
      <w:r>
        <w:rPr>
          <w:rFonts w:ascii="Times New Roman" w:hAnsi="Times New Roman"/>
          <w:sz w:val="28"/>
          <w:szCs w:val="28"/>
          <w:rtl/>
        </w:rPr>
        <w:t>’</w:t>
      </w:r>
      <w:r>
        <w:rPr>
          <w:rFonts w:ascii="Times New Roman" w:hAnsi="Times New Roman"/>
          <w:sz w:val="28"/>
          <w:szCs w:val="28"/>
          <w:lang w:val="en-US"/>
        </w:rPr>
        <w:t>s Leading Destination for Foreign Direct Investment (2021, January) - The Wall Street Journal.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37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https://www.wsj.com/articles/china-overtakes-u-s-as-worlds-leading-destination-for-foreign-direct-investment-11611511200</w:t>
        </w:r>
      </w:hyperlink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Santander, Trade Markets (2021, June) - China: Foreign Investment.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38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https://santandertrade.com/en/portal/establish-overseas/china/foreign-investment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lastRenderedPageBreak/>
        <w:t xml:space="preserve"> USTR releases Annual Special 301 Report on Intellectual Property Protection (2021,</w:t>
      </w:r>
      <w:r>
        <w:rPr>
          <w:rFonts w:ascii="Times New Roman" w:hAnsi="Times New Roman"/>
          <w:sz w:val="28"/>
          <w:szCs w:val="28"/>
          <w:lang w:val="en-US"/>
        </w:rPr>
        <w:t xml:space="preserve"> April) - Office of United States Representative. Executive Office of the President.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39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https://ustr.gov/about-us/policy-offices/press-office/press-releases/2021/april/ustr-releases-annual-special-301-report-intellectual-property-protection#:~:text=Nine%20countries%20%E2%80%94%20Argentina%2C%20Chile%2C,engagement%20during%20the%20coming%20y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ear</w:t>
        </w:r>
      </w:hyperlink>
      <w:r>
        <w:rPr>
          <w:rFonts w:ascii="Times New Roman" w:hAnsi="Times New Roman"/>
          <w:sz w:val="28"/>
          <w:szCs w:val="28"/>
        </w:rPr>
        <w:t>.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Сфера компетенції Українсько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американської спільної комісії сприяння розвитку торгівлі та інвестиціям </w:t>
      </w:r>
      <w:r>
        <w:rPr>
          <w:rFonts w:ascii="Times New Roman" w:hAnsi="Times New Roman"/>
          <w:sz w:val="28"/>
          <w:szCs w:val="28"/>
          <w:lang w:val="pt-PT"/>
        </w:rPr>
        <w:t>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  <w:lang w:val="ru-RU"/>
        </w:rPr>
        <w:t xml:space="preserve">– Режим доступу 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40" w:history="1">
        <w:r>
          <w:rPr>
            <w:rStyle w:val="Hyperlink0"/>
            <w:rFonts w:ascii="Times New Roman" w:hAnsi="Times New Roman"/>
            <w:sz w:val="28"/>
            <w:szCs w:val="28"/>
            <w:lang w:val="de-DE"/>
          </w:rPr>
          <w:t>http://zakon.nau.ua/</w:t>
        </w:r>
      </w:hyperlink>
      <w:r>
        <w:rPr>
          <w:rFonts w:ascii="Times New Roman" w:hAnsi="Times New Roman"/>
          <w:sz w:val="28"/>
          <w:szCs w:val="28"/>
          <w:lang w:val="zh-TW" w:eastAsia="zh-TW"/>
        </w:rPr>
        <w:t xml:space="preserve"> doc/?uid=1079.361.0.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Хартія Україна – США про стр</w:t>
      </w:r>
      <w:r>
        <w:rPr>
          <w:rFonts w:ascii="Times New Roman" w:hAnsi="Times New Roman"/>
          <w:sz w:val="28"/>
          <w:szCs w:val="28"/>
        </w:rPr>
        <w:t xml:space="preserve">атегічне партнерство </w:t>
      </w:r>
      <w:r>
        <w:rPr>
          <w:rFonts w:ascii="Times New Roman" w:hAnsi="Times New Roman"/>
          <w:sz w:val="28"/>
          <w:szCs w:val="28"/>
          <w:lang w:val="pt-PT"/>
        </w:rPr>
        <w:t>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  <w:lang w:val="ru-RU"/>
        </w:rPr>
        <w:t xml:space="preserve">– Режим доступу 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41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http://zakon4.rada.gov.ua/laws/show/840_140</w:t>
        </w:r>
      </w:hyperlink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Угода про торговельні відносини між Україною і Сполученими Штатами Америки </w:t>
      </w:r>
      <w:r>
        <w:rPr>
          <w:rFonts w:ascii="Times New Roman" w:hAnsi="Times New Roman"/>
          <w:sz w:val="28"/>
          <w:szCs w:val="28"/>
          <w:lang w:val="pt-PT"/>
        </w:rPr>
        <w:t>[</w:t>
      </w:r>
      <w:r>
        <w:rPr>
          <w:rFonts w:ascii="Times New Roman" w:hAnsi="Times New Roman"/>
          <w:sz w:val="28"/>
          <w:szCs w:val="28"/>
          <w:lang w:val="ru-RU"/>
        </w:rPr>
        <w:t>Електронний ресу</w:t>
      </w:r>
      <w:r>
        <w:rPr>
          <w:rFonts w:ascii="Times New Roman" w:hAnsi="Times New Roman"/>
          <w:sz w:val="28"/>
          <w:szCs w:val="28"/>
          <w:lang w:val="ru-RU"/>
        </w:rPr>
        <w:t>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  <w:lang w:val="ru-RU"/>
        </w:rPr>
        <w:t xml:space="preserve">– Режим доступу 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42" w:history="1">
        <w:r>
          <w:rPr>
            <w:rStyle w:val="Hyperlink0"/>
            <w:rFonts w:ascii="Times New Roman" w:hAnsi="Times New Roman"/>
            <w:sz w:val="28"/>
            <w:szCs w:val="28"/>
            <w:lang w:val="de-DE"/>
          </w:rPr>
          <w:t>http://zakon.nau.ua/doc/</w:t>
        </w:r>
      </w:hyperlink>
      <w:r>
        <w:rPr>
          <w:rFonts w:ascii="Times New Roman" w:hAnsi="Times New Roman"/>
          <w:sz w:val="28"/>
          <w:szCs w:val="28"/>
        </w:rPr>
        <w:t xml:space="preserve"> ?uid=1079.2704.0.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Doing business 2020. Comparing business regulations in 190 economies. - World Bank Group. </w:t>
      </w:r>
      <w:r>
        <w:rPr>
          <w:rFonts w:ascii="Times New Roman" w:hAnsi="Times New Roman"/>
          <w:sz w:val="28"/>
          <w:szCs w:val="28"/>
          <w:lang w:val="pt-PT"/>
        </w:rPr>
        <w:t>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  <w:lang w:val="ru-RU"/>
        </w:rPr>
        <w:t xml:space="preserve">– Режим доступу </w:t>
      </w:r>
      <w:r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hyperlink r:id="rId43" w:history="1"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https://documents1.worldbank.org/curated/en/688761571934946384/pdf/Doing-Business-2020-Comparing-Business-Regulation-i</w:t>
        </w:r>
        <w:r>
          <w:rPr>
            <w:rStyle w:val="Hyperlink0"/>
            <w:rFonts w:ascii="Times New Roman" w:hAnsi="Times New Roman"/>
            <w:sz w:val="28"/>
            <w:szCs w:val="28"/>
            <w:lang w:val="en-US"/>
          </w:rPr>
          <w:t>n-190-Economies.pdf</w:t>
        </w:r>
      </w:hyperlink>
      <w:r>
        <w:rPr>
          <w:rFonts w:ascii="Times New Roman" w:hAnsi="Times New Roman"/>
          <w:sz w:val="28"/>
          <w:szCs w:val="28"/>
          <w:lang w:val="en-US"/>
        </w:rPr>
        <w:t xml:space="preserve">.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Statistical Data. Balance of Payments. - Federal Reserve System of USA.  </w:t>
      </w:r>
      <w:r>
        <w:rPr>
          <w:rFonts w:ascii="Times New Roman" w:hAnsi="Times New Roman"/>
          <w:sz w:val="28"/>
          <w:szCs w:val="28"/>
          <w:lang w:val="pt-PT"/>
        </w:rPr>
        <w:t>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  <w:lang w:val="ru-RU"/>
        </w:rPr>
        <w:t xml:space="preserve">– Режим доступу </w:t>
      </w:r>
      <w:r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hyperlink r:id="rId44" w:history="1">
        <w:r>
          <w:rPr>
            <w:rStyle w:val="Hyperlink0"/>
            <w:rFonts w:ascii="Times New Roman" w:hAnsi="Times New Roman"/>
            <w:sz w:val="28"/>
            <w:szCs w:val="28"/>
          </w:rPr>
          <w:t>https://www.federalreserve.gov/</w:t>
        </w:r>
      </w:hyperlink>
      <w:r>
        <w:rPr>
          <w:rFonts w:ascii="Times New Roman" w:hAnsi="Times New Roman"/>
          <w:sz w:val="28"/>
          <w:szCs w:val="28"/>
          <w:lang w:val="en-US"/>
        </w:rPr>
        <w:t xml:space="preserve">. 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ar-SA"/>
        </w:rPr>
      </w:pPr>
      <w:r>
        <w:rPr>
          <w:rFonts w:ascii="Times New Roman" w:hAnsi="Times New Roman"/>
          <w:sz w:val="28"/>
          <w:szCs w:val="28"/>
          <w:rtl/>
          <w:lang w:val="ar-SA"/>
        </w:rPr>
        <w:t>“</w:t>
      </w:r>
      <w:r>
        <w:rPr>
          <w:rFonts w:ascii="Times New Roman" w:hAnsi="Times New Roman"/>
          <w:sz w:val="28"/>
          <w:szCs w:val="28"/>
          <w:lang w:val="en-US"/>
        </w:rPr>
        <w:t>Trade and trade diversion effects of</w:t>
      </w:r>
      <w:r>
        <w:rPr>
          <w:rFonts w:ascii="Times New Roman" w:hAnsi="Times New Roman"/>
          <w:sz w:val="28"/>
          <w:szCs w:val="28"/>
          <w:lang w:val="en-US"/>
        </w:rPr>
        <w:t xml:space="preserve"> United States tariffs on China</w:t>
      </w:r>
      <w:r>
        <w:rPr>
          <w:rFonts w:ascii="Times New Roman" w:hAnsi="Times New Roman"/>
          <w:sz w:val="28"/>
          <w:szCs w:val="28"/>
        </w:rPr>
        <w:t xml:space="preserve">” </w:t>
      </w:r>
      <w:r>
        <w:rPr>
          <w:rFonts w:ascii="Times New Roman" w:hAnsi="Times New Roman"/>
          <w:sz w:val="28"/>
          <w:szCs w:val="28"/>
        </w:rPr>
        <w:t xml:space="preserve">Alessandro Nicita, November 2019. </w:t>
      </w:r>
      <w:r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>UNCTAD Research Paper No. 37.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45" w:history="1">
        <w:r>
          <w:rPr>
            <w:rStyle w:val="Hyperlink1"/>
            <w:rFonts w:ascii="Times New Roman" w:hAnsi="Times New Roman"/>
            <w:sz w:val="28"/>
            <w:szCs w:val="28"/>
            <w:lang w:val="en-US"/>
          </w:rPr>
          <w:t>https://unctad.org/system/files/official-document/ser-rp-2019d9_en.pdf</w:t>
        </w:r>
      </w:hyperlink>
      <w:r>
        <w:rPr>
          <w:rFonts w:ascii="Times New Roman" w:hAnsi="Times New Roman"/>
          <w:sz w:val="28"/>
          <w:szCs w:val="28"/>
        </w:rPr>
        <w:t>.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Statistical Data of China and Annual/Quarterly Reports. </w:t>
      </w:r>
      <w:r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>Bank of China.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46" w:history="1">
        <w:r>
          <w:rPr>
            <w:rStyle w:val="Hyperlink1"/>
            <w:rFonts w:ascii="Times New Roman" w:hAnsi="Times New Roman"/>
            <w:sz w:val="28"/>
            <w:szCs w:val="28"/>
          </w:rPr>
          <w:t>https://www.boc.cn/en/</w:t>
        </w:r>
      </w:hyperlink>
      <w:r>
        <w:rPr>
          <w:rFonts w:ascii="Times New Roman" w:hAnsi="Times New Roman"/>
          <w:sz w:val="28"/>
          <w:szCs w:val="28"/>
        </w:rPr>
        <w:t>.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ar-SA"/>
        </w:rPr>
      </w:pPr>
      <w:r>
        <w:rPr>
          <w:rFonts w:ascii="Times New Roman" w:hAnsi="Times New Roman"/>
          <w:sz w:val="28"/>
          <w:szCs w:val="28"/>
          <w:rtl/>
          <w:lang w:val="ar-SA"/>
        </w:rPr>
        <w:lastRenderedPageBreak/>
        <w:t>“</w:t>
      </w:r>
      <w:r>
        <w:rPr>
          <w:rFonts w:ascii="Times New Roman" w:hAnsi="Times New Roman"/>
          <w:sz w:val="28"/>
          <w:szCs w:val="28"/>
          <w:lang w:val="en-US"/>
        </w:rPr>
        <w:t>The Ch</w:t>
      </w:r>
      <w:r>
        <w:rPr>
          <w:rFonts w:ascii="Times New Roman" w:hAnsi="Times New Roman"/>
          <w:sz w:val="28"/>
          <w:szCs w:val="28"/>
          <w:lang w:val="en-US"/>
        </w:rPr>
        <w:t>anging Fundamentals of US-China Relations</w:t>
      </w:r>
      <w:r>
        <w:rPr>
          <w:rFonts w:ascii="Times New Roman" w:hAnsi="Times New Roman"/>
          <w:sz w:val="28"/>
          <w:szCs w:val="28"/>
        </w:rPr>
        <w:t>”</w:t>
      </w:r>
      <w:r>
        <w:rPr>
          <w:rFonts w:ascii="Times New Roman" w:hAnsi="Times New Roman"/>
          <w:sz w:val="28"/>
          <w:szCs w:val="28"/>
          <w:lang w:val="nl-NL"/>
        </w:rPr>
        <w:t xml:space="preserve">, Evan S. Medeiros, November 2019. - </w:t>
      </w: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en-US"/>
        </w:rPr>
        <w:t>The Washington Quarterly.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47" w:history="1">
        <w:r>
          <w:rPr>
            <w:rStyle w:val="Hyperlink1"/>
            <w:rFonts w:ascii="Times New Roman" w:hAnsi="Times New Roman"/>
            <w:sz w:val="28"/>
            <w:szCs w:val="28"/>
            <w:lang w:val="en-US"/>
          </w:rPr>
          <w:t>https://www.tand</w:t>
        </w:r>
        <w:r>
          <w:rPr>
            <w:rStyle w:val="Hyperlink1"/>
            <w:rFonts w:ascii="Times New Roman" w:hAnsi="Times New Roman"/>
            <w:sz w:val="28"/>
            <w:szCs w:val="28"/>
            <w:lang w:val="en-US"/>
          </w:rPr>
          <w:t>fonline.com/doi/pdf/10.1080/0163660X.2019.1666355?needAccess=true.</w:t>
        </w:r>
      </w:hyperlink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ar-SA"/>
        </w:rPr>
      </w:pPr>
      <w:r>
        <w:rPr>
          <w:rFonts w:ascii="Times New Roman" w:hAnsi="Times New Roman"/>
          <w:sz w:val="28"/>
          <w:szCs w:val="28"/>
          <w:rtl/>
          <w:lang w:val="ar-SA"/>
        </w:rPr>
        <w:t>“</w:t>
      </w:r>
      <w:r>
        <w:rPr>
          <w:rFonts w:ascii="Times New Roman" w:hAnsi="Times New Roman"/>
          <w:sz w:val="28"/>
          <w:szCs w:val="28"/>
          <w:lang w:val="en-US"/>
        </w:rPr>
        <w:t>US-China Relations: Nationalism, the Trade War, and COVID-19</w:t>
      </w:r>
      <w:r>
        <w:rPr>
          <w:rFonts w:ascii="Times New Roman" w:hAnsi="Times New Roman"/>
          <w:sz w:val="28"/>
          <w:szCs w:val="28"/>
        </w:rPr>
        <w:t>”</w:t>
      </w:r>
      <w:r>
        <w:rPr>
          <w:rFonts w:ascii="Times New Roman" w:hAnsi="Times New Roman"/>
          <w:sz w:val="28"/>
          <w:szCs w:val="28"/>
          <w:lang w:val="en-US"/>
        </w:rPr>
        <w:t xml:space="preserve">, Brandon M.Boyland, Jerry McBeath, Bo Wang, July 2020. </w:t>
      </w:r>
      <w:r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>Fudan Journal of the Humanities and Social Sciences. [</w:t>
      </w:r>
      <w:r>
        <w:rPr>
          <w:rFonts w:ascii="Times New Roman" w:hAnsi="Times New Roman"/>
          <w:sz w:val="28"/>
          <w:szCs w:val="28"/>
          <w:lang w:val="ru-RU"/>
        </w:rPr>
        <w:t xml:space="preserve">Електронний </w:t>
      </w:r>
      <w:r>
        <w:rPr>
          <w:rFonts w:ascii="Times New Roman" w:hAnsi="Times New Roman"/>
          <w:sz w:val="28"/>
          <w:szCs w:val="28"/>
          <w:lang w:val="ru-RU"/>
        </w:rPr>
        <w:t>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48" w:history="1">
        <w:r>
          <w:rPr>
            <w:rStyle w:val="Hyperlink1"/>
            <w:rFonts w:ascii="Times New Roman" w:hAnsi="Times New Roman"/>
            <w:sz w:val="28"/>
            <w:szCs w:val="28"/>
          </w:rPr>
          <w:t>https://link.springer.com/content/pdf/10.1007/s40647-020-00302-6.pdf</w:t>
        </w:r>
      </w:hyperlink>
      <w:r>
        <w:rPr>
          <w:rFonts w:ascii="Times New Roman" w:hAnsi="Times New Roman"/>
          <w:sz w:val="28"/>
          <w:szCs w:val="28"/>
        </w:rPr>
        <w:t>.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Gross Domestic Product Statistics China and US. </w:t>
      </w:r>
      <w:r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>International Monetary Fun</w:t>
      </w:r>
      <w:r>
        <w:rPr>
          <w:rFonts w:ascii="Times New Roman" w:hAnsi="Times New Roman"/>
          <w:sz w:val="28"/>
          <w:szCs w:val="28"/>
          <w:lang w:val="en-US"/>
        </w:rPr>
        <w:t>d.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49" w:history="1">
        <w:r>
          <w:rPr>
            <w:rStyle w:val="Hyperlink1"/>
            <w:rFonts w:ascii="Times New Roman" w:hAnsi="Times New Roman"/>
            <w:sz w:val="28"/>
            <w:szCs w:val="28"/>
          </w:rPr>
          <w:t>https://www.imf.org/external/datamapper/datasets/WEO/1</w:t>
        </w:r>
      </w:hyperlink>
      <w:r>
        <w:rPr>
          <w:rFonts w:ascii="Times New Roman" w:hAnsi="Times New Roman"/>
          <w:sz w:val="28"/>
          <w:szCs w:val="28"/>
        </w:rPr>
        <w:t>.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Gillian Tett, </w:t>
      </w:r>
      <w:r>
        <w:rPr>
          <w:rFonts w:ascii="Times New Roman" w:hAnsi="Times New Roman"/>
          <w:sz w:val="28"/>
          <w:szCs w:val="28"/>
          <w:rtl/>
          <w:lang w:val="ar-SA"/>
        </w:rPr>
        <w:t>“</w:t>
      </w:r>
      <w:r>
        <w:rPr>
          <w:rFonts w:ascii="Times New Roman" w:hAnsi="Times New Roman"/>
          <w:sz w:val="28"/>
          <w:szCs w:val="28"/>
          <w:lang w:val="en-US"/>
        </w:rPr>
        <w:t>China Grapples with its BRI Lending Binge,</w:t>
      </w:r>
      <w:r>
        <w:rPr>
          <w:rFonts w:ascii="Times New Roman" w:hAnsi="Times New Roman"/>
          <w:sz w:val="28"/>
          <w:szCs w:val="28"/>
        </w:rPr>
        <w:t xml:space="preserve">” </w:t>
      </w:r>
      <w:r>
        <w:rPr>
          <w:rFonts w:ascii="Times New Roman" w:hAnsi="Times New Roman"/>
          <w:sz w:val="28"/>
          <w:szCs w:val="28"/>
          <w:lang w:val="en-US"/>
        </w:rPr>
        <w:t>Financial Times, May 2019. [</w:t>
      </w:r>
      <w:r>
        <w:rPr>
          <w:rFonts w:ascii="Times New Roman" w:hAnsi="Times New Roman"/>
          <w:sz w:val="28"/>
          <w:szCs w:val="28"/>
          <w:lang w:val="ru-RU"/>
        </w:rPr>
        <w:t>Е</w:t>
      </w:r>
      <w:r>
        <w:rPr>
          <w:rFonts w:ascii="Times New Roman" w:hAnsi="Times New Roman"/>
          <w:sz w:val="28"/>
          <w:szCs w:val="28"/>
          <w:lang w:val="ru-RU"/>
        </w:rPr>
        <w:t>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50" w:history="1">
        <w:r>
          <w:rPr>
            <w:rStyle w:val="Hyperlink1"/>
            <w:rFonts w:ascii="Times New Roman" w:hAnsi="Times New Roman"/>
            <w:sz w:val="28"/>
            <w:szCs w:val="28"/>
          </w:rPr>
          <w:t>https://www.ft.com/content/c976cde2-6cd0-11e9-80c7-60ee53e6681d</w:t>
        </w:r>
      </w:hyperlink>
      <w:r>
        <w:rPr>
          <w:rFonts w:ascii="Times New Roman" w:hAnsi="Times New Roman"/>
          <w:sz w:val="28"/>
          <w:szCs w:val="28"/>
        </w:rPr>
        <w:t>.</w:t>
      </w:r>
    </w:p>
    <w:p w:rsidR="005639DF" w:rsidRDefault="00876CC4">
      <w:pPr>
        <w:pStyle w:val="Body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Donald J. Trump, </w:t>
      </w:r>
      <w:r>
        <w:rPr>
          <w:rFonts w:ascii="Times New Roman" w:hAnsi="Times New Roman"/>
          <w:sz w:val="28"/>
          <w:szCs w:val="28"/>
          <w:rtl/>
          <w:lang w:val="ar-SA"/>
        </w:rPr>
        <w:t>“</w:t>
      </w:r>
      <w:r>
        <w:rPr>
          <w:rFonts w:ascii="Times New Roman" w:hAnsi="Times New Roman"/>
          <w:sz w:val="28"/>
          <w:szCs w:val="28"/>
          <w:lang w:val="en-US"/>
        </w:rPr>
        <w:t>Remarks by President Trump in Press Conference,</w:t>
      </w:r>
      <w:r>
        <w:rPr>
          <w:rFonts w:ascii="Times New Roman" w:hAnsi="Times New Roman"/>
          <w:sz w:val="28"/>
          <w:szCs w:val="28"/>
        </w:rPr>
        <w:t xml:space="preserve">” </w:t>
      </w:r>
      <w:r>
        <w:rPr>
          <w:rFonts w:ascii="Times New Roman" w:hAnsi="Times New Roman"/>
          <w:sz w:val="28"/>
          <w:szCs w:val="28"/>
          <w:lang w:val="en-US"/>
        </w:rPr>
        <w:t xml:space="preserve">- </w:t>
      </w:r>
      <w:r>
        <w:rPr>
          <w:rFonts w:ascii="Times New Roman" w:hAnsi="Times New Roman"/>
          <w:sz w:val="28"/>
          <w:szCs w:val="28"/>
          <w:lang w:val="en-US"/>
        </w:rPr>
        <w:t>Imperial Hotel Osaka, Japan, June 2019, The White House.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>
        <w:rPr>
          <w:rFonts w:ascii="Times New Roman" w:hAnsi="Times New Roman"/>
          <w:sz w:val="28"/>
          <w:szCs w:val="28"/>
          <w:lang w:val="pt-PT"/>
        </w:rPr>
        <w:t xml:space="preserve">]. </w:t>
      </w:r>
      <w:r>
        <w:rPr>
          <w:rFonts w:ascii="Times New Roman" w:hAnsi="Times New Roman"/>
          <w:sz w:val="28"/>
          <w:szCs w:val="28"/>
        </w:rPr>
        <w:t>– Режим доступу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51" w:history="1">
        <w:r>
          <w:rPr>
            <w:rStyle w:val="Hyperlink1"/>
            <w:rFonts w:ascii="Times New Roman" w:hAnsi="Times New Roman"/>
            <w:sz w:val="28"/>
            <w:szCs w:val="28"/>
            <w:lang w:val="en-US"/>
          </w:rPr>
          <w:t>https://www.whitehouse.gov/briefingsstatements/</w:t>
        </w:r>
        <w:r>
          <w:rPr>
            <w:rStyle w:val="Hyperlink1"/>
            <w:rFonts w:ascii="Times New Roman" w:hAnsi="Times New Roman"/>
            <w:sz w:val="28"/>
            <w:szCs w:val="28"/>
            <w:lang w:val="en-US"/>
          </w:rPr>
          <w:t>remarks-president-trump-press-conference-osaka-japan/.</w:t>
        </w:r>
      </w:hyperlink>
    </w:p>
    <w:p w:rsidR="005639DF" w:rsidRDefault="005639DF">
      <w:pPr>
        <w:pStyle w:val="Body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876CC4">
      <w:pPr>
        <w:pStyle w:val="Body"/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ДОДАТОК А </w:t>
      </w:r>
    </w:p>
    <w:p w:rsidR="005639DF" w:rsidRDefault="00876CC4">
      <w:pPr>
        <w:pStyle w:val="Body"/>
        <w:spacing w:line="360" w:lineRule="auto"/>
        <w:jc w:val="right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t xml:space="preserve">Таблиця </w:t>
      </w:r>
      <w:r>
        <w:rPr>
          <w:rFonts w:ascii="Times New Roman" w:hAnsi="Times New Roman"/>
          <w:i/>
          <w:iCs/>
          <w:sz w:val="28"/>
          <w:szCs w:val="28"/>
        </w:rPr>
        <w:t>1</w:t>
      </w:r>
    </w:p>
    <w:p w:rsidR="005639DF" w:rsidRDefault="00876CC4">
      <w:pPr>
        <w:pStyle w:val="Body"/>
        <w:spacing w:line="36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t>Регресійна модель Китаю</w:t>
      </w:r>
      <w:r>
        <w:rPr>
          <w:rFonts w:ascii="Times New Roman" w:hAnsi="Times New Roman"/>
          <w:i/>
          <w:iCs/>
          <w:sz w:val="28"/>
          <w:szCs w:val="28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</w:rPr>
        <w:t>Відношення ВВП до ряду макроекономічних факторів</w:t>
      </w:r>
    </w:p>
    <w:tbl>
      <w:tblPr>
        <w:tblStyle w:val="TableNormal"/>
        <w:tblW w:w="9637" w:type="dxa"/>
        <w:tblInd w:w="108" w:type="dxa"/>
        <w:tblBorders>
          <w:top w:val="single" w:sz="8" w:space="0" w:color="AAAAAA"/>
          <w:left w:val="single" w:sz="8" w:space="0" w:color="AAAAAA"/>
          <w:bottom w:val="single" w:sz="8" w:space="0" w:color="AAAAAA"/>
          <w:right w:val="single" w:sz="8" w:space="0" w:color="AAAAAA"/>
          <w:insideH w:val="single" w:sz="8" w:space="0" w:color="AAAAAA"/>
          <w:insideV w:val="single" w:sz="8" w:space="0" w:color="AAAAAA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376"/>
        <w:gridCol w:w="1377"/>
        <w:gridCol w:w="1376"/>
        <w:gridCol w:w="1377"/>
        <w:gridCol w:w="1378"/>
        <w:gridCol w:w="1376"/>
        <w:gridCol w:w="1377"/>
      </w:tblGrid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6884" w:type="dxa"/>
            <w:gridSpan w:val="5"/>
            <w:tcBorders>
              <w:top w:val="single" w:sz="8" w:space="0" w:color="000000"/>
              <w:left w:val="single" w:sz="8" w:space="0" w:color="000000"/>
              <w:bottom w:val="single" w:sz="16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b/>
                <w:bCs/>
              </w:rPr>
              <w:t>Сводка для модели</w:t>
            </w:r>
          </w:p>
        </w:tc>
        <w:tc>
          <w:tcPr>
            <w:tcW w:w="1376" w:type="dxa"/>
            <w:tcBorders>
              <w:top w:val="single" w:sz="8" w:space="0" w:color="AAAAAA"/>
              <w:left w:val="single" w:sz="8" w:space="0" w:color="000000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2"/>
        </w:trPr>
        <w:tc>
          <w:tcPr>
            <w:tcW w:w="1376" w:type="dxa"/>
            <w:tcBorders>
              <w:top w:val="single" w:sz="16" w:space="0" w:color="000000"/>
              <w:left w:val="single" w:sz="16" w:space="0" w:color="000000"/>
              <w:bottom w:val="single" w:sz="16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Модель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R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R-</w:t>
            </w:r>
            <w:r>
              <w:rPr>
                <w:rFonts w:ascii="Times New Roman" w:hAnsi="Times New Roman"/>
              </w:rPr>
              <w:t>квадрат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 xml:space="preserve">Скорректированный </w:t>
            </w:r>
            <w:r>
              <w:rPr>
                <w:rFonts w:ascii="Times New Roman" w:hAnsi="Times New Roman"/>
              </w:rPr>
              <w:t>R-</w:t>
            </w:r>
            <w:r>
              <w:rPr>
                <w:rFonts w:ascii="Times New Roman" w:hAnsi="Times New Roman"/>
              </w:rPr>
              <w:t>квадрат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Стандартная ошибка оценки</w:t>
            </w:r>
          </w:p>
        </w:tc>
        <w:tc>
          <w:tcPr>
            <w:tcW w:w="1376" w:type="dxa"/>
            <w:tcBorders>
              <w:top w:val="single" w:sz="8" w:space="0" w:color="AAAAAA"/>
              <w:left w:val="single" w:sz="8" w:space="0" w:color="000000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tcBorders>
              <w:top w:val="single" w:sz="16" w:space="0" w:color="000000"/>
              <w:left w:val="single" w:sz="16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jc w:val="right"/>
            </w:pPr>
            <w:r>
              <w:rPr>
                <w:rFonts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,998a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0,995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0,993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477864,671769</w:t>
            </w:r>
            <w:r>
              <w:rPr>
                <w:rFonts w:ascii="Times New Roman" w:hAnsi="Times New Roman"/>
              </w:rPr>
              <w:lastRenderedPageBreak/>
              <w:t>527</w:t>
            </w:r>
          </w:p>
        </w:tc>
        <w:tc>
          <w:tcPr>
            <w:tcW w:w="1376" w:type="dxa"/>
            <w:tcBorders>
              <w:top w:val="single" w:sz="8" w:space="0" w:color="AAAAAA"/>
              <w:left w:val="single" w:sz="8" w:space="0" w:color="000000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lastRenderedPageBreak/>
              <w:t xml:space="preserve">a. </w:t>
            </w:r>
            <w:r>
              <w:rPr>
                <w:rFonts w:ascii="Times New Roman" w:hAnsi="Times New Roman"/>
              </w:rPr>
              <w:t>Предикторы</w:t>
            </w:r>
            <w:r>
              <w:rPr>
                <w:rFonts w:ascii="Times New Roman" w:hAnsi="Times New Roman"/>
              </w:rPr>
              <w:t>: (</w:t>
            </w:r>
            <w:r>
              <w:rPr>
                <w:rFonts w:ascii="Times New Roman" w:hAnsi="Times New Roman"/>
              </w:rPr>
              <w:t>константа</w:t>
            </w:r>
            <w:r>
              <w:rPr>
                <w:rFonts w:ascii="Times New Roman" w:hAnsi="Times New Roman"/>
              </w:rPr>
              <w:t>), IIP, FinAcc, Shareson Market, outwardFDI, inwardFDI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9637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b/>
                <w:bCs/>
              </w:rPr>
              <w:t>ANOVAa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275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Модель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Сумма квадратов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ст</w:t>
            </w:r>
            <w:r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св</w:t>
            </w:r>
            <w:r>
              <w:rPr>
                <w:rFonts w:ascii="Times New Roman" w:hAnsi="Times New Roman"/>
              </w:rPr>
              <w:t>.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Средний квадрат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F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Значимость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jc w:val="right"/>
            </w:pPr>
            <w:r>
              <w:rPr>
                <w:rFonts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Регрессия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528198976155219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105639795231043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462,613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,000b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Остаток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2511901089779,37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228354644525,398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Всего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530710877244998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16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BFBFBF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 xml:space="preserve">a. </w:t>
            </w:r>
            <w:r>
              <w:rPr>
                <w:rFonts w:ascii="Times New Roman" w:hAnsi="Times New Roman"/>
              </w:rPr>
              <w:t>Зависимая переменная</w:t>
            </w:r>
            <w:r>
              <w:rPr>
                <w:rFonts w:ascii="Times New Roman" w:hAnsi="Times New Roman"/>
              </w:rPr>
              <w:t>: GDP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tcBorders>
              <w:top w:val="single" w:sz="8" w:space="0" w:color="BFBFBF"/>
              <w:left w:val="single" w:sz="8" w:space="0" w:color="BFBFBF"/>
              <w:bottom w:val="single" w:sz="8" w:space="0" w:color="000000"/>
              <w:right w:val="single" w:sz="8" w:space="0" w:color="BFBFBF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 xml:space="preserve">b. </w:t>
            </w:r>
            <w:r>
              <w:rPr>
                <w:rFonts w:ascii="Times New Roman" w:hAnsi="Times New Roman"/>
              </w:rPr>
              <w:t>Предикторы</w:t>
            </w:r>
            <w:r>
              <w:rPr>
                <w:rFonts w:ascii="Times New Roman" w:hAnsi="Times New Roman"/>
              </w:rPr>
              <w:t>: (</w:t>
            </w:r>
            <w:r>
              <w:rPr>
                <w:rFonts w:ascii="Times New Roman" w:hAnsi="Times New Roman"/>
              </w:rPr>
              <w:t>константа</w:t>
            </w:r>
            <w:r>
              <w:rPr>
                <w:rFonts w:ascii="Times New Roman" w:hAnsi="Times New Roman"/>
              </w:rPr>
              <w:t>), IIP, FinAcc, Shareson Market, outwardFDI, inwardFDI</w:t>
            </w:r>
          </w:p>
        </w:tc>
        <w:tc>
          <w:tcPr>
            <w:tcW w:w="1376" w:type="dxa"/>
            <w:tcBorders>
              <w:top w:val="single" w:sz="8" w:space="0" w:color="AAAAAA"/>
              <w:left w:val="single" w:sz="8" w:space="0" w:color="BFBFBF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9637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b/>
                <w:bCs/>
              </w:rPr>
              <w:t>Коэффициенты</w:t>
            </w:r>
            <w:r>
              <w:rPr>
                <w:rFonts w:ascii="Times New Roman" w:hAnsi="Times New Roman"/>
                <w:b/>
                <w:bCs/>
              </w:rPr>
              <w:t>a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/>
        </w:trPr>
        <w:tc>
          <w:tcPr>
            <w:tcW w:w="2753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Модель</w:t>
            </w:r>
          </w:p>
        </w:tc>
        <w:tc>
          <w:tcPr>
            <w:tcW w:w="275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Нестандартизованные коэффициенты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Стандартизованные коэффициенты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Значимость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/>
        </w:trPr>
        <w:tc>
          <w:tcPr>
            <w:tcW w:w="2753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Стандартная ошибка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Бета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т</w:t>
            </w:r>
          </w:p>
        </w:tc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jc w:val="right"/>
            </w:pPr>
            <w:r>
              <w:rPr>
                <w:rFonts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(</w:t>
            </w:r>
            <w:r>
              <w:rPr>
                <w:rFonts w:ascii="Times New Roman" w:hAnsi="Times New Roman"/>
              </w:rPr>
              <w:t>Константа</w:t>
            </w:r>
            <w:r>
              <w:rPr>
                <w:rFonts w:ascii="Times New Roman" w:hAnsi="Times New Roman"/>
              </w:rPr>
              <w:t>)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3619080,371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441952,552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8,189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outwardFDI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3,26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0,371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0,46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8,796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inwardFDI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3,151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0,497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0,543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6,343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Shareson Market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-0,014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0,018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-0,023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-0,749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0,47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FinAcc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1,965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1,526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0,051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1,287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0,224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IIP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80,151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65,247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0,088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1,228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0,245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 xml:space="preserve">a. </w:t>
            </w:r>
            <w:r>
              <w:rPr>
                <w:rFonts w:ascii="Times New Roman" w:hAnsi="Times New Roman"/>
              </w:rPr>
              <w:t>Зависимая переменная</w:t>
            </w:r>
            <w:r>
              <w:rPr>
                <w:rFonts w:ascii="Times New Roman" w:hAnsi="Times New Roman"/>
              </w:rPr>
              <w:t>: GDP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</w:tbl>
    <w:p w:rsidR="005639DF" w:rsidRDefault="00876CC4">
      <w:pPr>
        <w:pStyle w:val="Body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None"/>
          <w:rFonts w:ascii="Times New Roman" w:hAnsi="Times New Roman"/>
          <w:i/>
          <w:iCs/>
          <w:sz w:val="28"/>
          <w:szCs w:val="28"/>
        </w:rPr>
        <w:t>Побудовано автором на основі джерел</w:t>
      </w:r>
      <w:r>
        <w:rPr>
          <w:rStyle w:val="None"/>
          <w:rFonts w:ascii="Times New Roman" w:hAnsi="Times New Roman"/>
          <w:i/>
          <w:iCs/>
          <w:sz w:val="28"/>
          <w:szCs w:val="28"/>
        </w:rPr>
        <w:t xml:space="preserve">: </w:t>
      </w:r>
      <w:r>
        <w:rPr>
          <w:rStyle w:val="None"/>
          <w:rFonts w:ascii="Times New Roman" w:hAnsi="Times New Roman"/>
          <w:i/>
          <w:iCs/>
          <w:sz w:val="28"/>
          <w:szCs w:val="28"/>
          <w:lang w:val="en-US"/>
        </w:rPr>
        <w:t xml:space="preserve">[15],[16],[17],[18]. </w:t>
      </w:r>
    </w:p>
    <w:p w:rsidR="005639DF" w:rsidRDefault="005639DF">
      <w:pPr>
        <w:pStyle w:val="Body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876CC4">
      <w:pPr>
        <w:pStyle w:val="Body"/>
        <w:spacing w:line="360" w:lineRule="auto"/>
        <w:jc w:val="right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t xml:space="preserve">Таблиця </w:t>
      </w:r>
      <w:r>
        <w:rPr>
          <w:rFonts w:ascii="Times New Roman" w:hAnsi="Times New Roman"/>
          <w:i/>
          <w:iCs/>
          <w:sz w:val="28"/>
          <w:szCs w:val="28"/>
        </w:rPr>
        <w:t>2</w:t>
      </w:r>
    </w:p>
    <w:p w:rsidR="005639DF" w:rsidRDefault="00876CC4">
      <w:pPr>
        <w:pStyle w:val="Body"/>
        <w:spacing w:line="36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lastRenderedPageBreak/>
        <w:t>Регресійна модель Китаю</w:t>
      </w:r>
      <w:r>
        <w:rPr>
          <w:rFonts w:ascii="Times New Roman" w:hAnsi="Times New Roman"/>
          <w:i/>
          <w:iCs/>
          <w:sz w:val="28"/>
          <w:szCs w:val="28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</w:rPr>
        <w:t xml:space="preserve">Відношення торговельного балансу до ряду макроекономічних факторів </w:t>
      </w:r>
    </w:p>
    <w:tbl>
      <w:tblPr>
        <w:tblStyle w:val="TableNormal"/>
        <w:tblW w:w="9637" w:type="dxa"/>
        <w:tblInd w:w="108" w:type="dxa"/>
        <w:tblBorders>
          <w:top w:val="single" w:sz="8" w:space="0" w:color="AAAAAA"/>
          <w:left w:val="single" w:sz="8" w:space="0" w:color="AAAAAA"/>
          <w:bottom w:val="single" w:sz="8" w:space="0" w:color="AAAAAA"/>
          <w:right w:val="single" w:sz="8" w:space="0" w:color="AAAAAA"/>
          <w:insideH w:val="single" w:sz="8" w:space="0" w:color="AAAAAA"/>
          <w:insideV w:val="single" w:sz="8" w:space="0" w:color="AAAAAA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376"/>
        <w:gridCol w:w="1377"/>
        <w:gridCol w:w="1376"/>
        <w:gridCol w:w="1377"/>
        <w:gridCol w:w="1378"/>
        <w:gridCol w:w="1376"/>
        <w:gridCol w:w="1377"/>
      </w:tblGrid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6884" w:type="dxa"/>
            <w:gridSpan w:val="5"/>
            <w:tcBorders>
              <w:top w:val="single" w:sz="8" w:space="0" w:color="000000"/>
              <w:left w:val="single" w:sz="8" w:space="0" w:color="000000"/>
              <w:bottom w:val="single" w:sz="16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b/>
                <w:bCs/>
              </w:rPr>
              <w:t>Сводка для модели</w:t>
            </w:r>
          </w:p>
        </w:tc>
        <w:tc>
          <w:tcPr>
            <w:tcW w:w="1376" w:type="dxa"/>
            <w:tcBorders>
              <w:top w:val="single" w:sz="8" w:space="0" w:color="AAAAAA"/>
              <w:left w:val="single" w:sz="8" w:space="0" w:color="000000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2"/>
        </w:trPr>
        <w:tc>
          <w:tcPr>
            <w:tcW w:w="1376" w:type="dxa"/>
            <w:tcBorders>
              <w:top w:val="single" w:sz="16" w:space="0" w:color="000000"/>
              <w:left w:val="single" w:sz="16" w:space="0" w:color="000000"/>
              <w:bottom w:val="single" w:sz="16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Модель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R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R-</w:t>
            </w:r>
            <w:r>
              <w:rPr>
                <w:rFonts w:ascii="Times New Roman" w:hAnsi="Times New Roman"/>
              </w:rPr>
              <w:t>квадрат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 xml:space="preserve">Скорректированный </w:t>
            </w:r>
            <w:r>
              <w:rPr>
                <w:rFonts w:ascii="Times New Roman" w:hAnsi="Times New Roman"/>
              </w:rPr>
              <w:t>R-</w:t>
            </w:r>
            <w:r>
              <w:rPr>
                <w:rFonts w:ascii="Times New Roman" w:hAnsi="Times New Roman"/>
              </w:rPr>
              <w:t>квадрат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Стандартная ошибка оценки</w:t>
            </w:r>
          </w:p>
        </w:tc>
        <w:tc>
          <w:tcPr>
            <w:tcW w:w="1376" w:type="dxa"/>
            <w:tcBorders>
              <w:top w:val="single" w:sz="8" w:space="0" w:color="AAAAAA"/>
              <w:left w:val="single" w:sz="8" w:space="0" w:color="000000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tcBorders>
              <w:top w:val="single" w:sz="16" w:space="0" w:color="000000"/>
              <w:left w:val="single" w:sz="16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jc w:val="right"/>
            </w:pPr>
            <w:r>
              <w:rPr>
                <w:rFonts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,986a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0,972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0,96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144083,9626</w:t>
            </w:r>
          </w:p>
        </w:tc>
        <w:tc>
          <w:tcPr>
            <w:tcW w:w="1376" w:type="dxa"/>
            <w:tcBorders>
              <w:top w:val="single" w:sz="8" w:space="0" w:color="AAAAAA"/>
              <w:left w:val="single" w:sz="8" w:space="0" w:color="000000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 xml:space="preserve">a. </w:t>
            </w:r>
            <w:r>
              <w:rPr>
                <w:rFonts w:ascii="Times New Roman" w:hAnsi="Times New Roman"/>
              </w:rPr>
              <w:t>Предикторы</w:t>
            </w:r>
            <w:r>
              <w:rPr>
                <w:rFonts w:ascii="Times New Roman" w:hAnsi="Times New Roman"/>
              </w:rPr>
              <w:t>: (</w:t>
            </w:r>
            <w:r>
              <w:rPr>
                <w:rFonts w:ascii="Times New Roman" w:hAnsi="Times New Roman"/>
              </w:rPr>
              <w:t>константа</w:t>
            </w:r>
            <w:r>
              <w:rPr>
                <w:rFonts w:ascii="Times New Roman" w:hAnsi="Times New Roman"/>
              </w:rPr>
              <w:t>), IIP, FinAcc, Shareson Market, outwardFDI, inwardFDI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9637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b/>
                <w:bCs/>
              </w:rPr>
              <w:t>ANOVAa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275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Модель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Сумма квадратов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ст</w:t>
            </w:r>
            <w:r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св</w:t>
            </w:r>
            <w:r>
              <w:rPr>
                <w:rFonts w:ascii="Times New Roman" w:hAnsi="Times New Roman"/>
              </w:rPr>
              <w:t>.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Средний квадрат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F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Значимость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jc w:val="right"/>
            </w:pPr>
            <w:r>
              <w:rPr>
                <w:rFonts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Регрессия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7987911748631,99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1597582349726,39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76,954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,000b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Остаток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228362070912,121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20760188264,738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Всего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8216273819544,11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16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BFBFBF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 xml:space="preserve">a. </w:t>
            </w:r>
            <w:r>
              <w:rPr>
                <w:rFonts w:ascii="Times New Roman" w:hAnsi="Times New Roman"/>
              </w:rPr>
              <w:t>Зависимая переменная</w:t>
            </w:r>
            <w:r>
              <w:rPr>
                <w:rFonts w:ascii="Times New Roman" w:hAnsi="Times New Roman"/>
              </w:rPr>
              <w:t>: tradein G&amp;amp;S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tcBorders>
              <w:top w:val="single" w:sz="8" w:space="0" w:color="BFBFBF"/>
              <w:left w:val="single" w:sz="8" w:space="0" w:color="BFBFBF"/>
              <w:bottom w:val="single" w:sz="8" w:space="0" w:color="000000"/>
              <w:right w:val="single" w:sz="8" w:space="0" w:color="BFBFBF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 xml:space="preserve">b. </w:t>
            </w:r>
            <w:r>
              <w:rPr>
                <w:rFonts w:ascii="Times New Roman" w:hAnsi="Times New Roman"/>
              </w:rPr>
              <w:t>Предикторы</w:t>
            </w:r>
            <w:r>
              <w:rPr>
                <w:rFonts w:ascii="Times New Roman" w:hAnsi="Times New Roman"/>
              </w:rPr>
              <w:t>: (</w:t>
            </w:r>
            <w:r>
              <w:rPr>
                <w:rFonts w:ascii="Times New Roman" w:hAnsi="Times New Roman"/>
              </w:rPr>
              <w:t>константа</w:t>
            </w:r>
            <w:r>
              <w:rPr>
                <w:rFonts w:ascii="Times New Roman" w:hAnsi="Times New Roman"/>
              </w:rPr>
              <w:t>), IIP, FinAcc, Shareson Market, outwardFDI, inwardFDI</w:t>
            </w:r>
          </w:p>
        </w:tc>
        <w:tc>
          <w:tcPr>
            <w:tcW w:w="1376" w:type="dxa"/>
            <w:tcBorders>
              <w:top w:val="single" w:sz="8" w:space="0" w:color="AAAAAA"/>
              <w:left w:val="single" w:sz="8" w:space="0" w:color="BFBFBF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9637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b/>
                <w:bCs/>
              </w:rPr>
              <w:t>Коэффициенты</w:t>
            </w:r>
            <w:r>
              <w:rPr>
                <w:rFonts w:ascii="Times New Roman" w:hAnsi="Times New Roman"/>
                <w:b/>
                <w:bCs/>
              </w:rPr>
              <w:t>a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/>
        </w:trPr>
        <w:tc>
          <w:tcPr>
            <w:tcW w:w="2753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Модель</w:t>
            </w:r>
          </w:p>
        </w:tc>
        <w:tc>
          <w:tcPr>
            <w:tcW w:w="275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Нестандартизованные коэффициенты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Стандартизованные коэффициенты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Значимость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/>
        </w:trPr>
        <w:tc>
          <w:tcPr>
            <w:tcW w:w="2753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Стандартная ошибка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Бета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т</w:t>
            </w:r>
          </w:p>
        </w:tc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jc w:val="right"/>
            </w:pPr>
            <w:r>
              <w:rPr>
                <w:rFonts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(</w:t>
            </w:r>
            <w:r>
              <w:rPr>
                <w:rFonts w:ascii="Times New Roman" w:hAnsi="Times New Roman"/>
              </w:rPr>
              <w:t>Константа</w:t>
            </w:r>
            <w:r>
              <w:rPr>
                <w:rFonts w:ascii="Times New Roman" w:hAnsi="Times New Roman"/>
              </w:rPr>
              <w:t>)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336609,484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133255,875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2,526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0,028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outwardFDI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0,137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0,112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0,155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1,223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0,247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inwardFDI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0,727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0,15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1,008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4,854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0,001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Shareson Market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-0,009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0,006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-0,123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-1,681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0,121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FinAcc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0,864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0,46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0,182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1,877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0,087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IIP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5,454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19,673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0,048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0,277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0,787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 xml:space="preserve">a. </w:t>
            </w:r>
            <w:r>
              <w:rPr>
                <w:rFonts w:ascii="Times New Roman" w:hAnsi="Times New Roman"/>
              </w:rPr>
              <w:t>Зависимая переменная</w:t>
            </w:r>
            <w:r>
              <w:rPr>
                <w:rFonts w:ascii="Times New Roman" w:hAnsi="Times New Roman"/>
              </w:rPr>
              <w:t xml:space="preserve">: </w:t>
            </w:r>
            <w:r>
              <w:rPr>
                <w:rFonts w:ascii="Times New Roman" w:hAnsi="Times New Roman"/>
              </w:rPr>
              <w:lastRenderedPageBreak/>
              <w:t>tradein G&amp;amp;S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</w:tbl>
    <w:p w:rsidR="005639DF" w:rsidRDefault="005639DF">
      <w:pPr>
        <w:pStyle w:val="Body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876CC4">
      <w:pPr>
        <w:pStyle w:val="Body"/>
        <w:spacing w:line="360" w:lineRule="auto"/>
        <w:jc w:val="both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t>Побудовано автором на основі джерел</w:t>
      </w:r>
      <w:r>
        <w:rPr>
          <w:rFonts w:ascii="Times New Roman" w:hAnsi="Times New Roman"/>
          <w:i/>
          <w:iCs/>
          <w:sz w:val="28"/>
          <w:szCs w:val="28"/>
        </w:rPr>
        <w:t xml:space="preserve">: </w:t>
      </w:r>
      <w:r>
        <w:rPr>
          <w:rFonts w:ascii="Times New Roman" w:hAnsi="Times New Roman"/>
          <w:i/>
          <w:iCs/>
          <w:sz w:val="28"/>
          <w:szCs w:val="28"/>
          <w:lang w:val="pt-PT"/>
        </w:rPr>
        <w:t>[15],[16],[17],[18].</w:t>
      </w:r>
    </w:p>
    <w:p w:rsidR="005639DF" w:rsidRDefault="005639DF">
      <w:pPr>
        <w:pStyle w:val="Body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876CC4">
      <w:pPr>
        <w:pStyle w:val="Body"/>
        <w:spacing w:line="360" w:lineRule="auto"/>
        <w:jc w:val="right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t xml:space="preserve">Таблиця </w:t>
      </w:r>
      <w:r>
        <w:rPr>
          <w:rFonts w:ascii="Times New Roman" w:hAnsi="Times New Roman"/>
          <w:i/>
          <w:iCs/>
          <w:sz w:val="28"/>
          <w:szCs w:val="28"/>
        </w:rPr>
        <w:t>3</w:t>
      </w:r>
    </w:p>
    <w:p w:rsidR="005639DF" w:rsidRDefault="00876CC4">
      <w:pPr>
        <w:pStyle w:val="Body"/>
        <w:spacing w:line="36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t>Регресійна модель США</w:t>
      </w:r>
      <w:r>
        <w:rPr>
          <w:rFonts w:ascii="Times New Roman" w:hAnsi="Times New Roman"/>
          <w:i/>
          <w:iCs/>
          <w:sz w:val="28"/>
          <w:szCs w:val="28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</w:rPr>
        <w:t>Відношення ВВП до ряду макроекономічних факторів</w:t>
      </w:r>
    </w:p>
    <w:tbl>
      <w:tblPr>
        <w:tblStyle w:val="TableNormal"/>
        <w:tblW w:w="9637" w:type="dxa"/>
        <w:tblInd w:w="108" w:type="dxa"/>
        <w:tblBorders>
          <w:top w:val="single" w:sz="8" w:space="0" w:color="AAAAAA"/>
          <w:left w:val="single" w:sz="8" w:space="0" w:color="AAAAAA"/>
          <w:bottom w:val="single" w:sz="8" w:space="0" w:color="AAAAAA"/>
          <w:right w:val="single" w:sz="8" w:space="0" w:color="AAAAAA"/>
          <w:insideH w:val="single" w:sz="8" w:space="0" w:color="AAAAAA"/>
          <w:insideV w:val="single" w:sz="8" w:space="0" w:color="AAAAAA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376"/>
        <w:gridCol w:w="1377"/>
        <w:gridCol w:w="1376"/>
        <w:gridCol w:w="1377"/>
        <w:gridCol w:w="1378"/>
        <w:gridCol w:w="1376"/>
        <w:gridCol w:w="1377"/>
      </w:tblGrid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6884" w:type="dxa"/>
            <w:gridSpan w:val="5"/>
            <w:tcBorders>
              <w:top w:val="single" w:sz="8" w:space="0" w:color="000000"/>
              <w:left w:val="single" w:sz="8" w:space="0" w:color="000000"/>
              <w:bottom w:val="single" w:sz="16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b/>
                <w:bCs/>
              </w:rPr>
              <w:t>Сводка для модели</w:t>
            </w:r>
          </w:p>
        </w:tc>
        <w:tc>
          <w:tcPr>
            <w:tcW w:w="1376" w:type="dxa"/>
            <w:tcBorders>
              <w:top w:val="single" w:sz="8" w:space="0" w:color="AAAAAA"/>
              <w:left w:val="single" w:sz="8" w:space="0" w:color="000000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2"/>
        </w:trPr>
        <w:tc>
          <w:tcPr>
            <w:tcW w:w="1376" w:type="dxa"/>
            <w:tcBorders>
              <w:top w:val="single" w:sz="16" w:space="0" w:color="000000"/>
              <w:left w:val="single" w:sz="16" w:space="0" w:color="000000"/>
              <w:bottom w:val="single" w:sz="16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Модель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R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R-</w:t>
            </w:r>
            <w:r>
              <w:rPr>
                <w:rFonts w:ascii="Times New Roman" w:hAnsi="Times New Roman"/>
              </w:rPr>
              <w:t>квадрат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 xml:space="preserve">Скорректированный </w:t>
            </w:r>
            <w:r>
              <w:rPr>
                <w:rFonts w:ascii="Times New Roman" w:hAnsi="Times New Roman"/>
              </w:rPr>
              <w:t>R-</w:t>
            </w:r>
            <w:r>
              <w:rPr>
                <w:rFonts w:ascii="Times New Roman" w:hAnsi="Times New Roman"/>
              </w:rPr>
              <w:t>квадрат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Стандартная ошибка оценки</w:t>
            </w:r>
          </w:p>
        </w:tc>
        <w:tc>
          <w:tcPr>
            <w:tcW w:w="1376" w:type="dxa"/>
            <w:tcBorders>
              <w:top w:val="single" w:sz="8" w:space="0" w:color="AAAAAA"/>
              <w:left w:val="single" w:sz="8" w:space="0" w:color="000000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tcBorders>
              <w:top w:val="single" w:sz="16" w:space="0" w:color="000000"/>
              <w:left w:val="single" w:sz="16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jc w:val="right"/>
            </w:pPr>
            <w:r>
              <w:rPr>
                <w:rFonts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,983a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0,966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0,954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720203,441849532</w:t>
            </w:r>
          </w:p>
        </w:tc>
        <w:tc>
          <w:tcPr>
            <w:tcW w:w="1376" w:type="dxa"/>
            <w:tcBorders>
              <w:top w:val="single" w:sz="8" w:space="0" w:color="AAAAAA"/>
              <w:left w:val="single" w:sz="8" w:space="0" w:color="000000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 xml:space="preserve">a. </w:t>
            </w:r>
            <w:r>
              <w:rPr>
                <w:rFonts w:ascii="Times New Roman" w:hAnsi="Times New Roman"/>
              </w:rPr>
              <w:t>Предикторы</w:t>
            </w:r>
            <w:r>
              <w:rPr>
                <w:rFonts w:ascii="Times New Roman" w:hAnsi="Times New Roman"/>
              </w:rPr>
              <w:t>: (</w:t>
            </w:r>
            <w:r>
              <w:rPr>
                <w:rFonts w:ascii="Times New Roman" w:hAnsi="Times New Roman"/>
              </w:rPr>
              <w:t>константа</w:t>
            </w:r>
            <w:r>
              <w:rPr>
                <w:rFonts w:ascii="Times New Roman" w:hAnsi="Times New Roman"/>
              </w:rPr>
              <w:t>), IIP, Shareson Market, FinAcc, outwardFDI, inwardFDI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9637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b/>
                <w:bCs/>
              </w:rPr>
              <w:t>ANOVAa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275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Модель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Сумма квадратов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ст</w:t>
            </w:r>
            <w:r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св</w:t>
            </w:r>
            <w:r>
              <w:rPr>
                <w:rFonts w:ascii="Times New Roman" w:hAnsi="Times New Roman"/>
              </w:rPr>
              <w:t>.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Средний квадрат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F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Значимость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jc w:val="right"/>
            </w:pPr>
            <w:r>
              <w:rPr>
                <w:rFonts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Регрессия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206465443383878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41293088676775,6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79,61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,000b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Остаток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7261701967126,78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14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518692997651,913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Всего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213727145351004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19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BFBFBF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 xml:space="preserve">a. </w:t>
            </w:r>
            <w:r>
              <w:rPr>
                <w:rFonts w:ascii="Times New Roman" w:hAnsi="Times New Roman"/>
              </w:rPr>
              <w:t>Зависимая переменная</w:t>
            </w:r>
            <w:r>
              <w:rPr>
                <w:rFonts w:ascii="Times New Roman" w:hAnsi="Times New Roman"/>
              </w:rPr>
              <w:t>: GDP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tcBorders>
              <w:top w:val="single" w:sz="8" w:space="0" w:color="BFBFBF"/>
              <w:left w:val="single" w:sz="8" w:space="0" w:color="BFBFBF"/>
              <w:bottom w:val="single" w:sz="8" w:space="0" w:color="000000"/>
              <w:right w:val="single" w:sz="8" w:space="0" w:color="BFBFBF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 xml:space="preserve">b. </w:t>
            </w:r>
            <w:r>
              <w:rPr>
                <w:rFonts w:ascii="Times New Roman" w:hAnsi="Times New Roman"/>
              </w:rPr>
              <w:t>Предикторы</w:t>
            </w:r>
            <w:r>
              <w:rPr>
                <w:rFonts w:ascii="Times New Roman" w:hAnsi="Times New Roman"/>
              </w:rPr>
              <w:t>: (</w:t>
            </w:r>
            <w:r>
              <w:rPr>
                <w:rFonts w:ascii="Times New Roman" w:hAnsi="Times New Roman"/>
              </w:rPr>
              <w:t>константа</w:t>
            </w:r>
            <w:r>
              <w:rPr>
                <w:rFonts w:ascii="Times New Roman" w:hAnsi="Times New Roman"/>
              </w:rPr>
              <w:t>), IIP, Shareson Market, FinAcc, outwardFDI, inwardFDI</w:t>
            </w:r>
          </w:p>
        </w:tc>
        <w:tc>
          <w:tcPr>
            <w:tcW w:w="1376" w:type="dxa"/>
            <w:tcBorders>
              <w:top w:val="single" w:sz="8" w:space="0" w:color="AAAAAA"/>
              <w:left w:val="single" w:sz="8" w:space="0" w:color="BFBFBF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9637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b/>
                <w:bCs/>
              </w:rPr>
              <w:t>Коэффициенты</w:t>
            </w:r>
            <w:r>
              <w:rPr>
                <w:rFonts w:ascii="Times New Roman" w:hAnsi="Times New Roman"/>
                <w:b/>
                <w:bCs/>
              </w:rPr>
              <w:t>a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/>
        </w:trPr>
        <w:tc>
          <w:tcPr>
            <w:tcW w:w="13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Модель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AAAAAA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275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Нестандартизованные коэффициенты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Стандартизованные коэффициенты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Значимость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Стандартная ошибка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Бета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т</w:t>
            </w:r>
          </w:p>
        </w:tc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jc w:val="right"/>
            </w:pPr>
            <w:r>
              <w:rPr>
                <w:rFonts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(</w:t>
            </w:r>
            <w:r>
              <w:rPr>
                <w:rFonts w:ascii="Times New Roman" w:hAnsi="Times New Roman"/>
              </w:rPr>
              <w:t>Константа</w:t>
            </w:r>
            <w:r>
              <w:rPr>
                <w:rFonts w:ascii="Times New Roman" w:hAnsi="Times New Roman"/>
              </w:rPr>
              <w:t>)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8797325,634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1100560,246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7,993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outwardFDI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0,577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0,326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0,339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1,77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0,098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inwardFDI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0,333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0,367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0,276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0,907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0,38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Shareson Market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0,051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0,022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0,141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2,358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0,033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FinAcc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1,149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1,182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0,054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0,973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0,347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IIP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-0,308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0,172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-0,329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-1,79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0,095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 xml:space="preserve">a. </w:t>
            </w:r>
            <w:r>
              <w:rPr>
                <w:rFonts w:ascii="Times New Roman" w:hAnsi="Times New Roman"/>
              </w:rPr>
              <w:t>Зависимая переменная</w:t>
            </w:r>
            <w:r>
              <w:rPr>
                <w:rFonts w:ascii="Times New Roman" w:hAnsi="Times New Roman"/>
              </w:rPr>
              <w:t>: GDP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</w:tbl>
    <w:p w:rsidR="005639DF" w:rsidRDefault="005639DF">
      <w:pPr>
        <w:pStyle w:val="Body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876CC4">
      <w:pPr>
        <w:pStyle w:val="Body"/>
        <w:spacing w:line="360" w:lineRule="auto"/>
        <w:jc w:val="both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t>Побудовано автором на основі джерел</w:t>
      </w:r>
      <w:r>
        <w:rPr>
          <w:rFonts w:ascii="Times New Roman" w:hAnsi="Times New Roman"/>
          <w:i/>
          <w:iCs/>
          <w:sz w:val="28"/>
          <w:szCs w:val="28"/>
        </w:rPr>
        <w:t xml:space="preserve">: </w:t>
      </w:r>
      <w:r>
        <w:rPr>
          <w:rFonts w:ascii="Times New Roman" w:hAnsi="Times New Roman"/>
          <w:i/>
          <w:iCs/>
          <w:sz w:val="28"/>
          <w:szCs w:val="28"/>
          <w:lang w:val="pt-PT"/>
        </w:rPr>
        <w:t>[15],[16],[1</w:t>
      </w:r>
      <w:r>
        <w:rPr>
          <w:rFonts w:ascii="Times New Roman" w:hAnsi="Times New Roman"/>
          <w:i/>
          <w:iCs/>
          <w:sz w:val="28"/>
          <w:szCs w:val="28"/>
          <w:lang w:val="en-US"/>
        </w:rPr>
        <w:t>8</w:t>
      </w:r>
      <w:r>
        <w:rPr>
          <w:rFonts w:ascii="Times New Roman" w:hAnsi="Times New Roman"/>
          <w:i/>
          <w:iCs/>
          <w:sz w:val="28"/>
          <w:szCs w:val="28"/>
          <w:lang w:val="pt-PT"/>
        </w:rPr>
        <w:t>],[</w:t>
      </w:r>
      <w:r>
        <w:rPr>
          <w:rFonts w:ascii="Times New Roman" w:hAnsi="Times New Roman"/>
          <w:i/>
          <w:iCs/>
          <w:sz w:val="28"/>
          <w:szCs w:val="28"/>
          <w:lang w:val="en-US"/>
        </w:rPr>
        <w:t>33</w:t>
      </w:r>
      <w:r>
        <w:rPr>
          <w:rFonts w:ascii="Times New Roman" w:hAnsi="Times New Roman"/>
          <w:i/>
          <w:iCs/>
          <w:sz w:val="28"/>
          <w:szCs w:val="28"/>
          <w:lang w:val="pt-PT"/>
        </w:rPr>
        <w:t>].</w:t>
      </w:r>
    </w:p>
    <w:p w:rsidR="005639DF" w:rsidRDefault="005639DF">
      <w:pPr>
        <w:pStyle w:val="Body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39DF" w:rsidRDefault="00876CC4">
      <w:pPr>
        <w:pStyle w:val="Body"/>
        <w:spacing w:line="360" w:lineRule="auto"/>
        <w:jc w:val="right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t xml:space="preserve">Таблиця </w:t>
      </w:r>
      <w:r>
        <w:rPr>
          <w:rFonts w:ascii="Times New Roman" w:hAnsi="Times New Roman"/>
          <w:i/>
          <w:iCs/>
          <w:sz w:val="28"/>
          <w:szCs w:val="28"/>
        </w:rPr>
        <w:t xml:space="preserve">4 </w:t>
      </w:r>
    </w:p>
    <w:p w:rsidR="005639DF" w:rsidRDefault="00876CC4">
      <w:pPr>
        <w:pStyle w:val="Body"/>
        <w:spacing w:line="36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t>Регресійна модель США</w:t>
      </w:r>
      <w:r>
        <w:rPr>
          <w:rFonts w:ascii="Times New Roman" w:hAnsi="Times New Roman"/>
          <w:i/>
          <w:iCs/>
          <w:sz w:val="28"/>
          <w:szCs w:val="28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</w:rPr>
        <w:t xml:space="preserve">Відношення торговельного балансу до ряду макроекономічних факторів </w:t>
      </w:r>
    </w:p>
    <w:tbl>
      <w:tblPr>
        <w:tblStyle w:val="TableNormal"/>
        <w:tblW w:w="9637" w:type="dxa"/>
        <w:tblInd w:w="108" w:type="dxa"/>
        <w:tblBorders>
          <w:top w:val="single" w:sz="8" w:space="0" w:color="AAAAAA"/>
          <w:left w:val="single" w:sz="8" w:space="0" w:color="AAAAAA"/>
          <w:bottom w:val="single" w:sz="8" w:space="0" w:color="AAAAAA"/>
          <w:right w:val="single" w:sz="8" w:space="0" w:color="AAAAAA"/>
          <w:insideH w:val="single" w:sz="8" w:space="0" w:color="AAAAAA"/>
          <w:insideV w:val="single" w:sz="8" w:space="0" w:color="AAAAAA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376"/>
        <w:gridCol w:w="1377"/>
        <w:gridCol w:w="1376"/>
        <w:gridCol w:w="1377"/>
        <w:gridCol w:w="1378"/>
        <w:gridCol w:w="1376"/>
        <w:gridCol w:w="1377"/>
      </w:tblGrid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6884" w:type="dxa"/>
            <w:gridSpan w:val="5"/>
            <w:tcBorders>
              <w:top w:val="single" w:sz="8" w:space="0" w:color="000000"/>
              <w:left w:val="single" w:sz="8" w:space="0" w:color="000000"/>
              <w:bottom w:val="single" w:sz="16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b/>
                <w:bCs/>
              </w:rPr>
              <w:t>Сводка для модели</w:t>
            </w:r>
          </w:p>
        </w:tc>
        <w:tc>
          <w:tcPr>
            <w:tcW w:w="1376" w:type="dxa"/>
            <w:tcBorders>
              <w:top w:val="single" w:sz="8" w:space="0" w:color="AAAAAA"/>
              <w:left w:val="single" w:sz="8" w:space="0" w:color="000000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2"/>
        </w:trPr>
        <w:tc>
          <w:tcPr>
            <w:tcW w:w="1376" w:type="dxa"/>
            <w:tcBorders>
              <w:top w:val="single" w:sz="16" w:space="0" w:color="000000"/>
              <w:left w:val="single" w:sz="16" w:space="0" w:color="000000"/>
              <w:bottom w:val="single" w:sz="16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Модель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R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R-</w:t>
            </w:r>
            <w:r>
              <w:rPr>
                <w:rFonts w:ascii="Times New Roman" w:hAnsi="Times New Roman"/>
              </w:rPr>
              <w:t>квадрат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 xml:space="preserve">Скорректированный </w:t>
            </w:r>
            <w:r>
              <w:rPr>
                <w:rFonts w:ascii="Times New Roman" w:hAnsi="Times New Roman"/>
              </w:rPr>
              <w:t>R-</w:t>
            </w:r>
            <w:r>
              <w:rPr>
                <w:rFonts w:ascii="Times New Roman" w:hAnsi="Times New Roman"/>
              </w:rPr>
              <w:t>квадрат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Стандартная ошибка оценки</w:t>
            </w:r>
          </w:p>
        </w:tc>
        <w:tc>
          <w:tcPr>
            <w:tcW w:w="1376" w:type="dxa"/>
            <w:tcBorders>
              <w:top w:val="single" w:sz="8" w:space="0" w:color="AAAAAA"/>
              <w:left w:val="single" w:sz="8" w:space="0" w:color="000000"/>
              <w:bottom w:val="single" w:sz="8" w:space="0" w:color="AAAAAA"/>
              <w:right w:val="single" w:sz="8" w:space="0" w:color="AAAAAA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tcBorders>
              <w:top w:val="single" w:sz="16" w:space="0" w:color="000000"/>
              <w:left w:val="single" w:sz="16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jc w:val="right"/>
            </w:pPr>
            <w:r>
              <w:rPr>
                <w:rFonts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,982a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0,965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0,953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93894,5642</w:t>
            </w:r>
          </w:p>
        </w:tc>
        <w:tc>
          <w:tcPr>
            <w:tcW w:w="1376" w:type="dxa"/>
            <w:tcBorders>
              <w:top w:val="single" w:sz="8" w:space="0" w:color="AAAAAA"/>
              <w:left w:val="single" w:sz="8" w:space="0" w:color="000000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 xml:space="preserve">a. </w:t>
            </w:r>
            <w:r>
              <w:rPr>
                <w:rFonts w:ascii="Times New Roman" w:hAnsi="Times New Roman"/>
              </w:rPr>
              <w:t>Предикторы</w:t>
            </w:r>
            <w:r>
              <w:rPr>
                <w:rFonts w:ascii="Times New Roman" w:hAnsi="Times New Roman"/>
              </w:rPr>
              <w:t>: (</w:t>
            </w:r>
            <w:r>
              <w:rPr>
                <w:rFonts w:ascii="Times New Roman" w:hAnsi="Times New Roman"/>
              </w:rPr>
              <w:t>константа</w:t>
            </w:r>
            <w:r>
              <w:rPr>
                <w:rFonts w:ascii="Times New Roman" w:hAnsi="Times New Roman"/>
              </w:rPr>
              <w:t>), IIP, Shareson Market, FinAcc, outwardFDI, inwardFDI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9637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b/>
                <w:bCs/>
              </w:rPr>
              <w:t>ANOVAa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275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Модель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Сумма квадратов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ст</w:t>
            </w:r>
            <w:r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св</w:t>
            </w:r>
            <w:r>
              <w:rPr>
                <w:rFonts w:ascii="Times New Roman" w:hAnsi="Times New Roman"/>
              </w:rPr>
              <w:t>.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Средний квадрат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F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Значимость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jc w:val="right"/>
            </w:pPr>
            <w:r>
              <w:rPr>
                <w:rFonts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Регрессия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3427643174099,41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685528634819,883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77,758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,000b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Остаток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123426648531,386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14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8816189180,813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Всего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3551069822630,8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19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BFBFBF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 xml:space="preserve">a. </w:t>
            </w:r>
            <w:r>
              <w:rPr>
                <w:rFonts w:ascii="Times New Roman" w:hAnsi="Times New Roman"/>
              </w:rPr>
              <w:t>Зависимая переменная</w:t>
            </w:r>
            <w:r>
              <w:rPr>
                <w:rFonts w:ascii="Times New Roman" w:hAnsi="Times New Roman"/>
              </w:rPr>
              <w:t>: tradein G&amp;amp;S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tcBorders>
              <w:top w:val="single" w:sz="8" w:space="0" w:color="BFBFBF"/>
              <w:left w:val="single" w:sz="8" w:space="0" w:color="BFBFBF"/>
              <w:bottom w:val="single" w:sz="8" w:space="0" w:color="000000"/>
              <w:right w:val="single" w:sz="8" w:space="0" w:color="BFBFBF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 xml:space="preserve">b. </w:t>
            </w:r>
            <w:r>
              <w:rPr>
                <w:rFonts w:ascii="Times New Roman" w:hAnsi="Times New Roman"/>
              </w:rPr>
              <w:t>Предикторы</w:t>
            </w:r>
            <w:r>
              <w:rPr>
                <w:rFonts w:ascii="Times New Roman" w:hAnsi="Times New Roman"/>
              </w:rPr>
              <w:t>: (</w:t>
            </w:r>
            <w:r>
              <w:rPr>
                <w:rFonts w:ascii="Times New Roman" w:hAnsi="Times New Roman"/>
              </w:rPr>
              <w:t>константа</w:t>
            </w:r>
            <w:r>
              <w:rPr>
                <w:rFonts w:ascii="Times New Roman" w:hAnsi="Times New Roman"/>
              </w:rPr>
              <w:t>), IIP, Shareson Market, FinAcc, outwardFDI, inwardFDI</w:t>
            </w:r>
          </w:p>
        </w:tc>
        <w:tc>
          <w:tcPr>
            <w:tcW w:w="1376" w:type="dxa"/>
            <w:tcBorders>
              <w:top w:val="single" w:sz="8" w:space="0" w:color="AAAAAA"/>
              <w:left w:val="single" w:sz="8" w:space="0" w:color="BFBFBF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AAAAAA"/>
              <w:bottom w:val="single" w:sz="8" w:space="0" w:color="000000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9637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  <w:b/>
                <w:bCs/>
              </w:rPr>
              <w:lastRenderedPageBreak/>
              <w:t>Коэффициенты</w:t>
            </w:r>
            <w:r>
              <w:rPr>
                <w:rFonts w:ascii="Times New Roman" w:hAnsi="Times New Roman"/>
                <w:b/>
                <w:bCs/>
              </w:rPr>
              <w:t>a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/>
        </w:trPr>
        <w:tc>
          <w:tcPr>
            <w:tcW w:w="13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Модель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AAAAAA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275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Нестандартизованные коэффициенты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Стандартизованные коэффициенты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Значимость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639DF" w:rsidRDefault="005639DF"/>
        </w:tc>
        <w:tc>
          <w:tcPr>
            <w:tcW w:w="1376" w:type="dxa"/>
            <w:tcBorders>
              <w:top w:val="single" w:sz="8" w:space="0" w:color="AAAAAA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Стандартная ошибка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Бета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center"/>
            </w:pPr>
            <w:r>
              <w:rPr>
                <w:rFonts w:ascii="Times New Roman" w:hAnsi="Times New Roman"/>
              </w:rPr>
              <w:t>т</w:t>
            </w:r>
          </w:p>
        </w:tc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639DF" w:rsidRDefault="005639DF"/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jc w:val="right"/>
            </w:pPr>
            <w:r>
              <w:rPr>
                <w:rFonts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(</w:t>
            </w:r>
            <w:r>
              <w:rPr>
                <w:rFonts w:ascii="Times New Roman" w:hAnsi="Times New Roman"/>
              </w:rPr>
              <w:t>Константа</w:t>
            </w:r>
            <w:r>
              <w:rPr>
                <w:rFonts w:ascii="Times New Roman" w:hAnsi="Times New Roman"/>
              </w:rPr>
              <w:t>)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1093452,497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143482,548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7,621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outwardFDI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0,045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0,043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0,205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1,057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0,308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inwardFDI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0,024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0,048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0,156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0,507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0,62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Shareson Market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0,013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0,003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0,277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4,577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FinAcc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0,567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0,154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0,208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3,679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0,002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>IIP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-0,054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0,022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-0,449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-2,42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876CC4">
            <w:pPr>
              <w:pStyle w:val="TableStyle2"/>
              <w:jc w:val="right"/>
            </w:pPr>
            <w:r>
              <w:rPr>
                <w:rFonts w:ascii="Times New Roman" w:hAnsi="Times New Roman"/>
              </w:rPr>
              <w:t>0,03</w:t>
            </w:r>
          </w:p>
        </w:tc>
      </w:tr>
      <w:tr w:rsidR="005639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40" w:type="dxa"/>
              <w:bottom w:w="40" w:type="dxa"/>
              <w:right w:w="40" w:type="dxa"/>
            </w:tcMar>
          </w:tcPr>
          <w:p w:rsidR="005639DF" w:rsidRDefault="00876CC4">
            <w:pPr>
              <w:pStyle w:val="TableStyle2"/>
            </w:pPr>
            <w:r>
              <w:rPr>
                <w:rFonts w:ascii="Times New Roman" w:hAnsi="Times New Roman"/>
              </w:rPr>
              <w:t xml:space="preserve">a. </w:t>
            </w:r>
            <w:r>
              <w:rPr>
                <w:rFonts w:ascii="Times New Roman" w:hAnsi="Times New Roman"/>
              </w:rPr>
              <w:t>Зависимая переменная</w:t>
            </w:r>
            <w:r>
              <w:rPr>
                <w:rFonts w:ascii="Times New Roman" w:hAnsi="Times New Roman"/>
              </w:rPr>
              <w:t>: tradein G&amp;amp;S</w:t>
            </w:r>
          </w:p>
        </w:tc>
        <w:tc>
          <w:tcPr>
            <w:tcW w:w="1376" w:type="dxa"/>
            <w:tcBorders>
              <w:top w:val="single" w:sz="8" w:space="0" w:color="000000"/>
              <w:left w:val="single" w:sz="8" w:space="0" w:color="000000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  <w:tc>
          <w:tcPr>
            <w:tcW w:w="1376" w:type="dxa"/>
            <w:tcBorders>
              <w:top w:val="single" w:sz="8" w:space="0" w:color="000000"/>
              <w:left w:val="single" w:sz="8" w:space="0" w:color="AAAAAA"/>
              <w:bottom w:val="single" w:sz="8" w:space="0" w:color="AAAAAA"/>
              <w:right w:val="single" w:sz="8" w:space="0" w:color="AAAAAA"/>
            </w:tcBorders>
            <w:shd w:val="clear" w:color="auto" w:fill="auto"/>
            <w:tcMar>
              <w:top w:w="0" w:type="dxa"/>
              <w:left w:w="40" w:type="dxa"/>
              <w:bottom w:w="40" w:type="dxa"/>
              <w:right w:w="40" w:type="dxa"/>
            </w:tcMar>
            <w:vAlign w:val="bottom"/>
          </w:tcPr>
          <w:p w:rsidR="005639DF" w:rsidRDefault="005639DF"/>
        </w:tc>
      </w:tr>
    </w:tbl>
    <w:p w:rsidR="005639DF" w:rsidRDefault="00876CC4">
      <w:pPr>
        <w:pStyle w:val="Body"/>
        <w:spacing w:line="360" w:lineRule="auto"/>
        <w:jc w:val="both"/>
      </w:pPr>
      <w:r>
        <w:rPr>
          <w:rStyle w:val="None"/>
          <w:rFonts w:ascii="Times New Roman" w:hAnsi="Times New Roman"/>
          <w:i/>
          <w:iCs/>
          <w:sz w:val="28"/>
          <w:szCs w:val="28"/>
        </w:rPr>
        <w:t>Побудовано автором на основі джерел</w:t>
      </w:r>
      <w:r>
        <w:rPr>
          <w:rStyle w:val="None"/>
          <w:rFonts w:ascii="Times New Roman" w:hAnsi="Times New Roman"/>
          <w:i/>
          <w:iCs/>
          <w:sz w:val="28"/>
          <w:szCs w:val="28"/>
        </w:rPr>
        <w:t xml:space="preserve">: </w:t>
      </w:r>
      <w:r>
        <w:rPr>
          <w:rStyle w:val="None"/>
          <w:rFonts w:ascii="Times New Roman" w:hAnsi="Times New Roman"/>
          <w:i/>
          <w:iCs/>
          <w:sz w:val="28"/>
          <w:szCs w:val="28"/>
          <w:lang w:val="pt-PT"/>
        </w:rPr>
        <w:t>[15],[16],[18],[33].</w:t>
      </w:r>
    </w:p>
    <w:sectPr w:rsidR="005639DF">
      <w:headerReference w:type="default" r:id="rId52"/>
      <w:footerReference w:type="default" r:id="rId53"/>
      <w:pgSz w:w="11906" w:h="16838"/>
      <w:pgMar w:top="1417" w:right="1134" w:bottom="1417" w:left="1134" w:header="709" w:footer="85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76CC4">
      <w:r>
        <w:separator/>
      </w:r>
    </w:p>
  </w:endnote>
  <w:endnote w:type="continuationSeparator" w:id="0">
    <w:p w:rsidR="00000000" w:rsidRDefault="00876C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39DF" w:rsidRDefault="005639D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76CC4">
      <w:r>
        <w:separator/>
      </w:r>
    </w:p>
  </w:footnote>
  <w:footnote w:type="continuationSeparator" w:id="0">
    <w:p w:rsidR="00000000" w:rsidRDefault="00876C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39DF" w:rsidRDefault="00876CC4">
    <w:pPr>
      <w:pStyle w:val="HeaderFooter"/>
      <w:tabs>
        <w:tab w:val="clear" w:pos="9020"/>
        <w:tab w:val="center" w:pos="4819"/>
        <w:tab w:val="right" w:pos="9638"/>
      </w:tabs>
    </w:pPr>
    <w:r>
      <w:rPr>
        <w:rFonts w:ascii="Times New Roman" w:hAnsi="Times New Roman"/>
        <w:sz w:val="28"/>
        <w:szCs w:val="28"/>
      </w:rPr>
      <w:tab/>
    </w:r>
    <w:r>
      <w:rPr>
        <w:rFonts w:ascii="Times New Roman" w:hAnsi="Times New Roman"/>
        <w:sz w:val="28"/>
        <w:szCs w:val="28"/>
      </w:rPr>
      <w:tab/>
    </w:r>
    <w:r>
      <w:rPr>
        <w:rFonts w:ascii="Times New Roman" w:hAnsi="Times New Roman"/>
        <w:sz w:val="28"/>
        <w:szCs w:val="28"/>
      </w:rPr>
      <w:fldChar w:fldCharType="begin"/>
    </w:r>
    <w:r>
      <w:rPr>
        <w:rFonts w:ascii="Times New Roman" w:hAnsi="Times New Roman"/>
        <w:sz w:val="28"/>
        <w:szCs w:val="28"/>
      </w:rPr>
      <w:instrText xml:space="preserve"> PAGE </w:instrText>
    </w:r>
    <w:r>
      <w:rPr>
        <w:rFonts w:ascii="Times New Roman" w:hAnsi="Times New Roman"/>
        <w:sz w:val="28"/>
        <w:szCs w:val="28"/>
      </w:rPr>
      <w:fldChar w:fldCharType="separate"/>
    </w:r>
    <w:r>
      <w:rPr>
        <w:rFonts w:ascii="Times New Roman" w:hAnsi="Times New Roman"/>
        <w:noProof/>
        <w:sz w:val="28"/>
        <w:szCs w:val="28"/>
      </w:rPr>
      <w:t>48</w:t>
    </w:r>
    <w:r>
      <w:rPr>
        <w:rFonts w:ascii="Times New Roman" w:hAnsi="Times New Roman"/>
        <w:sz w:val="28"/>
        <w:szCs w:val="28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D0516"/>
    <w:multiLevelType w:val="hybridMultilevel"/>
    <w:tmpl w:val="81CE3046"/>
    <w:styleLink w:val="Numbered"/>
    <w:lvl w:ilvl="0" w:tplc="5F3AA7CC">
      <w:start w:val="1"/>
      <w:numFmt w:val="decimal"/>
      <w:lvlText w:val="%1."/>
      <w:lvlJc w:val="left"/>
      <w:pPr>
        <w:tabs>
          <w:tab w:val="num" w:pos="1309"/>
        </w:tabs>
        <w:ind w:left="458" w:firstLine="3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E604C16">
      <w:start w:val="1"/>
      <w:numFmt w:val="decimal"/>
      <w:lvlText w:val="%2."/>
      <w:lvlJc w:val="left"/>
      <w:pPr>
        <w:tabs>
          <w:tab w:val="num" w:pos="1669"/>
        </w:tabs>
        <w:ind w:left="818" w:firstLine="3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17459F0">
      <w:start w:val="1"/>
      <w:numFmt w:val="decimal"/>
      <w:lvlText w:val="%3."/>
      <w:lvlJc w:val="left"/>
      <w:pPr>
        <w:tabs>
          <w:tab w:val="num" w:pos="2029"/>
        </w:tabs>
        <w:ind w:left="1178" w:firstLine="3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696CD04">
      <w:start w:val="1"/>
      <w:numFmt w:val="decimal"/>
      <w:lvlText w:val="%4."/>
      <w:lvlJc w:val="left"/>
      <w:pPr>
        <w:tabs>
          <w:tab w:val="num" w:pos="2389"/>
        </w:tabs>
        <w:ind w:left="1538" w:firstLine="3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5146A6C">
      <w:start w:val="1"/>
      <w:numFmt w:val="decimal"/>
      <w:lvlText w:val="%5."/>
      <w:lvlJc w:val="left"/>
      <w:pPr>
        <w:tabs>
          <w:tab w:val="num" w:pos="2749"/>
        </w:tabs>
        <w:ind w:left="1898" w:firstLine="3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A08C542">
      <w:start w:val="1"/>
      <w:numFmt w:val="decimal"/>
      <w:lvlText w:val="%6."/>
      <w:lvlJc w:val="left"/>
      <w:pPr>
        <w:tabs>
          <w:tab w:val="num" w:pos="3109"/>
        </w:tabs>
        <w:ind w:left="2258" w:firstLine="3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D847A4A">
      <w:start w:val="1"/>
      <w:numFmt w:val="decimal"/>
      <w:lvlText w:val="%7."/>
      <w:lvlJc w:val="left"/>
      <w:pPr>
        <w:tabs>
          <w:tab w:val="num" w:pos="3469"/>
        </w:tabs>
        <w:ind w:left="2618" w:firstLine="3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05E34A8">
      <w:start w:val="1"/>
      <w:numFmt w:val="decimal"/>
      <w:lvlText w:val="%8."/>
      <w:lvlJc w:val="left"/>
      <w:pPr>
        <w:tabs>
          <w:tab w:val="num" w:pos="3829"/>
        </w:tabs>
        <w:ind w:left="2978" w:firstLine="3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C068210">
      <w:start w:val="1"/>
      <w:numFmt w:val="decimal"/>
      <w:lvlText w:val="%9."/>
      <w:lvlJc w:val="left"/>
      <w:pPr>
        <w:tabs>
          <w:tab w:val="num" w:pos="4189"/>
        </w:tabs>
        <w:ind w:left="3338" w:firstLine="3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0DEA6A8D"/>
    <w:multiLevelType w:val="hybridMultilevel"/>
    <w:tmpl w:val="0922DC64"/>
    <w:styleLink w:val="Dash"/>
    <w:lvl w:ilvl="0" w:tplc="9634CDB6">
      <w:start w:val="1"/>
      <w:numFmt w:val="bullet"/>
      <w:lvlText w:val="-"/>
      <w:lvlJc w:val="left"/>
      <w:pPr>
        <w:tabs>
          <w:tab w:val="num" w:pos="1156"/>
        </w:tabs>
        <w:ind w:left="305" w:firstLine="54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34"/>
        <w:szCs w:val="34"/>
        <w:highlight w:val="none"/>
        <w:vertAlign w:val="baseline"/>
      </w:rPr>
    </w:lvl>
    <w:lvl w:ilvl="1" w:tplc="53D6B07A">
      <w:start w:val="1"/>
      <w:numFmt w:val="bullet"/>
      <w:lvlText w:val="-"/>
      <w:lvlJc w:val="left"/>
      <w:pPr>
        <w:tabs>
          <w:tab w:val="num" w:pos="1396"/>
        </w:tabs>
        <w:ind w:left="545" w:firstLine="54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34"/>
        <w:szCs w:val="34"/>
        <w:highlight w:val="none"/>
        <w:vertAlign w:val="baseline"/>
      </w:rPr>
    </w:lvl>
    <w:lvl w:ilvl="2" w:tplc="A69425EE">
      <w:start w:val="1"/>
      <w:numFmt w:val="bullet"/>
      <w:lvlText w:val="-"/>
      <w:lvlJc w:val="left"/>
      <w:pPr>
        <w:tabs>
          <w:tab w:val="num" w:pos="1636"/>
        </w:tabs>
        <w:ind w:left="785" w:firstLine="54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34"/>
        <w:szCs w:val="34"/>
        <w:highlight w:val="none"/>
        <w:vertAlign w:val="baseline"/>
      </w:rPr>
    </w:lvl>
    <w:lvl w:ilvl="3" w:tplc="71FC2CC8">
      <w:start w:val="1"/>
      <w:numFmt w:val="bullet"/>
      <w:lvlText w:val="-"/>
      <w:lvlJc w:val="left"/>
      <w:pPr>
        <w:tabs>
          <w:tab w:val="num" w:pos="1876"/>
        </w:tabs>
        <w:ind w:left="1025" w:firstLine="54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34"/>
        <w:szCs w:val="34"/>
        <w:highlight w:val="none"/>
        <w:vertAlign w:val="baseline"/>
      </w:rPr>
    </w:lvl>
    <w:lvl w:ilvl="4" w:tplc="51129C0C">
      <w:start w:val="1"/>
      <w:numFmt w:val="bullet"/>
      <w:lvlText w:val="-"/>
      <w:lvlJc w:val="left"/>
      <w:pPr>
        <w:tabs>
          <w:tab w:val="num" w:pos="2116"/>
        </w:tabs>
        <w:ind w:left="1265" w:firstLine="54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34"/>
        <w:szCs w:val="34"/>
        <w:highlight w:val="none"/>
        <w:vertAlign w:val="baseline"/>
      </w:rPr>
    </w:lvl>
    <w:lvl w:ilvl="5" w:tplc="049C3186">
      <w:start w:val="1"/>
      <w:numFmt w:val="bullet"/>
      <w:lvlText w:val="-"/>
      <w:lvlJc w:val="left"/>
      <w:pPr>
        <w:tabs>
          <w:tab w:val="num" w:pos="2356"/>
        </w:tabs>
        <w:ind w:left="1505" w:firstLine="54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34"/>
        <w:szCs w:val="34"/>
        <w:highlight w:val="none"/>
        <w:vertAlign w:val="baseline"/>
      </w:rPr>
    </w:lvl>
    <w:lvl w:ilvl="6" w:tplc="30021010">
      <w:start w:val="1"/>
      <w:numFmt w:val="bullet"/>
      <w:lvlText w:val="-"/>
      <w:lvlJc w:val="left"/>
      <w:pPr>
        <w:tabs>
          <w:tab w:val="num" w:pos="2596"/>
        </w:tabs>
        <w:ind w:left="1745" w:firstLine="54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34"/>
        <w:szCs w:val="34"/>
        <w:highlight w:val="none"/>
        <w:vertAlign w:val="baseline"/>
      </w:rPr>
    </w:lvl>
    <w:lvl w:ilvl="7" w:tplc="9A986368">
      <w:start w:val="1"/>
      <w:numFmt w:val="bullet"/>
      <w:lvlText w:val="-"/>
      <w:lvlJc w:val="left"/>
      <w:pPr>
        <w:tabs>
          <w:tab w:val="num" w:pos="2836"/>
        </w:tabs>
        <w:ind w:left="1985" w:firstLine="54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34"/>
        <w:szCs w:val="34"/>
        <w:highlight w:val="none"/>
        <w:vertAlign w:val="baseline"/>
      </w:rPr>
    </w:lvl>
    <w:lvl w:ilvl="8" w:tplc="0A2EFBAE">
      <w:start w:val="1"/>
      <w:numFmt w:val="bullet"/>
      <w:lvlText w:val="-"/>
      <w:lvlJc w:val="left"/>
      <w:pPr>
        <w:tabs>
          <w:tab w:val="num" w:pos="3076"/>
        </w:tabs>
        <w:ind w:left="2225" w:firstLine="54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34"/>
        <w:szCs w:val="34"/>
        <w:highlight w:val="none"/>
        <w:vertAlign w:val="baseline"/>
      </w:rPr>
    </w:lvl>
  </w:abstractNum>
  <w:abstractNum w:abstractNumId="2">
    <w:nsid w:val="22E43C36"/>
    <w:multiLevelType w:val="hybridMultilevel"/>
    <w:tmpl w:val="0922DC64"/>
    <w:numStyleLink w:val="Dash"/>
  </w:abstractNum>
  <w:abstractNum w:abstractNumId="3">
    <w:nsid w:val="5654213E"/>
    <w:multiLevelType w:val="hybridMultilevel"/>
    <w:tmpl w:val="FA74C4DC"/>
    <w:styleLink w:val="Bullet"/>
    <w:lvl w:ilvl="0" w:tplc="AD74C55C">
      <w:start w:val="1"/>
      <w:numFmt w:val="bullet"/>
      <w:lvlText w:val="•"/>
      <w:lvlJc w:val="left"/>
      <w:pPr>
        <w:tabs>
          <w:tab w:val="num" w:pos="1079"/>
        </w:tabs>
        <w:ind w:left="229" w:firstLine="62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5AE3342">
      <w:start w:val="1"/>
      <w:numFmt w:val="bullet"/>
      <w:lvlText w:val="•"/>
      <w:lvlJc w:val="left"/>
      <w:pPr>
        <w:tabs>
          <w:tab w:val="num" w:pos="1259"/>
        </w:tabs>
        <w:ind w:left="409" w:firstLine="62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2" w:tplc="BC84AA20">
      <w:start w:val="1"/>
      <w:numFmt w:val="bullet"/>
      <w:lvlText w:val="•"/>
      <w:lvlJc w:val="left"/>
      <w:pPr>
        <w:tabs>
          <w:tab w:val="num" w:pos="1439"/>
        </w:tabs>
        <w:ind w:left="589" w:firstLine="62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3" w:tplc="FDBA67AA">
      <w:start w:val="1"/>
      <w:numFmt w:val="bullet"/>
      <w:lvlText w:val="•"/>
      <w:lvlJc w:val="left"/>
      <w:pPr>
        <w:tabs>
          <w:tab w:val="num" w:pos="1619"/>
        </w:tabs>
        <w:ind w:left="769" w:firstLine="62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4" w:tplc="77D0FC3A">
      <w:start w:val="1"/>
      <w:numFmt w:val="bullet"/>
      <w:lvlText w:val="•"/>
      <w:lvlJc w:val="left"/>
      <w:pPr>
        <w:tabs>
          <w:tab w:val="num" w:pos="1799"/>
        </w:tabs>
        <w:ind w:left="949" w:firstLine="62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5" w:tplc="C5503868">
      <w:start w:val="1"/>
      <w:numFmt w:val="bullet"/>
      <w:lvlText w:val="•"/>
      <w:lvlJc w:val="left"/>
      <w:pPr>
        <w:tabs>
          <w:tab w:val="num" w:pos="1979"/>
        </w:tabs>
        <w:ind w:left="1129" w:firstLine="62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6" w:tplc="7AD4B294">
      <w:start w:val="1"/>
      <w:numFmt w:val="bullet"/>
      <w:lvlText w:val="•"/>
      <w:lvlJc w:val="left"/>
      <w:pPr>
        <w:tabs>
          <w:tab w:val="num" w:pos="2159"/>
        </w:tabs>
        <w:ind w:left="1309" w:firstLine="62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7" w:tplc="62861B0A">
      <w:start w:val="1"/>
      <w:numFmt w:val="bullet"/>
      <w:lvlText w:val="•"/>
      <w:lvlJc w:val="left"/>
      <w:pPr>
        <w:tabs>
          <w:tab w:val="num" w:pos="2339"/>
        </w:tabs>
        <w:ind w:left="1489" w:firstLine="62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8" w:tplc="B53893CE">
      <w:start w:val="1"/>
      <w:numFmt w:val="bullet"/>
      <w:lvlText w:val="•"/>
      <w:lvlJc w:val="left"/>
      <w:pPr>
        <w:tabs>
          <w:tab w:val="num" w:pos="2519"/>
        </w:tabs>
        <w:ind w:left="1669" w:firstLine="62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</w:abstractNum>
  <w:abstractNum w:abstractNumId="4">
    <w:nsid w:val="588D5DF4"/>
    <w:multiLevelType w:val="hybridMultilevel"/>
    <w:tmpl w:val="81CE3046"/>
    <w:numStyleLink w:val="Numbered"/>
  </w:abstractNum>
  <w:abstractNum w:abstractNumId="5">
    <w:nsid w:val="6CB06F5F"/>
    <w:multiLevelType w:val="hybridMultilevel"/>
    <w:tmpl w:val="FA74C4DC"/>
    <w:numStyleLink w:val="Bullet"/>
  </w:abstractNum>
  <w:num w:numId="1">
    <w:abstractNumId w:val="1"/>
  </w:num>
  <w:num w:numId="2">
    <w:abstractNumId w:val="2"/>
  </w:num>
  <w:num w:numId="3">
    <w:abstractNumId w:val="3"/>
  </w:num>
  <w:num w:numId="4">
    <w:abstractNumId w:val="5"/>
  </w:num>
  <w:num w:numId="5">
    <w:abstractNumId w:val="2"/>
    <w:lvlOverride w:ilvl="0">
      <w:lvl w:ilvl="0" w:tplc="4AE0C41A">
        <w:start w:val="1"/>
        <w:numFmt w:val="bullet"/>
        <w:lvlText w:val="-"/>
        <w:lvlJc w:val="left"/>
        <w:pPr>
          <w:tabs>
            <w:tab w:val="num" w:pos="872"/>
          </w:tabs>
          <w:ind w:left="305" w:firstLine="26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1">
      <w:lvl w:ilvl="1" w:tplc="BEB225CA">
        <w:start w:val="1"/>
        <w:numFmt w:val="bullet"/>
        <w:lvlText w:val="-"/>
        <w:lvlJc w:val="left"/>
        <w:pPr>
          <w:tabs>
            <w:tab w:val="num" w:pos="1112"/>
          </w:tabs>
          <w:ind w:left="545" w:firstLine="26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2">
      <w:lvl w:ilvl="2" w:tplc="1334175C">
        <w:start w:val="1"/>
        <w:numFmt w:val="bullet"/>
        <w:lvlText w:val="-"/>
        <w:lvlJc w:val="left"/>
        <w:pPr>
          <w:tabs>
            <w:tab w:val="num" w:pos="1352"/>
          </w:tabs>
          <w:ind w:left="785" w:firstLine="26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3">
      <w:lvl w:ilvl="3" w:tplc="6ED096B4">
        <w:start w:val="1"/>
        <w:numFmt w:val="bullet"/>
        <w:lvlText w:val="-"/>
        <w:lvlJc w:val="left"/>
        <w:pPr>
          <w:tabs>
            <w:tab w:val="num" w:pos="1592"/>
          </w:tabs>
          <w:ind w:left="1025" w:firstLine="26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4">
      <w:lvl w:ilvl="4" w:tplc="10108F86">
        <w:start w:val="1"/>
        <w:numFmt w:val="bullet"/>
        <w:lvlText w:val="-"/>
        <w:lvlJc w:val="left"/>
        <w:pPr>
          <w:tabs>
            <w:tab w:val="num" w:pos="1832"/>
          </w:tabs>
          <w:ind w:left="1265" w:firstLine="26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5">
      <w:lvl w:ilvl="5" w:tplc="9836EE92">
        <w:start w:val="1"/>
        <w:numFmt w:val="bullet"/>
        <w:lvlText w:val="-"/>
        <w:lvlJc w:val="left"/>
        <w:pPr>
          <w:tabs>
            <w:tab w:val="num" w:pos="2072"/>
          </w:tabs>
          <w:ind w:left="1505" w:firstLine="26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6">
      <w:lvl w:ilvl="6" w:tplc="1BB420D6">
        <w:start w:val="1"/>
        <w:numFmt w:val="bullet"/>
        <w:lvlText w:val="-"/>
        <w:lvlJc w:val="left"/>
        <w:pPr>
          <w:tabs>
            <w:tab w:val="num" w:pos="2312"/>
          </w:tabs>
          <w:ind w:left="1745" w:firstLine="26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7">
      <w:lvl w:ilvl="7" w:tplc="1806EB90">
        <w:start w:val="1"/>
        <w:numFmt w:val="bullet"/>
        <w:lvlText w:val="-"/>
        <w:lvlJc w:val="left"/>
        <w:pPr>
          <w:tabs>
            <w:tab w:val="num" w:pos="2552"/>
          </w:tabs>
          <w:ind w:left="1985" w:firstLine="26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8">
      <w:lvl w:ilvl="8" w:tplc="AFBC4BB6">
        <w:start w:val="1"/>
        <w:numFmt w:val="bullet"/>
        <w:lvlText w:val="-"/>
        <w:lvlJc w:val="left"/>
        <w:pPr>
          <w:tabs>
            <w:tab w:val="num" w:pos="2792"/>
          </w:tabs>
          <w:ind w:left="2225" w:firstLine="26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</w:num>
  <w:num w:numId="6">
    <w:abstractNumId w:val="2"/>
    <w:lvlOverride w:ilvl="0">
      <w:lvl w:ilvl="0" w:tplc="4AE0C41A">
        <w:start w:val="1"/>
        <w:numFmt w:val="bullet"/>
        <w:lvlText w:val="-"/>
        <w:lvlJc w:val="left"/>
        <w:pPr>
          <w:tabs>
            <w:tab w:val="num" w:pos="872"/>
          </w:tabs>
          <w:ind w:left="305" w:firstLine="2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1">
      <w:lvl w:ilvl="1" w:tplc="BEB225CA">
        <w:start w:val="1"/>
        <w:numFmt w:val="bullet"/>
        <w:lvlText w:val="-"/>
        <w:lvlJc w:val="left"/>
        <w:pPr>
          <w:tabs>
            <w:tab w:val="num" w:pos="1112"/>
          </w:tabs>
          <w:ind w:left="545" w:firstLine="2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2">
      <w:lvl w:ilvl="2" w:tplc="1334175C">
        <w:start w:val="1"/>
        <w:numFmt w:val="bullet"/>
        <w:lvlText w:val="-"/>
        <w:lvlJc w:val="left"/>
        <w:pPr>
          <w:tabs>
            <w:tab w:val="num" w:pos="1352"/>
          </w:tabs>
          <w:ind w:left="785" w:firstLine="2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3">
      <w:lvl w:ilvl="3" w:tplc="6ED096B4">
        <w:start w:val="1"/>
        <w:numFmt w:val="bullet"/>
        <w:lvlText w:val="-"/>
        <w:lvlJc w:val="left"/>
        <w:pPr>
          <w:tabs>
            <w:tab w:val="num" w:pos="1592"/>
          </w:tabs>
          <w:ind w:left="1025" w:firstLine="2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4">
      <w:lvl w:ilvl="4" w:tplc="10108F86">
        <w:start w:val="1"/>
        <w:numFmt w:val="bullet"/>
        <w:lvlText w:val="-"/>
        <w:lvlJc w:val="left"/>
        <w:pPr>
          <w:tabs>
            <w:tab w:val="num" w:pos="1832"/>
          </w:tabs>
          <w:ind w:left="1265" w:firstLine="2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5">
      <w:lvl w:ilvl="5" w:tplc="9836EE92">
        <w:start w:val="1"/>
        <w:numFmt w:val="bullet"/>
        <w:lvlText w:val="-"/>
        <w:lvlJc w:val="left"/>
        <w:pPr>
          <w:tabs>
            <w:tab w:val="num" w:pos="2072"/>
          </w:tabs>
          <w:ind w:left="1505" w:firstLine="2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6">
      <w:lvl w:ilvl="6" w:tplc="1BB420D6">
        <w:start w:val="1"/>
        <w:numFmt w:val="bullet"/>
        <w:lvlText w:val="-"/>
        <w:lvlJc w:val="left"/>
        <w:pPr>
          <w:tabs>
            <w:tab w:val="num" w:pos="2312"/>
          </w:tabs>
          <w:ind w:left="1745" w:firstLine="2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7">
      <w:lvl w:ilvl="7" w:tplc="1806EB90">
        <w:start w:val="1"/>
        <w:numFmt w:val="bullet"/>
        <w:lvlText w:val="-"/>
        <w:lvlJc w:val="left"/>
        <w:pPr>
          <w:tabs>
            <w:tab w:val="num" w:pos="2552"/>
          </w:tabs>
          <w:ind w:left="1985" w:firstLine="2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  <w:lvlOverride w:ilvl="8">
      <w:lvl w:ilvl="8" w:tplc="AFBC4BB6">
        <w:start w:val="1"/>
        <w:numFmt w:val="bullet"/>
        <w:lvlText w:val="-"/>
        <w:lvlJc w:val="left"/>
        <w:pPr>
          <w:tabs>
            <w:tab w:val="num" w:pos="2792"/>
          </w:tabs>
          <w:ind w:left="2225" w:firstLine="2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4"/>
          <w:sz w:val="34"/>
          <w:szCs w:val="34"/>
          <w:highlight w:val="none"/>
          <w:vertAlign w:val="baseline"/>
        </w:rPr>
      </w:lvl>
    </w:lvlOverride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revisionView w:formatting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5639DF"/>
    <w:rsid w:val="005639DF"/>
    <w:rsid w:val="00876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uk-UA" w:eastAsia="uk-UA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sz w:val="24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Body">
    <w:name w:val="Body"/>
    <w:rPr>
      <w:rFonts w:ascii="Helvetica Neue" w:hAnsi="Helvetica Neue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numbering" w:customStyle="1" w:styleId="Dash">
    <w:name w:val="Dash"/>
    <w:pPr>
      <w:numPr>
        <w:numId w:val="1"/>
      </w:numPr>
    </w:pPr>
  </w:style>
  <w:style w:type="numbering" w:customStyle="1" w:styleId="Bullet">
    <w:name w:val="Bullet"/>
    <w:pPr>
      <w:numPr>
        <w:numId w:val="3"/>
      </w:numPr>
    </w:pPr>
  </w:style>
  <w:style w:type="paragraph" w:customStyle="1" w:styleId="Default">
    <w:name w:val="Default"/>
    <w:pPr>
      <w:spacing w:before="160" w:line="288" w:lineRule="auto"/>
    </w:pPr>
    <w:rPr>
      <w:rFonts w:ascii="Helvetica Neue" w:hAnsi="Helvetica Neue" w:cs="Arial Unicode MS"/>
      <w:color w:val="000000"/>
      <w:sz w:val="24"/>
      <w:szCs w:val="24"/>
      <w:lang w:val="en-US"/>
      <w14:textOutline w14:w="0" w14:cap="flat" w14:cmpd="sng" w14:algn="ctr">
        <w14:noFill/>
        <w14:prstDash w14:val="solid"/>
        <w14:bevel/>
      </w14:textOutline>
    </w:rPr>
  </w:style>
  <w:style w:type="paragraph" w:customStyle="1" w:styleId="TableStyle2">
    <w:name w:val="Table Style 2"/>
    <w:rPr>
      <w:rFonts w:ascii="Helvetica Neue" w:eastAsia="Helvetica Neue" w:hAnsi="Helvetica Neue" w:cs="Helvetica Neue"/>
      <w:color w:val="000000"/>
      <w14:textOutline w14:w="0" w14:cap="flat" w14:cmpd="sng" w14:algn="ctr">
        <w14:noFill/>
        <w14:prstDash w14:val="solid"/>
        <w14:bevel/>
      </w14:textOutline>
    </w:rPr>
  </w:style>
  <w:style w:type="numbering" w:customStyle="1" w:styleId="Numbered">
    <w:name w:val="Numbered"/>
    <w:pPr>
      <w:numPr>
        <w:numId w:val="7"/>
      </w:numPr>
    </w:pPr>
  </w:style>
  <w:style w:type="character" w:customStyle="1" w:styleId="Hyperlink0">
    <w:name w:val="Hyperlink.0"/>
    <w:basedOn w:val="a3"/>
    <w:rPr>
      <w:u w:val="single"/>
    </w:rPr>
  </w:style>
  <w:style w:type="character" w:customStyle="1" w:styleId="None">
    <w:name w:val="None"/>
  </w:style>
  <w:style w:type="character" w:customStyle="1" w:styleId="Hyperlink1">
    <w:name w:val="Hyperlink.1"/>
    <w:basedOn w:val="None"/>
    <w:rPr>
      <w:u w:val="single" w:color="0000E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uk-UA" w:eastAsia="uk-UA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sz w:val="24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Body">
    <w:name w:val="Body"/>
    <w:rPr>
      <w:rFonts w:ascii="Helvetica Neue" w:hAnsi="Helvetica Neue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numbering" w:customStyle="1" w:styleId="Dash">
    <w:name w:val="Dash"/>
    <w:pPr>
      <w:numPr>
        <w:numId w:val="1"/>
      </w:numPr>
    </w:pPr>
  </w:style>
  <w:style w:type="numbering" w:customStyle="1" w:styleId="Bullet">
    <w:name w:val="Bullet"/>
    <w:pPr>
      <w:numPr>
        <w:numId w:val="3"/>
      </w:numPr>
    </w:pPr>
  </w:style>
  <w:style w:type="paragraph" w:customStyle="1" w:styleId="Default">
    <w:name w:val="Default"/>
    <w:pPr>
      <w:spacing w:before="160" w:line="288" w:lineRule="auto"/>
    </w:pPr>
    <w:rPr>
      <w:rFonts w:ascii="Helvetica Neue" w:hAnsi="Helvetica Neue" w:cs="Arial Unicode MS"/>
      <w:color w:val="000000"/>
      <w:sz w:val="24"/>
      <w:szCs w:val="24"/>
      <w:lang w:val="en-US"/>
      <w14:textOutline w14:w="0" w14:cap="flat" w14:cmpd="sng" w14:algn="ctr">
        <w14:noFill/>
        <w14:prstDash w14:val="solid"/>
        <w14:bevel/>
      </w14:textOutline>
    </w:rPr>
  </w:style>
  <w:style w:type="paragraph" w:customStyle="1" w:styleId="TableStyle2">
    <w:name w:val="Table Style 2"/>
    <w:rPr>
      <w:rFonts w:ascii="Helvetica Neue" w:eastAsia="Helvetica Neue" w:hAnsi="Helvetica Neue" w:cs="Helvetica Neue"/>
      <w:color w:val="000000"/>
      <w14:textOutline w14:w="0" w14:cap="flat" w14:cmpd="sng" w14:algn="ctr">
        <w14:noFill/>
        <w14:prstDash w14:val="solid"/>
        <w14:bevel/>
      </w14:textOutline>
    </w:rPr>
  </w:style>
  <w:style w:type="numbering" w:customStyle="1" w:styleId="Numbered">
    <w:name w:val="Numbered"/>
    <w:pPr>
      <w:numPr>
        <w:numId w:val="7"/>
      </w:numPr>
    </w:pPr>
  </w:style>
  <w:style w:type="character" w:customStyle="1" w:styleId="Hyperlink0">
    <w:name w:val="Hyperlink.0"/>
    <w:basedOn w:val="a3"/>
    <w:rPr>
      <w:u w:val="single"/>
    </w:rPr>
  </w:style>
  <w:style w:type="character" w:customStyle="1" w:styleId="None">
    <w:name w:val="None"/>
  </w:style>
  <w:style w:type="character" w:customStyle="1" w:styleId="Hyperlink1">
    <w:name w:val="Hyperlink.1"/>
    <w:basedOn w:val="None"/>
    <w:rPr>
      <w:u w:val="single" w:color="0000E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ataweb.usitc.gov/trade" TargetMode="External"/><Relationship Id="rId18" Type="http://schemas.openxmlformats.org/officeDocument/2006/relationships/hyperlink" Target="https://www.tandfonline.com/doi/pdf/10.1080/09692290.2019.1675741" TargetMode="External"/><Relationship Id="rId26" Type="http://schemas.openxmlformats.org/officeDocument/2006/relationships/hyperlink" Target="https://data.imf.org/?sk=7A51304B-6426-40C0-83DD-CA473CA1FD52&amp;sId=1542633711584" TargetMode="External"/><Relationship Id="rId39" Type="http://schemas.openxmlformats.org/officeDocument/2006/relationships/hyperlink" Target="https://ustr.gov/about-us/policy-offices/press-office/press-releases/2021/april/ustr-releases-annual-special-301-report-intellectual-property-protection#:~:text=Nine%20countries%20%E2%80%94%20Argentina%2C%20Chile%2C,engagement%20during%20the%20coming%20year" TargetMode="External"/><Relationship Id="rId21" Type="http://schemas.openxmlformats.org/officeDocument/2006/relationships/hyperlink" Target="https://unctad.org/system/files/official-document/diaeia2020d1_en.pdf" TargetMode="External"/><Relationship Id="rId34" Type="http://schemas.openxmlformats.org/officeDocument/2006/relationships/hyperlink" Target="https://bank.gov.ua" TargetMode="External"/><Relationship Id="rId42" Type="http://schemas.openxmlformats.org/officeDocument/2006/relationships/hyperlink" Target="http://zakon.nau.ua/doc/" TargetMode="External"/><Relationship Id="rId47" Type="http://schemas.openxmlformats.org/officeDocument/2006/relationships/hyperlink" Target="https://www.tandfonline.com/doi/pdf/10.1080/0163660X.2019.1666355?needAccess=true." TargetMode="External"/><Relationship Id="rId50" Type="http://schemas.openxmlformats.org/officeDocument/2006/relationships/hyperlink" Target="https://www.ft.com/content/c976cde2-6cd0-11e9-80c7-60ee53e6681d" TargetMode="External"/><Relationship Id="rId55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ustr.gov/issue-areas/enforcement/dispute-settlement-proceedings/wto-dispute-settlement/disputes-sorted-respo" TargetMode="External"/><Relationship Id="rId17" Type="http://schemas.openxmlformats.org/officeDocument/2006/relationships/hyperlink" Target="https://www.chinadaily.com.cn/a/201910/15/WS5da4f941a310cf3e35570719_11.html" TargetMode="External"/><Relationship Id="rId25" Type="http://schemas.openxmlformats.org/officeDocument/2006/relationships/hyperlink" Target="http://www.stats.gov.cn/english/Statisticaldata/AnnualData/" TargetMode="External"/><Relationship Id="rId33" Type="http://schemas.openxmlformats.org/officeDocument/2006/relationships/hyperlink" Target="https://bank.gov.ua/files/ES/ExDebt_y.pdf" TargetMode="External"/><Relationship Id="rId38" Type="http://schemas.openxmlformats.org/officeDocument/2006/relationships/hyperlink" Target="https://santandertrade.com/en/portal/establish-overseas/china/foreign-investment" TargetMode="External"/><Relationship Id="rId46" Type="http://schemas.openxmlformats.org/officeDocument/2006/relationships/hyperlink" Target="https://www.boc.cn/en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bea.gov/news/2021/gross-domestic-product-4th-quarter-and-year-2020-advance-estimate" TargetMode="External"/><Relationship Id="rId20" Type="http://schemas.openxmlformats.org/officeDocument/2006/relationships/hyperlink" Target="https://www.finam.ru/analysis/newsitem/na-ssha-prixoditsya-56-obsheiy-stoimosti-mirovogo-fondovogo-rynka-20210418-11000/" TargetMode="External"/><Relationship Id="rId29" Type="http://schemas.openxmlformats.org/officeDocument/2006/relationships/hyperlink" Target="https://data.oecd.org/" TargetMode="External"/><Relationship Id="rId41" Type="http://schemas.openxmlformats.org/officeDocument/2006/relationships/hyperlink" Target="http://zakon4.rada.gov.ua/laws/show/840_140" TargetMode="External"/><Relationship Id="rId54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24" Type="http://schemas.openxmlformats.org/officeDocument/2006/relationships/hyperlink" Target="https://www.aei.org/research-products/report/chinas-coming-global-investment-recovery-how-far-will-it-go/" TargetMode="External"/><Relationship Id="rId32" Type="http://schemas.openxmlformats.org/officeDocument/2006/relationships/hyperlink" Target="https://www.bbc.com/ukrainian/features-54868246" TargetMode="External"/><Relationship Id="rId37" Type="http://schemas.openxmlformats.org/officeDocument/2006/relationships/hyperlink" Target="https://www.wsj.com/articles/china-overtakes-u-s-as-worlds-leading-destination-for-foreign-direct-investment-11611511200" TargetMode="External"/><Relationship Id="rId40" Type="http://schemas.openxmlformats.org/officeDocument/2006/relationships/hyperlink" Target="http://zakon.nau.ua/" TargetMode="External"/><Relationship Id="rId45" Type="http://schemas.openxmlformats.org/officeDocument/2006/relationships/hyperlink" Target="https://unctad.org/system/files/official-document/ser-rp-2019d9_en.pdf" TargetMode="External"/><Relationship Id="rId53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s://www.nytimes.com/2019/06/26/world/asia/united-states-china-conflict.html" TargetMode="External"/><Relationship Id="rId23" Type="http://schemas.openxmlformats.org/officeDocument/2006/relationships/hyperlink" Target="https://fortune.com/global500/" TargetMode="External"/><Relationship Id="rId28" Type="http://schemas.openxmlformats.org/officeDocument/2006/relationships/hyperlink" Target="http://www.safe.gov.cn/en/China/index.html" TargetMode="External"/><Relationship Id="rId36" Type="http://schemas.openxmlformats.org/officeDocument/2006/relationships/hyperlink" Target="https://www.google.com.ua/amp/s/russian.rt.com/ussr/article/844347-motor-sich-sbu-arest-kitai/amp" TargetMode="External"/><Relationship Id="rId49" Type="http://schemas.openxmlformats.org/officeDocument/2006/relationships/hyperlink" Target="https://www.imf.org/external/datamapper/datasets/WEO/1" TargetMode="External"/><Relationship Id="rId10" Type="http://schemas.openxmlformats.org/officeDocument/2006/relationships/chart" Target="charts/chart3.xml"/><Relationship Id="rId19" Type="http://schemas.openxmlformats.org/officeDocument/2006/relationships/hyperlink" Target="https://www.inepan.pl/pliki/studia_ekonomiczne/Studia%202010%204%2002A.Zorska.pdf" TargetMode="External"/><Relationship Id="rId31" Type="http://schemas.openxmlformats.org/officeDocument/2006/relationships/hyperlink" Target="https://ua.usembassy.gov/uk/our-relationship-uk/policy-history-uk/" TargetMode="External"/><Relationship Id="rId44" Type="http://schemas.openxmlformats.org/officeDocument/2006/relationships/hyperlink" Target="https://www.federalreserve.gov/" TargetMode="External"/><Relationship Id="rId52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hyperlink" Target="https://www.imf.org/en/Publications/WP/Issues/2019/03/26/The-Return-of-the-Policy-That-Shall-Not-Be-Named-Principles-of-Industrial-Policy-46710" TargetMode="External"/><Relationship Id="rId22" Type="http://schemas.openxmlformats.org/officeDocument/2006/relationships/hyperlink" Target="https://unctad.org/system/files/official-document/wir2020_en.pdf" TargetMode="External"/><Relationship Id="rId27" Type="http://schemas.openxmlformats.org/officeDocument/2006/relationships/hyperlink" Target="https://data.worldbank.org/products/#ids" TargetMode="External"/><Relationship Id="rId30" Type="http://schemas.openxmlformats.org/officeDocument/2006/relationships/hyperlink" Target="https://www.loc.gov/crsinfo/about/" TargetMode="External"/><Relationship Id="rId35" Type="http://schemas.openxmlformats.org/officeDocument/2006/relationships/hyperlink" Target="https://zakon.rada.gov.ua/laws/show/2673-12" TargetMode="External"/><Relationship Id="rId43" Type="http://schemas.openxmlformats.org/officeDocument/2006/relationships/hyperlink" Target="https://documents1.worldbank.org/curated/en/688761571934946384/pdf/Doing-Business-2020-Comparing-Business-Regulation-in-190-Economies.pdf" TargetMode="External"/><Relationship Id="rId48" Type="http://schemas.openxmlformats.org/officeDocument/2006/relationships/hyperlink" Target="https://link.springer.com/content/pdf/10.1007/s40647-020-00302-6.pdf" TargetMode="External"/><Relationship Id="rId8" Type="http://schemas.openxmlformats.org/officeDocument/2006/relationships/chart" Target="charts/chart1.xml"/><Relationship Id="rId51" Type="http://schemas.openxmlformats.org/officeDocument/2006/relationships/hyperlink" Target="https://www.whitehouse.gov/briefingsstatements/remarks-president-trump-press-conference-osaka-japan/" TargetMode="External"/><Relationship Id="rId3" Type="http://schemas.microsoft.com/office/2007/relationships/stylesWithEffects" Target="stylesWithEffect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4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uk-UA"/>
  <c:roundedCorners val="0"/>
  <c:style val="2"/>
  <c:chart>
    <c:autoTitleDeleted val="1"/>
    <c:plotArea>
      <c:layout>
        <c:manualLayout>
          <c:layoutTarget val="inner"/>
          <c:xMode val="edge"/>
          <c:yMode val="edge"/>
          <c:x val="4.0341799999999997E-2"/>
          <c:y val="0.25571700000000003"/>
          <c:w val="0.93312399999999995"/>
          <c:h val="0.59540499999999996"/>
        </c:manualLayout>
      </c:layout>
      <c:lineChart>
        <c:grouping val="standar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США</c:v>
                </c:pt>
              </c:strCache>
            </c:strRef>
          </c:tx>
          <c:spPr>
            <a:ln w="50800" cap="flat">
              <a:solidFill>
                <a:schemeClr val="accent1">
                  <a:lumOff val="16847"/>
                </a:schemeClr>
              </a:solidFill>
              <a:prstDash val="solid"/>
              <a:miter lim="400000"/>
            </a:ln>
            <a:effectLst/>
          </c:spPr>
          <c:marker>
            <c:symbol val="circle"/>
            <c:size val="2"/>
            <c:spPr>
              <a:solidFill>
                <a:srgbClr val="FFFFFF"/>
              </a:solidFill>
              <a:ln w="50800" cap="flat">
                <a:solidFill>
                  <a:schemeClr val="accent1">
                    <a:lumOff val="16847"/>
                  </a:schemeClr>
                </a:solidFill>
                <a:prstDash val="solid"/>
                <a:miter lim="400000"/>
              </a:ln>
              <a:effectLst/>
            </c:spPr>
          </c:marker>
          <c:cat>
            <c:strRef>
              <c:f>Sheet1!$B$1:$V$1</c:f>
              <c:strCach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strCache>
            </c:strRef>
          </c:cat>
          <c:val>
            <c:numRef>
              <c:f>Sheet1!$B$2:$V$2</c:f>
              <c:numCache>
                <c:formatCode>General</c:formatCode>
                <c:ptCount val="21"/>
                <c:pt idx="0">
                  <c:v>2.629</c:v>
                </c:pt>
                <c:pt idx="1">
                  <c:v>2.6480000000000001</c:v>
                </c:pt>
                <c:pt idx="2">
                  <c:v>2.5590000000000002</c:v>
                </c:pt>
                <c:pt idx="3">
                  <c:v>2.5649999999999999</c:v>
                </c:pt>
                <c:pt idx="4">
                  <c:v>2.5019999999999998</c:v>
                </c:pt>
                <c:pt idx="5">
                  <c:v>2.5169999999999999</c:v>
                </c:pt>
                <c:pt idx="6">
                  <c:v>2.5579999999999998</c:v>
                </c:pt>
                <c:pt idx="7">
                  <c:v>2.6320000000000001</c:v>
                </c:pt>
                <c:pt idx="8">
                  <c:v>2.7679999999999998</c:v>
                </c:pt>
                <c:pt idx="9">
                  <c:v>2.8130000000000002</c:v>
                </c:pt>
                <c:pt idx="10">
                  <c:v>2.7349999999999999</c:v>
                </c:pt>
                <c:pt idx="11">
                  <c:v>2.7650000000000001</c:v>
                </c:pt>
                <c:pt idx="12">
                  <c:v>2.6819999999999999</c:v>
                </c:pt>
                <c:pt idx="13">
                  <c:v>2.7120000000000002</c:v>
                </c:pt>
                <c:pt idx="14">
                  <c:v>2.7210000000000001</c:v>
                </c:pt>
                <c:pt idx="15">
                  <c:v>2.7189999999999999</c:v>
                </c:pt>
                <c:pt idx="16">
                  <c:v>2.7879999999999998</c:v>
                </c:pt>
                <c:pt idx="17">
                  <c:v>2.847</c:v>
                </c:pt>
                <c:pt idx="18">
                  <c:v>2.9470000000000001</c:v>
                </c:pt>
                <c:pt idx="19">
                  <c:v>3.0670000000000002</c:v>
                </c:pt>
                <c:pt idx="20">
                  <c:v>3.0670000000000002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КНР</c:v>
                </c:pt>
              </c:strCache>
            </c:strRef>
          </c:tx>
          <c:spPr>
            <a:ln w="50800" cap="flat">
              <a:solidFill>
                <a:schemeClr val="accent1"/>
              </a:solidFill>
              <a:prstDash val="solid"/>
              <a:miter lim="400000"/>
            </a:ln>
            <a:effectLst/>
          </c:spPr>
          <c:marker>
            <c:symbol val="circle"/>
            <c:size val="2"/>
            <c:spPr>
              <a:solidFill>
                <a:srgbClr val="FFFFFF"/>
              </a:solidFill>
              <a:ln w="50800" cap="flat">
                <a:solidFill>
                  <a:schemeClr val="accent1"/>
                </a:solidFill>
                <a:prstDash val="solid"/>
                <a:miter lim="400000"/>
              </a:ln>
              <a:effectLst/>
            </c:spPr>
          </c:marker>
          <c:cat>
            <c:strRef>
              <c:f>Sheet1!$B$1:$V$1</c:f>
              <c:strCach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strCache>
            </c:strRef>
          </c:cat>
          <c:val>
            <c:numRef>
              <c:f>Sheet1!$B$3:$V$3</c:f>
              <c:numCache>
                <c:formatCode>General</c:formatCode>
                <c:ptCount val="21"/>
                <c:pt idx="0">
                  <c:v>0.89300000000000002</c:v>
                </c:pt>
                <c:pt idx="1">
                  <c:v>0.94</c:v>
                </c:pt>
                <c:pt idx="2">
                  <c:v>1.0580000000000001</c:v>
                </c:pt>
                <c:pt idx="3">
                  <c:v>1.1200000000000001</c:v>
                </c:pt>
                <c:pt idx="4">
                  <c:v>1.2150000000000001</c:v>
                </c:pt>
                <c:pt idx="5">
                  <c:v>1.3080000000000001</c:v>
                </c:pt>
                <c:pt idx="6">
                  <c:v>1.369</c:v>
                </c:pt>
                <c:pt idx="7">
                  <c:v>1.3740000000000001</c:v>
                </c:pt>
                <c:pt idx="8">
                  <c:v>1.446</c:v>
                </c:pt>
                <c:pt idx="9">
                  <c:v>1.665</c:v>
                </c:pt>
                <c:pt idx="10">
                  <c:v>1.714</c:v>
                </c:pt>
                <c:pt idx="11">
                  <c:v>1.78</c:v>
                </c:pt>
                <c:pt idx="12">
                  <c:v>1.9119999999999999</c:v>
                </c:pt>
                <c:pt idx="13">
                  <c:v>1.998</c:v>
                </c:pt>
                <c:pt idx="14">
                  <c:v>2.0219999999999998</c:v>
                </c:pt>
                <c:pt idx="15">
                  <c:v>2.0569999999999999</c:v>
                </c:pt>
                <c:pt idx="16">
                  <c:v>2.1</c:v>
                </c:pt>
                <c:pt idx="17">
                  <c:v>2.1160000000000001</c:v>
                </c:pt>
                <c:pt idx="18">
                  <c:v>2.141</c:v>
                </c:pt>
                <c:pt idx="19">
                  <c:v>2.2349999999999999</c:v>
                </c:pt>
                <c:pt idx="20">
                  <c:v>2.2480000000000002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7979136"/>
        <c:axId val="79959168"/>
      </c:lineChart>
      <c:catAx>
        <c:axId val="27979136"/>
        <c:scaling>
          <c:orientation val="minMax"/>
        </c:scaling>
        <c:delete val="0"/>
        <c:axPos val="b"/>
        <c:majorGridlines>
          <c:spPr>
            <a:ln w="12700" cap="flat">
              <a:solidFill>
                <a:srgbClr val="B8B8B8"/>
              </a:solidFill>
              <a:prstDash val="solid"/>
              <a:miter lim="400000"/>
            </a:ln>
          </c:spPr>
        </c:majorGridlines>
        <c:numFmt formatCode="General" sourceLinked="0"/>
        <c:majorTickMark val="none"/>
        <c:minorTickMark val="none"/>
        <c:tickLblPos val="low"/>
        <c:spPr>
          <a:ln w="12700" cap="flat">
            <a:solidFill>
              <a:srgbClr val="000000"/>
            </a:solidFill>
            <a:prstDash val="solid"/>
            <a:miter lim="400000"/>
          </a:ln>
        </c:spPr>
        <c:txPr>
          <a:bodyPr rot="0"/>
          <a:lstStyle/>
          <a:p>
            <a:pPr>
              <a:defRPr sz="1230" b="0" i="0" u="none" strike="noStrike">
                <a:solidFill>
                  <a:srgbClr val="000000"/>
                </a:solidFill>
                <a:latin typeface="Times New Roman"/>
              </a:defRPr>
            </a:pPr>
            <a:endParaRPr lang="uk-UA"/>
          </a:p>
        </c:txPr>
        <c:crossAx val="79959168"/>
        <c:crosses val="autoZero"/>
        <c:auto val="1"/>
        <c:lblAlgn val="ctr"/>
        <c:lblOffset val="100"/>
        <c:noMultiLvlLbl val="1"/>
      </c:catAx>
      <c:valAx>
        <c:axId val="79959168"/>
        <c:scaling>
          <c:orientation val="minMax"/>
        </c:scaling>
        <c:delete val="0"/>
        <c:axPos val="l"/>
        <c:majorGridlines>
          <c:spPr>
            <a:ln w="6350" cap="flat">
              <a:solidFill>
                <a:srgbClr val="B8B8B8"/>
              </a:solidFill>
              <a:prstDash val="solid"/>
              <a:miter lim="400000"/>
            </a:ln>
          </c:spPr>
        </c:majorGridlines>
        <c:numFmt formatCode="General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sz="1230" b="0" i="0" u="none" strike="noStrike">
                <a:solidFill>
                  <a:srgbClr val="000000"/>
                </a:solidFill>
                <a:latin typeface="Times New Roman"/>
              </a:defRPr>
            </a:pPr>
            <a:endParaRPr lang="uk-UA"/>
          </a:p>
        </c:txPr>
        <c:crossAx val="27979136"/>
        <c:crosses val="autoZero"/>
        <c:crossBetween val="midCat"/>
        <c:majorUnit val="1"/>
        <c:minorUnit val="0.5"/>
      </c:valAx>
      <c:spPr>
        <a:noFill/>
        <a:ln w="12700" cap="flat">
          <a:solidFill>
            <a:srgbClr val="000000"/>
          </a:solidFill>
          <a:prstDash val="solid"/>
          <a:miter lim="400000"/>
        </a:ln>
        <a:effectLst/>
      </c:spPr>
    </c:plotArea>
    <c:legend>
      <c:legendPos val="t"/>
      <c:layout>
        <c:manualLayout>
          <c:xMode val="edge"/>
          <c:yMode val="edge"/>
          <c:x val="2.7561599999999999E-2"/>
          <c:y val="0"/>
          <c:w val="0.91329000000000005"/>
          <c:h val="0.124778"/>
        </c:manualLayout>
      </c:layout>
      <c:overlay val="1"/>
      <c:spPr>
        <a:noFill/>
        <a:ln w="12700" cap="flat">
          <a:noFill/>
          <a:miter lim="400000"/>
        </a:ln>
        <a:effectLst/>
      </c:spPr>
      <c:txPr>
        <a:bodyPr rot="0"/>
        <a:lstStyle/>
        <a:p>
          <a:pPr>
            <a:defRPr sz="1230" b="0" i="0" u="none" strike="noStrike">
              <a:solidFill>
                <a:srgbClr val="000000"/>
              </a:solidFill>
              <a:latin typeface="Times New Roman"/>
            </a:defRPr>
          </a:pPr>
          <a:endParaRPr lang="uk-UA"/>
        </a:p>
      </c:txPr>
    </c:legend>
    <c:plotVisOnly val="1"/>
    <c:dispBlanksAs val="gap"/>
    <c:showDLblsOverMax val="1"/>
  </c:chart>
  <c:spPr>
    <a:noFill/>
    <a:ln>
      <a:noFill/>
    </a:ln>
    <a:effectLst/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uk-UA"/>
  <c:roundedCorners val="0"/>
  <c:style val="2"/>
  <c:chart>
    <c:autoTitleDeleted val="1"/>
    <c:plotArea>
      <c:layout>
        <c:manualLayout>
          <c:layoutTarget val="inner"/>
          <c:xMode val="edge"/>
          <c:yMode val="edge"/>
          <c:x val="9.9938600000000002E-2"/>
          <c:y val="0.16849600000000001"/>
          <c:w val="0.88968499999999995"/>
          <c:h val="0.70385200000000003"/>
        </c:manualLayout>
      </c:layout>
      <c:lineChart>
        <c:grouping val="standar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КНР</c:v>
                </c:pt>
              </c:strCache>
            </c:strRef>
          </c:tx>
          <c:spPr>
            <a:ln w="50800" cap="flat">
              <a:solidFill>
                <a:schemeClr val="accent1">
                  <a:lumOff val="16847"/>
                </a:schemeClr>
              </a:solidFill>
              <a:prstDash val="solid"/>
              <a:miter lim="400000"/>
            </a:ln>
            <a:effectLst/>
          </c:spPr>
          <c:marker>
            <c:symbol val="circle"/>
            <c:size val="2"/>
            <c:spPr>
              <a:solidFill>
                <a:srgbClr val="FFFFFF"/>
              </a:solidFill>
              <a:ln w="50800" cap="flat">
                <a:solidFill>
                  <a:schemeClr val="accent1">
                    <a:lumOff val="16847"/>
                  </a:schemeClr>
                </a:solidFill>
                <a:prstDash val="solid"/>
                <a:miter lim="400000"/>
              </a:ln>
              <a:effectLst/>
            </c:spPr>
          </c:marker>
          <c:cat>
            <c:strRef>
              <c:f>Sheet1!$A$2:$A$21</c:f>
              <c:strCache>
                <c:ptCount val="20"/>
                <c:pt idx="0">
                  <c:v>2001</c:v>
                </c:pt>
                <c:pt idx="1">
                  <c:v>2002</c:v>
                </c:pt>
                <c:pt idx="2">
                  <c:v>2003</c:v>
                </c:pt>
                <c:pt idx="3">
                  <c:v>2004</c:v>
                </c:pt>
                <c:pt idx="4">
                  <c:v>2005</c:v>
                </c:pt>
                <c:pt idx="5">
                  <c:v>2006</c:v>
                </c:pt>
                <c:pt idx="6">
                  <c:v>2007</c:v>
                </c:pt>
                <c:pt idx="7">
                  <c:v>2008</c:v>
                </c:pt>
                <c:pt idx="8">
                  <c:v>2009</c:v>
                </c:pt>
                <c:pt idx="9">
                  <c:v>2010</c:v>
                </c:pt>
                <c:pt idx="10">
                  <c:v>2011</c:v>
                </c:pt>
                <c:pt idx="11">
                  <c:v>2012</c:v>
                </c:pt>
                <c:pt idx="12">
                  <c:v>2013</c:v>
                </c:pt>
                <c:pt idx="13">
                  <c:v>2014</c:v>
                </c:pt>
                <c:pt idx="14">
                  <c:v>2015</c:v>
                </c:pt>
                <c:pt idx="15">
                  <c:v>2016</c:v>
                </c:pt>
                <c:pt idx="16">
                  <c:v>2017</c:v>
                </c:pt>
                <c:pt idx="17">
                  <c:v>2018</c:v>
                </c:pt>
                <c:pt idx="18">
                  <c:v>2019</c:v>
                </c:pt>
                <c:pt idx="19">
                  <c:v>2020</c:v>
                </c:pt>
              </c:strCache>
            </c:strRef>
          </c:cat>
          <c:val>
            <c:numRef>
              <c:f>Sheet1!$B$2:$B$21</c:f>
              <c:numCache>
                <c:formatCode>General</c:formatCode>
                <c:ptCount val="20"/>
                <c:pt idx="0">
                  <c:v>2625</c:v>
                </c:pt>
                <c:pt idx="1">
                  <c:v>3429</c:v>
                </c:pt>
                <c:pt idx="2">
                  <c:v>3975</c:v>
                </c:pt>
                <c:pt idx="3">
                  <c:v>2407.8318549999999</c:v>
                </c:pt>
                <c:pt idx="4">
                  <c:v>3571.6576150000001</c:v>
                </c:pt>
                <c:pt idx="5">
                  <c:v>5186.5969089999999</c:v>
                </c:pt>
                <c:pt idx="6">
                  <c:v>9523.7546070000008</c:v>
                </c:pt>
                <c:pt idx="7">
                  <c:v>13925.617741</c:v>
                </c:pt>
                <c:pt idx="8">
                  <c:v>13043.549714999999</c:v>
                </c:pt>
                <c:pt idx="9">
                  <c:v>14841.366458</c:v>
                </c:pt>
                <c:pt idx="10">
                  <c:v>15347.899158</c:v>
                </c:pt>
                <c:pt idx="11">
                  <c:v>16780.952732000002</c:v>
                </c:pt>
                <c:pt idx="12">
                  <c:v>18183.322146999999</c:v>
                </c:pt>
                <c:pt idx="13">
                  <c:v>16103.319178</c:v>
                </c:pt>
                <c:pt idx="14">
                  <c:v>16988.705191000001</c:v>
                </c:pt>
                <c:pt idx="15">
                  <c:v>19848.898428</c:v>
                </c:pt>
                <c:pt idx="16">
                  <c:v>20652.302909999999</c:v>
                </c:pt>
                <c:pt idx="17">
                  <c:v>21075.024247000001</c:v>
                </c:pt>
                <c:pt idx="18">
                  <c:v>22995.876525</c:v>
                </c:pt>
                <c:pt idx="19">
                  <c:v>21502.519706999999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США</c:v>
                </c:pt>
              </c:strCache>
            </c:strRef>
          </c:tx>
          <c:spPr>
            <a:ln w="50800" cap="flat">
              <a:solidFill>
                <a:schemeClr val="accent1"/>
              </a:solidFill>
              <a:prstDash val="solid"/>
              <a:miter lim="400000"/>
            </a:ln>
            <a:effectLst/>
          </c:spPr>
          <c:marker>
            <c:symbol val="circle"/>
            <c:size val="2"/>
            <c:spPr>
              <a:solidFill>
                <a:srgbClr val="FFFFFF"/>
              </a:solidFill>
              <a:ln w="50800" cap="flat">
                <a:solidFill>
                  <a:schemeClr val="accent1"/>
                </a:solidFill>
                <a:prstDash val="solid"/>
                <a:miter lim="400000"/>
              </a:ln>
              <a:effectLst/>
            </c:spPr>
          </c:marker>
          <c:cat>
            <c:strRef>
              <c:f>Sheet1!$A$2:$A$21</c:f>
              <c:strCache>
                <c:ptCount val="20"/>
                <c:pt idx="0">
                  <c:v>2001</c:v>
                </c:pt>
                <c:pt idx="1">
                  <c:v>2002</c:v>
                </c:pt>
                <c:pt idx="2">
                  <c:v>2003</c:v>
                </c:pt>
                <c:pt idx="3">
                  <c:v>2004</c:v>
                </c:pt>
                <c:pt idx="4">
                  <c:v>2005</c:v>
                </c:pt>
                <c:pt idx="5">
                  <c:v>2006</c:v>
                </c:pt>
                <c:pt idx="6">
                  <c:v>2007</c:v>
                </c:pt>
                <c:pt idx="7">
                  <c:v>2008</c:v>
                </c:pt>
                <c:pt idx="8">
                  <c:v>2009</c:v>
                </c:pt>
                <c:pt idx="9">
                  <c:v>2010</c:v>
                </c:pt>
                <c:pt idx="10">
                  <c:v>2011</c:v>
                </c:pt>
                <c:pt idx="11">
                  <c:v>2012</c:v>
                </c:pt>
                <c:pt idx="12">
                  <c:v>2013</c:v>
                </c:pt>
                <c:pt idx="13">
                  <c:v>2014</c:v>
                </c:pt>
                <c:pt idx="14">
                  <c:v>2015</c:v>
                </c:pt>
                <c:pt idx="15">
                  <c:v>2016</c:v>
                </c:pt>
                <c:pt idx="16">
                  <c:v>2017</c:v>
                </c:pt>
                <c:pt idx="17">
                  <c:v>2018</c:v>
                </c:pt>
                <c:pt idx="18">
                  <c:v>2019</c:v>
                </c:pt>
                <c:pt idx="19">
                  <c:v>2020</c:v>
                </c:pt>
              </c:strCache>
            </c:strRef>
          </c:cat>
          <c:val>
            <c:numRef>
              <c:f>Sheet1!$C$2:$C$21</c:f>
              <c:numCache>
                <c:formatCode>General</c:formatCode>
                <c:ptCount val="20"/>
                <c:pt idx="0">
                  <c:v>-2294</c:v>
                </c:pt>
                <c:pt idx="1">
                  <c:v>-2410</c:v>
                </c:pt>
                <c:pt idx="2">
                  <c:v>-2292</c:v>
                </c:pt>
                <c:pt idx="3">
                  <c:v>-2362</c:v>
                </c:pt>
                <c:pt idx="4">
                  <c:v>-1857</c:v>
                </c:pt>
                <c:pt idx="5">
                  <c:v>-1807</c:v>
                </c:pt>
                <c:pt idx="6">
                  <c:v>-1278</c:v>
                </c:pt>
                <c:pt idx="7">
                  <c:v>-3994</c:v>
                </c:pt>
                <c:pt idx="8">
                  <c:v>-2626</c:v>
                </c:pt>
                <c:pt idx="9">
                  <c:v>-2511</c:v>
                </c:pt>
                <c:pt idx="10">
                  <c:v>-4454</c:v>
                </c:pt>
                <c:pt idx="11">
                  <c:v>-4517</c:v>
                </c:pt>
                <c:pt idx="12">
                  <c:v>-5367</c:v>
                </c:pt>
                <c:pt idx="13">
                  <c:v>-6944</c:v>
                </c:pt>
                <c:pt idx="14">
                  <c:v>-7460</c:v>
                </c:pt>
                <c:pt idx="15">
                  <c:v>-8129</c:v>
                </c:pt>
                <c:pt idx="16">
                  <c:v>-7622</c:v>
                </c:pt>
                <c:pt idx="17">
                  <c:v>-9674</c:v>
                </c:pt>
                <c:pt idx="18">
                  <c:v>-11050</c:v>
                </c:pt>
                <c:pt idx="19">
                  <c:v>-14092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79996800"/>
        <c:axId val="79998336"/>
      </c:lineChart>
      <c:catAx>
        <c:axId val="79996800"/>
        <c:scaling>
          <c:orientation val="minMax"/>
        </c:scaling>
        <c:delete val="0"/>
        <c:axPos val="b"/>
        <c:majorGridlines>
          <c:spPr>
            <a:ln w="12700" cap="flat">
              <a:solidFill>
                <a:srgbClr val="B8B8B8"/>
              </a:solidFill>
              <a:prstDash val="solid"/>
              <a:miter lim="400000"/>
            </a:ln>
          </c:spPr>
        </c:majorGridlines>
        <c:numFmt formatCode="0" sourceLinked="0"/>
        <c:majorTickMark val="none"/>
        <c:minorTickMark val="none"/>
        <c:tickLblPos val="low"/>
        <c:spPr>
          <a:ln w="12700" cap="flat">
            <a:solidFill>
              <a:srgbClr val="000000"/>
            </a:solidFill>
            <a:prstDash val="solid"/>
            <a:miter lim="400000"/>
          </a:ln>
        </c:spPr>
        <c:txPr>
          <a:bodyPr rot="0"/>
          <a:lstStyle/>
          <a:p>
            <a:pPr>
              <a:defRPr sz="1230" b="0" i="0" u="none" strike="noStrike">
                <a:solidFill>
                  <a:srgbClr val="000000"/>
                </a:solidFill>
                <a:latin typeface="Times New Roman"/>
              </a:defRPr>
            </a:pPr>
            <a:endParaRPr lang="uk-UA"/>
          </a:p>
        </c:txPr>
        <c:crossAx val="79998336"/>
        <c:crosses val="autoZero"/>
        <c:auto val="1"/>
        <c:lblAlgn val="ctr"/>
        <c:lblOffset val="100"/>
        <c:noMultiLvlLbl val="1"/>
      </c:catAx>
      <c:valAx>
        <c:axId val="79998336"/>
        <c:scaling>
          <c:orientation val="minMax"/>
        </c:scaling>
        <c:delete val="0"/>
        <c:axPos val="l"/>
        <c:majorGridlines>
          <c:spPr>
            <a:ln w="6350" cap="flat">
              <a:solidFill>
                <a:srgbClr val="B8B8B8"/>
              </a:solidFill>
              <a:prstDash val="solid"/>
              <a:miter lim="400000"/>
            </a:ln>
          </c:spPr>
        </c:majorGridlines>
        <c:numFmt formatCode="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sz="1230" b="0" i="0" u="none" strike="noStrike">
                <a:solidFill>
                  <a:srgbClr val="000000"/>
                </a:solidFill>
                <a:latin typeface="Times New Roman"/>
              </a:defRPr>
            </a:pPr>
            <a:endParaRPr lang="uk-UA"/>
          </a:p>
        </c:txPr>
        <c:crossAx val="79996800"/>
        <c:crosses val="autoZero"/>
        <c:crossBetween val="midCat"/>
        <c:majorUnit val="13125"/>
        <c:minorUnit val="6562.5"/>
      </c:valAx>
      <c:spPr>
        <a:noFill/>
        <a:ln w="12700" cap="flat">
          <a:solidFill>
            <a:srgbClr val="000000"/>
          </a:solidFill>
          <a:prstDash val="solid"/>
          <a:miter lim="400000"/>
        </a:ln>
        <a:effectLst/>
      </c:spPr>
    </c:plotArea>
    <c:legend>
      <c:legendPos val="t"/>
      <c:layout>
        <c:manualLayout>
          <c:xMode val="edge"/>
          <c:yMode val="edge"/>
          <c:x val="4.6186999999999999E-2"/>
          <c:y val="0"/>
          <c:w val="0.92622000000000004"/>
          <c:h val="0.109248"/>
        </c:manualLayout>
      </c:layout>
      <c:overlay val="1"/>
      <c:spPr>
        <a:noFill/>
        <a:ln w="12700" cap="flat">
          <a:noFill/>
          <a:miter lim="400000"/>
        </a:ln>
        <a:effectLst/>
      </c:spPr>
      <c:txPr>
        <a:bodyPr rot="0"/>
        <a:lstStyle/>
        <a:p>
          <a:pPr>
            <a:defRPr sz="1230" b="0" i="0" u="none" strike="noStrike">
              <a:solidFill>
                <a:srgbClr val="000000"/>
              </a:solidFill>
              <a:latin typeface="Times New Roman"/>
            </a:defRPr>
          </a:pPr>
          <a:endParaRPr lang="uk-UA"/>
        </a:p>
      </c:txPr>
    </c:legend>
    <c:plotVisOnly val="1"/>
    <c:dispBlanksAs val="gap"/>
    <c:showDLblsOverMax val="1"/>
  </c:chart>
  <c:spPr>
    <a:noFill/>
    <a:ln>
      <a:noFill/>
    </a:ln>
    <a:effectLst/>
  </c:sp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uk-UA"/>
  <c:roundedCorners val="0"/>
  <c:style val="2"/>
  <c:chart>
    <c:autoTitleDeleted val="1"/>
    <c:plotArea>
      <c:layout>
        <c:manualLayout>
          <c:layoutTarget val="inner"/>
          <c:xMode val="edge"/>
          <c:yMode val="edge"/>
          <c:x val="0.123684"/>
          <c:y val="0.23914299999999999"/>
          <c:w val="0.82632099999999997"/>
          <c:h val="0.61572899999999997"/>
        </c:manualLayout>
      </c:layout>
      <c:lineChart>
        <c:grouping val="standar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ПІІ надходження </c:v>
                </c:pt>
              </c:strCache>
            </c:strRef>
          </c:tx>
          <c:spPr>
            <a:ln w="50800" cap="flat">
              <a:solidFill>
                <a:schemeClr val="accent1">
                  <a:lumOff val="16847"/>
                </a:schemeClr>
              </a:solidFill>
              <a:prstDash val="solid"/>
              <a:miter lim="400000"/>
            </a:ln>
            <a:effectLst/>
          </c:spPr>
          <c:marker>
            <c:symbol val="circle"/>
            <c:size val="2"/>
            <c:spPr>
              <a:solidFill>
                <a:srgbClr val="FFFFFF"/>
              </a:solidFill>
              <a:ln w="50800" cap="flat">
                <a:solidFill>
                  <a:schemeClr val="accent1">
                    <a:lumOff val="16847"/>
                  </a:schemeClr>
                </a:solidFill>
                <a:prstDash val="solid"/>
                <a:miter lim="400000"/>
              </a:ln>
              <a:effectLst/>
            </c:spPr>
          </c:marker>
          <c:cat>
            <c:strRef>
              <c:f>Sheet1!$A$2:$A$18</c:f>
              <c:strCache>
                <c:ptCount val="17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  <c:pt idx="14">
                  <c:v>2019</c:v>
                </c:pt>
                <c:pt idx="15">
                  <c:v>2020</c:v>
                </c:pt>
                <c:pt idx="16">
                  <c:v>Untitled 1</c:v>
                </c:pt>
              </c:strCache>
            </c:strRef>
          </c:cat>
          <c:val>
            <c:numRef>
              <c:f>Sheet1!$B$2:$B$18</c:f>
              <c:numCache>
                <c:formatCode>General</c:formatCode>
                <c:ptCount val="17"/>
                <c:pt idx="0">
                  <c:v>72486</c:v>
                </c:pt>
                <c:pt idx="1">
                  <c:v>100867</c:v>
                </c:pt>
                <c:pt idx="2">
                  <c:v>141097</c:v>
                </c:pt>
                <c:pt idx="3">
                  <c:v>141097</c:v>
                </c:pt>
                <c:pt idx="4">
                  <c:v>194843</c:v>
                </c:pt>
                <c:pt idx="5">
                  <c:v>262960</c:v>
                </c:pt>
                <c:pt idx="6">
                  <c:v>339286</c:v>
                </c:pt>
                <c:pt idx="7">
                  <c:v>443521</c:v>
                </c:pt>
                <c:pt idx="8">
                  <c:v>551941</c:v>
                </c:pt>
                <c:pt idx="9">
                  <c:v>691346</c:v>
                </c:pt>
                <c:pt idx="10">
                  <c:v>922481</c:v>
                </c:pt>
                <c:pt idx="11">
                  <c:v>1156046</c:v>
                </c:pt>
                <c:pt idx="12">
                  <c:v>1423737</c:v>
                </c:pt>
                <c:pt idx="13">
                  <c:v>1844990</c:v>
                </c:pt>
                <c:pt idx="14">
                  <c:v>2001548</c:v>
                </c:pt>
                <c:pt idx="15">
                  <c:v>2236641</c:v>
                </c:pt>
                <c:pt idx="16">
                  <c:v>2413411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ПІІ виплати</c:v>
                </c:pt>
              </c:strCache>
            </c:strRef>
          </c:tx>
          <c:spPr>
            <a:ln w="50800" cap="flat">
              <a:solidFill>
                <a:schemeClr val="accent1"/>
              </a:solidFill>
              <a:prstDash val="solid"/>
              <a:miter lim="400000"/>
            </a:ln>
            <a:effectLst/>
          </c:spPr>
          <c:marker>
            <c:symbol val="circle"/>
            <c:size val="2"/>
            <c:spPr>
              <a:solidFill>
                <a:srgbClr val="FFFFFF"/>
              </a:solidFill>
              <a:ln w="50800" cap="flat">
                <a:solidFill>
                  <a:schemeClr val="accent1"/>
                </a:solidFill>
                <a:prstDash val="solid"/>
                <a:miter lim="400000"/>
              </a:ln>
              <a:effectLst/>
            </c:spPr>
          </c:marker>
          <c:cat>
            <c:strRef>
              <c:f>Sheet1!$A$2:$A$18</c:f>
              <c:strCache>
                <c:ptCount val="17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  <c:pt idx="14">
                  <c:v>2019</c:v>
                </c:pt>
                <c:pt idx="15">
                  <c:v>2020</c:v>
                </c:pt>
                <c:pt idx="16">
                  <c:v>Untitled 1</c:v>
                </c:pt>
              </c:strCache>
            </c:strRef>
          </c:cat>
          <c:val>
            <c:numRef>
              <c:f>Sheet1!$C$2:$C$18</c:f>
              <c:numCache>
                <c:formatCode>General</c:formatCode>
                <c:ptCount val="17"/>
                <c:pt idx="0">
                  <c:v>104108</c:v>
                </c:pt>
                <c:pt idx="1">
                  <c:v>471549</c:v>
                </c:pt>
                <c:pt idx="2">
                  <c:v>614383</c:v>
                </c:pt>
                <c:pt idx="3">
                  <c:v>703667</c:v>
                </c:pt>
                <c:pt idx="4">
                  <c:v>915524</c:v>
                </c:pt>
                <c:pt idx="5">
                  <c:v>1314771</c:v>
                </c:pt>
                <c:pt idx="6">
                  <c:v>1569604</c:v>
                </c:pt>
                <c:pt idx="7">
                  <c:v>1906908</c:v>
                </c:pt>
                <c:pt idx="8">
                  <c:v>2068000</c:v>
                </c:pt>
                <c:pt idx="9">
                  <c:v>2331238</c:v>
                </c:pt>
                <c:pt idx="10">
                  <c:v>2599102</c:v>
                </c:pt>
                <c:pt idx="11">
                  <c:v>2696344</c:v>
                </c:pt>
                <c:pt idx="12">
                  <c:v>2755147</c:v>
                </c:pt>
                <c:pt idx="13">
                  <c:v>2725662</c:v>
                </c:pt>
                <c:pt idx="14">
                  <c:v>2827064</c:v>
                </c:pt>
                <c:pt idx="15">
                  <c:v>2796396</c:v>
                </c:pt>
                <c:pt idx="16">
                  <c:v>3179292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81703680"/>
        <c:axId val="81705216"/>
      </c:lineChart>
      <c:catAx>
        <c:axId val="81703680"/>
        <c:scaling>
          <c:orientation val="minMax"/>
        </c:scaling>
        <c:delete val="0"/>
        <c:axPos val="b"/>
        <c:majorGridlines>
          <c:spPr>
            <a:ln w="12700" cap="flat">
              <a:solidFill>
                <a:srgbClr val="B8B8B8"/>
              </a:solidFill>
              <a:prstDash val="solid"/>
              <a:miter lim="400000"/>
            </a:ln>
          </c:spPr>
        </c:majorGridlines>
        <c:numFmt formatCode="#,##0" sourceLinked="0"/>
        <c:majorTickMark val="none"/>
        <c:minorTickMark val="none"/>
        <c:tickLblPos val="low"/>
        <c:spPr>
          <a:ln w="12700" cap="flat">
            <a:solidFill>
              <a:srgbClr val="000000"/>
            </a:solidFill>
            <a:prstDash val="solid"/>
            <a:miter lim="400000"/>
          </a:ln>
        </c:spPr>
        <c:txPr>
          <a:bodyPr rot="0"/>
          <a:lstStyle/>
          <a:p>
            <a:pPr>
              <a:defRPr sz="1230" b="0" i="0" u="none" strike="noStrike">
                <a:solidFill>
                  <a:srgbClr val="000000"/>
                </a:solidFill>
                <a:latin typeface="Times New Roman"/>
              </a:defRPr>
            </a:pPr>
            <a:endParaRPr lang="uk-UA"/>
          </a:p>
        </c:txPr>
        <c:crossAx val="81705216"/>
        <c:crosses val="autoZero"/>
        <c:auto val="1"/>
        <c:lblAlgn val="ctr"/>
        <c:lblOffset val="100"/>
        <c:noMultiLvlLbl val="1"/>
      </c:catAx>
      <c:valAx>
        <c:axId val="81705216"/>
        <c:scaling>
          <c:orientation val="minMax"/>
        </c:scaling>
        <c:delete val="0"/>
        <c:axPos val="l"/>
        <c:majorGridlines>
          <c:spPr>
            <a:ln w="6350" cap="flat">
              <a:solidFill>
                <a:srgbClr val="B8B8B8"/>
              </a:solidFill>
              <a:prstDash val="solid"/>
              <a:miter lim="400000"/>
            </a:ln>
          </c:spPr>
        </c:majorGridlines>
        <c:numFmt formatCode="#,##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sz="1230" b="0" i="0" u="none" strike="noStrike">
                <a:solidFill>
                  <a:srgbClr val="000000"/>
                </a:solidFill>
                <a:latin typeface="Times New Roman"/>
              </a:defRPr>
            </a:pPr>
            <a:endParaRPr lang="uk-UA"/>
          </a:p>
        </c:txPr>
        <c:crossAx val="81703680"/>
        <c:crosses val="autoZero"/>
        <c:crossBetween val="midCat"/>
        <c:majorUnit val="1000000"/>
        <c:minorUnit val="500000"/>
      </c:valAx>
      <c:spPr>
        <a:noFill/>
        <a:ln w="12700" cap="flat">
          <a:solidFill>
            <a:srgbClr val="000000"/>
          </a:solidFill>
          <a:prstDash val="solid"/>
          <a:miter lim="400000"/>
        </a:ln>
        <a:effectLst/>
      </c:spPr>
    </c:plotArea>
    <c:legend>
      <c:legendPos val="t"/>
      <c:layout>
        <c:manualLayout>
          <c:xMode val="edge"/>
          <c:yMode val="edge"/>
          <c:x val="8.1585400000000002E-2"/>
          <c:y val="0"/>
          <c:w val="0.85287000000000002"/>
          <c:h val="0.122034"/>
        </c:manualLayout>
      </c:layout>
      <c:overlay val="1"/>
      <c:spPr>
        <a:noFill/>
        <a:ln w="12700" cap="flat">
          <a:noFill/>
          <a:miter lim="400000"/>
        </a:ln>
        <a:effectLst/>
      </c:spPr>
      <c:txPr>
        <a:bodyPr rot="0"/>
        <a:lstStyle/>
        <a:p>
          <a:pPr>
            <a:defRPr sz="1230" b="0" i="0" u="none" strike="noStrike">
              <a:solidFill>
                <a:srgbClr val="000000"/>
              </a:solidFill>
              <a:latin typeface="Times New Roman"/>
            </a:defRPr>
          </a:pPr>
          <a:endParaRPr lang="uk-UA"/>
        </a:p>
      </c:txPr>
    </c:legend>
    <c:plotVisOnly val="1"/>
    <c:dispBlanksAs val="gap"/>
    <c:showDLblsOverMax val="1"/>
  </c:chart>
  <c:spPr>
    <a:noFill/>
    <a:ln>
      <a:noFill/>
    </a:ln>
    <a:effectLst/>
  </c:sp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uk-UA"/>
  <c:roundedCorners val="0"/>
  <c:style val="2"/>
  <c:chart>
    <c:autoTitleDeleted val="1"/>
    <c:plotArea>
      <c:layout>
        <c:manualLayout>
          <c:layoutTarget val="inner"/>
          <c:xMode val="edge"/>
          <c:yMode val="edge"/>
          <c:x val="0.138956"/>
          <c:y val="0.23914299999999999"/>
          <c:w val="0.85085699999999997"/>
          <c:h val="0.61572899999999997"/>
        </c:manualLayout>
      </c:layout>
      <c:lineChart>
        <c:grouping val="standar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ПІІ надходження</c:v>
                </c:pt>
              </c:strCache>
            </c:strRef>
          </c:tx>
          <c:spPr>
            <a:ln w="50800" cap="flat">
              <a:solidFill>
                <a:schemeClr val="accent1">
                  <a:lumOff val="16847"/>
                </a:schemeClr>
              </a:solidFill>
              <a:prstDash val="solid"/>
              <a:miter lim="400000"/>
            </a:ln>
            <a:effectLst/>
          </c:spPr>
          <c:marker>
            <c:symbol val="circle"/>
            <c:size val="2"/>
            <c:spPr>
              <a:solidFill>
                <a:srgbClr val="FFFFFF"/>
              </a:solidFill>
              <a:ln w="50800" cap="flat">
                <a:solidFill>
                  <a:schemeClr val="accent1">
                    <a:lumOff val="16847"/>
                  </a:schemeClr>
                </a:solidFill>
                <a:prstDash val="solid"/>
                <a:miter lim="400000"/>
              </a:ln>
              <a:effectLst/>
            </c:spPr>
          </c:marker>
          <c:cat>
            <c:strRef>
              <c:f>Sheet1!$A$2:$A$21</c:f>
              <c:strCache>
                <c:ptCount val="20"/>
                <c:pt idx="0">
                  <c:v>2001</c:v>
                </c:pt>
                <c:pt idx="1">
                  <c:v>2002</c:v>
                </c:pt>
                <c:pt idx="2">
                  <c:v>2003</c:v>
                </c:pt>
                <c:pt idx="3">
                  <c:v>2004</c:v>
                </c:pt>
                <c:pt idx="4">
                  <c:v>2005</c:v>
                </c:pt>
                <c:pt idx="5">
                  <c:v>2006</c:v>
                </c:pt>
                <c:pt idx="6">
                  <c:v>2007</c:v>
                </c:pt>
                <c:pt idx="7">
                  <c:v>2008</c:v>
                </c:pt>
                <c:pt idx="8">
                  <c:v>2009</c:v>
                </c:pt>
                <c:pt idx="9">
                  <c:v>2010</c:v>
                </c:pt>
                <c:pt idx="10">
                  <c:v>2011</c:v>
                </c:pt>
                <c:pt idx="11">
                  <c:v>2012</c:v>
                </c:pt>
                <c:pt idx="12">
                  <c:v>2013</c:v>
                </c:pt>
                <c:pt idx="13">
                  <c:v>2014</c:v>
                </c:pt>
                <c:pt idx="14">
                  <c:v>2015</c:v>
                </c:pt>
                <c:pt idx="15">
                  <c:v>2016</c:v>
                </c:pt>
                <c:pt idx="16">
                  <c:v>2017</c:v>
                </c:pt>
                <c:pt idx="17">
                  <c:v>2018</c:v>
                </c:pt>
                <c:pt idx="18">
                  <c:v>2019</c:v>
                </c:pt>
                <c:pt idx="19">
                  <c:v>2020</c:v>
                </c:pt>
              </c:strCache>
            </c:strRef>
          </c:cat>
          <c:val>
            <c:numRef>
              <c:f>Sheet1!$B$2:$B$21</c:f>
              <c:numCache>
                <c:formatCode>General</c:formatCode>
                <c:ptCount val="20"/>
                <c:pt idx="0">
                  <c:v>1460410</c:v>
                </c:pt>
                <c:pt idx="1">
                  <c:v>1789850</c:v>
                </c:pt>
                <c:pt idx="2">
                  <c:v>1952180</c:v>
                </c:pt>
                <c:pt idx="3">
                  <c:v>3740040</c:v>
                </c:pt>
                <c:pt idx="4">
                  <c:v>3637996</c:v>
                </c:pt>
                <c:pt idx="5">
                  <c:v>4470343</c:v>
                </c:pt>
                <c:pt idx="6">
                  <c:v>5274991</c:v>
                </c:pt>
                <c:pt idx="7">
                  <c:v>3102418</c:v>
                </c:pt>
                <c:pt idx="8">
                  <c:v>4322122</c:v>
                </c:pt>
                <c:pt idx="9">
                  <c:v>4809587</c:v>
                </c:pt>
                <c:pt idx="10">
                  <c:v>4514327</c:v>
                </c:pt>
                <c:pt idx="11">
                  <c:v>5222874</c:v>
                </c:pt>
                <c:pt idx="12">
                  <c:v>6254171</c:v>
                </c:pt>
                <c:pt idx="13">
                  <c:v>6320124</c:v>
                </c:pt>
                <c:pt idx="14">
                  <c:v>6059272</c:v>
                </c:pt>
                <c:pt idx="15">
                  <c:v>6395424</c:v>
                </c:pt>
                <c:pt idx="16">
                  <c:v>7865018</c:v>
                </c:pt>
                <c:pt idx="17">
                  <c:v>6375672</c:v>
                </c:pt>
                <c:pt idx="18">
                  <c:v>7649975</c:v>
                </c:pt>
                <c:pt idx="19">
                  <c:v>8128494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ПІІ виплати</c:v>
                </c:pt>
              </c:strCache>
            </c:strRef>
          </c:tx>
          <c:spPr>
            <a:ln w="50800" cap="flat">
              <a:solidFill>
                <a:schemeClr val="accent1"/>
              </a:solidFill>
              <a:prstDash val="solid"/>
              <a:miter lim="400000"/>
            </a:ln>
            <a:effectLst/>
          </c:spPr>
          <c:marker>
            <c:symbol val="circle"/>
            <c:size val="2"/>
            <c:spPr>
              <a:solidFill>
                <a:srgbClr val="FFFFFF"/>
              </a:solidFill>
              <a:ln w="50800" cap="flat">
                <a:solidFill>
                  <a:schemeClr val="accent1"/>
                </a:solidFill>
                <a:prstDash val="solid"/>
                <a:miter lim="400000"/>
              </a:ln>
              <a:effectLst/>
            </c:spPr>
          </c:marker>
          <c:cat>
            <c:strRef>
              <c:f>Sheet1!$A$2:$A$21</c:f>
              <c:strCache>
                <c:ptCount val="20"/>
                <c:pt idx="0">
                  <c:v>2001</c:v>
                </c:pt>
                <c:pt idx="1">
                  <c:v>2002</c:v>
                </c:pt>
                <c:pt idx="2">
                  <c:v>2003</c:v>
                </c:pt>
                <c:pt idx="3">
                  <c:v>2004</c:v>
                </c:pt>
                <c:pt idx="4">
                  <c:v>2005</c:v>
                </c:pt>
                <c:pt idx="5">
                  <c:v>2006</c:v>
                </c:pt>
                <c:pt idx="6">
                  <c:v>2007</c:v>
                </c:pt>
                <c:pt idx="7">
                  <c:v>2008</c:v>
                </c:pt>
                <c:pt idx="8">
                  <c:v>2009</c:v>
                </c:pt>
                <c:pt idx="9">
                  <c:v>2010</c:v>
                </c:pt>
                <c:pt idx="10">
                  <c:v>2011</c:v>
                </c:pt>
                <c:pt idx="11">
                  <c:v>2012</c:v>
                </c:pt>
                <c:pt idx="12">
                  <c:v>2013</c:v>
                </c:pt>
                <c:pt idx="13">
                  <c:v>2014</c:v>
                </c:pt>
                <c:pt idx="14">
                  <c:v>2015</c:v>
                </c:pt>
                <c:pt idx="15">
                  <c:v>2016</c:v>
                </c:pt>
                <c:pt idx="16">
                  <c:v>2017</c:v>
                </c:pt>
                <c:pt idx="17">
                  <c:v>2018</c:v>
                </c:pt>
                <c:pt idx="18">
                  <c:v>2019</c:v>
                </c:pt>
                <c:pt idx="19">
                  <c:v>2020</c:v>
                </c:pt>
              </c:strCache>
            </c:strRef>
          </c:cat>
          <c:val>
            <c:numRef>
              <c:f>Sheet1!$C$2:$C$21</c:f>
              <c:numCache>
                <c:formatCode>General</c:formatCode>
                <c:ptCount val="20"/>
                <c:pt idx="0">
                  <c:v>1172496</c:v>
                </c:pt>
                <c:pt idx="1">
                  <c:v>1111055</c:v>
                </c:pt>
                <c:pt idx="2">
                  <c:v>1117106</c:v>
                </c:pt>
                <c:pt idx="3">
                  <c:v>1213641</c:v>
                </c:pt>
                <c:pt idx="4">
                  <c:v>2817970</c:v>
                </c:pt>
                <c:pt idx="5">
                  <c:v>3293053</c:v>
                </c:pt>
                <c:pt idx="6">
                  <c:v>3551307</c:v>
                </c:pt>
                <c:pt idx="7">
                  <c:v>2486446</c:v>
                </c:pt>
                <c:pt idx="8">
                  <c:v>2995459</c:v>
                </c:pt>
                <c:pt idx="9">
                  <c:v>3422293</c:v>
                </c:pt>
                <c:pt idx="10">
                  <c:v>3498726</c:v>
                </c:pt>
                <c:pt idx="11">
                  <c:v>3915804</c:v>
                </c:pt>
                <c:pt idx="12">
                  <c:v>4948418</c:v>
                </c:pt>
                <c:pt idx="13">
                  <c:v>5456888</c:v>
                </c:pt>
                <c:pt idx="14">
                  <c:v>5731383</c:v>
                </c:pt>
                <c:pt idx="15">
                  <c:v>6502750</c:v>
                </c:pt>
                <c:pt idx="16">
                  <c:v>7756732</c:v>
                </c:pt>
                <c:pt idx="17">
                  <c:v>7333453</c:v>
                </c:pt>
                <c:pt idx="18">
                  <c:v>9398404</c:v>
                </c:pt>
                <c:pt idx="19">
                  <c:v>10802647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81743232"/>
        <c:axId val="81745024"/>
      </c:lineChart>
      <c:catAx>
        <c:axId val="81743232"/>
        <c:scaling>
          <c:orientation val="minMax"/>
        </c:scaling>
        <c:delete val="0"/>
        <c:axPos val="b"/>
        <c:majorGridlines>
          <c:spPr>
            <a:ln w="12700" cap="flat">
              <a:solidFill>
                <a:srgbClr val="B8B8B8"/>
              </a:solidFill>
              <a:prstDash val="solid"/>
              <a:miter lim="400000"/>
            </a:ln>
          </c:spPr>
        </c:majorGridlines>
        <c:numFmt formatCode="#,##0" sourceLinked="0"/>
        <c:majorTickMark val="none"/>
        <c:minorTickMark val="none"/>
        <c:tickLblPos val="low"/>
        <c:spPr>
          <a:ln w="12700" cap="flat">
            <a:solidFill>
              <a:srgbClr val="000000"/>
            </a:solidFill>
            <a:prstDash val="solid"/>
            <a:miter lim="400000"/>
          </a:ln>
        </c:spPr>
        <c:txPr>
          <a:bodyPr rot="0"/>
          <a:lstStyle/>
          <a:p>
            <a:pPr>
              <a:defRPr sz="1230" b="0" i="0" u="none" strike="noStrike">
                <a:solidFill>
                  <a:srgbClr val="000000"/>
                </a:solidFill>
                <a:latin typeface="Times New Roman"/>
              </a:defRPr>
            </a:pPr>
            <a:endParaRPr lang="uk-UA"/>
          </a:p>
        </c:txPr>
        <c:crossAx val="81745024"/>
        <c:crosses val="autoZero"/>
        <c:auto val="1"/>
        <c:lblAlgn val="ctr"/>
        <c:lblOffset val="100"/>
        <c:noMultiLvlLbl val="1"/>
      </c:catAx>
      <c:valAx>
        <c:axId val="81745024"/>
        <c:scaling>
          <c:orientation val="minMax"/>
        </c:scaling>
        <c:delete val="0"/>
        <c:axPos val="l"/>
        <c:majorGridlines>
          <c:spPr>
            <a:ln w="6350" cap="flat">
              <a:solidFill>
                <a:srgbClr val="B8B8B8"/>
              </a:solidFill>
              <a:prstDash val="solid"/>
              <a:miter lim="400000"/>
            </a:ln>
          </c:spPr>
        </c:majorGridlines>
        <c:numFmt formatCode="#,##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sz="1230" b="0" i="0" u="none" strike="noStrike">
                <a:solidFill>
                  <a:srgbClr val="000000"/>
                </a:solidFill>
                <a:latin typeface="Times New Roman"/>
              </a:defRPr>
            </a:pPr>
            <a:endParaRPr lang="uk-UA"/>
          </a:p>
        </c:txPr>
        <c:crossAx val="81743232"/>
        <c:crosses val="autoZero"/>
        <c:crossBetween val="midCat"/>
        <c:majorUnit val="2750000"/>
        <c:minorUnit val="1375000"/>
      </c:valAx>
      <c:spPr>
        <a:noFill/>
        <a:ln w="12700" cap="flat">
          <a:solidFill>
            <a:srgbClr val="000000"/>
          </a:solidFill>
          <a:prstDash val="solid"/>
          <a:miter lim="400000"/>
        </a:ln>
        <a:effectLst/>
      </c:spPr>
    </c:plotArea>
    <c:legend>
      <c:legendPos val="t"/>
      <c:layout>
        <c:manualLayout>
          <c:xMode val="edge"/>
          <c:yMode val="edge"/>
          <c:x val="9.5607700000000004E-2"/>
          <c:y val="0"/>
          <c:w val="0.87819499999999995"/>
          <c:h val="0.122034"/>
        </c:manualLayout>
      </c:layout>
      <c:overlay val="1"/>
      <c:spPr>
        <a:noFill/>
        <a:ln w="12700" cap="flat">
          <a:noFill/>
          <a:miter lim="400000"/>
        </a:ln>
        <a:effectLst/>
      </c:spPr>
      <c:txPr>
        <a:bodyPr rot="0"/>
        <a:lstStyle/>
        <a:p>
          <a:pPr>
            <a:defRPr sz="1230" b="0" i="0" u="none" strike="noStrike">
              <a:solidFill>
                <a:srgbClr val="000000"/>
              </a:solidFill>
              <a:latin typeface="Times New Roman"/>
            </a:defRPr>
          </a:pPr>
          <a:endParaRPr lang="uk-UA"/>
        </a:p>
      </c:txPr>
    </c:legend>
    <c:plotVisOnly val="1"/>
    <c:dispBlanksAs val="gap"/>
    <c:showDLblsOverMax val="1"/>
  </c:chart>
  <c:spPr>
    <a:noFill/>
    <a:ln>
      <a:noFill/>
    </a:ln>
    <a:effectLst/>
  </c:spPr>
  <c:externalData r:id="rId1">
    <c:autoUpdate val="0"/>
  </c:externalData>
</c:chartSpace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48</Pages>
  <Words>48724</Words>
  <Characters>27774</Characters>
  <Application>Microsoft Office Word</Application>
  <DocSecurity>0</DocSecurity>
  <Lines>231</Lines>
  <Paragraphs>152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76346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2022-02-23T12:00:00Z</dcterms:created>
  <dcterms:modified xsi:type="dcterms:W3CDTF">2022-02-23T12:00:00Z</dcterms:modified>
</cp:coreProperties>
</file>