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ОДЕСЬКИЙ НАЦІОНАЛЬНИЙ УНІВЕРСІТЕТ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імені І.І. МЕЧНИКОВА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КАФЕДРА ТЕОРІЇ І ПРАКТИКИ ПЕРЕКЛАДУ</w:t>
      </w:r>
    </w:p>
    <w:p w:rsidR="00EA1810" w:rsidRPr="00EA1810" w:rsidRDefault="00EA1810" w:rsidP="00EA181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бакалавра 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sz w:val="28"/>
          <w:szCs w:val="28"/>
          <w:lang w:val="uk-UA"/>
        </w:rPr>
        <w:t>на тему «</w:t>
      </w: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Каламбур в оригіналі та перекладі художнього тек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сту (на матеріалі творів Т. Пра</w:t>
      </w: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Pr="00EA1810">
        <w:rPr>
          <w:rFonts w:ascii="Times New Roman" w:hAnsi="Times New Roman" w:cs="Times New Roman"/>
          <w:b/>
          <w:sz w:val="28"/>
          <w:szCs w:val="28"/>
          <w:lang w:val="uk-UA"/>
        </w:rPr>
        <w:t>етта)»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EA1810">
        <w:rPr>
          <w:rFonts w:ascii="Times New Roman" w:hAnsi="Times New Roman" w:cs="Times New Roman"/>
          <w:i/>
          <w:sz w:val="28"/>
          <w:szCs w:val="28"/>
          <w:lang w:val="en-US"/>
        </w:rPr>
        <w:t>The pun in the original and translation of English fiction (based on                     T. Pratchett’s prose fiction)</w:t>
      </w:r>
      <w:r w:rsidRPr="00EA1810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</w:p>
    <w:tbl>
      <w:tblPr>
        <w:tblStyle w:val="ae"/>
        <w:tblW w:w="0" w:type="auto"/>
        <w:tblInd w:w="2376" w:type="dxa"/>
        <w:tblLook w:val="04A0" w:firstRow="1" w:lastRow="0" w:firstColumn="1" w:lastColumn="0" w:noHBand="0" w:noVBand="1"/>
      </w:tblPr>
      <w:tblGrid>
        <w:gridCol w:w="6979"/>
      </w:tblGrid>
      <w:tr w:rsidR="00EA1810" w:rsidRPr="00EA1810" w:rsidTr="00A42F27">
        <w:trPr>
          <w:trHeight w:val="2462"/>
        </w:trPr>
        <w:tc>
          <w:tcPr>
            <w:tcW w:w="7195" w:type="dxa"/>
            <w:tcBorders>
              <w:top w:val="nil"/>
              <w:left w:val="nil"/>
              <w:bottom w:val="nil"/>
              <w:right w:val="nil"/>
            </w:tcBorders>
          </w:tcPr>
          <w:p w:rsidR="00EA1810" w:rsidRPr="00EA1810" w:rsidRDefault="00EA1810" w:rsidP="00EA1810">
            <w:pPr>
              <w:spacing w:line="360" w:lineRule="auto"/>
              <w:rPr>
                <w:rFonts w:cs="Times New Roman"/>
                <w:lang w:val="uk-UA"/>
              </w:rPr>
            </w:pPr>
            <w:r w:rsidRPr="00EA1810">
              <w:rPr>
                <w:rFonts w:cs="Times New Roman"/>
                <w:lang w:val="uk-UA"/>
              </w:rPr>
              <w:t>Виконала: студентка денної форми навчання</w:t>
            </w:r>
          </w:p>
          <w:p w:rsidR="00EA1810" w:rsidRPr="00EA1810" w:rsidRDefault="00EA1810" w:rsidP="00EA1810">
            <w:pPr>
              <w:spacing w:line="360" w:lineRule="auto"/>
              <w:rPr>
                <w:rFonts w:cs="Times New Roman"/>
                <w:lang w:val="uk-UA"/>
              </w:rPr>
            </w:pPr>
            <w:r w:rsidRPr="00EA1810">
              <w:rPr>
                <w:rFonts w:cs="Times New Roman"/>
                <w:lang w:val="uk-UA"/>
              </w:rPr>
              <w:t>Напряму підготовки 035 Філологія</w:t>
            </w:r>
          </w:p>
          <w:p w:rsidR="00EA1810" w:rsidRPr="00EA1810" w:rsidRDefault="00EA1810" w:rsidP="00EA1810">
            <w:pPr>
              <w:spacing w:line="360" w:lineRule="auto"/>
              <w:rPr>
                <w:rFonts w:cs="Times New Roman"/>
                <w:lang w:val="uk-UA"/>
              </w:rPr>
            </w:pPr>
            <w:r w:rsidRPr="00EA1810">
              <w:rPr>
                <w:rFonts w:cs="Times New Roman"/>
                <w:lang w:val="uk-UA"/>
              </w:rPr>
              <w:t>Єпішева Аміна Лібанівна</w:t>
            </w:r>
          </w:p>
          <w:p w:rsidR="00EA1810" w:rsidRPr="00EA1810" w:rsidRDefault="00EA1810" w:rsidP="00EA1810">
            <w:pPr>
              <w:spacing w:line="360" w:lineRule="auto"/>
              <w:rPr>
                <w:rFonts w:cs="Times New Roman"/>
              </w:rPr>
            </w:pPr>
            <w:r w:rsidRPr="00EA1810">
              <w:rPr>
                <w:rFonts w:cs="Times New Roman"/>
                <w:lang w:val="uk-UA"/>
              </w:rPr>
              <w:t>Керівник        д.філол.н., проф. МАТУЗКОВА О.</w:t>
            </w:r>
            <w:r w:rsidRPr="00EA1810">
              <w:rPr>
                <w:rFonts w:cs="Times New Roman"/>
              </w:rPr>
              <w:t xml:space="preserve"> </w:t>
            </w:r>
            <w:r w:rsidRPr="00EA1810">
              <w:rPr>
                <w:rFonts w:cs="Times New Roman"/>
                <w:lang w:val="uk-UA"/>
              </w:rPr>
              <w:t>П. _</w:t>
            </w:r>
            <w:r w:rsidRPr="00EA1810">
              <w:rPr>
                <w:rFonts w:cs="Times New Roman"/>
              </w:rPr>
              <w:t>_</w:t>
            </w:r>
            <w:r w:rsidRPr="00EA1810">
              <w:rPr>
                <w:rFonts w:cs="Times New Roman"/>
                <w:lang w:val="uk-UA"/>
              </w:rPr>
              <w:t>__</w:t>
            </w:r>
          </w:p>
          <w:p w:rsidR="00EA1810" w:rsidRPr="00EA1810" w:rsidRDefault="00EA1810" w:rsidP="00EA1810">
            <w:pPr>
              <w:spacing w:line="360" w:lineRule="auto"/>
              <w:rPr>
                <w:rFonts w:cs="Times New Roman"/>
                <w:lang w:val="uk-UA"/>
              </w:rPr>
            </w:pPr>
            <w:r w:rsidRPr="00EA1810">
              <w:rPr>
                <w:rFonts w:cs="Times New Roman"/>
                <w:lang w:val="uk-UA"/>
              </w:rPr>
              <w:t xml:space="preserve">Рецензент      </w:t>
            </w:r>
            <w:r w:rsidRPr="00EA1810">
              <w:rPr>
                <w:rFonts w:cs="Times New Roman"/>
              </w:rPr>
              <w:t xml:space="preserve"> </w:t>
            </w:r>
            <w:r w:rsidRPr="00EA1810">
              <w:rPr>
                <w:rFonts w:cs="Times New Roman"/>
                <w:lang w:val="uk-UA"/>
              </w:rPr>
              <w:t>д.філол.н., проф. Колегаєва І.</w:t>
            </w:r>
            <w:r w:rsidRPr="00EA1810">
              <w:rPr>
                <w:rFonts w:cs="Times New Roman"/>
                <w:lang w:val="en-US"/>
              </w:rPr>
              <w:t xml:space="preserve"> </w:t>
            </w:r>
            <w:r w:rsidRPr="00EA1810">
              <w:rPr>
                <w:rFonts w:cs="Times New Roman"/>
                <w:lang w:val="uk-UA"/>
              </w:rPr>
              <w:t xml:space="preserve">М. </w:t>
            </w:r>
          </w:p>
        </w:tc>
      </w:tr>
    </w:tbl>
    <w:p w:rsidR="00EA1810" w:rsidRPr="00EA1810" w:rsidRDefault="00EA1810" w:rsidP="00EA181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Y="163"/>
        <w:tblW w:w="0" w:type="auto"/>
        <w:tblLook w:val="04A0" w:firstRow="1" w:lastRow="0" w:firstColumn="1" w:lastColumn="0" w:noHBand="0" w:noVBand="1"/>
      </w:tblPr>
      <w:tblGrid>
        <w:gridCol w:w="4594"/>
        <w:gridCol w:w="4761"/>
      </w:tblGrid>
      <w:tr w:rsidR="00EA1810" w:rsidRPr="00EA1810" w:rsidTr="00A42F27">
        <w:tc>
          <w:tcPr>
            <w:tcW w:w="4785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</w:t>
            </w:r>
          </w:p>
        </w:tc>
        <w:tc>
          <w:tcPr>
            <w:tcW w:w="4786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EA1810" w:rsidRPr="00EA1810" w:rsidTr="00A42F27">
        <w:tc>
          <w:tcPr>
            <w:tcW w:w="4785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теорії та практики перекладу</w:t>
            </w:r>
          </w:p>
        </w:tc>
        <w:tc>
          <w:tcPr>
            <w:tcW w:w="4786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№ ……. від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</w:t>
            </w: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2017 р.</w:t>
            </w:r>
          </w:p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</w:t>
            </w: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___/______/__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</w:t>
            </w:r>
          </w:p>
        </w:tc>
      </w:tr>
      <w:tr w:rsidR="00EA1810" w:rsidRPr="00EA1810" w:rsidTr="00A42F27">
        <w:tc>
          <w:tcPr>
            <w:tcW w:w="4785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11 від 22.05.2017</w:t>
            </w:r>
          </w:p>
        </w:tc>
        <w:tc>
          <w:tcPr>
            <w:tcW w:w="4786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EA1810">
              <w:rPr>
                <w:rFonts w:ascii="Times New Roman" w:hAnsi="Times New Roman" w:cs="Times New Roman"/>
                <w:szCs w:val="28"/>
                <w:lang w:val="uk-UA"/>
              </w:rPr>
              <w:t xml:space="preserve">за національною шкалою, шкалою </w:t>
            </w:r>
            <w:r w:rsidRPr="00EA1810">
              <w:rPr>
                <w:rFonts w:ascii="Times New Roman" w:hAnsi="Times New Roman" w:cs="Times New Roman"/>
                <w:szCs w:val="28"/>
                <w:lang w:val="en-US"/>
              </w:rPr>
              <w:t>ESTC</w:t>
            </w:r>
            <w:r w:rsidRPr="00EA1810">
              <w:rPr>
                <w:rFonts w:ascii="Times New Roman" w:hAnsi="Times New Roman" w:cs="Times New Roman"/>
                <w:szCs w:val="28"/>
                <w:lang w:val="uk-UA"/>
              </w:rPr>
              <w:t>, бали</w:t>
            </w: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EA1810" w:rsidRPr="00EA1810" w:rsidTr="00A42F27">
        <w:tc>
          <w:tcPr>
            <w:tcW w:w="4785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</w:tc>
        <w:tc>
          <w:tcPr>
            <w:tcW w:w="4786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</w:tc>
      </w:tr>
      <w:tr w:rsidR="00EA1810" w:rsidRPr="00EA1810" w:rsidTr="00A42F27">
        <w:tc>
          <w:tcPr>
            <w:tcW w:w="4785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………….  Матузкова О.П. </w:t>
            </w:r>
          </w:p>
        </w:tc>
        <w:tc>
          <w:tcPr>
            <w:tcW w:w="4786" w:type="dxa"/>
            <w:shd w:val="clear" w:color="auto" w:fill="auto"/>
          </w:tcPr>
          <w:p w:rsidR="00EA1810" w:rsidRPr="00EA1810" w:rsidRDefault="00EA1810" w:rsidP="00EA181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8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………….. Гринько О.С.  </w:t>
            </w:r>
          </w:p>
        </w:tc>
      </w:tr>
    </w:tbl>
    <w:p w:rsidR="00EA1810" w:rsidRPr="00EA1810" w:rsidRDefault="00EA1810" w:rsidP="00EA181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A181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</w:t>
      </w: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1810" w:rsidRPr="00EA1810" w:rsidRDefault="00EA1810" w:rsidP="00EA181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A1810">
        <w:rPr>
          <w:rFonts w:ascii="Times New Roman" w:hAnsi="Times New Roman" w:cs="Times New Roman"/>
          <w:sz w:val="28"/>
          <w:szCs w:val="28"/>
          <w:lang w:val="uk-UA"/>
        </w:rPr>
        <w:lastRenderedPageBreak/>
        <w:t>Одеса – 2017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692565160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p w:rsidR="00960C23" w:rsidRPr="00960C23" w:rsidRDefault="00960C23" w:rsidP="00960C23">
          <w:pPr>
            <w:pStyle w:val="a7"/>
            <w:jc w:val="center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960C23">
            <w:rPr>
              <w:rFonts w:ascii="Times New Roman" w:hAnsi="Times New Roman" w:cs="Times New Roman"/>
              <w:color w:val="000000" w:themeColor="text1"/>
              <w:lang w:val="uk-UA"/>
            </w:rPr>
            <w:t>З</w:t>
          </w:r>
          <w:r>
            <w:rPr>
              <w:rFonts w:ascii="Times New Roman" w:hAnsi="Times New Roman" w:cs="Times New Roman"/>
              <w:color w:val="000000" w:themeColor="text1"/>
              <w:lang w:val="uk-UA"/>
            </w:rPr>
            <w:t>МІСТ</w:t>
          </w:r>
        </w:p>
        <w:p w:rsidR="00EA1810" w:rsidRPr="00EA1810" w:rsidRDefault="00960C23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474697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474697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474697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484549839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_Toc484549839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0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I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_Toc484549840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1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 Визначення і структура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_Toc484549841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2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 Класифікація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_Toc484549842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3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 Основні підходи до перекладу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_Toc484549843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4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1.3.1. Способи перекладу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_Toc484549844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5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1.3.2. Алгоритм перекладу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_Toc484549845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6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II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_Toc484549846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7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ОСОБЛИВОСТІ ПЕРЕКЛАДУ КАЛАМБУР</w:t>
            </w:r>
            <w:r w:rsidR="000A797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У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У РОМАНАХ ТЕРРІ ПРАЧЕТТА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_Toc484549847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8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Адекватні і неадекватні способи перекладу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_Toc484549848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49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2.1.1. Підбір ідентичного образу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_Toc484549849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0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2.1.2. Часткова компенсація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_Toc484549850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1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2.1.3. 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П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овна компенсація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_Toc484549851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34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2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2.1.4. Буквальний переклад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_Toc484549852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3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2.1.5 Опущення каламбуру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_Toc484549853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2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4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1.6.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 Переклад каламбурів, побудованих на обіграванні особливої ​​</w:t>
            </w:r>
            <w:r w:rsidR="000A7972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  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лексики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_Toc484549854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5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  <w:lang w:val="uk-UA"/>
              </w:rPr>
              <w:t>ВИСНОВКИ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_Toc484549855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46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6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 xml:space="preserve">СПИСОК 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  <w:lang w:val="uk-UA"/>
              </w:rPr>
              <w:t xml:space="preserve">ВИКОРИСТАНОЇ 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Л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  <w:lang w:val="uk-UA"/>
              </w:rPr>
              <w:t>І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</w:rPr>
              <w:t>ТЕРАТУР</w:t>
            </w:r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  <w:lang w:val="uk-UA"/>
              </w:rPr>
              <w:t>И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_Toc484549856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A1810" w:rsidRPr="00EA1810" w:rsidRDefault="00D95766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84549857" w:history="1">
            <w:r w:rsidR="00EA1810" w:rsidRPr="00EA181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SUMMARY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_Toc484549857 \h </w:instrTex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51</w:t>
            </w:r>
            <w:r w:rsidR="00EA1810" w:rsidRPr="00EA181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60C23" w:rsidRPr="00474697" w:rsidRDefault="00960C23" w:rsidP="00960C23">
          <w:pPr>
            <w:rPr>
              <w:rFonts w:ascii="Times New Roman" w:hAnsi="Times New Roman" w:cs="Times New Roman"/>
              <w:sz w:val="28"/>
              <w:szCs w:val="28"/>
            </w:rPr>
          </w:pPr>
          <w:r w:rsidRPr="00474697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960C23" w:rsidRDefault="00960C23">
      <w:pPr>
        <w:rPr>
          <w:rFonts w:ascii="Times New Roman" w:eastAsiaTheme="majorEastAsia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960C23" w:rsidRDefault="00960C23">
      <w:pPr>
        <w:rPr>
          <w:rFonts w:ascii="Times New Roman" w:eastAsiaTheme="majorEastAsia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br w:type="page"/>
      </w:r>
    </w:p>
    <w:p w:rsidR="00A97F06" w:rsidRPr="00A362ED" w:rsidRDefault="00A362ED" w:rsidP="006C5CA8">
      <w:pPr>
        <w:pStyle w:val="1"/>
        <w:spacing w:before="0" w:after="24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0" w:name="_Toc484549839"/>
      <w:r w:rsidRPr="00A362ED">
        <w:rPr>
          <w:rFonts w:ascii="Times New Roman" w:hAnsi="Times New Roman" w:cs="Times New Roman"/>
          <w:color w:val="000000" w:themeColor="text1"/>
          <w:lang w:val="uk-UA"/>
        </w:rPr>
        <w:lastRenderedPageBreak/>
        <w:t>ВСТУП</w:t>
      </w:r>
      <w:bookmarkEnd w:id="0"/>
    </w:p>
    <w:p w:rsidR="00A362ED" w:rsidRPr="00A362ED" w:rsidRDefault="00A362ED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Дана робота присвячена вивченню мовностилістичних особливостей каламбуру і способів його відтворення в перекладі.</w:t>
      </w:r>
    </w:p>
    <w:p w:rsidR="00A362ED" w:rsidRPr="00A362ED" w:rsidRDefault="00A362ED" w:rsidP="006C5C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>даного дослідження зумовлена ​​тим, що до теперішнього часу не розроблено чіткої методології, яка б регламентувала переклад гри слів. Широке використання каламбуру в ряді літературних жанрів диктує необхідність розробки оптимального алгоритму перекладу цього прийому з однієї мови на іншу, і представлена ​​робота, заснована на сучасному матеріалі, є внеском у вивчення даного стилістичного явища.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– проаналізувати існуючі способи перекладу каламбурів з англійської на російську мову, уявити цей процес у вигляді певної системи і виявити можливі закономірності передачі гри слів зі збереженням комічного ефекту.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 Для досягнення поставленої мети нам потрібно вирішити наступні завдання: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1. Вивчити визначення каламбуру в лінгвістичній науці і розглянути його основні класифікації;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2. Проаналізувати існуючі підходи до перекладу гри слів;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3. Визначити найбільш частотні способи перекладу каламбурів;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>4. Визначити способи перекладу гри слів, що дозволяють зберегти комічний ефект.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Матеріалом дослідження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стали 112 текстових фрагментів, відібраних методом суцільної вибірки, з таких романів британського письменника Террі Пратчетта як «Hogfather», «Good Omens», «Mort», «Sourcery», «Soul Music» і їх перекладів на російську мову.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Теоретичною базою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роботи є праці зарубіжних і українських дослідників проблеми перекладу каламбуру в літературі: С. Н. Влахова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С. В. Флоріна, В. С. Виноградова, В. З. Саннікова, В. К. Ланчікова,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lastRenderedPageBreak/>
        <w:t>П. Ходакової , М. В. Ушкалової, А. П. Сковороднікова, О. О. Селіванової, А. Є. Болдир</w:t>
      </w:r>
      <w:r w:rsidR="002D79F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>вої, Е. П. Смирнової і О. А. Ужової, О. В. Троїцької та інших.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Об'єктом дослідження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є мовностилістичні особливості і структура каламбуру в аспекті перекладу.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 це способи передачі гри слів при перекладі з англійської мови на російську.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Теоретичне значення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 визначається тим, що в дослідженні поглиблюється теорія гри слів і системно розглядаються різні способи передачі цього прийому з однієї мови на іншу на матеріалі художніх текстів.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можливості застосування її положень в курсах порівняльної стилістики, теорії перекладу, а головне, в перекладацькій практиці.</w:t>
      </w:r>
    </w:p>
    <w:p w:rsidR="00A362ED" w:rsidRPr="00042C94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42C9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Методи дослідження</w:t>
      </w:r>
      <w:r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Виходячи з характеру досліджуваного матеріалу, принцип дослідження даної роботи полягає в порівняльному аналізі форми і змісту текстів оригінального твору і його російського варіанту з позиції досягнення прагматичного завдання перекладу. У дослідженні </w:t>
      </w:r>
      <w:r w:rsidR="00042C94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нами </w:t>
      </w:r>
      <w:r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</w:t>
      </w:r>
      <w:r w:rsidR="00042C94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були </w:t>
      </w:r>
      <w:r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використані такі </w:t>
      </w:r>
      <w:r w:rsidR="00ED0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загально лінгвістичні методи</w:t>
      </w:r>
      <w:r w:rsidR="00042C94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42C94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</w:t>
      </w:r>
      <w:r w:rsidR="00ED0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зіставний метод, описовий метод,</w:t>
      </w:r>
      <w:r w:rsidR="00470D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0D6A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і синтез теоретичного матеріалу</w:t>
      </w:r>
      <w:r w:rsidR="00470D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D0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 також спеціальні методи</w:t>
      </w:r>
      <w:r w:rsidR="00470D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ED0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 компонентного аналізу, метод трансформаційного аналізу,</w:t>
      </w:r>
      <w:r w:rsid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0D6A" w:rsidRPr="00042C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 суцільної вибірки,</w:t>
      </w:r>
      <w:r w:rsidR="00470D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0E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кількісний метод. 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роботи.</w:t>
      </w: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 вступу, двох розділів, висновків, резюме та списку використаної літератури. Перший (теоретичний) розділ поділений на три параграфи: в першому параграфі проводиться кореляція понять «гра слів» і «каламбур», а також розглядаються визначення та структура каламбуру; у другому – основні класифікації каламбуру; і в третьому – основні підходи до перекладу гри слів і пов'язані з цим труднощі. Другий (практичний) розділ поділений на 7 параграфів, в кожному з яких детально розглядаються окремі способи перекладу каламбурів. Всього нами було досліджено 112 текстових фрагментів, що містять каламбур. </w:t>
      </w:r>
    </w:p>
    <w:p w:rsidR="00A362ED" w:rsidRPr="006020BC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висновках підводиться підсумок проведеного дослідження. </w:t>
      </w:r>
    </w:p>
    <w:p w:rsidR="00A362ED" w:rsidRPr="00A362ED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Список використаної літератури налічує 42 джерела. В кінці роботи представлене резюме англійською мовою. </w:t>
      </w:r>
    </w:p>
    <w:p w:rsidR="00A362ED" w:rsidRPr="006020BC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62ED">
        <w:rPr>
          <w:rFonts w:ascii="Times New Roman" w:hAnsi="Times New Roman" w:cs="Times New Roman"/>
          <w:sz w:val="28"/>
          <w:szCs w:val="28"/>
          <w:lang w:val="uk-UA"/>
        </w:rPr>
        <w:t xml:space="preserve">Робота виконана згідно з науково-дослідницькою темою кафедри теорії та практики перекладу </w:t>
      </w:r>
      <w:r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248 «Лінгвокультура та переклад у сучасному</w:t>
      </w:r>
      <w:r w:rsidR="006020BC"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парадигмальному просторі</w:t>
      </w:r>
      <w:r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6020BC"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362ED" w:rsidRPr="006020BC" w:rsidRDefault="00A362ED" w:rsidP="00A362E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020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Апробація роботи відбулася на студентській конференції (2017).</w:t>
      </w:r>
    </w:p>
    <w:p w:rsidR="006C5CA8" w:rsidRPr="00D95766" w:rsidRDefault="00A362ED">
      <w:pPr>
        <w:rPr>
          <w:lang w:val="uk-UA"/>
        </w:rPr>
      </w:pPr>
      <w:r>
        <w:rPr>
          <w:lang w:val="uk-UA"/>
        </w:rPr>
        <w:br w:type="page"/>
      </w:r>
    </w:p>
    <w:p w:rsidR="006C5CA8" w:rsidRPr="006C5CA8" w:rsidRDefault="006C5CA8" w:rsidP="006C5CA8">
      <w:pPr>
        <w:pStyle w:val="1"/>
        <w:spacing w:after="240" w:line="36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</w:pPr>
      <w:bookmarkStart w:id="1" w:name="_Toc484549855"/>
      <w:r w:rsidRPr="006C5CA8"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  <w:lastRenderedPageBreak/>
        <w:t>В</w:t>
      </w:r>
      <w:r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  <w:t>ИСНОВКИ</w:t>
      </w:r>
      <w:bookmarkEnd w:id="1"/>
    </w:p>
    <w:p w:rsidR="00C16FBF" w:rsidRPr="00C16FBF" w:rsidRDefault="00C16FBF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Перед практиками і теоретиками перекладу завжди стояла проблема перекладу каламбурів в творах художньої літератури. Але поки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що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 існує системного підходу до подолання труднощів у вирішенні цієї проблеми. Можна спостерігати лише окремі приклади і зауваження в різних роботах, які присвячені проблемі пере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кладу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каламбуру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іноземн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ої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У своїй роботі перекладач зазвичай самостійно керується власними рішеннями при пошуку відповідників в мові перекладу.</w:t>
      </w:r>
    </w:p>
    <w:p w:rsidR="00C16FBF" w:rsidRPr="00C16FBF" w:rsidRDefault="00C16FBF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Відповідно до завдань даного дослідження в теоретичній частині нашої роботи б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ули визначені такі поняття як «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гра слів» і «каламбур», були розглянуті способи створення каламбуру, його структура і класифікація, а також були вивчені основні способи перекладу гри слів і алгоритми створення власної гри слів в перекладі. Ми з'ясували, що переклад гри слів складний тим, що потрібно не тільки знайти для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сенсу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нову мовну форму, а й часто змінити саму форму оригіналу. Тому перекладачі часто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зустрічаються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необхідністю або пожертвувати смисловим змістом каламбуру, або відмовитися від передачі мовної гри.</w:t>
      </w:r>
    </w:p>
    <w:p w:rsidR="00C16FBF" w:rsidRPr="00C16FBF" w:rsidRDefault="00C16FBF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Що стосується практичної частини даної роботи, зібравши і проаналізувавши 112 текстових фрагментів, що містять гру слів, ми прийшли до висновку, що в творах Террі Пратчетта найчастіше зустрічаються каламбури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утворені на лексичному рівні –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6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9%, потім на фонетичному рівні –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19% і рідше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всього на фразеологічному рівні –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12%. Крім цього, ми з'ясували, що найбільшою мірою адекватності при перекладі каламбурів сп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рияє підбір ідентичного образу –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17%. Однак реалізувати такий підхід вдається далеко не завжди. У таких випадках на допомогу перекладачеві приходить прийом компенсації. Компенсація найбільш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часто застосовується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при перекладі гри слів в нашому дослідженні. Перекладачі створюють власний каламбур,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що найчастіше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будується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семантиці оригінального каламбуру, і за рахунок цього в більшості випадків їм вдається зберегти комічний ефект. У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досліджуваному матеріалі нам зустрілося 14 прикладів вживан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ня часткової та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39 прикладів вживання повної компенсації, що в цілому склало 46. 2% від загальної вибірки.</w:t>
      </w:r>
    </w:p>
    <w:p w:rsidR="00C16FBF" w:rsidRPr="00C16FBF" w:rsidRDefault="00C16FBF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Буквальний переклад, що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викривляє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або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не викривляє 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загальний зміст речення –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36%, і опущення 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0.8% сприяють найменшо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ступеню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адекватності при перекладі каламбурів. З одного боку, широке застосування буквального перекладу для передачі каламбурів обумовлюється складністю самого каламбуру. Але з іншого боку, буквальний 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переклад особливо важливий в тих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випадк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ах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якщо образ, що міститься в стійкому словосполученні, на якому базується гра слів, не байдужий для розуміння тексту, а заміна його іншим 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образом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 дає повного ефекту. У будь-якому випадку, як зміни семантичної основи каламбуру, так і пер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едача його змісту в некаламбурні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 формі тягнуть за собою певні втрати. Перекладач сам повинен вирішити, чим пожертвувати: смисловим змістом, зберіг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аючи 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при цьому гумористичн</w:t>
      </w:r>
      <w:r w:rsidR="00EA5F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ий</w:t>
      </w: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вплив каламбуру, або передати зміст, відмовившись від гри слів.</w:t>
      </w:r>
    </w:p>
    <w:p w:rsidR="00BD3C8D" w:rsidRPr="00BD3C8D" w:rsidRDefault="00C16FBF" w:rsidP="006C5C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16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цілому авторам перекладу вдалося, на наш погляд, досить успішно вирішити складну задачу, що витікає із вищезгаданих проблем художнього перекладу, створивши текст, по силі художнього та емоційного впливу на російського / українського читача близький до оригіналу, хоча не обійшлося і без певних втрат, що цілком можна пояснити з урахуванням відмінностей систем англійської та російської мов. Перекладачі змогли забезпечити стилістичну адекватність перекладу і в більшості випадків змогли донести до читача авторські каламбури.</w:t>
      </w:r>
    </w:p>
    <w:p w:rsidR="00D866D4" w:rsidRDefault="00D8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br w:type="page"/>
      </w:r>
    </w:p>
    <w:p w:rsidR="00D866D4" w:rsidRPr="00D866D4" w:rsidRDefault="00D866D4" w:rsidP="00E53F7D">
      <w:pPr>
        <w:pStyle w:val="1"/>
        <w:spacing w:before="0" w:after="240" w:line="36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</w:pPr>
      <w:bookmarkStart w:id="2" w:name="_Toc484549856"/>
      <w:r w:rsidRPr="002609A4">
        <w:rPr>
          <w:rFonts w:ascii="Times New Roman" w:hAnsi="Times New Roman" w:cs="Times New Roman"/>
          <w:color w:val="000000" w:themeColor="text1"/>
          <w:shd w:val="clear" w:color="auto" w:fill="FFFFFF"/>
        </w:rPr>
        <w:lastRenderedPageBreak/>
        <w:t xml:space="preserve">СПИСОК </w:t>
      </w:r>
      <w:r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  <w:t xml:space="preserve">ВИКОРИСТАНОЇ </w:t>
      </w:r>
      <w:r w:rsidRPr="002609A4">
        <w:rPr>
          <w:rFonts w:ascii="Times New Roman" w:hAnsi="Times New Roman" w:cs="Times New Roman"/>
          <w:color w:val="000000" w:themeColor="text1"/>
          <w:shd w:val="clear" w:color="auto" w:fill="FFFFFF"/>
        </w:rPr>
        <w:t>Л</w:t>
      </w:r>
      <w:r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hd w:val="clear" w:color="auto" w:fill="FFFFFF"/>
        </w:rPr>
        <w:t>ТЕРАТУР</w:t>
      </w:r>
      <w:r>
        <w:rPr>
          <w:rFonts w:ascii="Times New Roman" w:hAnsi="Times New Roman" w:cs="Times New Roman"/>
          <w:color w:val="000000" w:themeColor="text1"/>
          <w:shd w:val="clear" w:color="auto" w:fill="FFFFFF"/>
          <w:lang w:val="uk-UA"/>
        </w:rPr>
        <w:t>И</w:t>
      </w:r>
      <w:bookmarkEnd w:id="2"/>
    </w:p>
    <w:p w:rsidR="00D866D4" w:rsidRPr="00D866D4" w:rsidRDefault="00D866D4" w:rsidP="00E53F7D">
      <w:pPr>
        <w:spacing w:after="240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1. Бархударов Л. С. Язык и перевод. — М.: Искусство, 1975. — 239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2. Болдырева А.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Е. Переклад каламбурів як засобу створення гумористичного ефекту: до постановки проблеми.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Одесса, КП ОМД, 2016. – С. 11-19.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Виноградов В. С. Лексические вопросы перевода художественной прозы. М.: Всш. шк. 1978 – 350с.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Виноградов В. С. Введение в переводоведение (общие и лексические вопросы). – М.: Издательство института общего среднего образования РАО, 2001, – 224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5. Влахов С. Н. Непереводимое в переводе  / С. Н. Влахов, С. В. Флорин. – М.: Международные отношения, 1980. – 343с.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6. Галь, Н. И. Слово живое и мертвое. Из опыта перево¬дчика и редактора [Текст] / Н. И. Галь. – М. : Сов. Писатель, 1981. – 241с.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7. Ерошин А. П. Эквивалентность и адекватность при переводе словесной игры в аудиомедиальных текстах: Дис. … канд. филол. наук. – Москва, 2015. – 107с. 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8. Заходер Б. В. Об искусстве перевода / Заходер Б. Но есть один Поэт…(Неопубликованное наследие в 2-х томах.) — М., ГАЛА-Издательство, 2008. – 480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9. Земская Е. А. Языковая игра / Е. А. Земская, М. А. Китайгородская, Н. Н. Розанова // Русская разговорная речь. – М., 1983.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10. Колесниченко С. А. Условия реализации стилистического приема игры слов в английском языке: Автореф. дисс. ... канд. филол. наук. М., 1984. – 22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11. Комиссаров В. Н. Теория перевода (лингвистические аспекты). - Учеб. для ин-тов и фак. иностр. яз. - М.: Высш. шк., 1990. - 253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12. Ланчиков В. К. О передачи каламбуров в переводе [Электронный ресурс]. – Режим доступа: </w:t>
      </w:r>
      <w:hyperlink r:id="rId7" w:history="1">
        <w:r w:rsidRPr="00D866D4">
          <w:rPr>
            <w:rStyle w:val="a5"/>
            <w:rFonts w:ascii="Times New Roman" w:hAnsi="Times New Roman" w:cs="Times New Roman"/>
            <w:sz w:val="28"/>
            <w:szCs w:val="28"/>
          </w:rPr>
          <w:t>http://www.thinkaloud.ru/feature/lan-pun.pdf</w:t>
        </w:r>
      </w:hyperlink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13. Любимов Н. М. Перевод – искусство/ Н. М. Любимов. – М. : Сов. Россия, 1982. – 132 с.</w:t>
      </w:r>
    </w:p>
    <w:p w:rsidR="00D866D4" w:rsidRPr="00D866D4" w:rsidRDefault="006C5CA8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14. Николаев 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866D4"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И. Основы литературоведения: учебное пособие для студентов филологических специальностей. – Иваново: ЛИСТОС, 2011. –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255</w:t>
      </w:r>
      <w:r w:rsidR="00D866D4"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15. Олейник Т. Трудности перевода стилистического средства «каламбур» в художественной литературе [Электронный ресурс]. – Режим доступа: </w:t>
      </w:r>
      <w:hyperlink r:id="rId8" w:history="1">
        <w:r w:rsidRPr="00D866D4">
          <w:rPr>
            <w:rStyle w:val="a5"/>
            <w:rFonts w:ascii="Times New Roman" w:hAnsi="Times New Roman" w:cs="Times New Roman"/>
            <w:sz w:val="28"/>
            <w:szCs w:val="28"/>
          </w:rPr>
          <w:t>http://conf.uni-ruse.bg/bg/docs/cp13/6.3/6.3-18.pdf</w:t>
        </w:r>
      </w:hyperlink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Поздеева Е. В. Окказиональное слово: восприятие и перевод (на матери але призведений русскоязычных и англоязычных писателей). Дисс. … канд. филол. наук. – Пермь, 2002. – 203с.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17.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Сазанова Л. А. Закономерности передачи каламбура при переводе художественной литературы. – Дисс. … канд. филол. наук. – М., 2004. – 185с.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18. Санников В.З.  Каламбур  как  семантический  феномен  //  Вопросы языкознания. – М.: Наука, 1995. – No 3. – С. 56-69. 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19. Санников  В. З.  Русский  язык  в  зеркале  языковой  игры.  – М.:  Языки славянской культуры, 2002. – 552 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20. Селіванова О. Сучасна лінгвістика: термінологічна енциклопедія. – Полтава: Довкілля-К, 2006. – 716с.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21. Сковородников  А. П.  О  лингвистическом  статусе  каламбура  (на  материале русскоязычных  газетных  текстов)  /  А.П.  Сковородников,    Т.И.  Дамм  //Stylistyka X. Opole: Uniwersytet Opolski. – 2001. – С. 183-193. 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22. Смирнова Е. П., Ужова О. А. Лингвистические аспекты перевода каламбура (на примере англоязычного сериала «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Yes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Primeminister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!»)  // Научное сообщество студентов: МЕЖДИСЦИПЛИНАРНЫЕ ИССЛЕДОВАНИЯ: сб. ст. по мат. III междунар. студ. науч.-практ. конф. № 3. [Электронный ресурс]. – Режим доступа:  sibac.info/sites/default/files/conf/ file/stud_3_3.pdf </w:t>
      </w:r>
    </w:p>
    <w:p w:rsidR="00D866D4" w:rsidRPr="00D866D4" w:rsidRDefault="00D866D4" w:rsidP="00E53F7D">
      <w:pPr>
        <w:ind w:firstLine="708"/>
        <w:jc w:val="both"/>
        <w:rPr>
          <w:rStyle w:val="a5"/>
          <w:rFonts w:ascii="Times New Roman" w:hAnsi="Times New Roman" w:cs="Times New Roman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23. Терехова, Г. В. Теория и практика перевода [Текст]: Учебное пособие / Г. В. Терехова. - Оренбург: ГОУ ОГУ, 2004. - 103 с.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cr/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24. Троицкая О. В.  Игра слов в английском оригинале и переводе [Электронный ресурс]. – Режим доступа:  </w:t>
      </w:r>
      <w:hyperlink r:id="rId9" w:history="1">
        <w:r w:rsidRPr="00D866D4">
          <w:rPr>
            <w:rStyle w:val="a5"/>
            <w:rFonts w:ascii="Times New Roman" w:hAnsi="Times New Roman" w:cs="Times New Roman"/>
            <w:sz w:val="28"/>
            <w:szCs w:val="28"/>
          </w:rPr>
          <w:t>http://russkayarech.ru/files/issues/2005/2/07-troickaja.pdf</w:t>
        </w:r>
      </w:hyperlink>
    </w:p>
    <w:p w:rsidR="00D866D4" w:rsidRPr="00D866D4" w:rsidRDefault="00D866D4" w:rsidP="00E53F7D">
      <w:pPr>
        <w:ind w:firstLine="708"/>
        <w:jc w:val="both"/>
        <w:rPr>
          <w:rStyle w:val="a5"/>
          <w:rFonts w:ascii="Times New Roman" w:hAnsi="Times New Roman" w:cs="Times New Roman"/>
          <w:sz w:val="28"/>
          <w:szCs w:val="28"/>
        </w:rPr>
      </w:pPr>
      <w:r w:rsidRPr="006C5CA8"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25. </w:t>
      </w:r>
      <w:r w:rsidRPr="006C5CA8">
        <w:rPr>
          <w:rFonts w:ascii="Times New Roman" w:hAnsi="Times New Roman" w:cs="Times New Roman"/>
          <w:color w:val="000000" w:themeColor="text1"/>
          <w:sz w:val="28"/>
          <w:szCs w:val="28"/>
        </w:rPr>
        <w:t>Уш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калова М.В. К вопросу о классификации каламбура [Электронный ресурс]. – Режим доступа: </w:t>
      </w:r>
      <w:hyperlink r:id="rId10" w:history="1">
        <w:r w:rsidR="00E53F7D" w:rsidRPr="00FE3F4E">
          <w:rPr>
            <w:rStyle w:val="a5"/>
            <w:rFonts w:ascii="Times New Roman" w:hAnsi="Times New Roman" w:cs="Times New Roman"/>
            <w:sz w:val="28"/>
            <w:szCs w:val="28"/>
          </w:rPr>
          <w:t>http://scientific-notes.ru/pdf/031.pdf</w:t>
        </w:r>
      </w:hyperlink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Style w:val="a5"/>
          <w:rFonts w:ascii="Times New Roman" w:hAnsi="Times New Roman" w:cs="Times New Roman"/>
          <w:color w:val="000000" w:themeColor="text1"/>
          <w:sz w:val="28"/>
          <w:szCs w:val="28"/>
          <w:u w:val="none"/>
        </w:rPr>
        <w:lastRenderedPageBreak/>
        <w:t xml:space="preserve">26.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Федоров А.В. Основы общей теории перевода (лингвистические проблемы). Учеб. пособие. 5-е изд.–СПб.: Филологический факультет СПбГУ; М.: ООО«Издательский Дом «ФИЛОЛОГИЯ ТРИ», 2002. – 416с.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27. Ходакова Е.П. Каламбур в русской литературе XVIII в. – В кн.: Русская литературная речь в XVIII в. Фразеологизмы. Неологизмы. Каламбуры. М., 1968 – С. 45 </w:t>
      </w:r>
    </w:p>
    <w:p w:rsidR="00D866D4" w:rsidRPr="00D866D4" w:rsidRDefault="00D866D4" w:rsidP="00E53F7D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28.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Old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John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Tower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[Электронный ресурс]. – Режим доступа: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1" w:history="1">
        <w:r w:rsidRPr="00D866D4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http://www.bradgatepark.org/about-us/old-john/</w:t>
        </w:r>
      </w:hyperlink>
    </w:p>
    <w:p w:rsidR="00D866D4" w:rsidRPr="00D866D4" w:rsidRDefault="00D866D4" w:rsidP="00E53F7D">
      <w:pPr>
        <w:shd w:val="clear" w:color="auto" w:fill="FFFFFF"/>
        <w:ind w:left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29.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Pratchett T. Good Omens. – New York. : Harper Publishers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2008.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 334p.</w:t>
      </w:r>
    </w:p>
    <w:p w:rsidR="00D866D4" w:rsidRPr="00D866D4" w:rsidRDefault="00D866D4" w:rsidP="00E53F7D">
      <w:pPr>
        <w:shd w:val="clear" w:color="auto" w:fill="FFFFFF"/>
        <w:ind w:left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30. Pratchett T. Hogfather. – New York. : Harpertorch, 2005. – 320 p.</w:t>
      </w:r>
    </w:p>
    <w:p w:rsidR="00D866D4" w:rsidRPr="00D866D4" w:rsidRDefault="00D866D4" w:rsidP="00E53F7D">
      <w:pPr>
        <w:shd w:val="clear" w:color="auto" w:fill="FFFFFF"/>
        <w:ind w:left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31. Pratchett T. Mort. – New York. : Harpertorch, 2001. – 243 p.</w:t>
      </w:r>
    </w:p>
    <w:p w:rsidR="00D866D4" w:rsidRPr="00D866D4" w:rsidRDefault="00D866D4" w:rsidP="00E53F7D">
      <w:pPr>
        <w:shd w:val="clear" w:color="auto" w:fill="FFFFFF"/>
        <w:ind w:left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32. Pratchett T. Soul Music. – New York. : Harper, 2005. – 252 p.</w:t>
      </w:r>
    </w:p>
    <w:p w:rsidR="00D866D4" w:rsidRPr="00D866D4" w:rsidRDefault="00D866D4" w:rsidP="00E53F7D">
      <w:pPr>
        <w:shd w:val="clear" w:color="auto" w:fill="FFFFFF"/>
        <w:ind w:left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33. Pratchett T. Sourcery. – New York. : Harper Publishers, 2008. – 288 p.</w:t>
      </w:r>
    </w:p>
    <w:p w:rsidR="00D866D4" w:rsidRPr="00D866D4" w:rsidRDefault="00D866D4" w:rsidP="00E53F7D">
      <w:pPr>
        <w:pStyle w:val="a6"/>
        <w:shd w:val="clear" w:color="auto" w:fill="FFFFFF"/>
        <w:autoSpaceDE w:val="0"/>
        <w:autoSpaceDN w:val="0"/>
        <w:adjustRightInd w:val="0"/>
        <w:ind w:left="60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34. Пратчетт Т. Благие Знамения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[пер. с англ. М. Юркан]. – М.: Издательство «Э», 2012, – 512 с.</w:t>
      </w:r>
    </w:p>
    <w:p w:rsidR="00D866D4" w:rsidRPr="00D866D4" w:rsidRDefault="00D866D4" w:rsidP="00E53F7D">
      <w:pPr>
        <w:shd w:val="clear" w:color="auto" w:fill="FFFFFF"/>
        <w:autoSpaceDE w:val="0"/>
        <w:autoSpaceDN w:val="0"/>
        <w:adjustRightInd w:val="0"/>
        <w:ind w:firstLine="60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35. 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Пратчетт Т. Мор, ученик Смерти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[пер. с англ. С. Жужунава]. – М.: Издательство Эксмо, 2007, – 384с.</w:t>
      </w:r>
    </w:p>
    <w:p w:rsidR="00D866D4" w:rsidRPr="00D866D4" w:rsidRDefault="00D866D4" w:rsidP="00E53F7D">
      <w:pPr>
        <w:shd w:val="clear" w:color="auto" w:fill="FFFFFF"/>
        <w:autoSpaceDE w:val="0"/>
        <w:autoSpaceDN w:val="0"/>
        <w:adjustRightInd w:val="0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36.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Пратчетт Т. Роковая музыка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[пер. с англ. Н. Берденников]. – М.: Эксмо, 2007, – 480 с.</w:t>
      </w:r>
    </w:p>
    <w:p w:rsidR="00D866D4" w:rsidRPr="00D866D4" w:rsidRDefault="00D866D4" w:rsidP="00E53F7D">
      <w:pPr>
        <w:pStyle w:val="a6"/>
        <w:shd w:val="clear" w:color="auto" w:fill="FFFFFF"/>
        <w:autoSpaceDE w:val="0"/>
        <w:autoSpaceDN w:val="0"/>
        <w:adjustRightInd w:val="0"/>
        <w:ind w:left="60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37. 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Пратчетт Т. Посох и шляпа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[пер. с англ. И. Кравцова]. – М.: Эксмо 2006, – 384 с.</w:t>
      </w:r>
    </w:p>
    <w:p w:rsidR="00D866D4" w:rsidRPr="00D866D4" w:rsidRDefault="00D866D4" w:rsidP="00E53F7D">
      <w:pPr>
        <w:shd w:val="clear" w:color="auto" w:fill="FFFFFF"/>
        <w:autoSpaceDE w:val="0"/>
        <w:autoSpaceDN w:val="0"/>
        <w:adjustRightInd w:val="0"/>
        <w:ind w:firstLine="60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38. </w:t>
      </w:r>
      <w:r w:rsidRPr="00D866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Пратчетт Т. Санта Хрякус </w:t>
      </w:r>
      <w:r w:rsidR="00E53F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[пер.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с англ. Н. Берденников, А. Жикаренцев]. – М.: Эксмо, 2007, – 480 с.</w:t>
      </w:r>
    </w:p>
    <w:p w:rsidR="00D866D4" w:rsidRPr="00D866D4" w:rsidRDefault="00D866D4" w:rsidP="00E53F7D">
      <w:pPr>
        <w:shd w:val="clear" w:color="auto" w:fill="FFFFFF"/>
        <w:autoSpaceDE w:val="0"/>
        <w:autoSpaceDN w:val="0"/>
        <w:adjustRightInd w:val="0"/>
        <w:ind w:firstLine="60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39. 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Ахманова О. С. Словарь лингвистических терминов. – 2-е изд., стер. – М: УРСС: Едиториал УРСС, 2004. – 571 с.</w:t>
      </w:r>
    </w:p>
    <w:p w:rsidR="00D866D4" w:rsidRPr="00D866D4" w:rsidRDefault="00D866D4" w:rsidP="00E53F7D">
      <w:pPr>
        <w:shd w:val="clear" w:color="auto" w:fill="FFFFFF"/>
        <w:autoSpaceDE w:val="0"/>
        <w:autoSpaceDN w:val="0"/>
        <w:adjustRightInd w:val="0"/>
        <w:ind w:firstLine="60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80660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Жеребило Т. В. Словарь лингвистических терминов. – Изд. 5-е, испр. и доп. – Назрань: ООО «Пилигрим», 2010. – 486 с</w:t>
      </w:r>
    </w:p>
    <w:p w:rsidR="00D866D4" w:rsidRDefault="00D866D4" w:rsidP="00E53F7D">
      <w:pPr>
        <w:ind w:firstLine="60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80660A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D866D4">
        <w:rPr>
          <w:rFonts w:ascii="Times New Roman" w:hAnsi="Times New Roman" w:cs="Times New Roman"/>
          <w:color w:val="000000" w:themeColor="text1"/>
          <w:sz w:val="28"/>
          <w:szCs w:val="28"/>
        </w:rPr>
        <w:t>.Розенталь Д. Э. Справочник лингвистических терминов. – М.: Просвещение, 2002. – 495 с.</w:t>
      </w:r>
    </w:p>
    <w:p w:rsidR="00D866D4" w:rsidRDefault="00D866D4" w:rsidP="00D866D4">
      <w:bookmarkStart w:id="3" w:name="_GoBack"/>
      <w:bookmarkEnd w:id="3"/>
    </w:p>
    <w:sectPr w:rsidR="00D866D4" w:rsidSect="00BD3C8D">
      <w:headerReference w:type="default" r:id="rId12"/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DB1" w:rsidRDefault="00227DB1" w:rsidP="00042C94">
      <w:pPr>
        <w:spacing w:after="0" w:line="240" w:lineRule="auto"/>
      </w:pPr>
      <w:r>
        <w:separator/>
      </w:r>
    </w:p>
  </w:endnote>
  <w:endnote w:type="continuationSeparator" w:id="0">
    <w:p w:rsidR="00227DB1" w:rsidRDefault="00227DB1" w:rsidP="00042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DB1" w:rsidRDefault="00227DB1" w:rsidP="00042C94">
      <w:pPr>
        <w:spacing w:after="0" w:line="240" w:lineRule="auto"/>
      </w:pPr>
      <w:r>
        <w:separator/>
      </w:r>
    </w:p>
  </w:footnote>
  <w:footnote w:type="continuationSeparator" w:id="0">
    <w:p w:rsidR="00227DB1" w:rsidRDefault="00227DB1" w:rsidP="00042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0957554"/>
      <w:docPartObj>
        <w:docPartGallery w:val="Page Numbers (Top of Page)"/>
        <w:docPartUnique/>
      </w:docPartObj>
    </w:sdtPr>
    <w:sdtEndPr/>
    <w:sdtContent>
      <w:p w:rsidR="009642D6" w:rsidRDefault="009642D6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5766">
          <w:rPr>
            <w:noProof/>
          </w:rPr>
          <w:t>10</w:t>
        </w:r>
        <w:r>
          <w:fldChar w:fldCharType="end"/>
        </w:r>
      </w:p>
    </w:sdtContent>
  </w:sdt>
  <w:p w:rsidR="009642D6" w:rsidRDefault="009642D6">
    <w:pPr>
      <w:pStyle w:val="a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2ED"/>
    <w:rsid w:val="00040EC3"/>
    <w:rsid w:val="00042C94"/>
    <w:rsid w:val="00080F55"/>
    <w:rsid w:val="00094AB7"/>
    <w:rsid w:val="000A0C3E"/>
    <w:rsid w:val="000A7972"/>
    <w:rsid w:val="000B0C73"/>
    <w:rsid w:val="000B22B0"/>
    <w:rsid w:val="000C0E27"/>
    <w:rsid w:val="000D12C4"/>
    <w:rsid w:val="000D216B"/>
    <w:rsid w:val="00110081"/>
    <w:rsid w:val="00137C5A"/>
    <w:rsid w:val="001A29DC"/>
    <w:rsid w:val="002013F5"/>
    <w:rsid w:val="00227DB1"/>
    <w:rsid w:val="0024448F"/>
    <w:rsid w:val="00272C02"/>
    <w:rsid w:val="002A7713"/>
    <w:rsid w:val="002B4488"/>
    <w:rsid w:val="002C5086"/>
    <w:rsid w:val="002D79FB"/>
    <w:rsid w:val="002E7F3D"/>
    <w:rsid w:val="0030081F"/>
    <w:rsid w:val="00363C8B"/>
    <w:rsid w:val="00470D6A"/>
    <w:rsid w:val="00474697"/>
    <w:rsid w:val="00481E66"/>
    <w:rsid w:val="00490C2F"/>
    <w:rsid w:val="004A4967"/>
    <w:rsid w:val="004B3BC2"/>
    <w:rsid w:val="004D2696"/>
    <w:rsid w:val="004F724F"/>
    <w:rsid w:val="00545D7A"/>
    <w:rsid w:val="00557CE7"/>
    <w:rsid w:val="006020BC"/>
    <w:rsid w:val="0061205D"/>
    <w:rsid w:val="006C5CA8"/>
    <w:rsid w:val="006D32B1"/>
    <w:rsid w:val="006F2510"/>
    <w:rsid w:val="00743BD0"/>
    <w:rsid w:val="007E01E9"/>
    <w:rsid w:val="0080660A"/>
    <w:rsid w:val="008127F1"/>
    <w:rsid w:val="008234EC"/>
    <w:rsid w:val="00872C00"/>
    <w:rsid w:val="008A3F26"/>
    <w:rsid w:val="008D0557"/>
    <w:rsid w:val="008E4366"/>
    <w:rsid w:val="008E65E2"/>
    <w:rsid w:val="009379E3"/>
    <w:rsid w:val="00960C23"/>
    <w:rsid w:val="009642D6"/>
    <w:rsid w:val="009A2497"/>
    <w:rsid w:val="009B4CAA"/>
    <w:rsid w:val="009E1186"/>
    <w:rsid w:val="00A227A4"/>
    <w:rsid w:val="00A31B77"/>
    <w:rsid w:val="00A362ED"/>
    <w:rsid w:val="00A52F76"/>
    <w:rsid w:val="00A72E70"/>
    <w:rsid w:val="00A91CA7"/>
    <w:rsid w:val="00A9229B"/>
    <w:rsid w:val="00A97F06"/>
    <w:rsid w:val="00B20C26"/>
    <w:rsid w:val="00B20C84"/>
    <w:rsid w:val="00B355DA"/>
    <w:rsid w:val="00B65AA5"/>
    <w:rsid w:val="00B851E5"/>
    <w:rsid w:val="00BA2605"/>
    <w:rsid w:val="00BB01EF"/>
    <w:rsid w:val="00BD39C8"/>
    <w:rsid w:val="00BD3C8D"/>
    <w:rsid w:val="00BE61F0"/>
    <w:rsid w:val="00C16FBF"/>
    <w:rsid w:val="00C24026"/>
    <w:rsid w:val="00C33FF5"/>
    <w:rsid w:val="00C45A3C"/>
    <w:rsid w:val="00C63AF0"/>
    <w:rsid w:val="00C71F80"/>
    <w:rsid w:val="00CE694D"/>
    <w:rsid w:val="00CF4879"/>
    <w:rsid w:val="00D0085B"/>
    <w:rsid w:val="00D47A66"/>
    <w:rsid w:val="00D65937"/>
    <w:rsid w:val="00D866D4"/>
    <w:rsid w:val="00D95766"/>
    <w:rsid w:val="00DD24E1"/>
    <w:rsid w:val="00E53F7D"/>
    <w:rsid w:val="00E5623C"/>
    <w:rsid w:val="00E8059F"/>
    <w:rsid w:val="00EA1810"/>
    <w:rsid w:val="00EA5F27"/>
    <w:rsid w:val="00EB57EC"/>
    <w:rsid w:val="00ED0E73"/>
    <w:rsid w:val="00EF2ED8"/>
    <w:rsid w:val="00F81779"/>
    <w:rsid w:val="00F87E8C"/>
    <w:rsid w:val="00F955EA"/>
    <w:rsid w:val="00FE2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B4EB44-982E-4777-9111-4C93AD2F7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362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A362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72C0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62E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A362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A36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9B4CA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6F2510"/>
  </w:style>
  <w:style w:type="character" w:styleId="a4">
    <w:name w:val="Emphasis"/>
    <w:basedOn w:val="a0"/>
    <w:uiPriority w:val="20"/>
    <w:qFormat/>
    <w:rsid w:val="00BD3C8D"/>
    <w:rPr>
      <w:i/>
      <w:iCs/>
    </w:rPr>
  </w:style>
  <w:style w:type="character" w:styleId="a5">
    <w:name w:val="Hyperlink"/>
    <w:basedOn w:val="a0"/>
    <w:uiPriority w:val="99"/>
    <w:unhideWhenUsed/>
    <w:rsid w:val="00D866D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866D4"/>
    <w:pPr>
      <w:ind w:left="720"/>
      <w:contextualSpacing/>
    </w:pPr>
    <w:rPr>
      <w:rFonts w:eastAsiaTheme="minorEastAsia"/>
      <w:lang w:val="en-US" w:bidi="en-US"/>
    </w:rPr>
  </w:style>
  <w:style w:type="character" w:customStyle="1" w:styleId="30">
    <w:name w:val="Заголовок 3 Знак"/>
    <w:basedOn w:val="a0"/>
    <w:link w:val="3"/>
    <w:uiPriority w:val="9"/>
    <w:semiHidden/>
    <w:rsid w:val="00872C0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7">
    <w:name w:val="TOC Heading"/>
    <w:basedOn w:val="1"/>
    <w:next w:val="a"/>
    <w:uiPriority w:val="39"/>
    <w:unhideWhenUsed/>
    <w:qFormat/>
    <w:rsid w:val="00960C23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60C23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960C23"/>
    <w:pPr>
      <w:spacing w:after="100"/>
      <w:ind w:left="220"/>
    </w:pPr>
  </w:style>
  <w:style w:type="paragraph" w:styleId="a8">
    <w:name w:val="Balloon Text"/>
    <w:basedOn w:val="a"/>
    <w:link w:val="a9"/>
    <w:uiPriority w:val="99"/>
    <w:semiHidden/>
    <w:unhideWhenUsed/>
    <w:rsid w:val="00960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60C23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042C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42C94"/>
  </w:style>
  <w:style w:type="paragraph" w:styleId="ac">
    <w:name w:val="footer"/>
    <w:basedOn w:val="a"/>
    <w:link w:val="ad"/>
    <w:uiPriority w:val="99"/>
    <w:unhideWhenUsed/>
    <w:rsid w:val="00042C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42C94"/>
  </w:style>
  <w:style w:type="table" w:styleId="ae">
    <w:name w:val="Table Grid"/>
    <w:basedOn w:val="a1"/>
    <w:uiPriority w:val="39"/>
    <w:rsid w:val="00EA1810"/>
    <w:pPr>
      <w:spacing w:after="0" w:line="240" w:lineRule="auto"/>
    </w:pPr>
    <w:rPr>
      <w:rFonts w:ascii="Times New Roman" w:hAnsi="Times New Roman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58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nf.uni-ruse.bg/bg/docs/cp13/6.3/6.3-18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hinkaloud.ru/feature/lan-pun.pdf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bradgatepark.org/about-us/old-john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scientific-notes.ru/pdf/031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usskayarech.ru/files/issues/2005/2/07-troickaja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00F8A-85B2-4F01-9B7A-2962AD8FA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2369</Words>
  <Characters>13505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Амина</dc:creator>
  <cp:lastModifiedBy>student</cp:lastModifiedBy>
  <cp:revision>2</cp:revision>
  <dcterms:created xsi:type="dcterms:W3CDTF">2018-05-04T12:38:00Z</dcterms:created>
  <dcterms:modified xsi:type="dcterms:W3CDTF">2018-05-04T12:38:00Z</dcterms:modified>
</cp:coreProperties>
</file>