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rawings/drawing1.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Override PartName="/word/charts/colors9.xml" ContentType="application/vnd.ms-office.chartcolorstyle+xml"/>
  <Override PartName="/word/charts/style9.xml" ContentType="application/vnd.ms-office.chartstyle+xml"/>
  <Override PartName="/word/charts/colors10.xml" ContentType="application/vnd.ms-office.chartcolorstyle+xml"/>
  <Override PartName="/word/charts/style10.xml" ContentType="application/vnd.ms-office.chartstyle+xml"/>
  <Override PartName="/word/charts/colors11.xml" ContentType="application/vnd.ms-office.chartcolorstyle+xml"/>
  <Override PartName="/word/charts/style1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1786B6" w14:textId="4AE8F3FC" w:rsidR="00EE074E" w:rsidRPr="00B52BE7" w:rsidRDefault="00EE074E" w:rsidP="00EE074E">
      <w:pPr>
        <w:spacing w:after="0" w:line="240" w:lineRule="auto"/>
        <w:jc w:val="center"/>
        <w:rPr>
          <w:rFonts w:ascii="Times New Roman" w:hAnsi="Times New Roman"/>
          <w:b/>
          <w:bCs/>
          <w:i/>
          <w:iCs/>
          <w:noProof/>
          <w:sz w:val="28"/>
          <w:szCs w:val="28"/>
        </w:rPr>
      </w:pPr>
      <w:r w:rsidRPr="00B52BE7">
        <w:rPr>
          <w:rFonts w:ascii="Times New Roman" w:hAnsi="Times New Roman"/>
          <w:noProof/>
          <w:sz w:val="28"/>
          <w:szCs w:val="28"/>
        </w:rPr>
        <w:t>Одеський національний університет імені І. І. Мечникова</w:t>
      </w:r>
    </w:p>
    <w:p w14:paraId="7997D3F3" w14:textId="77777777" w:rsidR="00EE074E" w:rsidRPr="00B52BE7" w:rsidRDefault="00EE074E" w:rsidP="00EE074E">
      <w:pPr>
        <w:spacing w:after="0" w:line="240" w:lineRule="auto"/>
        <w:jc w:val="center"/>
        <w:rPr>
          <w:rFonts w:ascii="Times New Roman" w:hAnsi="Times New Roman"/>
          <w:noProof/>
          <w:sz w:val="28"/>
          <w:szCs w:val="28"/>
        </w:rPr>
      </w:pPr>
      <w:r w:rsidRPr="00B52BE7">
        <w:rPr>
          <w:rFonts w:ascii="Times New Roman" w:hAnsi="Times New Roman"/>
          <w:noProof/>
          <w:sz w:val="28"/>
          <w:szCs w:val="28"/>
        </w:rPr>
        <w:t>Факультет міжнародних відносин, політології та соціології</w:t>
      </w:r>
    </w:p>
    <w:p w14:paraId="50AAF754" w14:textId="77777777" w:rsidR="00EE074E" w:rsidRPr="00B52BE7" w:rsidRDefault="00EE074E" w:rsidP="00EE074E">
      <w:pPr>
        <w:spacing w:after="0" w:line="240" w:lineRule="auto"/>
        <w:jc w:val="center"/>
        <w:rPr>
          <w:rFonts w:ascii="Times New Roman" w:hAnsi="Times New Roman"/>
          <w:noProof/>
          <w:sz w:val="28"/>
          <w:szCs w:val="28"/>
        </w:rPr>
      </w:pPr>
      <w:r w:rsidRPr="00B52BE7">
        <w:rPr>
          <w:rFonts w:ascii="Times New Roman" w:hAnsi="Times New Roman"/>
          <w:noProof/>
          <w:sz w:val="28"/>
          <w:szCs w:val="28"/>
        </w:rPr>
        <w:t>Кафедра світового господарства і міжнародних економічних відносин</w:t>
      </w:r>
    </w:p>
    <w:p w14:paraId="49DF3AA4" w14:textId="77777777" w:rsidR="00EE074E" w:rsidRPr="00B52BE7" w:rsidRDefault="00EE074E" w:rsidP="00EE074E">
      <w:pPr>
        <w:spacing w:after="0" w:line="240" w:lineRule="auto"/>
        <w:rPr>
          <w:rFonts w:ascii="Times New Roman" w:hAnsi="Times New Roman"/>
          <w:noProof/>
          <w:sz w:val="28"/>
          <w:szCs w:val="28"/>
          <w:u w:val="single"/>
        </w:rPr>
      </w:pPr>
    </w:p>
    <w:p w14:paraId="13D9795A" w14:textId="77777777" w:rsidR="00EE074E" w:rsidRDefault="00EE074E" w:rsidP="00EE074E">
      <w:pPr>
        <w:spacing w:after="0" w:line="240" w:lineRule="auto"/>
        <w:jc w:val="center"/>
        <w:rPr>
          <w:rFonts w:ascii="Times New Roman" w:hAnsi="Times New Roman"/>
          <w:noProof/>
          <w:sz w:val="28"/>
          <w:szCs w:val="28"/>
          <w:u w:val="single"/>
        </w:rPr>
      </w:pPr>
    </w:p>
    <w:p w14:paraId="19112805" w14:textId="77777777" w:rsidR="00EE074E" w:rsidRDefault="00EE074E" w:rsidP="00EE074E">
      <w:pPr>
        <w:spacing w:after="0" w:line="240" w:lineRule="auto"/>
        <w:jc w:val="center"/>
        <w:rPr>
          <w:rFonts w:ascii="Times New Roman" w:hAnsi="Times New Roman"/>
          <w:noProof/>
          <w:sz w:val="28"/>
          <w:szCs w:val="28"/>
          <w:u w:val="single"/>
        </w:rPr>
      </w:pPr>
    </w:p>
    <w:p w14:paraId="423915BE" w14:textId="77777777" w:rsidR="00EE074E" w:rsidRPr="00B52BE7" w:rsidRDefault="00EE074E" w:rsidP="00EE074E">
      <w:pPr>
        <w:spacing w:after="0" w:line="240" w:lineRule="auto"/>
        <w:jc w:val="center"/>
        <w:rPr>
          <w:rFonts w:ascii="Times New Roman" w:hAnsi="Times New Roman"/>
          <w:noProof/>
          <w:sz w:val="28"/>
          <w:szCs w:val="28"/>
          <w:u w:val="single"/>
        </w:rPr>
      </w:pPr>
    </w:p>
    <w:p w14:paraId="2303F045" w14:textId="77777777" w:rsidR="00EE074E" w:rsidRPr="009F0B52" w:rsidRDefault="00EE074E" w:rsidP="00EE074E">
      <w:pPr>
        <w:pStyle w:val="ad"/>
        <w:spacing w:line="360" w:lineRule="auto"/>
        <w:jc w:val="center"/>
        <w:rPr>
          <w:rFonts w:ascii="Times New Roman" w:hAnsi="Times New Roman" w:cs="Times New Roman"/>
          <w:b/>
          <w:bCs/>
          <w:noProof/>
          <w:sz w:val="28"/>
          <w:szCs w:val="28"/>
          <w:lang w:eastAsia="ru-RU"/>
        </w:rPr>
      </w:pPr>
      <w:r w:rsidRPr="009F0B52">
        <w:rPr>
          <w:rFonts w:ascii="Times New Roman" w:hAnsi="Times New Roman" w:cs="Times New Roman"/>
          <w:b/>
          <w:bCs/>
          <w:noProof/>
          <w:sz w:val="28"/>
          <w:szCs w:val="28"/>
          <w:lang w:eastAsia="ru-RU"/>
        </w:rPr>
        <w:t>ДИПЛОМНА РОБОТА</w:t>
      </w:r>
    </w:p>
    <w:p w14:paraId="69253D2A" w14:textId="77777777" w:rsidR="00EE074E" w:rsidRPr="009F0B52" w:rsidRDefault="00EE074E" w:rsidP="00EE074E">
      <w:pPr>
        <w:pStyle w:val="ad"/>
        <w:spacing w:line="360" w:lineRule="auto"/>
        <w:jc w:val="center"/>
        <w:rPr>
          <w:rFonts w:ascii="Times New Roman" w:hAnsi="Times New Roman" w:cs="Times New Roman"/>
          <w:sz w:val="28"/>
          <w:szCs w:val="28"/>
        </w:rPr>
      </w:pPr>
      <w:r w:rsidRPr="009F0B52">
        <w:rPr>
          <w:rFonts w:ascii="Times New Roman" w:hAnsi="Times New Roman" w:cs="Times New Roman"/>
          <w:noProof/>
          <w:sz w:val="28"/>
          <w:szCs w:val="28"/>
          <w:lang w:eastAsia="ru-RU"/>
        </w:rPr>
        <w:t xml:space="preserve">на здобуття ступеня вищої освіти </w:t>
      </w:r>
      <w:r w:rsidRPr="009F0B52">
        <w:rPr>
          <w:rFonts w:ascii="Times New Roman" w:hAnsi="Times New Roman" w:cs="Times New Roman"/>
          <w:sz w:val="28"/>
          <w:szCs w:val="28"/>
          <w:lang w:eastAsia="uk-UA"/>
        </w:rPr>
        <w:t>«</w:t>
      </w:r>
      <w:r>
        <w:rPr>
          <w:rFonts w:ascii="Times New Roman" w:hAnsi="Times New Roman" w:cs="Times New Roman"/>
          <w:noProof/>
          <w:sz w:val="28"/>
          <w:szCs w:val="28"/>
          <w:lang w:eastAsia="ru-RU"/>
        </w:rPr>
        <w:t>бакалав</w:t>
      </w:r>
      <w:r w:rsidRPr="009F0B52">
        <w:rPr>
          <w:rFonts w:ascii="Times New Roman" w:hAnsi="Times New Roman" w:cs="Times New Roman"/>
          <w:noProof/>
          <w:sz w:val="28"/>
          <w:szCs w:val="28"/>
          <w:lang w:eastAsia="ru-RU"/>
        </w:rPr>
        <w:t>р</w:t>
      </w:r>
      <w:r w:rsidRPr="009F0B52">
        <w:rPr>
          <w:rFonts w:ascii="Times New Roman" w:hAnsi="Times New Roman" w:cs="Times New Roman"/>
          <w:sz w:val="28"/>
          <w:szCs w:val="28"/>
        </w:rPr>
        <w:t>»</w:t>
      </w:r>
    </w:p>
    <w:p w14:paraId="54A853A4" w14:textId="4359242E" w:rsidR="00EE074E" w:rsidRPr="009F0B52" w:rsidRDefault="00EE074E" w:rsidP="00EE074E">
      <w:pPr>
        <w:pStyle w:val="ad"/>
        <w:spacing w:line="360" w:lineRule="auto"/>
        <w:jc w:val="center"/>
        <w:rPr>
          <w:rFonts w:ascii="Times New Roman" w:hAnsi="Times New Roman" w:cs="Times New Roman"/>
          <w:b/>
          <w:bCs/>
          <w:sz w:val="28"/>
          <w:szCs w:val="28"/>
        </w:rPr>
      </w:pPr>
      <w:r w:rsidRPr="009F0B52">
        <w:rPr>
          <w:rFonts w:ascii="Times New Roman" w:hAnsi="Times New Roman" w:cs="Times New Roman"/>
          <w:b/>
          <w:bCs/>
          <w:sz w:val="28"/>
          <w:szCs w:val="28"/>
          <w:lang w:eastAsia="uk-UA"/>
        </w:rPr>
        <w:t>на тему: «</w:t>
      </w:r>
      <w:r w:rsidRPr="00880718">
        <w:rPr>
          <w:rFonts w:ascii="Times New Roman" w:hAnsi="Times New Roman"/>
          <w:b/>
          <w:sz w:val="28"/>
          <w:szCs w:val="28"/>
        </w:rPr>
        <w:t>Особливості розвитку фондового ринку Японії в сучасних умовах</w:t>
      </w:r>
      <w:r w:rsidRPr="009F0B52">
        <w:rPr>
          <w:rFonts w:ascii="Times New Roman" w:hAnsi="Times New Roman" w:cs="Times New Roman"/>
          <w:b/>
          <w:bCs/>
          <w:sz w:val="28"/>
          <w:szCs w:val="28"/>
        </w:rPr>
        <w:t>»</w:t>
      </w:r>
    </w:p>
    <w:p w14:paraId="589D9D2F" w14:textId="76C050CE" w:rsidR="00EE074E" w:rsidRPr="009F0B52" w:rsidRDefault="00EE074E" w:rsidP="00EE074E">
      <w:pPr>
        <w:pStyle w:val="ad"/>
        <w:spacing w:line="360" w:lineRule="auto"/>
        <w:jc w:val="center"/>
        <w:rPr>
          <w:rFonts w:ascii="Times New Roman" w:hAnsi="Times New Roman" w:cs="Times New Roman"/>
          <w:sz w:val="24"/>
          <w:szCs w:val="24"/>
        </w:rPr>
      </w:pPr>
      <w:r w:rsidRPr="009F0B52">
        <w:rPr>
          <w:rFonts w:ascii="Times New Roman" w:hAnsi="Times New Roman" w:cs="Times New Roman"/>
          <w:sz w:val="24"/>
          <w:szCs w:val="24"/>
        </w:rPr>
        <w:t>«</w:t>
      </w:r>
      <w:r>
        <w:rPr>
          <w:rFonts w:ascii="Times New Roman" w:eastAsiaTheme="minorEastAsia" w:hAnsi="Times New Roman"/>
          <w:color w:val="000000"/>
          <w:sz w:val="24"/>
          <w:szCs w:val="24"/>
          <w:lang w:val="en-US" w:eastAsia="ja-JP"/>
        </w:rPr>
        <w:t>Characteristics</w:t>
      </w:r>
      <w:r w:rsidRPr="00316D8F">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of Japanese stock market’s development </w:t>
      </w:r>
      <w:r w:rsidRPr="00316D8F">
        <w:rPr>
          <w:rFonts w:ascii="Times New Roman" w:hAnsi="Times New Roman"/>
          <w:color w:val="000000"/>
          <w:sz w:val="24"/>
          <w:szCs w:val="24"/>
          <w:lang w:val="en-US"/>
        </w:rPr>
        <w:t>in modern conditions</w:t>
      </w:r>
      <w:r w:rsidRPr="009F0B52">
        <w:rPr>
          <w:rFonts w:ascii="Times New Roman" w:hAnsi="Times New Roman" w:cs="Times New Roman"/>
          <w:sz w:val="24"/>
          <w:szCs w:val="24"/>
        </w:rPr>
        <w:t>»</w:t>
      </w:r>
    </w:p>
    <w:p w14:paraId="31A3EF6A" w14:textId="77777777" w:rsidR="00EE074E" w:rsidRPr="00224582" w:rsidRDefault="00EE074E" w:rsidP="00EE074E">
      <w:pPr>
        <w:spacing w:after="0" w:line="240" w:lineRule="auto"/>
        <w:ind w:firstLine="709"/>
        <w:jc w:val="right"/>
        <w:rPr>
          <w:rFonts w:ascii="Times New Roman" w:hAnsi="Times New Roman"/>
          <w:noProof/>
          <w:sz w:val="28"/>
          <w:szCs w:val="28"/>
          <w:lang w:val="en-US"/>
        </w:rPr>
      </w:pPr>
      <w:r w:rsidRPr="00224582">
        <w:rPr>
          <w:rFonts w:ascii="Times New Roman" w:hAnsi="Times New Roman"/>
          <w:noProof/>
          <w:sz w:val="28"/>
          <w:szCs w:val="28"/>
          <w:lang w:val="en-US"/>
        </w:rPr>
        <w:t xml:space="preserve">                                            </w:t>
      </w:r>
    </w:p>
    <w:p w14:paraId="79247917" w14:textId="77777777" w:rsidR="00EE074E" w:rsidRPr="00C1603B" w:rsidRDefault="00EE074E" w:rsidP="00EE074E">
      <w:pPr>
        <w:spacing w:after="0" w:line="240" w:lineRule="auto"/>
        <w:rPr>
          <w:rFonts w:ascii="Times New Roman" w:hAnsi="Times New Roman"/>
          <w:noProof/>
          <w:sz w:val="28"/>
          <w:szCs w:val="28"/>
          <w:lang w:val="uk-UA"/>
        </w:rPr>
      </w:pPr>
    </w:p>
    <w:p w14:paraId="0746616B" w14:textId="77777777" w:rsidR="00EE074E" w:rsidRPr="00C1603B" w:rsidRDefault="00EE074E" w:rsidP="00EE074E">
      <w:pPr>
        <w:spacing w:after="0" w:line="240" w:lineRule="auto"/>
        <w:rPr>
          <w:rFonts w:ascii="Times New Roman" w:hAnsi="Times New Roman"/>
          <w:noProof/>
          <w:sz w:val="28"/>
          <w:szCs w:val="28"/>
          <w:lang w:val="uk-UA"/>
        </w:rPr>
      </w:pPr>
    </w:p>
    <w:p w14:paraId="3213F54D" w14:textId="77777777" w:rsidR="00EE074E" w:rsidRPr="00C1603B" w:rsidRDefault="00EE074E" w:rsidP="00EE074E">
      <w:pPr>
        <w:spacing w:after="0" w:line="240" w:lineRule="auto"/>
        <w:rPr>
          <w:rFonts w:ascii="Times New Roman" w:hAnsi="Times New Roman"/>
          <w:noProof/>
          <w:sz w:val="28"/>
          <w:szCs w:val="28"/>
          <w:lang w:val="uk-UA"/>
        </w:rPr>
      </w:pPr>
    </w:p>
    <w:p w14:paraId="42B663FD" w14:textId="77777777" w:rsidR="00EE074E" w:rsidRPr="00C1603B" w:rsidRDefault="00EE074E" w:rsidP="00EE074E">
      <w:pPr>
        <w:spacing w:after="0" w:line="240" w:lineRule="auto"/>
        <w:ind w:left="2832"/>
        <w:rPr>
          <w:rFonts w:ascii="Times New Roman" w:hAnsi="Times New Roman"/>
          <w:noProof/>
          <w:sz w:val="28"/>
          <w:szCs w:val="28"/>
          <w:lang w:val="uk-UA"/>
        </w:rPr>
      </w:pPr>
      <w:r w:rsidRPr="00C1603B">
        <w:rPr>
          <w:rFonts w:ascii="Times New Roman" w:hAnsi="Times New Roman"/>
          <w:noProof/>
          <w:sz w:val="28"/>
          <w:szCs w:val="28"/>
          <w:lang w:val="uk-UA"/>
        </w:rPr>
        <w:t xml:space="preserve">  Викона</w:t>
      </w:r>
      <w:r>
        <w:rPr>
          <w:rFonts w:ascii="Times New Roman" w:hAnsi="Times New Roman"/>
          <w:noProof/>
          <w:sz w:val="28"/>
          <w:szCs w:val="28"/>
          <w:lang w:val="uk-UA"/>
        </w:rPr>
        <w:t>в</w:t>
      </w:r>
      <w:r w:rsidRPr="00C1603B">
        <w:rPr>
          <w:rFonts w:ascii="Times New Roman" w:hAnsi="Times New Roman"/>
          <w:noProof/>
          <w:sz w:val="28"/>
          <w:szCs w:val="28"/>
          <w:lang w:val="uk-UA"/>
        </w:rPr>
        <w:t>:</w:t>
      </w:r>
      <w:r>
        <w:rPr>
          <w:rFonts w:ascii="Times New Roman" w:hAnsi="Times New Roman"/>
          <w:noProof/>
          <w:sz w:val="28"/>
          <w:szCs w:val="28"/>
          <w:lang w:val="uk-UA"/>
        </w:rPr>
        <w:t xml:space="preserve"> студент</w:t>
      </w:r>
      <w:r w:rsidRPr="00C1603B">
        <w:rPr>
          <w:rFonts w:ascii="Times New Roman" w:hAnsi="Times New Roman"/>
          <w:noProof/>
          <w:sz w:val="28"/>
          <w:szCs w:val="28"/>
          <w:lang w:val="uk-UA"/>
        </w:rPr>
        <w:t xml:space="preserve"> денної форми навчання</w:t>
      </w:r>
    </w:p>
    <w:p w14:paraId="6A26B2A8" w14:textId="77777777" w:rsidR="00EE074E" w:rsidRPr="00C1603B" w:rsidRDefault="00EE074E" w:rsidP="00EE074E">
      <w:pPr>
        <w:spacing w:after="0" w:line="240" w:lineRule="auto"/>
        <w:ind w:hanging="120"/>
        <w:rPr>
          <w:rFonts w:ascii="Times New Roman" w:hAnsi="Times New Roman"/>
          <w:noProof/>
          <w:sz w:val="28"/>
          <w:szCs w:val="28"/>
          <w:lang w:val="uk-UA"/>
        </w:rPr>
      </w:pPr>
      <w:r w:rsidRPr="00C1603B">
        <w:rPr>
          <w:rFonts w:ascii="Times New Roman" w:hAnsi="Times New Roman"/>
          <w:noProof/>
          <w:sz w:val="28"/>
          <w:szCs w:val="28"/>
          <w:lang w:val="uk-UA"/>
        </w:rPr>
        <w:t xml:space="preserve">                                            спеціальності 292 «Міжнародні економічні відносини»</w:t>
      </w:r>
    </w:p>
    <w:p w14:paraId="69A0B763" w14:textId="580D1B65" w:rsidR="00EE074E" w:rsidRPr="00C1603B" w:rsidRDefault="00EE074E" w:rsidP="00EE074E">
      <w:pPr>
        <w:spacing w:after="0" w:line="240" w:lineRule="auto"/>
        <w:ind w:hanging="120"/>
        <w:jc w:val="both"/>
        <w:rPr>
          <w:rFonts w:ascii="Times New Roman" w:hAnsi="Times New Roman"/>
          <w:noProof/>
          <w:sz w:val="28"/>
          <w:szCs w:val="28"/>
          <w:lang w:val="uk-UA"/>
        </w:rPr>
      </w:pPr>
      <w:r w:rsidRPr="00C1603B">
        <w:rPr>
          <w:rFonts w:ascii="Times New Roman" w:hAnsi="Times New Roman"/>
          <w:noProof/>
          <w:sz w:val="28"/>
          <w:szCs w:val="28"/>
          <w:lang w:val="uk-UA"/>
        </w:rPr>
        <w:t xml:space="preserve">                                         </w:t>
      </w:r>
      <w:bookmarkStart w:id="0" w:name="_GoBack"/>
      <w:r w:rsidRPr="00EE074E">
        <w:rPr>
          <w:rFonts w:ascii="Times New Roman" w:hAnsi="Times New Roman"/>
          <w:noProof/>
          <w:sz w:val="28"/>
          <w:szCs w:val="28"/>
          <w:lang w:val="uk-UA"/>
        </w:rPr>
        <w:t>Шатських Руслан Дмитрович</w:t>
      </w:r>
      <w:bookmarkEnd w:id="0"/>
    </w:p>
    <w:p w14:paraId="55A8416E" w14:textId="77777777" w:rsidR="00EE074E" w:rsidRPr="00C1603B" w:rsidRDefault="00EE074E" w:rsidP="00EE074E">
      <w:pPr>
        <w:spacing w:after="0" w:line="240" w:lineRule="auto"/>
        <w:ind w:hanging="120"/>
        <w:jc w:val="both"/>
        <w:rPr>
          <w:rFonts w:ascii="Times New Roman" w:hAnsi="Times New Roman"/>
          <w:noProof/>
          <w:sz w:val="28"/>
          <w:szCs w:val="28"/>
          <w:lang w:val="uk-UA"/>
        </w:rPr>
      </w:pPr>
    </w:p>
    <w:p w14:paraId="32E30B74" w14:textId="3B771941" w:rsidR="00EE074E" w:rsidRPr="00C1603B" w:rsidRDefault="00EE074E" w:rsidP="00EE074E">
      <w:pPr>
        <w:spacing w:after="0" w:line="240" w:lineRule="auto"/>
        <w:ind w:left="-142" w:firstLine="3119"/>
        <w:jc w:val="both"/>
        <w:rPr>
          <w:rFonts w:ascii="Times New Roman" w:hAnsi="Times New Roman"/>
          <w:noProof/>
          <w:sz w:val="28"/>
          <w:szCs w:val="28"/>
          <w:lang w:val="uk-UA"/>
        </w:rPr>
      </w:pPr>
      <w:r w:rsidRPr="00C1603B">
        <w:rPr>
          <w:rFonts w:ascii="Times New Roman" w:hAnsi="Times New Roman"/>
          <w:noProof/>
          <w:sz w:val="28"/>
          <w:szCs w:val="28"/>
          <w:lang w:val="uk-UA"/>
        </w:rPr>
        <w:t xml:space="preserve">Науковий керівник: к.е.н., доц. </w:t>
      </w:r>
      <w:bookmarkStart w:id="1" w:name="_Hlk74651108"/>
      <w:r w:rsidRPr="00EE074E">
        <w:rPr>
          <w:rFonts w:ascii="Times New Roman" w:hAnsi="Times New Roman"/>
          <w:color w:val="000000"/>
          <w:sz w:val="28"/>
          <w:szCs w:val="28"/>
          <w:shd w:val="clear" w:color="auto" w:fill="FFFFFF"/>
          <w:lang w:val="uk-UA"/>
        </w:rPr>
        <w:t>Родіонова Т.А</w:t>
      </w:r>
      <w:r>
        <w:rPr>
          <w:rFonts w:ascii="Times New Roman" w:hAnsi="Times New Roman"/>
          <w:noProof/>
          <w:sz w:val="28"/>
          <w:szCs w:val="28"/>
          <w:lang w:val="uk-UA"/>
        </w:rPr>
        <w:t>.</w:t>
      </w:r>
      <w:bookmarkEnd w:id="1"/>
      <w:r>
        <w:rPr>
          <w:rFonts w:ascii="Times New Roman" w:hAnsi="Times New Roman"/>
          <w:noProof/>
          <w:sz w:val="28"/>
          <w:szCs w:val="28"/>
          <w:lang w:val="uk-UA"/>
        </w:rPr>
        <w:t>______</w:t>
      </w:r>
    </w:p>
    <w:p w14:paraId="4B3B2999" w14:textId="26E9CAAB" w:rsidR="00EE074E" w:rsidRPr="00C1603B" w:rsidRDefault="00EE074E" w:rsidP="00EE074E">
      <w:pPr>
        <w:spacing w:after="0" w:line="240" w:lineRule="auto"/>
        <w:ind w:firstLine="240"/>
        <w:jc w:val="both"/>
        <w:rPr>
          <w:rFonts w:ascii="Times New Roman" w:hAnsi="Times New Roman"/>
          <w:noProof/>
          <w:sz w:val="28"/>
          <w:szCs w:val="28"/>
          <w:lang w:val="uk-UA"/>
        </w:rPr>
      </w:pPr>
      <w:r w:rsidRPr="00C1603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sidRPr="00C1603B">
        <w:rPr>
          <w:rFonts w:ascii="Times New Roman" w:hAnsi="Times New Roman"/>
          <w:noProof/>
          <w:sz w:val="28"/>
          <w:szCs w:val="28"/>
          <w:lang w:val="uk-UA"/>
        </w:rPr>
        <w:t>Рецензент:</w:t>
      </w:r>
      <w:r>
        <w:rPr>
          <w:rFonts w:ascii="Times New Roman" w:hAnsi="Times New Roman"/>
          <w:noProof/>
          <w:sz w:val="28"/>
          <w:szCs w:val="28"/>
          <w:lang w:val="uk-UA"/>
        </w:rPr>
        <w:t xml:space="preserve"> к.е.н., доц. </w:t>
      </w:r>
      <w:r w:rsidRPr="00EE074E">
        <w:rPr>
          <w:rFonts w:ascii="Times New Roman" w:hAnsi="Times New Roman"/>
          <w:noProof/>
          <w:sz w:val="28"/>
          <w:szCs w:val="28"/>
          <w:lang w:val="uk-UA"/>
        </w:rPr>
        <w:t>Матюк Т.В.</w:t>
      </w:r>
    </w:p>
    <w:p w14:paraId="37B79EDC" w14:textId="77777777" w:rsidR="00EE074E" w:rsidRPr="00C1603B" w:rsidRDefault="00EE074E" w:rsidP="00EE074E">
      <w:pPr>
        <w:spacing w:after="0" w:line="240" w:lineRule="auto"/>
        <w:ind w:firstLine="240"/>
        <w:jc w:val="both"/>
        <w:rPr>
          <w:rFonts w:ascii="Times New Roman" w:hAnsi="Times New Roman"/>
          <w:noProof/>
          <w:sz w:val="20"/>
          <w:szCs w:val="20"/>
          <w:lang w:val="uk-UA"/>
        </w:rPr>
      </w:pPr>
      <w:r w:rsidRPr="00C1603B">
        <w:rPr>
          <w:rFonts w:ascii="Times New Roman" w:hAnsi="Times New Roman"/>
          <w:noProof/>
          <w:sz w:val="28"/>
          <w:szCs w:val="28"/>
          <w:lang w:val="uk-UA"/>
        </w:rPr>
        <w:t>.</w:t>
      </w:r>
      <w:r w:rsidRPr="00C1603B">
        <w:rPr>
          <w:rFonts w:ascii="Times New Roman" w:hAnsi="Times New Roman"/>
          <w:noProof/>
          <w:sz w:val="20"/>
          <w:szCs w:val="20"/>
          <w:lang w:val="uk-UA"/>
        </w:rPr>
        <w:t xml:space="preserve">                           </w:t>
      </w:r>
    </w:p>
    <w:p w14:paraId="1A563451" w14:textId="77777777" w:rsidR="00EE074E" w:rsidRPr="00C1603B" w:rsidRDefault="00EE074E" w:rsidP="00EE074E">
      <w:pPr>
        <w:spacing w:after="0" w:line="240" w:lineRule="auto"/>
        <w:ind w:firstLine="709"/>
        <w:jc w:val="both"/>
        <w:rPr>
          <w:rFonts w:ascii="Times New Roman" w:hAnsi="Times New Roman"/>
          <w:noProof/>
          <w:sz w:val="20"/>
          <w:szCs w:val="20"/>
          <w:lang w:val="uk-UA"/>
        </w:rPr>
      </w:pPr>
      <w:r w:rsidRPr="00C1603B">
        <w:rPr>
          <w:rFonts w:ascii="Times New Roman" w:hAnsi="Times New Roman"/>
          <w:noProof/>
          <w:sz w:val="20"/>
          <w:szCs w:val="20"/>
          <w:lang w:val="uk-UA"/>
        </w:rPr>
        <w:t xml:space="preserve">                                                                                                   </w:t>
      </w:r>
      <w:r w:rsidRPr="00C1603B">
        <w:rPr>
          <w:rFonts w:ascii="Times New Roman" w:hAnsi="Times New Roman"/>
          <w:noProof/>
          <w:sz w:val="28"/>
          <w:szCs w:val="28"/>
          <w:lang w:val="uk-UA"/>
        </w:rPr>
        <w:t xml:space="preserve">                                      </w:t>
      </w:r>
    </w:p>
    <w:p w14:paraId="7821CB75" w14:textId="77777777" w:rsidR="00EE074E" w:rsidRPr="00C1603B" w:rsidRDefault="00EE074E" w:rsidP="00EE074E">
      <w:pPr>
        <w:spacing w:after="0" w:line="240" w:lineRule="auto"/>
        <w:ind w:firstLine="709"/>
        <w:jc w:val="both"/>
        <w:rPr>
          <w:rFonts w:ascii="Times New Roman" w:hAnsi="Times New Roman"/>
          <w:noProof/>
          <w:sz w:val="28"/>
          <w:szCs w:val="28"/>
          <w:lang w:val="uk-UA"/>
        </w:rPr>
      </w:pPr>
    </w:p>
    <w:p w14:paraId="43874502" w14:textId="77777777" w:rsidR="00EE074E" w:rsidRPr="00C1603B" w:rsidRDefault="00EE074E" w:rsidP="00EE074E">
      <w:pPr>
        <w:spacing w:after="0" w:line="240" w:lineRule="auto"/>
        <w:ind w:firstLine="709"/>
        <w:jc w:val="both"/>
        <w:rPr>
          <w:rFonts w:ascii="Times New Roman" w:hAnsi="Times New Roman"/>
          <w:noProof/>
          <w:sz w:val="28"/>
          <w:szCs w:val="28"/>
          <w:lang w:val="uk-UA"/>
        </w:rPr>
      </w:pPr>
    </w:p>
    <w:p w14:paraId="376F4128"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14:paraId="422376CB"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р.</w:t>
      </w:r>
    </w:p>
    <w:p w14:paraId="65912CB9"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10</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02</w:t>
      </w:r>
      <w:r w:rsidRPr="009F0B52">
        <w:rPr>
          <w:rFonts w:ascii="Times New Roman" w:hAnsi="Times New Roman"/>
          <w:color w:val="000000"/>
          <w:sz w:val="28"/>
          <w:szCs w:val="28"/>
          <w:lang w:val="uk-UA"/>
        </w:rPr>
        <w:t>.</w:t>
      </w:r>
      <w:r>
        <w:rPr>
          <w:rFonts w:ascii="Times New Roman" w:hAnsi="Times New Roman"/>
          <w:color w:val="000000"/>
          <w:sz w:val="28"/>
          <w:szCs w:val="28"/>
          <w:lang w:val="uk-UA"/>
        </w:rPr>
        <w:t>06</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 xml:space="preserve"> р.                         Оцінка____________/______/______                         </w:t>
      </w:r>
    </w:p>
    <w:p w14:paraId="0D6DB364"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p>
    <w:p w14:paraId="4487B24F"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14:paraId="24D05645"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p>
    <w:p w14:paraId="678A592D" w14:textId="77777777" w:rsidR="00EE074E" w:rsidRPr="009F0B52" w:rsidRDefault="00EE074E" w:rsidP="00EE074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14:paraId="418BF175" w14:textId="77777777" w:rsidR="00EE074E" w:rsidRDefault="00EE074E" w:rsidP="00EE074E">
      <w:pPr>
        <w:spacing w:after="0" w:line="240" w:lineRule="auto"/>
        <w:ind w:firstLine="709"/>
        <w:jc w:val="center"/>
        <w:rPr>
          <w:rFonts w:ascii="Times New Roman" w:hAnsi="Times New Roman"/>
          <w:noProof/>
          <w:sz w:val="28"/>
          <w:szCs w:val="28"/>
        </w:rPr>
      </w:pPr>
    </w:p>
    <w:p w14:paraId="30BAF4BD" w14:textId="77777777" w:rsidR="00EE074E" w:rsidRDefault="00EE074E" w:rsidP="00EE074E">
      <w:pPr>
        <w:spacing w:after="0" w:line="240" w:lineRule="auto"/>
        <w:ind w:firstLine="709"/>
        <w:jc w:val="center"/>
        <w:rPr>
          <w:rFonts w:ascii="Times New Roman" w:hAnsi="Times New Roman"/>
          <w:noProof/>
          <w:sz w:val="28"/>
          <w:szCs w:val="28"/>
        </w:rPr>
      </w:pPr>
    </w:p>
    <w:p w14:paraId="0F4BCB55" w14:textId="77777777" w:rsidR="00EE074E" w:rsidRPr="002437AC" w:rsidRDefault="00EE074E" w:rsidP="00EE074E">
      <w:pPr>
        <w:spacing w:after="0" w:line="240" w:lineRule="auto"/>
        <w:ind w:firstLine="709"/>
        <w:jc w:val="center"/>
        <w:rPr>
          <w:rFonts w:ascii="Times New Roman" w:hAnsi="Times New Roman"/>
          <w:sz w:val="28"/>
          <w:szCs w:val="28"/>
        </w:rPr>
      </w:pPr>
      <w:r w:rsidRPr="00B52BE7">
        <w:rPr>
          <w:rFonts w:ascii="Times New Roman" w:hAnsi="Times New Roman"/>
          <w:noProof/>
          <w:sz w:val="28"/>
          <w:szCs w:val="28"/>
        </w:rPr>
        <w:t>Одеса – 20</w:t>
      </w:r>
      <w:r>
        <w:rPr>
          <w:rFonts w:ascii="Times New Roman" w:hAnsi="Times New Roman"/>
          <w:noProof/>
          <w:sz w:val="28"/>
          <w:szCs w:val="28"/>
        </w:rPr>
        <w:t>2</w:t>
      </w:r>
      <w:r>
        <w:rPr>
          <w:rFonts w:ascii="Times New Roman" w:hAnsi="Times New Roman"/>
          <w:noProof/>
          <w:sz w:val="28"/>
          <w:szCs w:val="28"/>
          <w:lang w:val="uk-UA"/>
        </w:rPr>
        <w:t>1</w:t>
      </w:r>
    </w:p>
    <w:p w14:paraId="4FD90D29" w14:textId="77777777" w:rsidR="00986E90" w:rsidRPr="00880718" w:rsidRDefault="00986E90" w:rsidP="00C2697F">
      <w:pPr>
        <w:spacing w:line="360" w:lineRule="auto"/>
        <w:jc w:val="center"/>
        <w:rPr>
          <w:rFonts w:ascii="Times New Roman" w:hAnsi="Times New Roman"/>
          <w:sz w:val="16"/>
          <w:lang w:val="uk-UA"/>
        </w:rPr>
      </w:pPr>
    </w:p>
    <w:p w14:paraId="49B101B5" w14:textId="731BBAF7" w:rsidR="00C2697F" w:rsidRPr="00880718" w:rsidRDefault="009178CD" w:rsidP="00FD0CAE">
      <w:pPr>
        <w:spacing w:after="160" w:line="259" w:lineRule="auto"/>
        <w:jc w:val="center"/>
        <w:rPr>
          <w:rFonts w:ascii="Times New Roman" w:hAnsi="Times New Roman"/>
          <w:sz w:val="28"/>
          <w:szCs w:val="28"/>
          <w:lang w:val="uk-UA"/>
        </w:rPr>
      </w:pPr>
      <w:r>
        <w:rPr>
          <w:rFonts w:ascii="Times New Roman" w:hAnsi="Times New Roman"/>
          <w:b/>
          <w:bCs/>
          <w:sz w:val="28"/>
          <w:szCs w:val="28"/>
          <w:lang w:val="uk-UA"/>
        </w:rPr>
        <w:lastRenderedPageBreak/>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2"/>
        <w:gridCol w:w="654"/>
      </w:tblGrid>
      <w:tr w:rsidR="006F4D0E" w:rsidRPr="00880718" w14:paraId="204A34D4" w14:textId="77777777" w:rsidTr="00080048">
        <w:tc>
          <w:tcPr>
            <w:tcW w:w="9036" w:type="dxa"/>
          </w:tcPr>
          <w:p w14:paraId="640E57D2" w14:textId="47181A34" w:rsidR="006F4D0E" w:rsidRPr="00880718" w:rsidRDefault="006F4D0E" w:rsidP="006F6E04">
            <w:pPr>
              <w:spacing w:after="0"/>
              <w:rPr>
                <w:lang w:val="uk-UA"/>
              </w:rPr>
            </w:pPr>
            <w:r w:rsidRPr="00880718">
              <w:rPr>
                <w:rFonts w:ascii="Times New Roman" w:hAnsi="Times New Roman"/>
                <w:sz w:val="28"/>
                <w:szCs w:val="28"/>
                <w:lang w:val="uk-UA"/>
              </w:rPr>
              <w:t>ВСТУП…………………………………………………………………</w:t>
            </w:r>
            <w:r w:rsidR="006F6E04" w:rsidRPr="00880718">
              <w:rPr>
                <w:rFonts w:ascii="Times New Roman" w:hAnsi="Times New Roman"/>
                <w:sz w:val="28"/>
                <w:szCs w:val="28"/>
                <w:lang w:val="uk-UA"/>
              </w:rPr>
              <w:t>……</w:t>
            </w:r>
          </w:p>
        </w:tc>
        <w:tc>
          <w:tcPr>
            <w:tcW w:w="654" w:type="dxa"/>
            <w:vAlign w:val="bottom"/>
          </w:tcPr>
          <w:p w14:paraId="154C0435" w14:textId="4702A7E0" w:rsidR="006F4D0E" w:rsidRPr="00880718" w:rsidRDefault="006F6E04" w:rsidP="006F6E04">
            <w:pPr>
              <w:spacing w:after="160"/>
              <w:rPr>
                <w:rFonts w:ascii="Times New Roman" w:hAnsi="Times New Roman"/>
                <w:sz w:val="28"/>
                <w:szCs w:val="28"/>
                <w:lang w:val="uk-UA"/>
              </w:rPr>
            </w:pPr>
            <w:r w:rsidRPr="00880718">
              <w:rPr>
                <w:rFonts w:ascii="Times New Roman" w:hAnsi="Times New Roman"/>
                <w:sz w:val="28"/>
                <w:szCs w:val="28"/>
                <w:lang w:val="uk-UA"/>
              </w:rPr>
              <w:t xml:space="preserve"> </w:t>
            </w:r>
            <w:r w:rsidR="00CC4186">
              <w:rPr>
                <w:rFonts w:ascii="Times New Roman" w:hAnsi="Times New Roman"/>
                <w:sz w:val="28"/>
                <w:szCs w:val="28"/>
                <w:lang w:val="uk-UA"/>
              </w:rPr>
              <w:t>3</w:t>
            </w:r>
          </w:p>
        </w:tc>
      </w:tr>
      <w:tr w:rsidR="006F4D0E" w:rsidRPr="00880718" w14:paraId="55DC4B4A" w14:textId="77777777" w:rsidTr="00080048">
        <w:tc>
          <w:tcPr>
            <w:tcW w:w="9036" w:type="dxa"/>
          </w:tcPr>
          <w:p w14:paraId="59D97F1B" w14:textId="51D41742" w:rsidR="006F4D0E" w:rsidRPr="00880718" w:rsidRDefault="006F4D0E" w:rsidP="006F6E04">
            <w:pPr>
              <w:rPr>
                <w:lang w:val="uk-UA"/>
              </w:rPr>
            </w:pPr>
            <w:r w:rsidRPr="00880718">
              <w:rPr>
                <w:rFonts w:ascii="Times New Roman" w:hAnsi="Times New Roman"/>
                <w:sz w:val="28"/>
                <w:szCs w:val="28"/>
                <w:lang w:val="uk-UA"/>
              </w:rPr>
              <w:t xml:space="preserve">РОЗДІЛ I.  </w:t>
            </w:r>
            <w:bookmarkStart w:id="2" w:name="_Hlk74651548"/>
            <w:r w:rsidR="001C4E33" w:rsidRPr="00880718">
              <w:rPr>
                <w:rFonts w:ascii="Times New Roman" w:hAnsi="Times New Roman"/>
                <w:sz w:val="28"/>
                <w:szCs w:val="28"/>
                <w:lang w:val="uk-UA"/>
              </w:rPr>
              <w:t xml:space="preserve">ТЕОРЕТИЧНІ ОСНОВИ АНАЛІЗУ </w:t>
            </w:r>
            <w:r w:rsidR="00E9201E" w:rsidRPr="00880718">
              <w:rPr>
                <w:rFonts w:ascii="Times New Roman" w:hAnsi="Times New Roman"/>
                <w:sz w:val="28"/>
                <w:szCs w:val="28"/>
                <w:lang w:val="uk-UA"/>
              </w:rPr>
              <w:t>ФОНДОВОГО РИНКУ ЯПОНІЇ</w:t>
            </w:r>
            <w:bookmarkEnd w:id="2"/>
            <w:r w:rsidR="006F6E04" w:rsidRPr="00880718">
              <w:rPr>
                <w:rFonts w:ascii="Times New Roman" w:hAnsi="Times New Roman"/>
                <w:sz w:val="28"/>
                <w:szCs w:val="28"/>
                <w:lang w:val="uk-UA"/>
              </w:rPr>
              <w:t>……………………………………………………………………</w:t>
            </w:r>
            <w:r w:rsidR="00B92A45" w:rsidRPr="00880718">
              <w:rPr>
                <w:rFonts w:ascii="Times New Roman" w:hAnsi="Times New Roman"/>
                <w:sz w:val="28"/>
                <w:szCs w:val="28"/>
                <w:lang w:val="uk-UA"/>
              </w:rPr>
              <w:t>……</w:t>
            </w:r>
          </w:p>
        </w:tc>
        <w:tc>
          <w:tcPr>
            <w:tcW w:w="654" w:type="dxa"/>
            <w:vAlign w:val="bottom"/>
          </w:tcPr>
          <w:p w14:paraId="07EE23B3" w14:textId="053F13F0" w:rsidR="006F4D0E" w:rsidRPr="00880718" w:rsidRDefault="006F6E04" w:rsidP="006F6E04">
            <w:pPr>
              <w:spacing w:after="160"/>
              <w:rPr>
                <w:rFonts w:ascii="Times New Roman" w:hAnsi="Times New Roman"/>
                <w:sz w:val="28"/>
                <w:szCs w:val="28"/>
                <w:lang w:val="uk-UA"/>
              </w:rPr>
            </w:pPr>
            <w:r w:rsidRPr="00880718">
              <w:rPr>
                <w:rFonts w:ascii="Times New Roman" w:hAnsi="Times New Roman"/>
                <w:sz w:val="28"/>
                <w:szCs w:val="28"/>
                <w:lang w:val="uk-UA"/>
              </w:rPr>
              <w:t xml:space="preserve"> </w:t>
            </w:r>
            <w:r w:rsidR="003215B4" w:rsidRPr="00880718">
              <w:rPr>
                <w:rFonts w:ascii="Times New Roman" w:hAnsi="Times New Roman"/>
                <w:sz w:val="28"/>
                <w:szCs w:val="28"/>
                <w:lang w:val="uk-UA"/>
              </w:rPr>
              <w:t>5</w:t>
            </w:r>
          </w:p>
        </w:tc>
      </w:tr>
      <w:tr w:rsidR="00080048" w:rsidRPr="00880718" w14:paraId="5FFB5E36" w14:textId="77777777" w:rsidTr="00080048">
        <w:tc>
          <w:tcPr>
            <w:tcW w:w="9036" w:type="dxa"/>
          </w:tcPr>
          <w:p w14:paraId="149E0FB1" w14:textId="260683A3" w:rsidR="00080048" w:rsidRPr="00880718" w:rsidRDefault="00080048" w:rsidP="006F6E04">
            <w:pPr>
              <w:rPr>
                <w:rFonts w:ascii="Times New Roman" w:hAnsi="Times New Roman"/>
                <w:sz w:val="28"/>
                <w:szCs w:val="28"/>
                <w:lang w:val="uk-UA"/>
              </w:rPr>
            </w:pPr>
            <w:r w:rsidRPr="00880718">
              <w:rPr>
                <w:rFonts w:ascii="Times New Roman" w:hAnsi="Times New Roman"/>
                <w:sz w:val="28"/>
                <w:szCs w:val="28"/>
                <w:lang w:val="uk-UA"/>
              </w:rPr>
              <w:t xml:space="preserve">1.1 </w:t>
            </w:r>
            <w:r w:rsidR="009178CD" w:rsidRPr="009178CD">
              <w:rPr>
                <w:rFonts w:ascii="Times New Roman" w:hAnsi="Times New Roman"/>
                <w:sz w:val="28"/>
                <w:szCs w:val="28"/>
                <w:lang w:val="uk-UA"/>
              </w:rPr>
              <w:t>Історичні особливості формування та сучасні умови розвитку Японської біржі</w:t>
            </w:r>
            <w:r w:rsidRPr="00880718">
              <w:rPr>
                <w:rFonts w:ascii="Times New Roman" w:hAnsi="Times New Roman"/>
                <w:sz w:val="28"/>
                <w:szCs w:val="28"/>
                <w:lang w:val="uk-UA"/>
              </w:rPr>
              <w:t>...................................................................</w:t>
            </w:r>
            <w:r w:rsidR="009178CD">
              <w:rPr>
                <w:rFonts w:ascii="Times New Roman" w:hAnsi="Times New Roman"/>
                <w:sz w:val="28"/>
                <w:szCs w:val="28"/>
                <w:lang w:val="uk-UA"/>
              </w:rPr>
              <w:t>...............................</w:t>
            </w:r>
          </w:p>
        </w:tc>
        <w:tc>
          <w:tcPr>
            <w:tcW w:w="654" w:type="dxa"/>
            <w:vAlign w:val="bottom"/>
          </w:tcPr>
          <w:p w14:paraId="0ECCC056" w14:textId="29D87641" w:rsidR="00080048" w:rsidRPr="00880718" w:rsidRDefault="00080048" w:rsidP="006F6E04">
            <w:pPr>
              <w:spacing w:after="160"/>
              <w:rPr>
                <w:rFonts w:ascii="Times New Roman" w:hAnsi="Times New Roman"/>
                <w:sz w:val="28"/>
                <w:szCs w:val="28"/>
                <w:lang w:val="uk-UA"/>
              </w:rPr>
            </w:pPr>
            <w:r w:rsidRPr="00880718">
              <w:rPr>
                <w:rFonts w:ascii="Times New Roman" w:hAnsi="Times New Roman"/>
                <w:sz w:val="28"/>
                <w:szCs w:val="28"/>
                <w:lang w:val="uk-UA"/>
              </w:rPr>
              <w:t xml:space="preserve"> 5</w:t>
            </w:r>
          </w:p>
        </w:tc>
      </w:tr>
      <w:tr w:rsidR="00080048" w:rsidRPr="00880718" w14:paraId="0B5D3E2E" w14:textId="77777777" w:rsidTr="00080048">
        <w:tc>
          <w:tcPr>
            <w:tcW w:w="9036" w:type="dxa"/>
          </w:tcPr>
          <w:p w14:paraId="41E02528" w14:textId="4B9455F3" w:rsidR="00080048" w:rsidRPr="00880718" w:rsidRDefault="00080048" w:rsidP="006F6E04">
            <w:pPr>
              <w:rPr>
                <w:rFonts w:ascii="Times New Roman" w:hAnsi="Times New Roman"/>
                <w:sz w:val="28"/>
                <w:szCs w:val="28"/>
                <w:lang w:val="uk-UA"/>
              </w:rPr>
            </w:pPr>
            <w:r w:rsidRPr="00880718">
              <w:rPr>
                <w:rFonts w:ascii="Times New Roman" w:hAnsi="Times New Roman"/>
                <w:sz w:val="28"/>
                <w:szCs w:val="28"/>
                <w:lang w:val="uk-UA"/>
              </w:rPr>
              <w:t xml:space="preserve">1.2 </w:t>
            </w:r>
            <w:r w:rsidR="009178CD" w:rsidRPr="009178CD">
              <w:rPr>
                <w:rFonts w:ascii="Times New Roman" w:hAnsi="Times New Roman"/>
                <w:sz w:val="28"/>
                <w:szCs w:val="28"/>
                <w:lang w:val="uk-UA"/>
              </w:rPr>
              <w:t>Теоретичні підходи до аналізу фондового ринку Японії</w:t>
            </w:r>
            <w:r w:rsidRPr="00880718">
              <w:rPr>
                <w:rFonts w:ascii="Times New Roman" w:hAnsi="Times New Roman"/>
                <w:sz w:val="28"/>
                <w:szCs w:val="28"/>
                <w:lang w:val="uk-UA"/>
              </w:rPr>
              <w:t>..........</w:t>
            </w:r>
            <w:r w:rsidR="009178CD">
              <w:rPr>
                <w:rFonts w:ascii="Times New Roman" w:hAnsi="Times New Roman"/>
                <w:sz w:val="28"/>
                <w:szCs w:val="28"/>
                <w:lang w:val="uk-UA"/>
              </w:rPr>
              <w:t>...............</w:t>
            </w:r>
          </w:p>
        </w:tc>
        <w:tc>
          <w:tcPr>
            <w:tcW w:w="654" w:type="dxa"/>
            <w:vAlign w:val="bottom"/>
          </w:tcPr>
          <w:p w14:paraId="4EFE4300" w14:textId="0AB97635" w:rsidR="00080048" w:rsidRPr="00880718" w:rsidRDefault="00CC4186" w:rsidP="006F6E04">
            <w:pPr>
              <w:spacing w:after="160"/>
              <w:rPr>
                <w:rFonts w:ascii="Times New Roman" w:hAnsi="Times New Roman"/>
                <w:sz w:val="28"/>
                <w:szCs w:val="28"/>
                <w:lang w:val="uk-UA"/>
              </w:rPr>
            </w:pPr>
            <w:r>
              <w:rPr>
                <w:rFonts w:ascii="Times New Roman" w:hAnsi="Times New Roman"/>
                <w:sz w:val="28"/>
                <w:szCs w:val="28"/>
                <w:lang w:val="uk-UA"/>
              </w:rPr>
              <w:t>11</w:t>
            </w:r>
          </w:p>
        </w:tc>
      </w:tr>
      <w:tr w:rsidR="006F4D0E" w:rsidRPr="00880718" w14:paraId="2FB3DC81" w14:textId="77777777" w:rsidTr="00080048">
        <w:tc>
          <w:tcPr>
            <w:tcW w:w="9036" w:type="dxa"/>
          </w:tcPr>
          <w:p w14:paraId="7F4137BC" w14:textId="3FD59FC1" w:rsidR="006F4D0E" w:rsidRPr="00880718" w:rsidRDefault="006F4D0E" w:rsidP="006F6E04">
            <w:pPr>
              <w:rPr>
                <w:lang w:val="uk-UA"/>
              </w:rPr>
            </w:pPr>
            <w:r w:rsidRPr="00880718">
              <w:rPr>
                <w:rFonts w:ascii="Times New Roman" w:hAnsi="Times New Roman"/>
                <w:sz w:val="28"/>
                <w:szCs w:val="28"/>
                <w:lang w:val="uk-UA"/>
              </w:rPr>
              <w:t>РОЗДІЛ</w:t>
            </w:r>
            <w:r w:rsidRPr="00880718">
              <w:rPr>
                <w:rFonts w:ascii="Times New Roman" w:hAnsi="Times New Roman"/>
                <w:bCs/>
                <w:sz w:val="28"/>
                <w:szCs w:val="28"/>
                <w:lang w:val="uk-UA"/>
              </w:rPr>
              <w:t xml:space="preserve"> </w:t>
            </w:r>
            <w:r w:rsidRPr="00880718">
              <w:rPr>
                <w:rFonts w:ascii="Times New Roman" w:hAnsi="Times New Roman"/>
                <w:sz w:val="28"/>
                <w:szCs w:val="28"/>
                <w:lang w:val="uk-UA"/>
              </w:rPr>
              <w:t>ІІ</w:t>
            </w:r>
            <w:r w:rsidR="003215B4" w:rsidRPr="00880718">
              <w:rPr>
                <w:rFonts w:ascii="Times New Roman" w:hAnsi="Times New Roman"/>
                <w:sz w:val="28"/>
                <w:szCs w:val="28"/>
                <w:lang w:val="uk-UA"/>
              </w:rPr>
              <w:t xml:space="preserve">. </w:t>
            </w:r>
            <w:bookmarkStart w:id="3" w:name="_Hlk74651583"/>
            <w:r w:rsidR="001C4E33" w:rsidRPr="00880718">
              <w:rPr>
                <w:rFonts w:ascii="Times New Roman" w:hAnsi="Times New Roman"/>
                <w:sz w:val="28"/>
                <w:szCs w:val="28"/>
                <w:lang w:val="uk-UA"/>
              </w:rPr>
              <w:t xml:space="preserve">ДОСЛІДЖЕННЯ </w:t>
            </w:r>
            <w:r w:rsidR="00080048" w:rsidRPr="00880718">
              <w:rPr>
                <w:rFonts w:ascii="Times New Roman" w:hAnsi="Times New Roman"/>
                <w:sz w:val="28"/>
                <w:szCs w:val="28"/>
                <w:lang w:val="uk-UA"/>
              </w:rPr>
              <w:t>ФАКТОРІВ</w:t>
            </w:r>
            <w:r w:rsidR="001C4E33" w:rsidRPr="00880718">
              <w:rPr>
                <w:rFonts w:ascii="Times New Roman" w:hAnsi="Times New Roman"/>
                <w:sz w:val="28"/>
                <w:szCs w:val="28"/>
                <w:lang w:val="uk-UA"/>
              </w:rPr>
              <w:t xml:space="preserve"> </w:t>
            </w:r>
            <w:r w:rsidR="00080048" w:rsidRPr="00880718">
              <w:rPr>
                <w:rFonts w:ascii="Times New Roman" w:eastAsiaTheme="minorEastAsia" w:hAnsi="Times New Roman"/>
                <w:sz w:val="28"/>
                <w:szCs w:val="28"/>
                <w:lang w:val="uk-UA" w:eastAsia="ja-JP"/>
              </w:rPr>
              <w:t xml:space="preserve">ВПЛИВУ НА ФОНДОВИЙ РИНОК </w:t>
            </w:r>
            <w:r w:rsidR="001C4E33" w:rsidRPr="00880718">
              <w:rPr>
                <w:rFonts w:ascii="Times New Roman" w:hAnsi="Times New Roman"/>
                <w:sz w:val="28"/>
                <w:szCs w:val="28"/>
                <w:lang w:val="uk-UA"/>
              </w:rPr>
              <w:t>ЯПОНІЇ</w:t>
            </w:r>
            <w:r w:rsidR="00080048" w:rsidRPr="00880718">
              <w:rPr>
                <w:rFonts w:ascii="Times New Roman" w:hAnsi="Times New Roman"/>
                <w:sz w:val="28"/>
                <w:szCs w:val="28"/>
                <w:lang w:val="uk-UA"/>
              </w:rPr>
              <w:t xml:space="preserve"> </w:t>
            </w:r>
            <w:bookmarkEnd w:id="3"/>
            <w:r w:rsidR="006F6E04" w:rsidRPr="00880718">
              <w:rPr>
                <w:rFonts w:ascii="Times New Roman" w:hAnsi="Times New Roman"/>
                <w:sz w:val="28"/>
                <w:szCs w:val="28"/>
                <w:lang w:val="uk-UA"/>
              </w:rPr>
              <w:t>…………………………………</w:t>
            </w:r>
            <w:r w:rsidR="00B92A45" w:rsidRPr="00880718">
              <w:rPr>
                <w:rFonts w:ascii="Times New Roman" w:hAnsi="Times New Roman"/>
                <w:sz w:val="28"/>
                <w:szCs w:val="28"/>
                <w:lang w:val="uk-UA"/>
              </w:rPr>
              <w:t>…………………………</w:t>
            </w:r>
          </w:p>
        </w:tc>
        <w:tc>
          <w:tcPr>
            <w:tcW w:w="654" w:type="dxa"/>
            <w:vAlign w:val="bottom"/>
          </w:tcPr>
          <w:p w14:paraId="0404300C" w14:textId="30896AD4" w:rsidR="006F4D0E" w:rsidRPr="00880718" w:rsidRDefault="00223464" w:rsidP="00223464">
            <w:pPr>
              <w:spacing w:after="160"/>
              <w:rPr>
                <w:rFonts w:ascii="Times New Roman" w:hAnsi="Times New Roman"/>
                <w:sz w:val="28"/>
                <w:szCs w:val="28"/>
                <w:lang w:val="uk-UA"/>
              </w:rPr>
            </w:pPr>
            <w:r w:rsidRPr="00880718">
              <w:rPr>
                <w:rFonts w:ascii="Times New Roman" w:hAnsi="Times New Roman"/>
                <w:sz w:val="28"/>
                <w:szCs w:val="28"/>
                <w:lang w:val="uk-UA"/>
              </w:rPr>
              <w:t>1</w:t>
            </w:r>
            <w:r w:rsidR="008F41EA">
              <w:rPr>
                <w:rFonts w:ascii="Times New Roman" w:hAnsi="Times New Roman"/>
                <w:sz w:val="28"/>
                <w:szCs w:val="28"/>
                <w:lang w:val="uk-UA"/>
              </w:rPr>
              <w:t>5</w:t>
            </w:r>
          </w:p>
        </w:tc>
      </w:tr>
      <w:tr w:rsidR="007D5078" w:rsidRPr="00880718" w14:paraId="2481C4F8" w14:textId="77777777" w:rsidTr="00080048">
        <w:tc>
          <w:tcPr>
            <w:tcW w:w="9036" w:type="dxa"/>
          </w:tcPr>
          <w:p w14:paraId="2586777C" w14:textId="355E30EB" w:rsidR="007D5078" w:rsidRPr="00880718" w:rsidRDefault="007D5078" w:rsidP="006F6E04">
            <w:pPr>
              <w:rPr>
                <w:rFonts w:ascii="Times New Roman" w:hAnsi="Times New Roman"/>
                <w:sz w:val="28"/>
                <w:szCs w:val="28"/>
                <w:lang w:val="uk-UA"/>
              </w:rPr>
            </w:pPr>
            <w:r w:rsidRPr="007D5078">
              <w:rPr>
                <w:rFonts w:ascii="Times New Roman" w:hAnsi="Times New Roman"/>
                <w:sz w:val="28"/>
                <w:szCs w:val="28"/>
                <w:lang w:val="uk-UA"/>
              </w:rPr>
              <w:t>2.1 Макроекономічні показники та їх вплив на фондовий ринок Японії</w:t>
            </w:r>
            <w:r w:rsidR="00CC4186">
              <w:rPr>
                <w:rFonts w:ascii="Times New Roman" w:hAnsi="Times New Roman"/>
                <w:sz w:val="28"/>
                <w:szCs w:val="28"/>
                <w:lang w:val="uk-UA"/>
              </w:rPr>
              <w:t>….</w:t>
            </w:r>
          </w:p>
        </w:tc>
        <w:tc>
          <w:tcPr>
            <w:tcW w:w="654" w:type="dxa"/>
            <w:vAlign w:val="bottom"/>
          </w:tcPr>
          <w:p w14:paraId="32A2A431" w14:textId="47452F0B" w:rsidR="007D5078"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1</w:t>
            </w:r>
            <w:r w:rsidR="008F41EA">
              <w:rPr>
                <w:rFonts w:ascii="Times New Roman" w:hAnsi="Times New Roman"/>
                <w:sz w:val="28"/>
                <w:szCs w:val="28"/>
                <w:lang w:val="uk-UA"/>
              </w:rPr>
              <w:t>5</w:t>
            </w:r>
          </w:p>
        </w:tc>
      </w:tr>
      <w:tr w:rsidR="007D5078" w:rsidRPr="00880718" w14:paraId="637FB8B0" w14:textId="77777777" w:rsidTr="00080048">
        <w:tc>
          <w:tcPr>
            <w:tcW w:w="9036" w:type="dxa"/>
          </w:tcPr>
          <w:p w14:paraId="745D74E4" w14:textId="3105BAF5" w:rsidR="007D5078" w:rsidRPr="007D5078" w:rsidRDefault="007D5078" w:rsidP="006F6E04">
            <w:pPr>
              <w:rPr>
                <w:rFonts w:ascii="Times New Roman" w:hAnsi="Times New Roman"/>
                <w:sz w:val="28"/>
                <w:szCs w:val="28"/>
                <w:lang w:val="uk-UA"/>
              </w:rPr>
            </w:pPr>
            <w:r w:rsidRPr="007D5078">
              <w:rPr>
                <w:rFonts w:ascii="Times New Roman" w:hAnsi="Times New Roman"/>
                <w:sz w:val="28"/>
                <w:szCs w:val="28"/>
                <w:lang w:val="uk-UA"/>
              </w:rPr>
              <w:t>2.2. Регресійний аналіз факторів впливу на Японський фондовий ринок</w:t>
            </w:r>
            <w:r w:rsidR="00CC4186">
              <w:rPr>
                <w:rFonts w:ascii="Times New Roman" w:hAnsi="Times New Roman"/>
                <w:sz w:val="28"/>
                <w:szCs w:val="28"/>
                <w:lang w:val="uk-UA"/>
              </w:rPr>
              <w:t>...</w:t>
            </w:r>
          </w:p>
        </w:tc>
        <w:tc>
          <w:tcPr>
            <w:tcW w:w="654" w:type="dxa"/>
            <w:vAlign w:val="bottom"/>
          </w:tcPr>
          <w:p w14:paraId="405A4E6E" w14:textId="3E118DD6" w:rsidR="007D5078"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2</w:t>
            </w:r>
            <w:r w:rsidR="008F41EA">
              <w:rPr>
                <w:rFonts w:ascii="Times New Roman" w:hAnsi="Times New Roman"/>
                <w:sz w:val="28"/>
                <w:szCs w:val="28"/>
                <w:lang w:val="uk-UA"/>
              </w:rPr>
              <w:t>2</w:t>
            </w:r>
          </w:p>
        </w:tc>
      </w:tr>
      <w:tr w:rsidR="007D5078" w:rsidRPr="00880718" w14:paraId="28192A7B" w14:textId="77777777" w:rsidTr="00080048">
        <w:tc>
          <w:tcPr>
            <w:tcW w:w="9036" w:type="dxa"/>
          </w:tcPr>
          <w:p w14:paraId="62EA22C5" w14:textId="6B6ED771" w:rsidR="005301E3" w:rsidRPr="00CC4186" w:rsidRDefault="007D5078" w:rsidP="006F6E04">
            <w:pPr>
              <w:rPr>
                <w:rFonts w:ascii="Times New Roman" w:hAnsi="Times New Roman"/>
                <w:sz w:val="28"/>
                <w:szCs w:val="28"/>
                <w:lang w:val="uk-UA"/>
              </w:rPr>
            </w:pPr>
            <w:r w:rsidRPr="007D5078">
              <w:rPr>
                <w:rFonts w:ascii="Times New Roman" w:hAnsi="Times New Roman"/>
                <w:sz w:val="28"/>
                <w:szCs w:val="28"/>
                <w:lang w:val="uk-UA"/>
              </w:rPr>
              <w:t>2.3 Аналіз впливу соціально-політичних факторів на Японський фондовий ринок</w:t>
            </w:r>
            <w:r w:rsidR="00CC4186">
              <w:rPr>
                <w:rFonts w:ascii="Times New Roman" w:hAnsi="Times New Roman"/>
                <w:sz w:val="28"/>
                <w:szCs w:val="28"/>
                <w:lang w:val="uk-UA"/>
              </w:rPr>
              <w:t>……………………………………………………………….</w:t>
            </w:r>
          </w:p>
        </w:tc>
        <w:tc>
          <w:tcPr>
            <w:tcW w:w="654" w:type="dxa"/>
            <w:vAlign w:val="bottom"/>
          </w:tcPr>
          <w:p w14:paraId="4B44C3D2" w14:textId="080C4741" w:rsidR="007D5078"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2</w:t>
            </w:r>
            <w:r w:rsidR="008F41EA">
              <w:rPr>
                <w:rFonts w:ascii="Times New Roman" w:hAnsi="Times New Roman"/>
                <w:sz w:val="28"/>
                <w:szCs w:val="28"/>
                <w:lang w:val="uk-UA"/>
              </w:rPr>
              <w:t>6</w:t>
            </w:r>
          </w:p>
        </w:tc>
      </w:tr>
      <w:tr w:rsidR="00CC4186" w:rsidRPr="00880718" w14:paraId="690440DA" w14:textId="77777777" w:rsidTr="00080048">
        <w:tc>
          <w:tcPr>
            <w:tcW w:w="9036" w:type="dxa"/>
          </w:tcPr>
          <w:p w14:paraId="4312BC51" w14:textId="0036CA85" w:rsidR="00CC4186" w:rsidRPr="007D5078" w:rsidRDefault="00CC4186" w:rsidP="006F6E04">
            <w:pPr>
              <w:rPr>
                <w:rFonts w:ascii="Times New Roman" w:hAnsi="Times New Roman"/>
                <w:sz w:val="28"/>
                <w:szCs w:val="28"/>
                <w:lang w:val="uk-UA"/>
              </w:rPr>
            </w:pPr>
            <w:r>
              <w:rPr>
                <w:rFonts w:ascii="Times New Roman" w:hAnsi="Times New Roman"/>
                <w:sz w:val="28"/>
                <w:szCs w:val="28"/>
                <w:lang w:val="uk-UA"/>
              </w:rPr>
              <w:t xml:space="preserve">РОЗДІЛ </w:t>
            </w:r>
            <w:r>
              <w:rPr>
                <w:rFonts w:ascii="Times New Roman" w:eastAsiaTheme="minorEastAsia" w:hAnsi="Times New Roman" w:hint="eastAsia"/>
                <w:sz w:val="28"/>
                <w:szCs w:val="28"/>
                <w:lang w:val="uk-UA" w:eastAsia="ja-JP"/>
              </w:rPr>
              <w:t>I</w:t>
            </w:r>
            <w:r>
              <w:rPr>
                <w:rFonts w:ascii="Times New Roman" w:eastAsiaTheme="minorEastAsia" w:hAnsi="Times New Roman"/>
                <w:sz w:val="28"/>
                <w:szCs w:val="28"/>
                <w:lang w:val="uk-UA" w:eastAsia="ja-JP"/>
              </w:rPr>
              <w:t xml:space="preserve">II </w:t>
            </w:r>
            <w:bookmarkStart w:id="4" w:name="_Hlk74651617"/>
            <w:r w:rsidRPr="005301E3">
              <w:rPr>
                <w:rFonts w:ascii="Times New Roman" w:eastAsiaTheme="minorEastAsia" w:hAnsi="Times New Roman"/>
                <w:sz w:val="28"/>
                <w:szCs w:val="28"/>
                <w:lang w:val="uk-UA" w:eastAsia="ja-JP"/>
              </w:rPr>
              <w:t>ДОСВІД  ДЛЯ УКРАЇНИ У РОЗВИТКУ ФОНДОВОГО РИНКУ ЯПОНІЇ</w:t>
            </w:r>
            <w:bookmarkEnd w:id="4"/>
            <w:r>
              <w:rPr>
                <w:rFonts w:ascii="Times New Roman" w:eastAsiaTheme="minorEastAsia" w:hAnsi="Times New Roman"/>
                <w:sz w:val="28"/>
                <w:szCs w:val="28"/>
                <w:lang w:val="uk-UA" w:eastAsia="ja-JP"/>
              </w:rPr>
              <w:t>……………………………………………………………….</w:t>
            </w:r>
          </w:p>
        </w:tc>
        <w:tc>
          <w:tcPr>
            <w:tcW w:w="654" w:type="dxa"/>
            <w:vAlign w:val="bottom"/>
          </w:tcPr>
          <w:p w14:paraId="40CF3A81" w14:textId="22F7C56D" w:rsidR="00CC4186"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3</w:t>
            </w:r>
            <w:r w:rsidR="008F41EA">
              <w:rPr>
                <w:rFonts w:ascii="Times New Roman" w:hAnsi="Times New Roman"/>
                <w:sz w:val="28"/>
                <w:szCs w:val="28"/>
                <w:lang w:val="uk-UA"/>
              </w:rPr>
              <w:t>0</w:t>
            </w:r>
          </w:p>
        </w:tc>
      </w:tr>
      <w:tr w:rsidR="005301E3" w:rsidRPr="00880718" w14:paraId="1CAB935E" w14:textId="77777777" w:rsidTr="00080048">
        <w:tc>
          <w:tcPr>
            <w:tcW w:w="9036" w:type="dxa"/>
          </w:tcPr>
          <w:p w14:paraId="61954F6E" w14:textId="44920E36" w:rsidR="005301E3" w:rsidRPr="007D5078" w:rsidRDefault="005301E3" w:rsidP="006F6E04">
            <w:pPr>
              <w:rPr>
                <w:rFonts w:ascii="Times New Roman" w:hAnsi="Times New Roman"/>
                <w:sz w:val="28"/>
                <w:szCs w:val="28"/>
                <w:lang w:val="uk-UA"/>
              </w:rPr>
            </w:pPr>
            <w:r w:rsidRPr="005301E3">
              <w:rPr>
                <w:rFonts w:ascii="Times New Roman" w:hAnsi="Times New Roman"/>
                <w:sz w:val="28"/>
                <w:szCs w:val="28"/>
                <w:lang w:val="uk-UA"/>
              </w:rPr>
              <w:t>3.1 Порівняння особливостей становлення фондового ринку Японії та України</w:t>
            </w:r>
            <w:r w:rsidR="00CC4186">
              <w:rPr>
                <w:rFonts w:ascii="Times New Roman" w:hAnsi="Times New Roman"/>
                <w:sz w:val="28"/>
                <w:szCs w:val="28"/>
                <w:lang w:val="uk-UA"/>
              </w:rPr>
              <w:t>…………………………………………………………………………</w:t>
            </w:r>
          </w:p>
        </w:tc>
        <w:tc>
          <w:tcPr>
            <w:tcW w:w="654" w:type="dxa"/>
            <w:vAlign w:val="bottom"/>
          </w:tcPr>
          <w:p w14:paraId="38151AA2" w14:textId="20F510AE" w:rsidR="005301E3"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3</w:t>
            </w:r>
            <w:r w:rsidR="008F41EA">
              <w:rPr>
                <w:rFonts w:ascii="Times New Roman" w:hAnsi="Times New Roman"/>
                <w:sz w:val="28"/>
                <w:szCs w:val="28"/>
                <w:lang w:val="uk-UA"/>
              </w:rPr>
              <w:t>0</w:t>
            </w:r>
          </w:p>
        </w:tc>
      </w:tr>
      <w:tr w:rsidR="005301E3" w:rsidRPr="00880718" w14:paraId="189CE983" w14:textId="77777777" w:rsidTr="00080048">
        <w:tc>
          <w:tcPr>
            <w:tcW w:w="9036" w:type="dxa"/>
          </w:tcPr>
          <w:p w14:paraId="1F36CBC2" w14:textId="4EF24CBE" w:rsidR="005301E3" w:rsidRPr="007D5078" w:rsidRDefault="005301E3" w:rsidP="006F6E04">
            <w:pPr>
              <w:rPr>
                <w:rFonts w:ascii="Times New Roman" w:hAnsi="Times New Roman"/>
                <w:sz w:val="28"/>
                <w:szCs w:val="28"/>
                <w:lang w:val="uk-UA"/>
              </w:rPr>
            </w:pPr>
            <w:r w:rsidRPr="005301E3">
              <w:rPr>
                <w:rFonts w:ascii="Times New Roman" w:hAnsi="Times New Roman"/>
                <w:sz w:val="28"/>
                <w:szCs w:val="28"/>
                <w:lang w:val="uk-UA"/>
              </w:rPr>
              <w:t>3.2 Аналіз динаміки основних показників розвитку фондових ринків Японії та України</w:t>
            </w:r>
            <w:r w:rsidR="00CC4186">
              <w:rPr>
                <w:rFonts w:ascii="Times New Roman" w:hAnsi="Times New Roman"/>
                <w:sz w:val="28"/>
                <w:szCs w:val="28"/>
                <w:lang w:val="uk-UA"/>
              </w:rPr>
              <w:t>……………………………………………………………...</w:t>
            </w:r>
          </w:p>
        </w:tc>
        <w:tc>
          <w:tcPr>
            <w:tcW w:w="654" w:type="dxa"/>
            <w:vAlign w:val="bottom"/>
          </w:tcPr>
          <w:p w14:paraId="14338C60" w14:textId="7775E89F" w:rsidR="005301E3"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3</w:t>
            </w:r>
            <w:r w:rsidR="008F41EA">
              <w:rPr>
                <w:rFonts w:ascii="Times New Roman" w:hAnsi="Times New Roman"/>
                <w:sz w:val="28"/>
                <w:szCs w:val="28"/>
                <w:lang w:val="uk-UA"/>
              </w:rPr>
              <w:t>8</w:t>
            </w:r>
          </w:p>
        </w:tc>
      </w:tr>
      <w:tr w:rsidR="005301E3" w:rsidRPr="00880718" w14:paraId="6A1D0E1F" w14:textId="77777777" w:rsidTr="00080048">
        <w:tc>
          <w:tcPr>
            <w:tcW w:w="9036" w:type="dxa"/>
          </w:tcPr>
          <w:p w14:paraId="5833EAF1" w14:textId="71907475" w:rsidR="005301E3" w:rsidRPr="007D5078" w:rsidRDefault="005301E3" w:rsidP="006F6E04">
            <w:pPr>
              <w:rPr>
                <w:rFonts w:ascii="Times New Roman" w:hAnsi="Times New Roman"/>
                <w:sz w:val="28"/>
                <w:szCs w:val="28"/>
                <w:lang w:val="uk-UA"/>
              </w:rPr>
            </w:pPr>
            <w:r w:rsidRPr="005301E3">
              <w:rPr>
                <w:rFonts w:ascii="Times New Roman" w:hAnsi="Times New Roman"/>
                <w:sz w:val="28"/>
                <w:szCs w:val="28"/>
                <w:lang w:val="uk-UA"/>
              </w:rPr>
              <w:t>ВИСНОВКИ</w:t>
            </w:r>
            <w:r w:rsidR="00CC4186">
              <w:rPr>
                <w:rFonts w:ascii="Times New Roman" w:hAnsi="Times New Roman"/>
                <w:sz w:val="28"/>
                <w:szCs w:val="28"/>
                <w:lang w:val="uk-UA"/>
              </w:rPr>
              <w:t>……………………………………………………………………</w:t>
            </w:r>
          </w:p>
        </w:tc>
        <w:tc>
          <w:tcPr>
            <w:tcW w:w="654" w:type="dxa"/>
            <w:vAlign w:val="bottom"/>
          </w:tcPr>
          <w:p w14:paraId="5AC8F2F2" w14:textId="5FD3980F" w:rsidR="005301E3"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4</w:t>
            </w:r>
            <w:r w:rsidR="008F41EA">
              <w:rPr>
                <w:rFonts w:ascii="Times New Roman" w:hAnsi="Times New Roman"/>
                <w:sz w:val="28"/>
                <w:szCs w:val="28"/>
                <w:lang w:val="uk-UA"/>
              </w:rPr>
              <w:t>3</w:t>
            </w:r>
          </w:p>
        </w:tc>
      </w:tr>
      <w:tr w:rsidR="005301E3" w:rsidRPr="00880718" w14:paraId="6D3D3D01" w14:textId="77777777" w:rsidTr="00080048">
        <w:tc>
          <w:tcPr>
            <w:tcW w:w="9036" w:type="dxa"/>
          </w:tcPr>
          <w:p w14:paraId="6BB2EAAB" w14:textId="2491CB34" w:rsidR="005301E3" w:rsidRPr="007D5078" w:rsidRDefault="005301E3" w:rsidP="006F6E04">
            <w:pPr>
              <w:rPr>
                <w:rFonts w:ascii="Times New Roman" w:hAnsi="Times New Roman"/>
                <w:sz w:val="28"/>
                <w:szCs w:val="28"/>
                <w:lang w:val="uk-UA"/>
              </w:rPr>
            </w:pPr>
            <w:r>
              <w:rPr>
                <w:rFonts w:ascii="Times New Roman" w:hAnsi="Times New Roman"/>
                <w:sz w:val="28"/>
                <w:szCs w:val="28"/>
                <w:lang w:val="uk-UA"/>
              </w:rPr>
              <w:t>СПИСОК ВИКОРИСТАНИХ ДЖЕРЕЛ</w:t>
            </w:r>
            <w:r w:rsidR="00CC4186">
              <w:rPr>
                <w:rFonts w:ascii="Times New Roman" w:hAnsi="Times New Roman"/>
                <w:sz w:val="28"/>
                <w:szCs w:val="28"/>
                <w:lang w:val="uk-UA"/>
              </w:rPr>
              <w:t>……………………………………..</w:t>
            </w:r>
          </w:p>
        </w:tc>
        <w:tc>
          <w:tcPr>
            <w:tcW w:w="654" w:type="dxa"/>
            <w:vAlign w:val="bottom"/>
          </w:tcPr>
          <w:p w14:paraId="49E18F24" w14:textId="0E92483F" w:rsidR="005301E3"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4</w:t>
            </w:r>
            <w:r w:rsidR="008F41EA">
              <w:rPr>
                <w:rFonts w:ascii="Times New Roman" w:hAnsi="Times New Roman"/>
                <w:sz w:val="28"/>
                <w:szCs w:val="28"/>
                <w:lang w:val="uk-UA"/>
              </w:rPr>
              <w:t>6</w:t>
            </w:r>
          </w:p>
        </w:tc>
      </w:tr>
      <w:tr w:rsidR="005301E3" w:rsidRPr="00880718" w14:paraId="0E683D47" w14:textId="77777777" w:rsidTr="00080048">
        <w:tc>
          <w:tcPr>
            <w:tcW w:w="9036" w:type="dxa"/>
          </w:tcPr>
          <w:p w14:paraId="6E56C47C" w14:textId="4CFCDEDC" w:rsidR="005301E3" w:rsidRPr="007D5078" w:rsidRDefault="005301E3" w:rsidP="006F6E04">
            <w:pPr>
              <w:rPr>
                <w:rFonts w:ascii="Times New Roman" w:hAnsi="Times New Roman"/>
                <w:sz w:val="28"/>
                <w:szCs w:val="28"/>
                <w:lang w:val="uk-UA"/>
              </w:rPr>
            </w:pPr>
            <w:r>
              <w:rPr>
                <w:rFonts w:ascii="Times New Roman" w:hAnsi="Times New Roman"/>
                <w:sz w:val="28"/>
                <w:szCs w:val="28"/>
                <w:lang w:val="uk-UA"/>
              </w:rPr>
              <w:t>ДОДАТКИ</w:t>
            </w:r>
            <w:r w:rsidR="00CC4186">
              <w:rPr>
                <w:rFonts w:ascii="Times New Roman" w:hAnsi="Times New Roman"/>
                <w:sz w:val="28"/>
                <w:szCs w:val="28"/>
                <w:lang w:val="uk-UA"/>
              </w:rPr>
              <w:t>……………………………………………………………………..</w:t>
            </w:r>
          </w:p>
        </w:tc>
        <w:tc>
          <w:tcPr>
            <w:tcW w:w="654" w:type="dxa"/>
            <w:vAlign w:val="bottom"/>
          </w:tcPr>
          <w:p w14:paraId="11BCADE7" w14:textId="67127454" w:rsidR="005301E3" w:rsidRPr="00880718" w:rsidRDefault="00CC4186" w:rsidP="00223464">
            <w:pPr>
              <w:spacing w:after="160"/>
              <w:rPr>
                <w:rFonts w:ascii="Times New Roman" w:hAnsi="Times New Roman"/>
                <w:sz w:val="28"/>
                <w:szCs w:val="28"/>
                <w:lang w:val="uk-UA"/>
              </w:rPr>
            </w:pPr>
            <w:r>
              <w:rPr>
                <w:rFonts w:ascii="Times New Roman" w:hAnsi="Times New Roman"/>
                <w:sz w:val="28"/>
                <w:szCs w:val="28"/>
                <w:lang w:val="uk-UA"/>
              </w:rPr>
              <w:t>5</w:t>
            </w:r>
            <w:r w:rsidR="008F41EA">
              <w:rPr>
                <w:rFonts w:ascii="Times New Roman" w:hAnsi="Times New Roman"/>
                <w:sz w:val="28"/>
                <w:szCs w:val="28"/>
                <w:lang w:val="uk-UA"/>
              </w:rPr>
              <w:t>1</w:t>
            </w:r>
          </w:p>
        </w:tc>
      </w:tr>
    </w:tbl>
    <w:p w14:paraId="3470DB8E" w14:textId="0540D88C" w:rsidR="00A21EA0" w:rsidRDefault="00080048" w:rsidP="00080048">
      <w:pPr>
        <w:rPr>
          <w:lang w:val="uk-UA"/>
        </w:rPr>
      </w:pPr>
      <w:r w:rsidRPr="00880718">
        <w:rPr>
          <w:lang w:val="uk-UA"/>
        </w:rPr>
        <w:br w:type="page"/>
      </w:r>
    </w:p>
    <w:p w14:paraId="5355A990" w14:textId="77777777" w:rsidR="0026396A" w:rsidRPr="004B6514" w:rsidRDefault="0026396A" w:rsidP="0026396A">
      <w:pPr>
        <w:spacing w:after="0" w:line="360" w:lineRule="auto"/>
        <w:jc w:val="center"/>
        <w:rPr>
          <w:rFonts w:ascii="Times New Roman" w:hAnsi="Times New Roman"/>
          <w:b/>
          <w:sz w:val="28"/>
          <w:szCs w:val="28"/>
          <w:lang w:val="uk-UA"/>
        </w:rPr>
      </w:pPr>
      <w:r w:rsidRPr="004B6514">
        <w:rPr>
          <w:rFonts w:ascii="Times New Roman" w:hAnsi="Times New Roman"/>
          <w:b/>
          <w:sz w:val="28"/>
          <w:szCs w:val="28"/>
          <w:lang w:val="uk-UA"/>
        </w:rPr>
        <w:lastRenderedPageBreak/>
        <w:t>ВСТУП</w:t>
      </w:r>
    </w:p>
    <w:p w14:paraId="1856CFA2" w14:textId="77777777" w:rsidR="0026396A" w:rsidRPr="004B6514" w:rsidRDefault="0026396A" w:rsidP="0026396A">
      <w:pPr>
        <w:spacing w:after="0" w:line="360" w:lineRule="auto"/>
        <w:jc w:val="center"/>
        <w:rPr>
          <w:rFonts w:ascii="Times New Roman" w:hAnsi="Times New Roman"/>
          <w:b/>
          <w:sz w:val="28"/>
          <w:szCs w:val="28"/>
          <w:lang w:val="uk-UA"/>
        </w:rPr>
      </w:pPr>
    </w:p>
    <w:p w14:paraId="49C2DAEE" w14:textId="250377CB" w:rsidR="0026396A" w:rsidRDefault="0026396A" w:rsidP="00BA652D">
      <w:pPr>
        <w:spacing w:after="0" w:line="360" w:lineRule="auto"/>
        <w:jc w:val="both"/>
        <w:rPr>
          <w:rFonts w:ascii="Times New Roman" w:hAnsi="Times New Roman"/>
          <w:bCs/>
          <w:sz w:val="28"/>
          <w:szCs w:val="28"/>
          <w:lang w:val="uk-UA"/>
        </w:rPr>
      </w:pPr>
      <w:r w:rsidRPr="004B6514">
        <w:rPr>
          <w:rFonts w:ascii="Times New Roman" w:hAnsi="Times New Roman"/>
          <w:b/>
          <w:sz w:val="28"/>
          <w:szCs w:val="28"/>
          <w:lang w:val="uk-UA"/>
        </w:rPr>
        <w:tab/>
        <w:t>Актуальність роботи.</w:t>
      </w:r>
      <w:r w:rsidRPr="004B6514">
        <w:rPr>
          <w:rFonts w:ascii="Times New Roman" w:hAnsi="Times New Roman"/>
          <w:bCs/>
          <w:sz w:val="28"/>
          <w:szCs w:val="28"/>
          <w:lang w:val="uk-UA"/>
        </w:rPr>
        <w:t xml:space="preserve"> </w:t>
      </w:r>
      <w:r>
        <w:rPr>
          <w:rFonts w:ascii="Times New Roman" w:hAnsi="Times New Roman"/>
          <w:bCs/>
          <w:sz w:val="28"/>
          <w:szCs w:val="28"/>
          <w:lang w:val="uk-UA"/>
        </w:rPr>
        <w:t>Япон</w:t>
      </w:r>
      <w:r w:rsidRPr="004B6514">
        <w:rPr>
          <w:rFonts w:ascii="Times New Roman" w:hAnsi="Times New Roman"/>
          <w:bCs/>
          <w:sz w:val="28"/>
          <w:szCs w:val="28"/>
          <w:lang w:val="uk-UA"/>
        </w:rPr>
        <w:t xml:space="preserve">ія розташована у південно-східній </w:t>
      </w:r>
      <w:r>
        <w:rPr>
          <w:rFonts w:ascii="Times New Roman" w:hAnsi="Times New Roman"/>
          <w:bCs/>
          <w:sz w:val="28"/>
          <w:szCs w:val="28"/>
          <w:lang w:val="uk-UA"/>
        </w:rPr>
        <w:t>Азії</w:t>
      </w:r>
      <w:r w:rsidRPr="004B6514">
        <w:rPr>
          <w:rFonts w:ascii="Times New Roman" w:hAnsi="Times New Roman"/>
          <w:bCs/>
          <w:sz w:val="28"/>
          <w:szCs w:val="28"/>
          <w:lang w:val="uk-UA"/>
        </w:rPr>
        <w:t xml:space="preserve"> з населенням 1</w:t>
      </w:r>
      <w:r>
        <w:rPr>
          <w:rFonts w:ascii="Times New Roman" w:hAnsi="Times New Roman"/>
          <w:bCs/>
          <w:sz w:val="28"/>
          <w:szCs w:val="28"/>
          <w:lang w:val="uk-UA"/>
        </w:rPr>
        <w:t>20</w:t>
      </w:r>
      <w:r w:rsidRPr="004B6514">
        <w:rPr>
          <w:rFonts w:ascii="Times New Roman" w:hAnsi="Times New Roman"/>
          <w:bCs/>
          <w:sz w:val="28"/>
          <w:szCs w:val="28"/>
          <w:lang w:val="uk-UA"/>
        </w:rPr>
        <w:t xml:space="preserve"> млн.</w:t>
      </w:r>
      <w:r>
        <w:rPr>
          <w:rFonts w:ascii="Times New Roman" w:hAnsi="Times New Roman"/>
          <w:bCs/>
          <w:sz w:val="28"/>
          <w:szCs w:val="28"/>
          <w:lang w:val="uk-UA"/>
        </w:rPr>
        <w:t xml:space="preserve"> Японія є третьою за величиною економікою у світі.</w:t>
      </w:r>
      <w:r w:rsidRPr="004B6514">
        <w:rPr>
          <w:rFonts w:ascii="Times New Roman" w:hAnsi="Times New Roman"/>
          <w:bCs/>
          <w:sz w:val="28"/>
          <w:szCs w:val="28"/>
          <w:lang w:val="uk-UA"/>
        </w:rPr>
        <w:t xml:space="preserve"> Економіка </w:t>
      </w:r>
      <w:r>
        <w:rPr>
          <w:rFonts w:ascii="Times New Roman" w:hAnsi="Times New Roman"/>
          <w:bCs/>
          <w:sz w:val="28"/>
          <w:szCs w:val="28"/>
          <w:lang w:val="uk-UA"/>
        </w:rPr>
        <w:t>Япон</w:t>
      </w:r>
      <w:r w:rsidRPr="004B6514">
        <w:rPr>
          <w:rFonts w:ascii="Times New Roman" w:hAnsi="Times New Roman"/>
          <w:bCs/>
          <w:sz w:val="28"/>
          <w:szCs w:val="28"/>
          <w:lang w:val="uk-UA"/>
        </w:rPr>
        <w:t xml:space="preserve">ії ослабла через фінансову кризу в </w:t>
      </w:r>
      <w:r>
        <w:rPr>
          <w:rFonts w:ascii="Times New Roman" w:hAnsi="Times New Roman"/>
          <w:bCs/>
          <w:sz w:val="28"/>
          <w:szCs w:val="28"/>
          <w:lang w:val="uk-UA"/>
        </w:rPr>
        <w:t>1991</w:t>
      </w:r>
      <w:r w:rsidRPr="004B6514">
        <w:rPr>
          <w:rFonts w:ascii="Times New Roman" w:hAnsi="Times New Roman"/>
          <w:bCs/>
          <w:sz w:val="28"/>
          <w:szCs w:val="28"/>
          <w:lang w:val="uk-UA"/>
        </w:rPr>
        <w:t xml:space="preserve"> році, яка вплинула на</w:t>
      </w:r>
      <w:r>
        <w:rPr>
          <w:rFonts w:ascii="Times New Roman" w:hAnsi="Times New Roman"/>
          <w:bCs/>
          <w:sz w:val="28"/>
          <w:szCs w:val="28"/>
          <w:lang w:val="uk-UA"/>
        </w:rPr>
        <w:t xml:space="preserve"> однаково погано на усі сфери</w:t>
      </w:r>
      <w:r w:rsidRPr="004B6514">
        <w:rPr>
          <w:rFonts w:ascii="Times New Roman" w:hAnsi="Times New Roman"/>
          <w:bCs/>
          <w:sz w:val="28"/>
          <w:szCs w:val="28"/>
          <w:lang w:val="uk-UA"/>
        </w:rPr>
        <w:t xml:space="preserve">. Країна є експортером </w:t>
      </w:r>
      <w:r>
        <w:rPr>
          <w:rFonts w:ascii="Times New Roman" w:hAnsi="Times New Roman"/>
          <w:bCs/>
          <w:sz w:val="28"/>
          <w:szCs w:val="28"/>
          <w:lang w:val="uk-UA"/>
        </w:rPr>
        <w:t>високотехнологічної продукції</w:t>
      </w:r>
      <w:r w:rsidRPr="004B6514">
        <w:rPr>
          <w:rFonts w:ascii="Times New Roman" w:hAnsi="Times New Roman"/>
          <w:bCs/>
          <w:sz w:val="28"/>
          <w:szCs w:val="28"/>
          <w:lang w:val="uk-UA"/>
        </w:rPr>
        <w:t>–</w:t>
      </w:r>
      <w:r>
        <w:rPr>
          <w:rFonts w:ascii="Times New Roman" w:hAnsi="Times New Roman"/>
          <w:bCs/>
          <w:sz w:val="28"/>
          <w:szCs w:val="28"/>
          <w:lang w:val="uk-UA"/>
        </w:rPr>
        <w:t xml:space="preserve"> автомобілів, комп’ютерів,</w:t>
      </w:r>
      <w:r w:rsidRPr="004B6514">
        <w:rPr>
          <w:rFonts w:ascii="Times New Roman" w:hAnsi="Times New Roman"/>
          <w:bCs/>
          <w:sz w:val="28"/>
          <w:szCs w:val="28"/>
          <w:lang w:val="uk-UA"/>
        </w:rPr>
        <w:t xml:space="preserve"> та </w:t>
      </w:r>
      <w:r>
        <w:rPr>
          <w:rFonts w:ascii="Times New Roman" w:hAnsi="Times New Roman"/>
          <w:bCs/>
          <w:sz w:val="28"/>
          <w:szCs w:val="28"/>
          <w:lang w:val="uk-UA"/>
        </w:rPr>
        <w:t>різноманітних виробів з металу</w:t>
      </w:r>
      <w:r w:rsidRPr="004B6514">
        <w:rPr>
          <w:rFonts w:ascii="Times New Roman" w:hAnsi="Times New Roman"/>
          <w:bCs/>
          <w:sz w:val="28"/>
          <w:szCs w:val="28"/>
          <w:lang w:val="uk-UA"/>
        </w:rPr>
        <w:t>. Досвід цієї країни щодо кризових обставин, дії її влади, і економічна статистика може багато чого показати.</w:t>
      </w:r>
      <w:r>
        <w:rPr>
          <w:rFonts w:ascii="Times New Roman" w:hAnsi="Times New Roman"/>
          <w:bCs/>
          <w:sz w:val="28"/>
          <w:szCs w:val="28"/>
          <w:lang w:val="uk-UA"/>
        </w:rPr>
        <w:t xml:space="preserve"> Фондовий ринок Японії також є дуже важливою частиною світової економіки, досвід Японії у створенні такого ринку та фінансової системи яка його оточує, може надати корисний досвід для розвитку менш успішних країн.</w:t>
      </w:r>
    </w:p>
    <w:p w14:paraId="4A069632" w14:textId="749578A0" w:rsidR="0026396A" w:rsidRPr="004B6514" w:rsidRDefault="0026396A" w:rsidP="00BA652D">
      <w:pPr>
        <w:spacing w:after="0" w:line="360" w:lineRule="auto"/>
        <w:ind w:firstLine="720"/>
        <w:jc w:val="both"/>
        <w:rPr>
          <w:rFonts w:ascii="Times New Roman" w:hAnsi="Times New Roman"/>
          <w:bCs/>
          <w:sz w:val="28"/>
          <w:szCs w:val="28"/>
          <w:lang w:val="uk-UA"/>
        </w:rPr>
      </w:pPr>
      <w:r w:rsidRPr="004B6514">
        <w:rPr>
          <w:rFonts w:ascii="Times New Roman" w:hAnsi="Times New Roman"/>
          <w:b/>
          <w:sz w:val="28"/>
          <w:szCs w:val="28"/>
          <w:lang w:val="uk-UA"/>
        </w:rPr>
        <w:t>Метою роботи</w:t>
      </w:r>
      <w:r w:rsidRPr="004B6514">
        <w:rPr>
          <w:rFonts w:ascii="Times New Roman" w:hAnsi="Times New Roman"/>
          <w:sz w:val="28"/>
          <w:szCs w:val="28"/>
          <w:lang w:val="uk-UA"/>
        </w:rPr>
        <w:t xml:space="preserve"> є розгляд</w:t>
      </w:r>
      <w:r>
        <w:rPr>
          <w:rFonts w:ascii="Times New Roman" w:hAnsi="Times New Roman"/>
          <w:sz w:val="28"/>
          <w:szCs w:val="28"/>
          <w:lang w:val="uk-UA"/>
        </w:rPr>
        <w:t xml:space="preserve"> макроекономічних та фінансових</w:t>
      </w:r>
      <w:r w:rsidRPr="004B6514">
        <w:rPr>
          <w:rFonts w:ascii="Times New Roman" w:hAnsi="Times New Roman"/>
          <w:sz w:val="28"/>
          <w:szCs w:val="28"/>
          <w:lang w:val="uk-UA"/>
        </w:rPr>
        <w:t xml:space="preserve"> показників </w:t>
      </w:r>
      <w:r>
        <w:rPr>
          <w:rFonts w:ascii="Times New Roman" w:hAnsi="Times New Roman"/>
          <w:sz w:val="28"/>
          <w:szCs w:val="28"/>
          <w:lang w:val="uk-UA"/>
        </w:rPr>
        <w:t>Япон</w:t>
      </w:r>
      <w:r w:rsidRPr="004B6514">
        <w:rPr>
          <w:rFonts w:ascii="Times New Roman" w:hAnsi="Times New Roman"/>
          <w:sz w:val="28"/>
          <w:szCs w:val="28"/>
          <w:lang w:val="uk-UA"/>
        </w:rPr>
        <w:t>ії, виявлення рівня впливання</w:t>
      </w:r>
      <w:r>
        <w:rPr>
          <w:rFonts w:ascii="Times New Roman" w:hAnsi="Times New Roman"/>
          <w:sz w:val="28"/>
          <w:szCs w:val="28"/>
          <w:lang w:val="uk-UA"/>
        </w:rPr>
        <w:t xml:space="preserve"> різних факторів </w:t>
      </w:r>
      <w:r w:rsidRPr="004B6514">
        <w:rPr>
          <w:rFonts w:ascii="Times New Roman" w:hAnsi="Times New Roman"/>
          <w:sz w:val="28"/>
          <w:szCs w:val="28"/>
          <w:lang w:val="uk-UA"/>
        </w:rPr>
        <w:t xml:space="preserve">на </w:t>
      </w:r>
      <w:r>
        <w:rPr>
          <w:rFonts w:ascii="Times New Roman" w:hAnsi="Times New Roman"/>
          <w:sz w:val="28"/>
          <w:szCs w:val="28"/>
          <w:lang w:val="uk-UA"/>
        </w:rPr>
        <w:t>основні фондові індекси Японії.</w:t>
      </w:r>
      <w:r w:rsidRPr="004B6514">
        <w:rPr>
          <w:rFonts w:ascii="Times New Roman" w:hAnsi="Times New Roman"/>
          <w:sz w:val="28"/>
          <w:szCs w:val="28"/>
          <w:lang w:val="uk-UA"/>
        </w:rPr>
        <w:t xml:space="preserve"> Досягнення мети передбачає досягнення наступних </w:t>
      </w:r>
      <w:r w:rsidRPr="004B6514">
        <w:rPr>
          <w:rFonts w:ascii="Times New Roman" w:hAnsi="Times New Roman"/>
          <w:b/>
          <w:sz w:val="28"/>
          <w:szCs w:val="28"/>
          <w:lang w:val="uk-UA"/>
        </w:rPr>
        <w:t>завдань</w:t>
      </w:r>
      <w:r w:rsidRPr="004B6514">
        <w:rPr>
          <w:rFonts w:ascii="Times New Roman" w:hAnsi="Times New Roman"/>
          <w:bCs/>
          <w:sz w:val="28"/>
          <w:szCs w:val="28"/>
          <w:lang w:val="uk-UA"/>
        </w:rPr>
        <w:t>:</w:t>
      </w:r>
    </w:p>
    <w:p w14:paraId="79BCD22E" w14:textId="4F7EDD7C" w:rsidR="0026396A" w:rsidRPr="004B6514" w:rsidRDefault="0026396A" w:rsidP="00BA652D">
      <w:pPr>
        <w:spacing w:after="0" w:line="360" w:lineRule="auto"/>
        <w:jc w:val="both"/>
        <w:rPr>
          <w:rFonts w:ascii="Times New Roman" w:hAnsi="Times New Roman"/>
          <w:bCs/>
          <w:sz w:val="28"/>
          <w:szCs w:val="28"/>
          <w:lang w:val="uk-UA"/>
        </w:rPr>
      </w:pPr>
      <w:r w:rsidRPr="004B6514">
        <w:rPr>
          <w:rFonts w:ascii="Times New Roman" w:hAnsi="Times New Roman"/>
          <w:bCs/>
          <w:sz w:val="28"/>
          <w:szCs w:val="28"/>
          <w:lang w:val="uk-UA"/>
        </w:rPr>
        <w:t>-</w:t>
      </w:r>
      <w:r>
        <w:rPr>
          <w:rFonts w:ascii="Times New Roman" w:hAnsi="Times New Roman"/>
          <w:bCs/>
          <w:sz w:val="28"/>
          <w:szCs w:val="28"/>
          <w:lang w:val="uk-UA"/>
        </w:rPr>
        <w:t xml:space="preserve"> </w:t>
      </w:r>
      <w:r w:rsidRPr="00785283">
        <w:rPr>
          <w:rFonts w:ascii="Times New Roman" w:hAnsi="Times New Roman"/>
          <w:bCs/>
          <w:sz w:val="28"/>
          <w:szCs w:val="28"/>
          <w:lang w:val="uk-UA"/>
        </w:rPr>
        <w:t xml:space="preserve">Теоретичні основи аналізу </w:t>
      </w:r>
      <w:r w:rsidR="005301E3">
        <w:rPr>
          <w:rFonts w:ascii="Times New Roman" w:hAnsi="Times New Roman"/>
          <w:bCs/>
          <w:sz w:val="28"/>
          <w:szCs w:val="28"/>
          <w:lang w:val="uk-UA"/>
        </w:rPr>
        <w:t xml:space="preserve">фондового ринку </w:t>
      </w:r>
      <w:r>
        <w:rPr>
          <w:rFonts w:ascii="Times New Roman" w:hAnsi="Times New Roman"/>
          <w:bCs/>
          <w:sz w:val="28"/>
          <w:szCs w:val="28"/>
          <w:lang w:val="uk-UA"/>
        </w:rPr>
        <w:t>Япон</w:t>
      </w:r>
      <w:r w:rsidRPr="004B6514">
        <w:rPr>
          <w:rFonts w:ascii="Times New Roman" w:hAnsi="Times New Roman"/>
          <w:bCs/>
          <w:sz w:val="28"/>
          <w:szCs w:val="28"/>
          <w:lang w:val="uk-UA"/>
        </w:rPr>
        <w:t>ії</w:t>
      </w:r>
    </w:p>
    <w:p w14:paraId="0CCF3850" w14:textId="0500B1AC" w:rsidR="0026396A" w:rsidRPr="004B6514" w:rsidRDefault="0026396A" w:rsidP="00BA652D">
      <w:pPr>
        <w:spacing w:after="0" w:line="360" w:lineRule="auto"/>
        <w:jc w:val="both"/>
        <w:rPr>
          <w:rFonts w:ascii="Times New Roman" w:hAnsi="Times New Roman"/>
          <w:bCs/>
          <w:sz w:val="28"/>
          <w:szCs w:val="28"/>
          <w:lang w:val="uk-UA"/>
        </w:rPr>
      </w:pPr>
      <w:r w:rsidRPr="004B6514">
        <w:rPr>
          <w:rFonts w:ascii="Times New Roman" w:hAnsi="Times New Roman"/>
          <w:bCs/>
          <w:sz w:val="28"/>
          <w:szCs w:val="28"/>
          <w:lang w:val="uk-UA"/>
        </w:rPr>
        <w:t xml:space="preserve">- </w:t>
      </w:r>
      <w:r w:rsidR="005301E3">
        <w:rPr>
          <w:rFonts w:ascii="Times New Roman" w:hAnsi="Times New Roman"/>
          <w:bCs/>
          <w:sz w:val="28"/>
          <w:szCs w:val="28"/>
          <w:lang w:val="uk-UA"/>
        </w:rPr>
        <w:t>Д</w:t>
      </w:r>
      <w:r w:rsidR="005301E3" w:rsidRPr="005301E3">
        <w:rPr>
          <w:rFonts w:ascii="Times New Roman" w:hAnsi="Times New Roman"/>
          <w:bCs/>
          <w:sz w:val="28"/>
          <w:szCs w:val="28"/>
          <w:lang w:val="uk-UA"/>
        </w:rPr>
        <w:t>ослідження факторів впливу на фондовий ринок Японії</w:t>
      </w:r>
    </w:p>
    <w:p w14:paraId="7274EE95" w14:textId="283721F7" w:rsidR="0026396A" w:rsidRDefault="0026396A" w:rsidP="00BA652D">
      <w:pPr>
        <w:spacing w:after="0" w:line="360" w:lineRule="auto"/>
        <w:jc w:val="both"/>
        <w:rPr>
          <w:rFonts w:ascii="Times New Roman" w:hAnsi="Times New Roman"/>
          <w:bCs/>
          <w:sz w:val="28"/>
          <w:szCs w:val="28"/>
          <w:lang w:val="uk-UA"/>
        </w:rPr>
      </w:pPr>
      <w:r w:rsidRPr="004B6514">
        <w:rPr>
          <w:rFonts w:ascii="Times New Roman" w:hAnsi="Times New Roman"/>
          <w:bCs/>
          <w:sz w:val="28"/>
          <w:szCs w:val="28"/>
          <w:lang w:val="uk-UA"/>
        </w:rPr>
        <w:t>-</w:t>
      </w:r>
      <w:r>
        <w:rPr>
          <w:rFonts w:ascii="Times New Roman" w:hAnsi="Times New Roman"/>
          <w:bCs/>
          <w:sz w:val="28"/>
          <w:szCs w:val="28"/>
          <w:lang w:val="uk-UA"/>
        </w:rPr>
        <w:t xml:space="preserve"> </w:t>
      </w:r>
      <w:r w:rsidRPr="004B6514">
        <w:rPr>
          <w:rFonts w:ascii="Times New Roman" w:hAnsi="Times New Roman"/>
          <w:bCs/>
          <w:sz w:val="28"/>
          <w:szCs w:val="28"/>
          <w:lang w:val="uk-UA"/>
        </w:rPr>
        <w:t xml:space="preserve">Будування </w:t>
      </w:r>
      <w:r>
        <w:rPr>
          <w:rFonts w:ascii="Times New Roman" w:hAnsi="Times New Roman"/>
          <w:bCs/>
          <w:sz w:val="28"/>
          <w:szCs w:val="28"/>
          <w:lang w:val="uk-UA"/>
        </w:rPr>
        <w:t>висновків на основі фінансових показників</w:t>
      </w:r>
      <w:r w:rsidRPr="004B6514">
        <w:rPr>
          <w:rFonts w:ascii="Times New Roman" w:hAnsi="Times New Roman"/>
          <w:bCs/>
          <w:sz w:val="28"/>
          <w:szCs w:val="28"/>
          <w:lang w:val="uk-UA"/>
        </w:rPr>
        <w:t>.</w:t>
      </w:r>
    </w:p>
    <w:p w14:paraId="661ED120" w14:textId="756573A3" w:rsidR="005301E3" w:rsidRPr="004B6514" w:rsidRDefault="005301E3" w:rsidP="00BA652D">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 Д</w:t>
      </w:r>
      <w:r w:rsidRPr="005301E3">
        <w:rPr>
          <w:rFonts w:ascii="Times New Roman" w:hAnsi="Times New Roman"/>
          <w:bCs/>
          <w:sz w:val="28"/>
          <w:szCs w:val="28"/>
          <w:lang w:val="uk-UA"/>
        </w:rPr>
        <w:t>освід  для України розвитку фондового ринку Японії</w:t>
      </w:r>
    </w:p>
    <w:p w14:paraId="79284DD5" w14:textId="77777777" w:rsidR="0026396A" w:rsidRPr="004B6514" w:rsidRDefault="0026396A" w:rsidP="00BA652D">
      <w:pPr>
        <w:spacing w:after="0" w:line="360" w:lineRule="auto"/>
        <w:jc w:val="both"/>
        <w:rPr>
          <w:rFonts w:ascii="Times New Roman" w:hAnsi="Times New Roman"/>
          <w:sz w:val="28"/>
          <w:szCs w:val="28"/>
          <w:lang w:val="uk-UA"/>
        </w:rPr>
      </w:pPr>
      <w:r w:rsidRPr="004B6514">
        <w:rPr>
          <w:rFonts w:ascii="Times New Roman" w:hAnsi="Times New Roman"/>
          <w:sz w:val="28"/>
          <w:szCs w:val="28"/>
          <w:lang w:val="uk-UA"/>
        </w:rPr>
        <w:t xml:space="preserve">Для вирішення поставлених завдань були використані такі </w:t>
      </w:r>
      <w:r w:rsidRPr="004B6514">
        <w:rPr>
          <w:rFonts w:ascii="Times New Roman" w:hAnsi="Times New Roman"/>
          <w:b/>
          <w:sz w:val="28"/>
          <w:szCs w:val="28"/>
          <w:lang w:val="uk-UA"/>
        </w:rPr>
        <w:t>методи дослідження</w:t>
      </w:r>
      <w:r w:rsidRPr="004B6514">
        <w:rPr>
          <w:rFonts w:ascii="Times New Roman" w:hAnsi="Times New Roman"/>
          <w:sz w:val="28"/>
          <w:szCs w:val="28"/>
          <w:lang w:val="uk-UA"/>
        </w:rPr>
        <w:t>: аналіз літератури та статистичних даних з теми дослідження, індукція і дедукція, моделювання, узагальнення і синтезування здобутої інформації.</w:t>
      </w:r>
    </w:p>
    <w:p w14:paraId="34E8A87A" w14:textId="77777777" w:rsidR="00DE3FA8" w:rsidRDefault="0026396A" w:rsidP="00BA652D">
      <w:pPr>
        <w:spacing w:after="0" w:line="360" w:lineRule="auto"/>
        <w:ind w:firstLine="720"/>
        <w:jc w:val="both"/>
        <w:rPr>
          <w:rFonts w:ascii="Times New Roman" w:hAnsi="Times New Roman"/>
          <w:sz w:val="28"/>
          <w:szCs w:val="28"/>
          <w:lang w:val="uk-UA"/>
        </w:rPr>
      </w:pPr>
      <w:r w:rsidRPr="004B6514">
        <w:rPr>
          <w:rFonts w:ascii="Times New Roman" w:hAnsi="Times New Roman"/>
          <w:b/>
          <w:sz w:val="28"/>
          <w:szCs w:val="28"/>
          <w:lang w:val="uk-UA"/>
        </w:rPr>
        <w:t xml:space="preserve">Об’єктом дослідження </w:t>
      </w:r>
      <w:r w:rsidRPr="004B6514">
        <w:rPr>
          <w:rFonts w:ascii="Times New Roman" w:hAnsi="Times New Roman"/>
          <w:sz w:val="28"/>
          <w:szCs w:val="28"/>
          <w:lang w:val="uk-UA"/>
        </w:rPr>
        <w:t xml:space="preserve">є </w:t>
      </w:r>
      <w:r w:rsidR="00DE3FA8" w:rsidRPr="00DE3FA8">
        <w:rPr>
          <w:rFonts w:ascii="Times New Roman" w:hAnsi="Times New Roman"/>
          <w:sz w:val="28"/>
          <w:szCs w:val="28"/>
          <w:lang w:val="uk-UA"/>
        </w:rPr>
        <w:t>розвиток фондового ринку Японії в сучасних умовах</w:t>
      </w:r>
    </w:p>
    <w:p w14:paraId="145F6B2E" w14:textId="77777777" w:rsidR="00DE3FA8" w:rsidRDefault="0026396A" w:rsidP="00BA652D">
      <w:pPr>
        <w:spacing w:after="0" w:line="360" w:lineRule="auto"/>
        <w:ind w:firstLine="720"/>
        <w:jc w:val="both"/>
        <w:rPr>
          <w:rFonts w:ascii="Times New Roman" w:hAnsi="Times New Roman"/>
          <w:sz w:val="28"/>
          <w:szCs w:val="28"/>
          <w:lang w:val="uk-UA"/>
        </w:rPr>
      </w:pPr>
      <w:r w:rsidRPr="004B6514">
        <w:rPr>
          <w:rFonts w:ascii="Times New Roman" w:hAnsi="Times New Roman"/>
          <w:b/>
          <w:sz w:val="28"/>
          <w:szCs w:val="28"/>
          <w:lang w:val="uk-UA"/>
        </w:rPr>
        <w:t>Предметом дослідження</w:t>
      </w:r>
      <w:r w:rsidR="005301E3">
        <w:rPr>
          <w:rFonts w:ascii="Times New Roman" w:hAnsi="Times New Roman"/>
          <w:sz w:val="28"/>
          <w:szCs w:val="28"/>
          <w:lang w:val="uk-UA"/>
        </w:rPr>
        <w:t xml:space="preserve"> </w:t>
      </w:r>
      <w:r w:rsidR="00DE3FA8" w:rsidRPr="00DE3FA8">
        <w:rPr>
          <w:rFonts w:ascii="Times New Roman" w:hAnsi="Times New Roman"/>
          <w:sz w:val="28"/>
          <w:szCs w:val="28"/>
          <w:lang w:val="uk-UA"/>
        </w:rPr>
        <w:t>фактори впливу на фондові індекси Японії</w:t>
      </w:r>
    </w:p>
    <w:p w14:paraId="1117683D" w14:textId="2B9F8340" w:rsidR="0026396A" w:rsidRDefault="0026396A" w:rsidP="00BA652D">
      <w:pPr>
        <w:spacing w:after="0" w:line="360" w:lineRule="auto"/>
        <w:ind w:firstLine="720"/>
        <w:jc w:val="both"/>
        <w:rPr>
          <w:rFonts w:ascii="Times New Roman" w:hAnsi="Times New Roman"/>
          <w:sz w:val="28"/>
          <w:szCs w:val="28"/>
          <w:lang w:val="uk-UA"/>
        </w:rPr>
      </w:pPr>
      <w:r w:rsidRPr="004B6514">
        <w:rPr>
          <w:rFonts w:ascii="Times New Roman" w:hAnsi="Times New Roman"/>
          <w:b/>
          <w:sz w:val="28"/>
          <w:szCs w:val="28"/>
          <w:lang w:val="uk-UA"/>
        </w:rPr>
        <w:t>Структура роботи.</w:t>
      </w:r>
      <w:r w:rsidRPr="004B6514">
        <w:rPr>
          <w:rFonts w:ascii="Times New Roman" w:hAnsi="Times New Roman"/>
          <w:sz w:val="28"/>
          <w:szCs w:val="28"/>
          <w:lang w:val="uk-UA"/>
        </w:rPr>
        <w:t xml:space="preserve">  </w:t>
      </w:r>
      <w:r w:rsidR="005301E3">
        <w:rPr>
          <w:rFonts w:ascii="Times New Roman" w:hAnsi="Times New Roman"/>
          <w:sz w:val="28"/>
          <w:szCs w:val="28"/>
          <w:lang w:val="uk-UA"/>
        </w:rPr>
        <w:t xml:space="preserve">Дипломна </w:t>
      </w:r>
      <w:r w:rsidRPr="004B6514">
        <w:rPr>
          <w:rFonts w:ascii="Times New Roman" w:hAnsi="Times New Roman"/>
          <w:sz w:val="28"/>
          <w:szCs w:val="28"/>
          <w:lang w:val="uk-UA"/>
        </w:rPr>
        <w:t>робота складається з вступу, трьох розділів, висновку і списку використаних джерел.</w:t>
      </w:r>
    </w:p>
    <w:p w14:paraId="217B094A" w14:textId="09C5F153" w:rsidR="00DE3FA8" w:rsidRDefault="00DE3FA8" w:rsidP="00DE3FA8">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Теоретичною базою для даної випускної роботи виступили наукові статті іноземних видавців дослідників, власні наукові дослідження, які пройшли апробацію на наукових конференціях; Опубліковано тези:</w:t>
      </w:r>
    </w:p>
    <w:p w14:paraId="404872BF" w14:textId="7AE1D027" w:rsidR="00DE3FA8" w:rsidRPr="00DE3FA8" w:rsidRDefault="00DE3FA8" w:rsidP="00DE3FA8">
      <w:pPr>
        <w:pStyle w:val="a3"/>
        <w:numPr>
          <w:ilvl w:val="0"/>
          <w:numId w:val="11"/>
        </w:numPr>
        <w:spacing w:line="360" w:lineRule="auto"/>
        <w:rPr>
          <w:rFonts w:ascii="Times New Roman" w:eastAsiaTheme="minorEastAsia" w:hAnsi="Times New Roman"/>
          <w:bCs/>
          <w:sz w:val="28"/>
          <w:szCs w:val="28"/>
          <w:lang w:val="uk-UA" w:eastAsia="ja-JP"/>
        </w:rPr>
      </w:pPr>
      <w:r w:rsidRPr="00DE3FA8">
        <w:rPr>
          <w:rFonts w:ascii="Times New Roman" w:eastAsiaTheme="minorEastAsia" w:hAnsi="Times New Roman"/>
          <w:bCs/>
          <w:sz w:val="28"/>
          <w:szCs w:val="28"/>
          <w:lang w:val="uk-UA" w:eastAsia="ja-JP"/>
        </w:rPr>
        <w:t>Шатських Р.Д., Родіонова Т. А. Фактори розвитку фондового ринку Японії. Збірник наукових праць Одинадцятої міжнародної науково-практичної конференції. – Одеса: Одеський національний університет ім. І.І.Мечникова – 202</w:t>
      </w:r>
      <w:r w:rsidR="002E1C27">
        <w:rPr>
          <w:rFonts w:ascii="Times New Roman" w:eastAsiaTheme="minorEastAsia" w:hAnsi="Times New Roman"/>
          <w:bCs/>
          <w:sz w:val="28"/>
          <w:szCs w:val="28"/>
          <w:lang w:val="uk-UA" w:eastAsia="ja-JP"/>
        </w:rPr>
        <w:t>1</w:t>
      </w:r>
    </w:p>
    <w:p w14:paraId="09C7C131" w14:textId="29E635B0" w:rsidR="00DE3FA8" w:rsidRPr="00DE3FA8" w:rsidRDefault="00DE3FA8" w:rsidP="00DE3FA8">
      <w:pPr>
        <w:pStyle w:val="a3"/>
        <w:spacing w:line="360" w:lineRule="auto"/>
        <w:ind w:left="1080"/>
        <w:jc w:val="both"/>
        <w:rPr>
          <w:rFonts w:ascii="Times New Roman" w:hAnsi="Times New Roman"/>
          <w:bCs/>
          <w:sz w:val="28"/>
          <w:szCs w:val="28"/>
          <w:lang w:val="uk-UA"/>
        </w:rPr>
      </w:pPr>
    </w:p>
    <w:p w14:paraId="4989CB82" w14:textId="274F4775" w:rsidR="0026396A" w:rsidRPr="0026396A" w:rsidRDefault="0026396A" w:rsidP="0026396A">
      <w:pPr>
        <w:spacing w:after="160" w:line="259" w:lineRule="auto"/>
        <w:rPr>
          <w:rFonts w:ascii="Times New Roman" w:hAnsi="Times New Roman"/>
          <w:bCs/>
          <w:sz w:val="28"/>
          <w:szCs w:val="28"/>
          <w:lang w:val="uk-UA"/>
        </w:rPr>
      </w:pPr>
      <w:r>
        <w:rPr>
          <w:rFonts w:ascii="Times New Roman" w:hAnsi="Times New Roman"/>
          <w:bCs/>
          <w:sz w:val="28"/>
          <w:szCs w:val="28"/>
          <w:lang w:val="uk-UA"/>
        </w:rPr>
        <w:br w:type="page"/>
      </w:r>
    </w:p>
    <w:p w14:paraId="0794ECED" w14:textId="484D9195" w:rsidR="0038192F" w:rsidRPr="00880718" w:rsidRDefault="0038192F" w:rsidP="00A21EA0">
      <w:pPr>
        <w:spacing w:line="360" w:lineRule="auto"/>
        <w:jc w:val="center"/>
        <w:rPr>
          <w:rFonts w:ascii="Times New Roman" w:hAnsi="Times New Roman"/>
          <w:b/>
          <w:sz w:val="28"/>
          <w:szCs w:val="28"/>
          <w:lang w:val="uk-UA"/>
        </w:rPr>
      </w:pPr>
      <w:r w:rsidRPr="00880718">
        <w:rPr>
          <w:rFonts w:ascii="Times New Roman" w:hAnsi="Times New Roman"/>
          <w:b/>
          <w:sz w:val="28"/>
          <w:szCs w:val="28"/>
          <w:lang w:val="uk-UA"/>
        </w:rPr>
        <w:lastRenderedPageBreak/>
        <w:t>РОЗДІЛ I</w:t>
      </w:r>
    </w:p>
    <w:p w14:paraId="75E23152" w14:textId="0D6CD49B" w:rsidR="00524966" w:rsidRDefault="0038192F" w:rsidP="00BA652D">
      <w:pPr>
        <w:spacing w:line="360" w:lineRule="auto"/>
        <w:jc w:val="center"/>
        <w:rPr>
          <w:rFonts w:ascii="Times New Roman" w:hAnsi="Times New Roman"/>
          <w:b/>
          <w:sz w:val="28"/>
          <w:szCs w:val="28"/>
          <w:lang w:val="uk-UA"/>
        </w:rPr>
      </w:pPr>
      <w:r w:rsidRPr="00880718">
        <w:rPr>
          <w:rFonts w:ascii="Times New Roman" w:hAnsi="Times New Roman"/>
          <w:b/>
          <w:sz w:val="28"/>
          <w:szCs w:val="28"/>
          <w:lang w:val="uk-UA"/>
        </w:rPr>
        <w:t xml:space="preserve">ТЕОРЕТИЧНІ ОСНОВИ АНАЛІЗУ </w:t>
      </w:r>
      <w:r w:rsidR="00F22756" w:rsidRPr="00880718">
        <w:rPr>
          <w:rFonts w:ascii="Times New Roman" w:hAnsi="Times New Roman"/>
          <w:b/>
          <w:sz w:val="28"/>
          <w:szCs w:val="28"/>
          <w:lang w:val="uk-UA"/>
        </w:rPr>
        <w:t xml:space="preserve">ФОНДОВОГО РИНКУ </w:t>
      </w:r>
      <w:r w:rsidR="00705672" w:rsidRPr="00880718">
        <w:rPr>
          <w:rFonts w:ascii="Times New Roman" w:hAnsi="Times New Roman"/>
          <w:b/>
          <w:sz w:val="28"/>
          <w:szCs w:val="28"/>
          <w:lang w:val="uk-UA"/>
        </w:rPr>
        <w:t>ЯПОНІЇ</w:t>
      </w:r>
    </w:p>
    <w:p w14:paraId="7F161692" w14:textId="77777777" w:rsidR="00BA652D" w:rsidRPr="00055011" w:rsidRDefault="00BA652D" w:rsidP="00524966">
      <w:pPr>
        <w:spacing w:after="0" w:line="360" w:lineRule="auto"/>
        <w:jc w:val="both"/>
        <w:rPr>
          <w:rFonts w:ascii="Times New Roman" w:hAnsi="Times New Roman"/>
          <w:b/>
          <w:sz w:val="28"/>
          <w:szCs w:val="28"/>
          <w:lang w:val="uk-UA"/>
        </w:rPr>
      </w:pPr>
    </w:p>
    <w:p w14:paraId="29CA3A6C" w14:textId="0235280F" w:rsidR="00332147" w:rsidRPr="00BA652D" w:rsidRDefault="00310579" w:rsidP="00BA652D">
      <w:pPr>
        <w:pStyle w:val="a3"/>
        <w:numPr>
          <w:ilvl w:val="1"/>
          <w:numId w:val="12"/>
        </w:numPr>
        <w:spacing w:after="0" w:line="360" w:lineRule="auto"/>
        <w:jc w:val="both"/>
        <w:rPr>
          <w:rFonts w:ascii="Times New Roman" w:hAnsi="Times New Roman"/>
          <w:b/>
          <w:sz w:val="28"/>
          <w:szCs w:val="28"/>
          <w:lang w:val="uk-UA"/>
        </w:rPr>
      </w:pPr>
      <w:r w:rsidRPr="00BA652D">
        <w:rPr>
          <w:rFonts w:ascii="Times New Roman" w:hAnsi="Times New Roman"/>
          <w:b/>
          <w:sz w:val="28"/>
          <w:szCs w:val="28"/>
          <w:lang w:val="uk-UA"/>
        </w:rPr>
        <w:t>Історичні особливості формування та сучасні умови розвитку Японської біржі</w:t>
      </w:r>
    </w:p>
    <w:p w14:paraId="2DC01193" w14:textId="326AE224" w:rsidR="00BA652D" w:rsidRDefault="00BA652D" w:rsidP="00156E34">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 xml:space="preserve">Фондовий ринок Японії є одним з найбільших у світі та складає 8% від загальної кількості фінансових операцій у світі та займає друге місце після США. Буде не вірним почати аналіз фондового ринку не ознайомившись </w:t>
      </w:r>
      <w:r>
        <w:rPr>
          <w:rFonts w:ascii="Times New Roman" w:hAnsi="Times New Roman"/>
          <w:bCs/>
          <w:sz w:val="28"/>
          <w:szCs w:val="28"/>
          <w:lang w:val="uk-UA"/>
        </w:rPr>
        <w:t>в першу чергу</w:t>
      </w:r>
      <w:r w:rsidRPr="00880718">
        <w:rPr>
          <w:rFonts w:ascii="Times New Roman" w:hAnsi="Times New Roman"/>
          <w:bCs/>
          <w:sz w:val="28"/>
          <w:szCs w:val="28"/>
          <w:lang w:val="uk-UA"/>
        </w:rPr>
        <w:t xml:space="preserve"> з особливостями фінансової системи країни та історією її розвитку. Тому перед тим як перейти до аналізу самого ринку треба відмітити характерні особливості, у цьому допоможе фінансова система яка оточує цю біржу. Далі буде наведені кратка історія розвитку фондового ринку починаючи з 1945 року. Це пояснюється тим що з цього періоду Японія встала на шлях іншої моделі розвитку і саме ця система досить існує і сьогодні, але і зазнавши деякі зміни. Далі у </w:t>
      </w:r>
      <w:r>
        <w:rPr>
          <w:rFonts w:ascii="Times New Roman" w:hAnsi="Times New Roman"/>
          <w:bCs/>
          <w:sz w:val="28"/>
          <w:szCs w:val="28"/>
          <w:lang w:val="uk-UA"/>
        </w:rPr>
        <w:t>ро</w:t>
      </w:r>
      <w:r w:rsidRPr="00880718">
        <w:rPr>
          <w:rFonts w:ascii="Times New Roman" w:hAnsi="Times New Roman"/>
          <w:bCs/>
          <w:sz w:val="28"/>
          <w:szCs w:val="28"/>
          <w:lang w:val="uk-UA"/>
        </w:rPr>
        <w:t>боті також буде проаналізовано сучасну ситуацію за допомогою статей експертів. Таким чином зрозумівши історію та сучасну ситуацію, можна буде робити більш правильні та детальні висновки щодо фондового ринку Японії [1]</w:t>
      </w:r>
      <w:r>
        <w:rPr>
          <w:rFonts w:ascii="Times New Roman" w:hAnsi="Times New Roman"/>
          <w:bCs/>
          <w:sz w:val="28"/>
          <w:szCs w:val="28"/>
          <w:lang w:val="uk-UA"/>
        </w:rPr>
        <w:t>.</w:t>
      </w:r>
    </w:p>
    <w:p w14:paraId="07FCBE3F" w14:textId="4DDCE167" w:rsidR="00A76D63" w:rsidRPr="00880718" w:rsidRDefault="00D0381F" w:rsidP="00156E34">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 xml:space="preserve">Токійська біржа була основана у 1878 році. Але у цілях </w:t>
      </w:r>
      <w:r w:rsidR="00880718" w:rsidRPr="00880718">
        <w:rPr>
          <w:rFonts w:ascii="Times New Roman" w:hAnsi="Times New Roman"/>
          <w:bCs/>
          <w:sz w:val="28"/>
          <w:szCs w:val="28"/>
          <w:lang w:val="uk-UA"/>
        </w:rPr>
        <w:t>спрощення</w:t>
      </w:r>
      <w:r w:rsidRPr="00880718">
        <w:rPr>
          <w:rFonts w:ascii="Times New Roman" w:hAnsi="Times New Roman"/>
          <w:bCs/>
          <w:sz w:val="28"/>
          <w:szCs w:val="28"/>
          <w:lang w:val="uk-UA"/>
        </w:rPr>
        <w:t xml:space="preserve"> аналізу, буде представлений лише період після другої світовою війни. </w:t>
      </w:r>
      <w:r w:rsidR="00880718">
        <w:rPr>
          <w:rFonts w:ascii="Times New Roman" w:hAnsi="Times New Roman"/>
          <w:bCs/>
          <w:sz w:val="28"/>
          <w:szCs w:val="28"/>
          <w:lang w:val="uk-UA"/>
        </w:rPr>
        <w:t>Перш</w:t>
      </w:r>
      <w:r w:rsidR="00880718" w:rsidRPr="00880718">
        <w:rPr>
          <w:rFonts w:ascii="Times New Roman" w:hAnsi="Times New Roman"/>
          <w:bCs/>
          <w:sz w:val="28"/>
          <w:szCs w:val="28"/>
          <w:lang w:val="uk-UA"/>
        </w:rPr>
        <w:t xml:space="preserve"> за все треба відзначити, що фінансова система Японії у перші десятиліття після Другої світової війни суттєво відрізнялася від системи інших розвинених країн у багатьох аспектах, особливо тим яку роль, яку відігравали банківські справи та відносно незначне становище цінних паперів. </w:t>
      </w:r>
      <w:r w:rsidR="00814D75" w:rsidRPr="00880718">
        <w:rPr>
          <w:rFonts w:ascii="Times New Roman" w:hAnsi="Times New Roman"/>
          <w:bCs/>
          <w:sz w:val="28"/>
          <w:szCs w:val="28"/>
          <w:lang w:val="uk-UA"/>
        </w:rPr>
        <w:t xml:space="preserve">Однак ці відмінності поступово зникали, оскільки ринки були дерегульовані та інтернаціоналізовані. </w:t>
      </w:r>
      <w:r w:rsidR="0000223A" w:rsidRPr="00880718">
        <w:rPr>
          <w:rFonts w:ascii="Times New Roman" w:hAnsi="Times New Roman"/>
          <w:bCs/>
          <w:sz w:val="28"/>
          <w:szCs w:val="28"/>
          <w:lang w:val="uk-UA"/>
        </w:rPr>
        <w:t xml:space="preserve">До 1980-х років японський фінансовий істеблішмент став головною міжнародною силою: банки Японії стали домінувати в міжнародній банківській діяльності, тоді як Токійська фондова біржа стала одним з найбільших ринків цінних паперів у </w:t>
      </w:r>
      <w:r w:rsidR="0000223A" w:rsidRPr="00880718">
        <w:rPr>
          <w:rFonts w:ascii="Times New Roman" w:hAnsi="Times New Roman"/>
          <w:bCs/>
          <w:sz w:val="28"/>
          <w:szCs w:val="28"/>
          <w:lang w:val="uk-UA"/>
        </w:rPr>
        <w:lastRenderedPageBreak/>
        <w:t xml:space="preserve">світі з точки зору капіталізації. </w:t>
      </w:r>
      <w:r w:rsidR="00880718" w:rsidRPr="00880718">
        <w:rPr>
          <w:rFonts w:ascii="Times New Roman" w:hAnsi="Times New Roman"/>
          <w:bCs/>
          <w:sz w:val="28"/>
          <w:szCs w:val="28"/>
          <w:lang w:val="uk-UA"/>
        </w:rPr>
        <w:t>протягом приблизно двох десятиліть, Так починаючи з середини 1980-х років, закони, що регулюють фінансову систему, поступово переглядались, а діяльність банків, цінних паперів та страхових компаній була лібералізована</w:t>
      </w:r>
      <w:r w:rsidR="00880718">
        <w:rPr>
          <w:rFonts w:ascii="Times New Roman" w:hAnsi="Times New Roman"/>
          <w:bCs/>
          <w:sz w:val="28"/>
          <w:szCs w:val="28"/>
          <w:lang w:val="uk-UA"/>
        </w:rPr>
        <w:t xml:space="preserve"> створив сприятливу ситуацію</w:t>
      </w:r>
      <w:r w:rsidR="00880718" w:rsidRPr="00880718">
        <w:rPr>
          <w:rFonts w:ascii="Times New Roman" w:hAnsi="Times New Roman"/>
          <w:bCs/>
          <w:sz w:val="28"/>
          <w:szCs w:val="28"/>
          <w:lang w:val="uk-UA"/>
        </w:rPr>
        <w:t xml:space="preserve"> для швидкого зростання економіки. </w:t>
      </w:r>
      <w:r w:rsidR="00814D75" w:rsidRPr="00880718">
        <w:rPr>
          <w:rFonts w:ascii="Times New Roman" w:hAnsi="Times New Roman"/>
          <w:bCs/>
          <w:sz w:val="28"/>
          <w:szCs w:val="28"/>
          <w:lang w:val="uk-UA"/>
        </w:rPr>
        <w:t>Однак велика частина цього зростання базувалася на спекуляціях в економіці сильно завищеними цінностями нерухомості. Криза на початку 1990-х серйозно вплинула як на банківську діяльність, так і на ринок цінних паперів на початку 21 століття і спричинила тривалий період відновлення.</w:t>
      </w:r>
      <w:r w:rsidR="005E6718" w:rsidRPr="00880718">
        <w:rPr>
          <w:rFonts w:ascii="Times New Roman" w:hAnsi="Times New Roman"/>
          <w:bCs/>
          <w:sz w:val="28"/>
          <w:szCs w:val="28"/>
          <w:lang w:val="uk-UA"/>
        </w:rPr>
        <w:t xml:space="preserve"> </w:t>
      </w:r>
      <w:r w:rsidR="00814D75" w:rsidRPr="00880718">
        <w:rPr>
          <w:rFonts w:ascii="Times New Roman" w:hAnsi="Times New Roman"/>
          <w:bCs/>
          <w:sz w:val="28"/>
          <w:szCs w:val="28"/>
          <w:lang w:val="uk-UA"/>
        </w:rPr>
        <w:tab/>
      </w:r>
    </w:p>
    <w:p w14:paraId="435CD1B6" w14:textId="7BA1FB4A" w:rsidR="005A6D8C" w:rsidRPr="00880718" w:rsidRDefault="004D203B" w:rsidP="00156E34">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 xml:space="preserve">Вся </w:t>
      </w:r>
      <w:r w:rsidR="005A6D8C" w:rsidRPr="00880718">
        <w:rPr>
          <w:rFonts w:ascii="Times New Roman" w:hAnsi="Times New Roman"/>
          <w:bCs/>
          <w:sz w:val="28"/>
          <w:szCs w:val="28"/>
          <w:lang w:val="uk-UA"/>
        </w:rPr>
        <w:t>Японська фінансова система довгий час характеризувалася високим ступенем взаємозалежності між центральним банком, комерційними банками та промисловістю. Традиційно виробники покладали на банки більшу частину своїх потреб у запозиченнях, і, хоча значення власного капіталу виробників зросло, приватні та державні фінансові установи все ще становлять значну частину загальної суми запозичень. Оскільки комерційні банки відповідають за велику частину кредитів, наданих промисловості, їх вплив на компанії-клієнти є значним. Їх активна політика кредитування також означає, що їхні показники ліквідності, як правило, є низькими за західними стандартами, і що вони змушені покладатися на гроші на виклик (гроші, які легко доступні банкам як позики), і на масштабні запозичення в Банку Японі</w:t>
      </w:r>
      <w:r w:rsidR="002621C7" w:rsidRPr="00880718">
        <w:rPr>
          <w:rFonts w:ascii="Times New Roman" w:hAnsi="Times New Roman"/>
          <w:bCs/>
          <w:sz w:val="28"/>
          <w:szCs w:val="28"/>
          <w:lang w:val="uk-UA"/>
        </w:rPr>
        <w:t>ї</w:t>
      </w:r>
      <w:r w:rsidR="005A6D8C" w:rsidRPr="00880718">
        <w:rPr>
          <w:rFonts w:ascii="Times New Roman" w:hAnsi="Times New Roman"/>
          <w:bCs/>
          <w:sz w:val="28"/>
          <w:szCs w:val="28"/>
          <w:lang w:val="uk-UA"/>
        </w:rPr>
        <w:t>. Таким чином, центральний банк мав потужну позицію впливати на банківські операції та здійснювати швидке регулювання обсягу кредитів через кредитні ліміти.</w:t>
      </w:r>
    </w:p>
    <w:p w14:paraId="7DBB91DD" w14:textId="56DB898B" w:rsidR="00EF4A3D" w:rsidRPr="00880718" w:rsidRDefault="005A6D8C" w:rsidP="004D203B">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В Японії є кілька фондових бірж; дві найважливіш</w:t>
      </w:r>
      <w:r w:rsidR="00B5784D" w:rsidRPr="00880718">
        <w:rPr>
          <w:rFonts w:ascii="Times New Roman" w:hAnsi="Times New Roman"/>
          <w:bCs/>
          <w:sz w:val="28"/>
          <w:szCs w:val="28"/>
          <w:lang w:val="uk-UA"/>
        </w:rPr>
        <w:t>і</w:t>
      </w:r>
      <w:r w:rsidRPr="00880718">
        <w:rPr>
          <w:rFonts w:ascii="Times New Roman" w:hAnsi="Times New Roman"/>
          <w:bCs/>
          <w:sz w:val="28"/>
          <w:szCs w:val="28"/>
          <w:lang w:val="uk-UA"/>
        </w:rPr>
        <w:t>, Токіо та Осака</w:t>
      </w:r>
      <w:r w:rsidR="0040154E" w:rsidRPr="00880718">
        <w:rPr>
          <w:rFonts w:ascii="Times New Roman" w:hAnsi="Times New Roman"/>
          <w:bCs/>
          <w:sz w:val="28"/>
          <w:szCs w:val="28"/>
          <w:lang w:val="uk-UA"/>
        </w:rPr>
        <w:t xml:space="preserve">, на них </w:t>
      </w:r>
      <w:r w:rsidRPr="00880718">
        <w:rPr>
          <w:rFonts w:ascii="Times New Roman" w:hAnsi="Times New Roman"/>
          <w:bCs/>
          <w:sz w:val="28"/>
          <w:szCs w:val="28"/>
          <w:lang w:val="uk-UA"/>
        </w:rPr>
        <w:t xml:space="preserve"> припадає майже в</w:t>
      </w:r>
      <w:r w:rsidR="00B5784D" w:rsidRPr="00880718">
        <w:rPr>
          <w:rFonts w:ascii="Times New Roman" w:hAnsi="Times New Roman"/>
          <w:bCs/>
          <w:sz w:val="28"/>
          <w:szCs w:val="28"/>
          <w:lang w:val="uk-UA"/>
        </w:rPr>
        <w:t>ся торгівля</w:t>
      </w:r>
      <w:r w:rsidRPr="00880718">
        <w:rPr>
          <w:rFonts w:ascii="Times New Roman" w:hAnsi="Times New Roman"/>
          <w:bCs/>
          <w:sz w:val="28"/>
          <w:szCs w:val="28"/>
          <w:lang w:val="uk-UA"/>
        </w:rPr>
        <w:t>. Торгівля акціями швидко зростала в кінці 1980-х років, частково у відповідь на посилення ієни, зниження процентних ставок та існування великої суми капіталу для фінансових інвестицій. Однак на той момент ринок також був надзвичайно спекулятивним, і за</w:t>
      </w:r>
      <w:r w:rsidR="00EF4A3D" w:rsidRPr="00880718">
        <w:rPr>
          <w:rFonts w:ascii="Times New Roman" w:hAnsi="Times New Roman"/>
          <w:bCs/>
          <w:sz w:val="28"/>
          <w:szCs w:val="28"/>
          <w:lang w:val="uk-UA"/>
        </w:rPr>
        <w:t xml:space="preserve"> </w:t>
      </w:r>
      <w:r w:rsidR="00EF4A3D" w:rsidRPr="00880718">
        <w:rPr>
          <w:rFonts w:ascii="Times New Roman" w:eastAsiaTheme="minorEastAsia" w:hAnsi="Times New Roman"/>
          <w:bCs/>
          <w:sz w:val="28"/>
          <w:szCs w:val="28"/>
          <w:lang w:val="uk-UA" w:eastAsia="ja-JP"/>
        </w:rPr>
        <w:t>швидкими</w:t>
      </w:r>
      <w:r w:rsidRPr="00880718">
        <w:rPr>
          <w:rFonts w:ascii="Times New Roman" w:hAnsi="Times New Roman"/>
          <w:bCs/>
          <w:sz w:val="28"/>
          <w:szCs w:val="28"/>
          <w:lang w:val="uk-UA"/>
        </w:rPr>
        <w:t xml:space="preserve"> досягненнями відбувся серйозний спад. Відновлення відбувалося повільно, </w:t>
      </w:r>
      <w:r w:rsidRPr="00880718">
        <w:rPr>
          <w:rFonts w:ascii="Times New Roman" w:hAnsi="Times New Roman"/>
          <w:bCs/>
          <w:sz w:val="28"/>
          <w:szCs w:val="28"/>
          <w:lang w:val="uk-UA"/>
        </w:rPr>
        <w:lastRenderedPageBreak/>
        <w:t>відображаючи повільні темпи зростання економіки Японії в кінці 20-го і на початку 21-го століть, і його знову вразив економічний спад, що розпочався в 2008 році.</w:t>
      </w:r>
      <w:r w:rsidR="00D27CB9" w:rsidRPr="00880718">
        <w:rPr>
          <w:rFonts w:ascii="Times New Roman" w:hAnsi="Times New Roman"/>
          <w:bCs/>
          <w:sz w:val="28"/>
          <w:szCs w:val="28"/>
          <w:lang w:val="uk-UA"/>
        </w:rPr>
        <w:t xml:space="preserve"> </w:t>
      </w:r>
    </w:p>
    <w:p w14:paraId="37D39F1A" w14:textId="4645EA53" w:rsidR="00EF4A3D" w:rsidRPr="00880718" w:rsidRDefault="00EF4A3D" w:rsidP="00EF4A3D">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 xml:space="preserve">Головним показником фондового ринку Японії </w:t>
      </w:r>
      <w:r w:rsidR="00AB30FA" w:rsidRPr="00880718">
        <w:rPr>
          <w:rFonts w:ascii="Times New Roman" w:hAnsi="Times New Roman"/>
          <w:bCs/>
          <w:sz w:val="28"/>
          <w:szCs w:val="28"/>
          <w:lang w:val="uk-UA"/>
        </w:rPr>
        <w:t>є Nikkei 225 Nihon Keizai Shimbun</w:t>
      </w:r>
      <w:r w:rsidR="008F2B75" w:rsidRPr="00880718">
        <w:rPr>
          <w:rFonts w:ascii="Times New Roman" w:hAnsi="Times New Roman"/>
          <w:bCs/>
          <w:sz w:val="28"/>
          <w:szCs w:val="28"/>
          <w:lang w:val="uk-UA"/>
        </w:rPr>
        <w:t>.</w:t>
      </w:r>
      <w:r w:rsidRPr="00880718">
        <w:rPr>
          <w:rFonts w:ascii="Times New Roman" w:hAnsi="Times New Roman"/>
          <w:bCs/>
          <w:sz w:val="28"/>
          <w:szCs w:val="28"/>
          <w:lang w:val="uk-UA"/>
        </w:rPr>
        <w:t xml:space="preserve"> Цей </w:t>
      </w:r>
      <w:r w:rsidR="00880718" w:rsidRPr="00880718">
        <w:rPr>
          <w:rFonts w:ascii="Times New Roman" w:hAnsi="Times New Roman"/>
          <w:bCs/>
          <w:sz w:val="28"/>
          <w:szCs w:val="28"/>
          <w:lang w:val="uk-UA"/>
        </w:rPr>
        <w:t>показник</w:t>
      </w:r>
      <w:r w:rsidRPr="00880718">
        <w:rPr>
          <w:rFonts w:ascii="Times New Roman" w:hAnsi="Times New Roman"/>
          <w:bCs/>
          <w:sz w:val="28"/>
          <w:szCs w:val="28"/>
          <w:lang w:val="uk-UA"/>
        </w:rPr>
        <w:t xml:space="preserve"> включає до себе 225 головних Японських компаній та виступає у ролі індикатора стану фондового ринку. У минулому, а особливо, у 1980х</w:t>
      </w:r>
      <w:r w:rsidR="00171DDF" w:rsidRPr="00880718">
        <w:rPr>
          <w:rFonts w:ascii="Times New Roman" w:hAnsi="Times New Roman"/>
          <w:bCs/>
          <w:sz w:val="28"/>
          <w:szCs w:val="28"/>
          <w:lang w:val="uk-UA"/>
        </w:rPr>
        <w:t xml:space="preserve"> </w:t>
      </w:r>
      <w:r w:rsidRPr="00880718">
        <w:rPr>
          <w:rFonts w:ascii="Times New Roman" w:hAnsi="Times New Roman"/>
          <w:bCs/>
          <w:sz w:val="28"/>
          <w:szCs w:val="28"/>
          <w:lang w:val="uk-UA"/>
        </w:rPr>
        <w:t xml:space="preserve">роках, показник зазнав незвичайно </w:t>
      </w:r>
      <w:r w:rsidR="00880718" w:rsidRPr="00880718">
        <w:rPr>
          <w:rFonts w:ascii="Times New Roman" w:hAnsi="Times New Roman"/>
          <w:bCs/>
          <w:sz w:val="28"/>
          <w:szCs w:val="28"/>
          <w:lang w:val="uk-UA"/>
        </w:rPr>
        <w:t>швидкі</w:t>
      </w:r>
      <w:r w:rsidRPr="00880718">
        <w:rPr>
          <w:rFonts w:ascii="Times New Roman" w:hAnsi="Times New Roman"/>
          <w:bCs/>
          <w:sz w:val="28"/>
          <w:szCs w:val="28"/>
          <w:lang w:val="uk-UA"/>
        </w:rPr>
        <w:t xml:space="preserve"> темпи  зростання. </w:t>
      </w:r>
      <w:r w:rsidR="008F2B75" w:rsidRPr="00880718">
        <w:rPr>
          <w:rFonts w:ascii="Times New Roman" w:hAnsi="Times New Roman"/>
          <w:bCs/>
          <w:sz w:val="28"/>
          <w:szCs w:val="28"/>
          <w:lang w:val="uk-UA"/>
        </w:rPr>
        <w:t xml:space="preserve"> </w:t>
      </w:r>
      <w:r w:rsidR="00880718" w:rsidRPr="00880718">
        <w:rPr>
          <w:rFonts w:ascii="Times New Roman" w:hAnsi="Times New Roman"/>
          <w:bCs/>
          <w:sz w:val="28"/>
          <w:szCs w:val="28"/>
          <w:lang w:val="uk-UA"/>
        </w:rPr>
        <w:t>Таке зростання було обумовлено декількома факторами: дешеві к</w:t>
      </w:r>
      <w:r w:rsidR="00880718">
        <w:rPr>
          <w:rFonts w:ascii="Times New Roman" w:hAnsi="Times New Roman"/>
          <w:bCs/>
          <w:sz w:val="28"/>
          <w:szCs w:val="28"/>
          <w:lang w:val="uk-UA"/>
        </w:rPr>
        <w:t>редити, дешева робоча сила, оріє</w:t>
      </w:r>
      <w:r w:rsidR="00880718" w:rsidRPr="00880718">
        <w:rPr>
          <w:rFonts w:ascii="Times New Roman" w:hAnsi="Times New Roman"/>
          <w:bCs/>
          <w:sz w:val="28"/>
          <w:szCs w:val="28"/>
          <w:lang w:val="uk-UA"/>
        </w:rPr>
        <w:t>н</w:t>
      </w:r>
      <w:r w:rsidR="00880718">
        <w:rPr>
          <w:rFonts w:ascii="Times New Roman" w:hAnsi="Times New Roman"/>
          <w:bCs/>
          <w:sz w:val="28"/>
          <w:szCs w:val="28"/>
          <w:lang w:val="uk-UA"/>
        </w:rPr>
        <w:t>т</w:t>
      </w:r>
      <w:r w:rsidR="00880718" w:rsidRPr="00880718">
        <w:rPr>
          <w:rFonts w:ascii="Times New Roman" w:hAnsi="Times New Roman"/>
          <w:bCs/>
          <w:sz w:val="28"/>
          <w:szCs w:val="28"/>
          <w:lang w:val="uk-UA"/>
        </w:rPr>
        <w:t>ування на експорт, ефективна у разі Японії корпоративна система кеіретцу, яка зменшувала рівень конкуренції на внутрішніх ринках та посилювала ефективність фірм. Після</w:t>
      </w:r>
      <w:r w:rsidR="00C277AA" w:rsidRPr="00880718">
        <w:rPr>
          <w:rFonts w:ascii="Times New Roman" w:hAnsi="Times New Roman"/>
          <w:bCs/>
          <w:sz w:val="28"/>
          <w:szCs w:val="28"/>
          <w:lang w:val="uk-UA"/>
        </w:rPr>
        <w:t xml:space="preserve"> декількох десятиліть стабільного зростання відбулося різке падіння. </w:t>
      </w:r>
      <w:r w:rsidR="00880718" w:rsidRPr="00880718">
        <w:rPr>
          <w:rFonts w:ascii="Times New Roman" w:hAnsi="Times New Roman"/>
          <w:bCs/>
          <w:sz w:val="28"/>
          <w:szCs w:val="28"/>
          <w:lang w:val="uk-UA"/>
        </w:rPr>
        <w:t>Є декілька факторів які сприяли</w:t>
      </w:r>
      <w:r w:rsidR="00880718">
        <w:rPr>
          <w:rFonts w:ascii="Times New Roman" w:hAnsi="Times New Roman"/>
          <w:bCs/>
          <w:sz w:val="28"/>
          <w:szCs w:val="28"/>
          <w:lang w:val="uk-UA"/>
        </w:rPr>
        <w:t xml:space="preserve"> появі ситуації у який криза не</w:t>
      </w:r>
      <w:r w:rsidR="00880718" w:rsidRPr="00880718">
        <w:rPr>
          <w:rFonts w:ascii="Times New Roman" w:hAnsi="Times New Roman"/>
          <w:bCs/>
          <w:sz w:val="28"/>
          <w:szCs w:val="28"/>
          <w:lang w:val="uk-UA"/>
        </w:rPr>
        <w:t>минуча.</w:t>
      </w:r>
    </w:p>
    <w:p w14:paraId="58E493E2" w14:textId="50770062" w:rsidR="00EF4A3D" w:rsidRPr="00880718" w:rsidRDefault="00EF4A3D" w:rsidP="00EF4A3D">
      <w:pPr>
        <w:pStyle w:val="a3"/>
        <w:numPr>
          <w:ilvl w:val="0"/>
          <w:numId w:val="8"/>
        </w:numPr>
        <w:spacing w:after="0" w:line="360" w:lineRule="auto"/>
        <w:jc w:val="both"/>
        <w:rPr>
          <w:rFonts w:ascii="Times New Roman" w:hAnsi="Times New Roman"/>
          <w:bCs/>
          <w:sz w:val="28"/>
          <w:szCs w:val="28"/>
          <w:lang w:val="uk-UA"/>
        </w:rPr>
      </w:pPr>
      <w:r w:rsidRPr="00880718">
        <w:rPr>
          <w:rFonts w:ascii="Times New Roman" w:hAnsi="Times New Roman"/>
          <w:bCs/>
          <w:sz w:val="28"/>
          <w:szCs w:val="28"/>
          <w:lang w:val="uk-UA"/>
        </w:rPr>
        <w:t xml:space="preserve">Політика </w:t>
      </w:r>
      <w:r w:rsidR="00464132" w:rsidRPr="00880718">
        <w:rPr>
          <w:rFonts w:ascii="Times New Roman" w:hAnsi="Times New Roman"/>
          <w:bCs/>
          <w:sz w:val="28"/>
          <w:szCs w:val="28"/>
          <w:lang w:val="uk-UA"/>
        </w:rPr>
        <w:t>“лібералізації</w:t>
      </w:r>
      <w:r w:rsidR="00464132" w:rsidRPr="00880718">
        <w:rPr>
          <w:rFonts w:ascii="Times New Roman" w:eastAsiaTheme="minorEastAsia" w:hAnsi="Times New Roman"/>
          <w:bCs/>
          <w:sz w:val="28"/>
          <w:szCs w:val="28"/>
          <w:lang w:val="uk-UA" w:eastAsia="ja-JP"/>
        </w:rPr>
        <w:t>” кредитування. Наслідком якої були майже мінімальні відсоткові ставки.</w:t>
      </w:r>
    </w:p>
    <w:p w14:paraId="00568639" w14:textId="131055C5" w:rsidR="00464132" w:rsidRPr="00880718" w:rsidRDefault="00464132" w:rsidP="00EF4A3D">
      <w:pPr>
        <w:pStyle w:val="a3"/>
        <w:numPr>
          <w:ilvl w:val="0"/>
          <w:numId w:val="8"/>
        </w:numPr>
        <w:spacing w:after="0" w:line="360" w:lineRule="auto"/>
        <w:jc w:val="both"/>
        <w:rPr>
          <w:rFonts w:ascii="Times New Roman" w:hAnsi="Times New Roman"/>
          <w:bCs/>
          <w:sz w:val="28"/>
          <w:szCs w:val="28"/>
          <w:lang w:val="uk-UA"/>
        </w:rPr>
      </w:pPr>
      <w:r w:rsidRPr="00880718">
        <w:rPr>
          <w:rFonts w:ascii="Times New Roman" w:eastAsiaTheme="minorEastAsia" w:hAnsi="Times New Roman"/>
          <w:bCs/>
          <w:sz w:val="28"/>
          <w:szCs w:val="28"/>
          <w:lang w:val="uk-UA" w:eastAsia="ja-JP"/>
        </w:rPr>
        <w:t xml:space="preserve">При </w:t>
      </w:r>
      <w:r w:rsidR="00880718" w:rsidRPr="00880718">
        <w:rPr>
          <w:rFonts w:ascii="Times New Roman" w:eastAsiaTheme="minorEastAsia" w:hAnsi="Times New Roman"/>
          <w:bCs/>
          <w:sz w:val="28"/>
          <w:szCs w:val="28"/>
          <w:lang w:val="uk-UA" w:eastAsia="ja-JP"/>
        </w:rPr>
        <w:t>подібній</w:t>
      </w:r>
      <w:r w:rsidRPr="00880718">
        <w:rPr>
          <w:rFonts w:ascii="Times New Roman" w:eastAsiaTheme="minorEastAsia" w:hAnsi="Times New Roman"/>
          <w:bCs/>
          <w:sz w:val="28"/>
          <w:szCs w:val="28"/>
          <w:lang w:val="uk-UA" w:eastAsia="ja-JP"/>
        </w:rPr>
        <w:t xml:space="preserve"> доступності грошей в економіці може статися «перегрів», що означає, що темпи зростання економіки занадто швидкі. У разі Японії це було висловлено у зростанні цін на цінні папери та нерухомість. </w:t>
      </w:r>
    </w:p>
    <w:p w14:paraId="14402868" w14:textId="64B05CC7" w:rsidR="00464132" w:rsidRPr="00880718" w:rsidRDefault="00464132" w:rsidP="00EF4A3D">
      <w:pPr>
        <w:pStyle w:val="a3"/>
        <w:numPr>
          <w:ilvl w:val="0"/>
          <w:numId w:val="8"/>
        </w:numPr>
        <w:spacing w:after="0" w:line="360" w:lineRule="auto"/>
        <w:jc w:val="both"/>
        <w:rPr>
          <w:rFonts w:ascii="Times New Roman" w:hAnsi="Times New Roman"/>
          <w:bCs/>
          <w:sz w:val="28"/>
          <w:szCs w:val="28"/>
          <w:lang w:val="uk-UA"/>
        </w:rPr>
      </w:pPr>
      <w:r w:rsidRPr="00880718">
        <w:rPr>
          <w:rFonts w:ascii="Times New Roman" w:eastAsiaTheme="minorEastAsia" w:hAnsi="Times New Roman"/>
          <w:bCs/>
          <w:sz w:val="28"/>
          <w:szCs w:val="28"/>
          <w:lang w:val="uk-UA" w:eastAsia="ja-JP"/>
        </w:rPr>
        <w:t xml:space="preserve">Спекулятивні </w:t>
      </w:r>
      <w:r w:rsidR="00880718" w:rsidRPr="00880718">
        <w:rPr>
          <w:rFonts w:ascii="Times New Roman" w:eastAsiaTheme="minorEastAsia" w:hAnsi="Times New Roman"/>
          <w:bCs/>
          <w:sz w:val="28"/>
          <w:szCs w:val="28"/>
          <w:lang w:val="uk-UA" w:eastAsia="ja-JP"/>
        </w:rPr>
        <w:t>процеси</w:t>
      </w:r>
      <w:r w:rsidRPr="00880718">
        <w:rPr>
          <w:rFonts w:ascii="Times New Roman" w:eastAsiaTheme="minorEastAsia" w:hAnsi="Times New Roman"/>
          <w:bCs/>
          <w:sz w:val="28"/>
          <w:szCs w:val="28"/>
          <w:lang w:val="uk-UA" w:eastAsia="ja-JP"/>
        </w:rPr>
        <w:t xml:space="preserve">. При наймі «дешевих грошей» виникнення спекуляції </w:t>
      </w:r>
      <w:r w:rsidR="00880718" w:rsidRPr="00880718">
        <w:rPr>
          <w:rFonts w:ascii="Times New Roman" w:eastAsiaTheme="minorEastAsia" w:hAnsi="Times New Roman"/>
          <w:bCs/>
          <w:sz w:val="28"/>
          <w:szCs w:val="28"/>
          <w:lang w:val="uk-UA" w:eastAsia="ja-JP"/>
        </w:rPr>
        <w:t>неминуче</w:t>
      </w:r>
      <w:r w:rsidRPr="00880718">
        <w:rPr>
          <w:rFonts w:ascii="Times New Roman" w:eastAsiaTheme="minorEastAsia" w:hAnsi="Times New Roman"/>
          <w:bCs/>
          <w:sz w:val="28"/>
          <w:szCs w:val="28"/>
          <w:lang w:val="uk-UA" w:eastAsia="ja-JP"/>
        </w:rPr>
        <w:t xml:space="preserve">. </w:t>
      </w:r>
      <w:r w:rsidR="00880718" w:rsidRPr="00880718">
        <w:rPr>
          <w:rFonts w:ascii="Times New Roman" w:eastAsiaTheme="minorEastAsia" w:hAnsi="Times New Roman"/>
          <w:bCs/>
          <w:sz w:val="28"/>
          <w:szCs w:val="28"/>
          <w:lang w:val="uk-UA" w:eastAsia="ja-JP"/>
        </w:rPr>
        <w:t xml:space="preserve">Гроші з кредитів ішли тільки на покупку активів з </w:t>
      </w:r>
      <w:r w:rsidR="00880718">
        <w:rPr>
          <w:rFonts w:ascii="Times New Roman" w:eastAsiaTheme="minorEastAsia" w:hAnsi="Times New Roman"/>
          <w:bCs/>
          <w:sz w:val="28"/>
          <w:szCs w:val="28"/>
          <w:lang w:val="uk-UA" w:eastAsia="ja-JP"/>
        </w:rPr>
        <w:t>метою швидкого продажу</w:t>
      </w:r>
      <w:r w:rsidR="00880718" w:rsidRPr="00880718">
        <w:rPr>
          <w:rFonts w:ascii="Times New Roman" w:eastAsiaTheme="minorEastAsia" w:hAnsi="Times New Roman"/>
          <w:bCs/>
          <w:sz w:val="28"/>
          <w:szCs w:val="28"/>
          <w:lang w:val="uk-UA" w:eastAsia="ja-JP"/>
        </w:rPr>
        <w:t xml:space="preserve">. </w:t>
      </w:r>
      <w:r w:rsidR="00FE7330" w:rsidRPr="00880718">
        <w:rPr>
          <w:rFonts w:ascii="Times New Roman" w:eastAsiaTheme="minorEastAsia" w:hAnsi="Times New Roman"/>
          <w:bCs/>
          <w:sz w:val="28"/>
          <w:szCs w:val="28"/>
          <w:lang w:val="uk-UA" w:eastAsia="ja-JP"/>
        </w:rPr>
        <w:t xml:space="preserve">Проблема такої ситуації у тому, що реальна додаткова вартість у активах не створюється, а лише роздувається </w:t>
      </w:r>
      <w:r w:rsidR="00880718">
        <w:rPr>
          <w:rFonts w:ascii="Times New Roman" w:eastAsiaTheme="minorEastAsia" w:hAnsi="Times New Roman"/>
          <w:bCs/>
          <w:sz w:val="28"/>
          <w:szCs w:val="28"/>
          <w:lang w:val="uk-UA" w:eastAsia="ja-JP"/>
        </w:rPr>
        <w:t>створюючи</w:t>
      </w:r>
      <w:r w:rsidR="00FE7330" w:rsidRPr="00880718">
        <w:rPr>
          <w:rFonts w:ascii="Times New Roman" w:eastAsiaTheme="minorEastAsia" w:hAnsi="Times New Roman"/>
          <w:bCs/>
          <w:sz w:val="28"/>
          <w:szCs w:val="28"/>
          <w:lang w:val="uk-UA" w:eastAsia="ja-JP"/>
        </w:rPr>
        <w:t xml:space="preserve"> «бульбашку». </w:t>
      </w:r>
    </w:p>
    <w:p w14:paraId="7EDC7B64" w14:textId="040DF834" w:rsidR="00FE7330" w:rsidRPr="00880718" w:rsidRDefault="00FE7330" w:rsidP="00BA652D">
      <w:pPr>
        <w:pStyle w:val="a3"/>
        <w:numPr>
          <w:ilvl w:val="0"/>
          <w:numId w:val="8"/>
        </w:numPr>
        <w:tabs>
          <w:tab w:val="left" w:pos="0"/>
        </w:tabs>
        <w:spacing w:after="0" w:line="360" w:lineRule="auto"/>
        <w:ind w:hanging="1080"/>
        <w:jc w:val="both"/>
        <w:rPr>
          <w:rFonts w:ascii="Times New Roman" w:hAnsi="Times New Roman"/>
          <w:bCs/>
          <w:sz w:val="28"/>
          <w:szCs w:val="28"/>
          <w:lang w:val="uk-UA"/>
        </w:rPr>
      </w:pPr>
      <w:r w:rsidRPr="00880718">
        <w:rPr>
          <w:rFonts w:ascii="Times New Roman" w:eastAsiaTheme="minorEastAsia" w:hAnsi="Times New Roman"/>
          <w:bCs/>
          <w:sz w:val="28"/>
          <w:szCs w:val="28"/>
          <w:lang w:val="uk-UA" w:eastAsia="ja-JP"/>
        </w:rPr>
        <w:t xml:space="preserve">Занадто пізня реакція уряду. У самому розпалі спекулятивних процесів, коли Nikkei 225 досяг вже відмітки 38 тис. </w:t>
      </w:r>
      <w:r w:rsidR="00AC4B31" w:rsidRPr="00880718">
        <w:rPr>
          <w:rFonts w:ascii="Times New Roman" w:eastAsiaTheme="minorEastAsia" w:hAnsi="Times New Roman"/>
          <w:bCs/>
          <w:sz w:val="28"/>
          <w:szCs w:val="28"/>
          <w:lang w:val="uk-UA" w:eastAsia="ja-JP"/>
        </w:rPr>
        <w:t>¥</w:t>
      </w:r>
      <w:r w:rsidR="00171DDF" w:rsidRPr="00880718">
        <w:rPr>
          <w:rFonts w:ascii="Times New Roman" w:eastAsiaTheme="minorEastAsia" w:hAnsi="Times New Roman"/>
          <w:bCs/>
          <w:sz w:val="28"/>
          <w:szCs w:val="28"/>
          <w:lang w:val="uk-UA" w:eastAsia="ja-JP"/>
        </w:rPr>
        <w:t xml:space="preserve"> було прийнято рішення </w:t>
      </w:r>
      <w:r w:rsidR="00880718">
        <w:rPr>
          <w:rFonts w:ascii="Times New Roman" w:eastAsiaTheme="minorEastAsia" w:hAnsi="Times New Roman"/>
          <w:bCs/>
          <w:sz w:val="28"/>
          <w:szCs w:val="28"/>
          <w:lang w:val="uk-UA" w:eastAsia="ja-JP"/>
        </w:rPr>
        <w:t>підвищити</w:t>
      </w:r>
      <w:r w:rsidR="00171DDF" w:rsidRPr="00880718">
        <w:rPr>
          <w:rFonts w:ascii="Times New Roman" w:eastAsiaTheme="minorEastAsia" w:hAnsi="Times New Roman"/>
          <w:bCs/>
          <w:sz w:val="28"/>
          <w:szCs w:val="28"/>
          <w:lang w:val="uk-UA" w:eastAsia="ja-JP"/>
        </w:rPr>
        <w:t xml:space="preserve"> відсоткову ставку, обмежити кількість грошей яку </w:t>
      </w:r>
      <w:r w:rsidR="00880718" w:rsidRPr="00880718">
        <w:rPr>
          <w:rFonts w:ascii="Times New Roman" w:eastAsiaTheme="minorEastAsia" w:hAnsi="Times New Roman"/>
          <w:bCs/>
          <w:sz w:val="28"/>
          <w:szCs w:val="28"/>
          <w:lang w:val="uk-UA" w:eastAsia="ja-JP"/>
        </w:rPr>
        <w:t>можна</w:t>
      </w:r>
      <w:r w:rsidR="00171DDF" w:rsidRPr="00880718">
        <w:rPr>
          <w:rFonts w:ascii="Times New Roman" w:eastAsiaTheme="minorEastAsia" w:hAnsi="Times New Roman"/>
          <w:bCs/>
          <w:sz w:val="28"/>
          <w:szCs w:val="28"/>
          <w:lang w:val="uk-UA" w:eastAsia="ja-JP"/>
        </w:rPr>
        <w:t xml:space="preserve"> надавати для кредитів нерухомості. Це призвело до зниження </w:t>
      </w:r>
      <w:r w:rsidR="00171DDF" w:rsidRPr="00880718">
        <w:rPr>
          <w:rFonts w:ascii="Times New Roman" w:eastAsiaTheme="minorEastAsia" w:hAnsi="Times New Roman"/>
          <w:bCs/>
          <w:sz w:val="28"/>
          <w:szCs w:val="28"/>
          <w:lang w:val="uk-UA" w:eastAsia="ja-JP"/>
        </w:rPr>
        <w:lastRenderedPageBreak/>
        <w:t xml:space="preserve">загального темпу економічного росту та у наслідку </w:t>
      </w:r>
      <w:r w:rsidR="00880718" w:rsidRPr="00880718">
        <w:rPr>
          <w:rFonts w:ascii="Times New Roman" w:eastAsiaTheme="minorEastAsia" w:hAnsi="Times New Roman"/>
          <w:bCs/>
          <w:sz w:val="28"/>
          <w:szCs w:val="28"/>
          <w:lang w:val="uk-UA" w:eastAsia="ja-JP"/>
        </w:rPr>
        <w:t>призвело</w:t>
      </w:r>
      <w:r w:rsidR="00171DDF" w:rsidRPr="00880718">
        <w:rPr>
          <w:rFonts w:ascii="Times New Roman" w:eastAsiaTheme="minorEastAsia" w:hAnsi="Times New Roman"/>
          <w:bCs/>
          <w:sz w:val="28"/>
          <w:szCs w:val="28"/>
          <w:lang w:val="uk-UA" w:eastAsia="ja-JP"/>
        </w:rPr>
        <w:t xml:space="preserve"> до</w:t>
      </w:r>
      <w:r w:rsidR="00BA652D">
        <w:rPr>
          <w:rFonts w:ascii="Times New Roman" w:eastAsiaTheme="minorEastAsia" w:hAnsi="Times New Roman"/>
          <w:bCs/>
          <w:sz w:val="28"/>
          <w:szCs w:val="28"/>
          <w:lang w:val="uk-UA" w:eastAsia="ja-JP"/>
        </w:rPr>
        <w:t xml:space="preserve"> </w:t>
      </w:r>
      <w:r w:rsidR="00171DDF" w:rsidRPr="00880718">
        <w:rPr>
          <w:rFonts w:ascii="Times New Roman" w:eastAsiaTheme="minorEastAsia" w:hAnsi="Times New Roman"/>
          <w:bCs/>
          <w:sz w:val="28"/>
          <w:szCs w:val="28"/>
          <w:lang w:val="uk-UA" w:eastAsia="ja-JP"/>
        </w:rPr>
        <w:t xml:space="preserve">неможливості кредиторами виплачувати борги. </w:t>
      </w:r>
    </w:p>
    <w:p w14:paraId="549B2F2E" w14:textId="16CF2A93" w:rsidR="00673826" w:rsidRPr="00050F12" w:rsidRDefault="009938A8" w:rsidP="0024461E">
      <w:pPr>
        <w:spacing w:after="0" w:line="360" w:lineRule="auto"/>
        <w:jc w:val="both"/>
        <w:rPr>
          <w:rFonts w:ascii="Times New Roman" w:eastAsiaTheme="minorEastAsia" w:hAnsi="Times New Roman"/>
          <w:bCs/>
          <w:sz w:val="28"/>
          <w:szCs w:val="28"/>
          <w:lang w:eastAsia="ja-JP"/>
        </w:rPr>
      </w:pPr>
      <w:r w:rsidRPr="00880718">
        <w:rPr>
          <w:rFonts w:ascii="Times New Roman" w:hAnsi="Times New Roman"/>
          <w:bCs/>
          <w:sz w:val="28"/>
          <w:szCs w:val="28"/>
          <w:lang w:val="uk-UA"/>
        </w:rPr>
        <w:t xml:space="preserve">На сьогодні </w:t>
      </w:r>
      <w:r w:rsidRPr="00880718">
        <w:rPr>
          <w:rFonts w:ascii="Times New Roman" w:eastAsiaTheme="minorEastAsia" w:hAnsi="Times New Roman"/>
          <w:bCs/>
          <w:sz w:val="28"/>
          <w:szCs w:val="28"/>
          <w:lang w:val="uk-UA" w:eastAsia="ja-JP"/>
        </w:rPr>
        <w:t>Nikkei залишається одним з головних індексів світу, але вже не показує таких темпів росту як у минулому</w:t>
      </w:r>
      <w:r w:rsidR="003A4D0A" w:rsidRPr="00880718">
        <w:rPr>
          <w:rFonts w:ascii="Times New Roman" w:eastAsiaTheme="minorEastAsia" w:hAnsi="Times New Roman"/>
          <w:bCs/>
          <w:sz w:val="28"/>
          <w:szCs w:val="28"/>
          <w:lang w:val="uk-UA" w:eastAsia="ja-JP"/>
        </w:rPr>
        <w:t xml:space="preserve"> </w:t>
      </w:r>
      <w:r w:rsidR="00080048" w:rsidRPr="00880718">
        <w:rPr>
          <w:rFonts w:ascii="Times New Roman" w:eastAsiaTheme="minorEastAsia" w:hAnsi="Times New Roman"/>
          <w:bCs/>
          <w:sz w:val="28"/>
          <w:szCs w:val="28"/>
          <w:lang w:val="uk-UA" w:eastAsia="ja-JP"/>
        </w:rPr>
        <w:t xml:space="preserve"> </w:t>
      </w:r>
      <w:r w:rsidR="008F2B75" w:rsidRPr="00880718">
        <w:rPr>
          <w:rFonts w:ascii="Times New Roman" w:eastAsiaTheme="minorEastAsia" w:hAnsi="Times New Roman"/>
          <w:bCs/>
          <w:sz w:val="28"/>
          <w:szCs w:val="28"/>
          <w:lang w:val="uk-UA" w:eastAsia="ja-JP"/>
        </w:rPr>
        <w:t>[2],[3]</w:t>
      </w:r>
      <w:r w:rsidR="00276B24" w:rsidRPr="00880718">
        <w:rPr>
          <w:rFonts w:ascii="Times New Roman" w:eastAsiaTheme="minorEastAsia" w:hAnsi="Times New Roman"/>
          <w:bCs/>
          <w:sz w:val="28"/>
          <w:szCs w:val="28"/>
          <w:lang w:val="uk-UA" w:eastAsia="ja-JP"/>
        </w:rPr>
        <w:t>, [13]</w:t>
      </w:r>
      <w:r w:rsidR="00050F12" w:rsidRPr="00050F12">
        <w:rPr>
          <w:rFonts w:ascii="Times New Roman" w:eastAsiaTheme="minorEastAsia" w:hAnsi="Times New Roman"/>
          <w:bCs/>
          <w:sz w:val="28"/>
          <w:szCs w:val="28"/>
          <w:lang w:eastAsia="ja-JP"/>
        </w:rPr>
        <w:t>.</w:t>
      </w:r>
    </w:p>
    <w:p w14:paraId="71FC8E28" w14:textId="77777777" w:rsidR="00673826" w:rsidRPr="00880718" w:rsidRDefault="00673826" w:rsidP="00673826">
      <w:pPr>
        <w:spacing w:after="0" w:line="360" w:lineRule="auto"/>
        <w:ind w:firstLine="720"/>
        <w:jc w:val="both"/>
        <w:rPr>
          <w:rFonts w:ascii="Times New Roman" w:eastAsiaTheme="minorEastAsia" w:hAnsi="Times New Roman"/>
          <w:bCs/>
          <w:sz w:val="28"/>
          <w:szCs w:val="28"/>
          <w:lang w:val="uk-UA" w:eastAsia="ja-JP"/>
        </w:rPr>
      </w:pPr>
      <w:r w:rsidRPr="00880718">
        <w:rPr>
          <w:rFonts w:ascii="Times New Roman" w:eastAsiaTheme="minorEastAsia" w:hAnsi="Times New Roman"/>
          <w:bCs/>
          <w:sz w:val="28"/>
          <w:szCs w:val="28"/>
          <w:lang w:val="uk-UA" w:eastAsia="ja-JP"/>
        </w:rPr>
        <w:t xml:space="preserve">Якщо говорити про розвиток у сучасних умовах, не можна не згадувати глобальну пандемію COVID-19, яка змінила багато аспектів світової економіки, викликала значне падіння головних фондових індексів, та на деяких час зупинила туристичний сектор у всьому світі. Японія є країною яка дуже сильно залежить від торгівлі. Не маючи майже не яких природних ресурсів, Японія вимушена імпортувати більшу їх кількість. Навіть якщо брати до уваги приклад індексу самодостатності їжі, який </w:t>
      </w:r>
      <w:r>
        <w:rPr>
          <w:rFonts w:ascii="Times New Roman" w:eastAsiaTheme="minorEastAsia" w:hAnsi="Times New Roman"/>
          <w:bCs/>
          <w:sz w:val="28"/>
          <w:szCs w:val="28"/>
          <w:lang w:val="uk-UA" w:eastAsia="ja-JP"/>
        </w:rPr>
        <w:t>дорівнює</w:t>
      </w:r>
      <w:r w:rsidRPr="00880718">
        <w:rPr>
          <w:rFonts w:ascii="Times New Roman" w:eastAsiaTheme="minorEastAsia" w:hAnsi="Times New Roman"/>
          <w:bCs/>
          <w:sz w:val="28"/>
          <w:szCs w:val="28"/>
          <w:lang w:val="uk-UA" w:eastAsia="ja-JP"/>
        </w:rPr>
        <w:t xml:space="preserve"> 30-40%. Це робить країну дуже вразливою до будь яких криз глобального масштабу. Далі будуть наведені статті за темою впливу вірусу на фондовий ринок Японії. </w:t>
      </w:r>
    </w:p>
    <w:p w14:paraId="00E676C4" w14:textId="4FB02E4C" w:rsidR="00673826" w:rsidRPr="00050F12" w:rsidRDefault="00673826" w:rsidP="00673826">
      <w:pPr>
        <w:spacing w:after="0" w:line="360" w:lineRule="auto"/>
        <w:ind w:firstLine="720"/>
        <w:jc w:val="both"/>
        <w:rPr>
          <w:rFonts w:ascii="Times New Roman" w:hAnsi="Times New Roman"/>
          <w:bCs/>
          <w:sz w:val="28"/>
          <w:szCs w:val="28"/>
          <w:lang w:val="uk-UA"/>
        </w:rPr>
      </w:pPr>
      <w:r w:rsidRPr="00880718">
        <w:rPr>
          <w:rFonts w:ascii="Times New Roman" w:eastAsiaTheme="minorEastAsia" w:hAnsi="Times New Roman"/>
          <w:bCs/>
          <w:sz w:val="28"/>
          <w:szCs w:val="28"/>
          <w:lang w:val="uk-UA" w:eastAsia="ja-JP"/>
        </w:rPr>
        <w:t>У своїй статті Хіденорі Такахаші та Кадзуо Ямада</w:t>
      </w:r>
      <w:r w:rsidR="00455633" w:rsidRPr="00455633">
        <w:rPr>
          <w:rFonts w:ascii="Times New Roman" w:eastAsiaTheme="minorEastAsia" w:hAnsi="Times New Roman"/>
          <w:bCs/>
          <w:sz w:val="28"/>
          <w:szCs w:val="28"/>
          <w:lang w:val="uk-UA" w:eastAsia="ja-JP"/>
        </w:rPr>
        <w:t xml:space="preserve"> (2020)</w:t>
      </w:r>
      <w:r w:rsidRPr="00880718">
        <w:rPr>
          <w:rFonts w:ascii="Times New Roman" w:eastAsiaTheme="minorEastAsia" w:hAnsi="Times New Roman"/>
          <w:bCs/>
          <w:sz w:val="28"/>
          <w:szCs w:val="28"/>
          <w:lang w:val="uk-UA" w:eastAsia="ja-JP"/>
        </w:rPr>
        <w:t xml:space="preserve"> аналізують ефект COVID-19 на фондовий ринок Японії, та виявляють найбільш вразливі групи компаній. </w:t>
      </w:r>
      <w:r w:rsidRPr="00880718">
        <w:rPr>
          <w:rFonts w:ascii="Times New Roman" w:hAnsi="Times New Roman"/>
          <w:bCs/>
          <w:sz w:val="28"/>
          <w:szCs w:val="28"/>
          <w:lang w:val="uk-UA"/>
        </w:rPr>
        <w:t xml:space="preserve">Стаття аналізує японський фондовий ринок через його особливу ситуацію. Особливість є у кількості випадків та прямий вплив розповсюдження вірусу в Японії був помірним у порівнянні з іншими країнами. На кінець березня 2020 року, тоді як кількість випадків зараження COVID-19 становила 82 тис. в Китаї та 164 тис. у США, в Японії було лише 1953. Незважаючи на меншу кількість випадків, ніж в інших країнах, японський фондовий ринок зазнав приблизно 30% зниження в період з лютого по березень, що було майже таким самим, як у США. Це явище недостатньо пояснюється впливом вірусу на економіку . Отже, метою статті автори відзначують - розуміння факторів впливу на показники акцій японських фірм, під час кризи COVID-19. Авторами було виявлено 3 фактори які мали вплив на таке падіння акцій у лютому-березні. Перше це особливості структури банку Японії, який як визначається у статті має «сильну присутність» на фондовому ринці, яке має </w:t>
      </w:r>
      <w:r w:rsidRPr="00880718">
        <w:rPr>
          <w:rFonts w:ascii="Times New Roman" w:hAnsi="Times New Roman"/>
          <w:bCs/>
          <w:sz w:val="28"/>
          <w:szCs w:val="28"/>
          <w:lang w:val="uk-UA"/>
        </w:rPr>
        <w:lastRenderedPageBreak/>
        <w:t>позитивний вплив на доходність від акцій. Присутність іноземного капіталу яке має негативний вплив на доходність від акцій. Другий фактор це залежність від Китаю та США. Автори проводять аналіз компаній з різними рівнями залежності від цих країн і приходять до висновку, що чим більше компанія залежить від цих країн тим меншим був прибуток акцій у період пандемії. Останній фактор це ESG інвестування. ESG - Екологічне, соціальне та державне інвестування яке відноситься до класу інвестицій, яке також відоме як "стійке інвестування". Це загальний термін для інвестицій, які прагнуть позитивної віддачі та довгострокового впливу на суспільство, навколишнє середовище та результати діяльності бізнесу. Акції, які інвестуються за рахунок фондів ESG, мають в середньому вищу віддачу, ніж акції, які не інвестуються. Однак автори виявляють, що серед фірм, які інвестують у фонди ESG, висока власність у фондах ESG негативно впливає на дохід від їх акцій [9] [10]</w:t>
      </w:r>
      <w:r w:rsidR="00050F12" w:rsidRPr="00050F12">
        <w:rPr>
          <w:rFonts w:ascii="Times New Roman" w:hAnsi="Times New Roman"/>
          <w:bCs/>
          <w:sz w:val="28"/>
          <w:szCs w:val="28"/>
          <w:lang w:val="uk-UA"/>
        </w:rPr>
        <w:t>.</w:t>
      </w:r>
    </w:p>
    <w:p w14:paraId="2466F5C7" w14:textId="5EAF8EAF" w:rsidR="00673826" w:rsidRPr="00050F12" w:rsidRDefault="00673826" w:rsidP="00673826">
      <w:pPr>
        <w:spacing w:after="0" w:line="360" w:lineRule="auto"/>
        <w:ind w:firstLine="720"/>
        <w:jc w:val="both"/>
        <w:rPr>
          <w:rFonts w:ascii="Times New Roman" w:eastAsiaTheme="minorEastAsia" w:hAnsi="Times New Roman"/>
          <w:bCs/>
          <w:sz w:val="28"/>
          <w:szCs w:val="28"/>
          <w:lang w:eastAsia="ja-JP"/>
        </w:rPr>
      </w:pPr>
      <w:r w:rsidRPr="00880718">
        <w:rPr>
          <w:rFonts w:ascii="Times New Roman" w:eastAsiaTheme="minorEastAsia" w:hAnsi="Times New Roman"/>
          <w:bCs/>
          <w:sz w:val="28"/>
          <w:szCs w:val="28"/>
          <w:lang w:val="uk-UA" w:eastAsia="ja-JP"/>
        </w:rPr>
        <w:t>У своїй статті Маріо Артуро Руїс Естрада, Мінсоо Лі та Евангелос Кутронас</w:t>
      </w:r>
      <w:r w:rsidR="00455633" w:rsidRPr="00455633">
        <w:rPr>
          <w:rFonts w:ascii="Times New Roman" w:eastAsiaTheme="minorEastAsia" w:hAnsi="Times New Roman"/>
          <w:bCs/>
          <w:sz w:val="28"/>
          <w:szCs w:val="28"/>
          <w:lang w:val="uk-UA" w:eastAsia="ja-JP"/>
        </w:rPr>
        <w:t xml:space="preserve"> (2020)</w:t>
      </w:r>
      <w:r w:rsidRPr="00880718">
        <w:rPr>
          <w:rFonts w:ascii="Times New Roman" w:eastAsiaTheme="minorEastAsia" w:hAnsi="Times New Roman"/>
          <w:bCs/>
          <w:sz w:val="28"/>
          <w:szCs w:val="28"/>
          <w:lang w:val="uk-UA" w:eastAsia="ja-JP"/>
        </w:rPr>
        <w:t xml:space="preserve"> аналізують ефект COVID-19 на фондовий ринки світу та наслідки. У статті було проаналізовано основні фондові індекси (включаючи Nikkei-225). У цій статті сформульовано аналітичну основу для розуміння закономірностей виникнення епідемічних захворювань, їх актуальності та наслідків для діяльності на фінансових ринках. Стаття пропонує зміну парадигми: новий багатовимірний геометричний підхід, який охоплює всі симетричні та асиметричні стратегічні графічні рухи в реальному просторі та часі. Результати авторів статті свідчать про те, що період закриття більше ніж 150 днів може бути згубним для всіх економік, якщо вони перетнуть свій пороговий рівень стійкості. Аналіз десяти основних фондових ринків у всьому світі включаючи Японію показує, що наслідки Covid-19 можуть спричинити подібний збиток кризі 1929 року. Це може на думку авторів викликати фази відновлення від 9 до 12 місяців з урахуванням результатів американських виборів, заходів відновлення Європейської економіки та децентралізації </w:t>
      </w:r>
      <w:r w:rsidRPr="00880718">
        <w:rPr>
          <w:rFonts w:ascii="Times New Roman" w:eastAsiaTheme="minorEastAsia" w:hAnsi="Times New Roman"/>
          <w:bCs/>
          <w:sz w:val="28"/>
          <w:szCs w:val="28"/>
          <w:lang w:val="uk-UA" w:eastAsia="ja-JP"/>
        </w:rPr>
        <w:lastRenderedPageBreak/>
        <w:t>виробництва з Китаю. Статті ще раз показує наскільки сильний ефект на глобальну економіку оказує COVID-19. Але як можна бачити сьогодні, фондові індекси Японії набагато перевищують пред-пандемічні рівні, досягаючи навіть рекордних значень за 30 років. Це також свідчить про ефективність роботи держави та банківської системи, яка вчасно відреагувала та застосувала стимуляційні пакети для підтримки економіки [11]</w:t>
      </w:r>
      <w:r w:rsidR="00050F12" w:rsidRPr="00050F12">
        <w:rPr>
          <w:rFonts w:ascii="Times New Roman" w:eastAsiaTheme="minorEastAsia" w:hAnsi="Times New Roman"/>
          <w:bCs/>
          <w:sz w:val="28"/>
          <w:szCs w:val="28"/>
          <w:lang w:eastAsia="ja-JP"/>
        </w:rPr>
        <w:t>.</w:t>
      </w:r>
    </w:p>
    <w:p w14:paraId="33F00BCB" w14:textId="2B5CE9B8" w:rsidR="00080048" w:rsidRPr="00050F12" w:rsidRDefault="00673826" w:rsidP="00C05741">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Автори статті - Кевін Б. Хендрікс, Брайан Джейкобс та Вінод Р. Сінгхал</w:t>
      </w:r>
      <w:r w:rsidR="00455633" w:rsidRPr="00455633">
        <w:rPr>
          <w:rFonts w:ascii="Times New Roman" w:hAnsi="Times New Roman"/>
          <w:bCs/>
          <w:sz w:val="28"/>
          <w:szCs w:val="28"/>
          <w:lang w:val="uk-UA"/>
        </w:rPr>
        <w:t xml:space="preserve"> (2017)</w:t>
      </w:r>
      <w:r w:rsidRPr="00880718">
        <w:rPr>
          <w:rFonts w:ascii="Times New Roman" w:hAnsi="Times New Roman"/>
          <w:bCs/>
          <w:sz w:val="28"/>
          <w:szCs w:val="28"/>
          <w:lang w:val="uk-UA"/>
        </w:rPr>
        <w:t xml:space="preserve"> у своїй статті розповідають про Наслідки землетрусу в Японії 2011 року. Тема є більш ніж актуальною для Японії. Географічне положення країни передбачає часті землетруси та цунамі, тому буде корисно ознайомитися з можливими наслідками таких катастроф. Автори відмічають великий землетрус у Східній Японії 11 березня 2011 як найзначніший злом у світових ланцюгах поставок. Після землетрусу було багато суперечок щодо ризиків та вразливості глобальних ланцюгів поставок, і були заклики до переробки та реструктуризації стратегій ланцюга поставок. Для вивчення цього питання автори емпірично оцінюють вплив землетрусу на ціни акцій фірм. Аналіз авторів базується на глобальній в</w:t>
      </w:r>
      <w:r>
        <w:rPr>
          <w:rFonts w:ascii="Times New Roman" w:hAnsi="Times New Roman"/>
          <w:bCs/>
          <w:sz w:val="28"/>
          <w:szCs w:val="28"/>
          <w:lang w:val="uk-UA"/>
        </w:rPr>
        <w:t xml:space="preserve">ибірці з 460 </w:t>
      </w:r>
      <w:r w:rsidRPr="00880718">
        <w:rPr>
          <w:rFonts w:ascii="Times New Roman" w:hAnsi="Times New Roman"/>
          <w:bCs/>
          <w:sz w:val="28"/>
          <w:szCs w:val="28"/>
          <w:lang w:val="uk-UA"/>
        </w:rPr>
        <w:t>фірм</w:t>
      </w:r>
      <w:r>
        <w:rPr>
          <w:rFonts w:ascii="Times New Roman" w:hAnsi="Times New Roman"/>
          <w:bCs/>
          <w:sz w:val="28"/>
          <w:szCs w:val="28"/>
          <w:lang w:val="uk-UA"/>
        </w:rPr>
        <w:t xml:space="preserve"> акції яких торгуються на фондовому ринці</w:t>
      </w:r>
      <w:r w:rsidRPr="00880718">
        <w:rPr>
          <w:rFonts w:ascii="Times New Roman" w:hAnsi="Times New Roman"/>
          <w:bCs/>
          <w:sz w:val="28"/>
          <w:szCs w:val="28"/>
          <w:lang w:val="uk-UA"/>
        </w:rPr>
        <w:t xml:space="preserve">, зібраних зі статей та оголошень у діловій пресі, які ідентифікують фірми, які постраждали від землетрусу. Було виявлено, що фірми, які зазнали зривів у ланцюгу поставок через землетрус, втратили в середньому 3,73% своєї акціонерної вартості протягом одного місяця після землетрусу, і збитки залишаються приблизно на цьому рівні при вимірюванні протягом трьох місяців після землетрусу. Однак, авторами стверджується що якщо розглянути твердження про широкі та значні збої в ланцюгах поставок, спричинені землетрусом, та разом із рідкістю такої події, збитки не здаються надмірно негативними. Це свідчить про те, що ланцюги поставок, не були настільки вразливими, або змогли швидко відновитись і зменшити втрати, вказуючи на те, що вони були досить стійкими. Автори виявляють також, що після землетрусу </w:t>
      </w:r>
      <w:r w:rsidRPr="00880718">
        <w:rPr>
          <w:rFonts w:ascii="Times New Roman" w:hAnsi="Times New Roman"/>
          <w:bCs/>
          <w:sz w:val="28"/>
          <w:szCs w:val="28"/>
          <w:lang w:val="uk-UA"/>
        </w:rPr>
        <w:lastRenderedPageBreak/>
        <w:t>наслідки розповсюдження ланцюга поставок є негативними, вплив зараження на фірми, пов'язані з ядерною промисловістю, є дуже негативним і стійким, і хоча конкурентний ефект є позитивним протягом першого місяця після землетрусу значна частина цього ефекту розсіюється протягом наступних двох місяців [12]</w:t>
      </w:r>
      <w:r w:rsidR="00050F12" w:rsidRPr="00050F12">
        <w:rPr>
          <w:rFonts w:ascii="Times New Roman" w:hAnsi="Times New Roman"/>
          <w:bCs/>
          <w:sz w:val="28"/>
          <w:szCs w:val="28"/>
          <w:lang w:val="uk-UA"/>
        </w:rPr>
        <w:t>.</w:t>
      </w:r>
    </w:p>
    <w:p w14:paraId="3D4C0E87" w14:textId="77777777" w:rsidR="00080048" w:rsidRPr="00880718" w:rsidRDefault="00080048" w:rsidP="00080048">
      <w:pPr>
        <w:spacing w:after="0" w:line="360" w:lineRule="auto"/>
        <w:jc w:val="both"/>
        <w:rPr>
          <w:rFonts w:ascii="Times New Roman" w:eastAsiaTheme="minorEastAsia" w:hAnsi="Times New Roman"/>
          <w:bCs/>
          <w:sz w:val="28"/>
          <w:szCs w:val="28"/>
          <w:lang w:val="uk-UA" w:eastAsia="ja-JP"/>
        </w:rPr>
      </w:pPr>
    </w:p>
    <w:p w14:paraId="2C79C26C" w14:textId="0DF79B1A" w:rsidR="00673826" w:rsidRPr="00055011" w:rsidRDefault="00E928DB" w:rsidP="00673826">
      <w:pPr>
        <w:spacing w:after="0" w:line="360" w:lineRule="auto"/>
        <w:jc w:val="both"/>
        <w:rPr>
          <w:rFonts w:ascii="Times New Roman" w:eastAsiaTheme="minorEastAsia" w:hAnsi="Times New Roman"/>
          <w:b/>
          <w:sz w:val="28"/>
          <w:szCs w:val="28"/>
          <w:lang w:val="uk-UA" w:eastAsia="ja-JP"/>
        </w:rPr>
      </w:pPr>
      <w:r w:rsidRPr="00880718">
        <w:rPr>
          <w:rFonts w:ascii="Times New Roman" w:hAnsi="Times New Roman"/>
          <w:b/>
          <w:sz w:val="28"/>
          <w:szCs w:val="28"/>
          <w:lang w:val="uk-UA"/>
        </w:rPr>
        <w:t xml:space="preserve">1.2 </w:t>
      </w:r>
      <w:r w:rsidR="00310579" w:rsidRPr="00310579">
        <w:rPr>
          <w:rFonts w:ascii="Times New Roman" w:hAnsi="Times New Roman"/>
          <w:b/>
          <w:sz w:val="28"/>
          <w:szCs w:val="28"/>
          <w:lang w:val="uk-UA"/>
        </w:rPr>
        <w:t>Теоретичні підходи до аналізу</w:t>
      </w:r>
      <w:r w:rsidR="00310579">
        <w:rPr>
          <w:rFonts w:ascii="Times New Roman" w:hAnsi="Times New Roman"/>
          <w:b/>
          <w:sz w:val="28"/>
          <w:szCs w:val="28"/>
          <w:lang w:val="uk-UA"/>
        </w:rPr>
        <w:t xml:space="preserve"> фондового ринку Японії</w:t>
      </w:r>
    </w:p>
    <w:p w14:paraId="505DF1BD" w14:textId="706B046C" w:rsidR="00673826" w:rsidRDefault="00673826" w:rsidP="007332A9">
      <w:pPr>
        <w:spacing w:after="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Ціль роботи – виявити </w:t>
      </w:r>
      <w:r w:rsidR="007332A9" w:rsidRPr="007332A9">
        <w:rPr>
          <w:rFonts w:ascii="Times New Roman" w:eastAsiaTheme="minorEastAsia" w:hAnsi="Times New Roman"/>
          <w:bCs/>
          <w:sz w:val="28"/>
          <w:szCs w:val="28"/>
          <w:lang w:val="uk-UA" w:eastAsia="ja-JP"/>
        </w:rPr>
        <w:t>різн</w:t>
      </w:r>
      <w:r w:rsidR="007332A9">
        <w:rPr>
          <w:rFonts w:ascii="Times New Roman" w:eastAsiaTheme="minorEastAsia" w:hAnsi="Times New Roman"/>
          <w:bCs/>
          <w:sz w:val="28"/>
          <w:szCs w:val="28"/>
          <w:lang w:val="uk-UA" w:eastAsia="ja-JP"/>
        </w:rPr>
        <w:t>і</w:t>
      </w:r>
      <w:r w:rsidR="007332A9" w:rsidRPr="007332A9">
        <w:rPr>
          <w:rFonts w:ascii="Times New Roman" w:eastAsiaTheme="minorEastAsia" w:hAnsi="Times New Roman"/>
          <w:bCs/>
          <w:sz w:val="28"/>
          <w:szCs w:val="28"/>
          <w:lang w:val="uk-UA" w:eastAsia="ja-JP"/>
        </w:rPr>
        <w:t xml:space="preserve"> економічн</w:t>
      </w:r>
      <w:r w:rsidR="007332A9">
        <w:rPr>
          <w:rFonts w:ascii="Times New Roman" w:eastAsiaTheme="minorEastAsia" w:hAnsi="Times New Roman"/>
          <w:bCs/>
          <w:sz w:val="28"/>
          <w:szCs w:val="28"/>
          <w:lang w:val="uk-UA" w:eastAsia="ja-JP"/>
        </w:rPr>
        <w:t>і</w:t>
      </w:r>
      <w:r w:rsidR="007332A9" w:rsidRPr="007332A9">
        <w:rPr>
          <w:rFonts w:ascii="Times New Roman" w:eastAsiaTheme="minorEastAsia" w:hAnsi="Times New Roman"/>
          <w:bCs/>
          <w:sz w:val="28"/>
          <w:szCs w:val="28"/>
          <w:lang w:val="uk-UA" w:eastAsia="ja-JP"/>
        </w:rPr>
        <w:t xml:space="preserve"> показник</w:t>
      </w:r>
      <w:r w:rsidR="007332A9">
        <w:rPr>
          <w:rFonts w:ascii="Times New Roman" w:eastAsiaTheme="minorEastAsia" w:hAnsi="Times New Roman"/>
          <w:bCs/>
          <w:sz w:val="28"/>
          <w:szCs w:val="28"/>
          <w:lang w:val="uk-UA" w:eastAsia="ja-JP"/>
        </w:rPr>
        <w:t>и</w:t>
      </w:r>
      <w:r w:rsidR="007332A9" w:rsidRPr="007332A9">
        <w:rPr>
          <w:rFonts w:ascii="Times New Roman" w:eastAsiaTheme="minorEastAsia" w:hAnsi="Times New Roman"/>
          <w:bCs/>
          <w:sz w:val="28"/>
          <w:szCs w:val="28"/>
          <w:lang w:val="uk-UA" w:eastAsia="ja-JP"/>
        </w:rPr>
        <w:t>, соціально-політичн</w:t>
      </w:r>
      <w:r w:rsidR="007332A9">
        <w:rPr>
          <w:rFonts w:ascii="Times New Roman" w:eastAsiaTheme="minorEastAsia" w:hAnsi="Times New Roman"/>
          <w:bCs/>
          <w:sz w:val="28"/>
          <w:szCs w:val="28"/>
          <w:lang w:val="uk-UA" w:eastAsia="ja-JP"/>
        </w:rPr>
        <w:t>і</w:t>
      </w:r>
      <w:r w:rsidR="007332A9" w:rsidRPr="007332A9">
        <w:rPr>
          <w:rFonts w:ascii="Times New Roman" w:eastAsiaTheme="minorEastAsia" w:hAnsi="Times New Roman"/>
          <w:bCs/>
          <w:sz w:val="28"/>
          <w:szCs w:val="28"/>
          <w:lang w:val="uk-UA" w:eastAsia="ja-JP"/>
        </w:rPr>
        <w:t xml:space="preserve"> фактор</w:t>
      </w:r>
      <w:r w:rsidR="007332A9">
        <w:rPr>
          <w:rFonts w:ascii="Times New Roman" w:eastAsiaTheme="minorEastAsia" w:hAnsi="Times New Roman"/>
          <w:bCs/>
          <w:sz w:val="28"/>
          <w:szCs w:val="28"/>
          <w:lang w:val="uk-UA" w:eastAsia="ja-JP"/>
        </w:rPr>
        <w:t>и</w:t>
      </w:r>
      <w:r w:rsidR="007332A9" w:rsidRPr="007332A9">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uk-UA" w:eastAsia="ja-JP"/>
        </w:rPr>
        <w:t xml:space="preserve">які можуть впливати на фондовий ринок та його індекси. </w:t>
      </w:r>
      <w:r w:rsidR="007332A9">
        <w:rPr>
          <w:rFonts w:ascii="Times New Roman" w:eastAsiaTheme="minorEastAsia" w:hAnsi="Times New Roman"/>
          <w:bCs/>
          <w:sz w:val="28"/>
          <w:szCs w:val="28"/>
          <w:lang w:val="uk-UA" w:eastAsia="ja-JP"/>
        </w:rPr>
        <w:t>Перед початком власного аналізу буде корисно скористатися думками експертів у даній темі.</w:t>
      </w:r>
      <w:r w:rsidR="00310579">
        <w:rPr>
          <w:rFonts w:ascii="Times New Roman" w:eastAsiaTheme="minorEastAsia" w:hAnsi="Times New Roman"/>
          <w:bCs/>
          <w:sz w:val="28"/>
          <w:szCs w:val="28"/>
          <w:lang w:val="uk-UA" w:eastAsia="ja-JP"/>
        </w:rPr>
        <w:t xml:space="preserve"> Це дозволить глибше ознайомитися з проблематикою та зосередити зусилля на інших факторах впливу у послідуючих розділах роботи. </w:t>
      </w:r>
      <w:r>
        <w:rPr>
          <w:rFonts w:ascii="Times New Roman" w:eastAsiaTheme="minorEastAsia" w:hAnsi="Times New Roman"/>
          <w:bCs/>
          <w:sz w:val="28"/>
          <w:szCs w:val="28"/>
          <w:lang w:val="uk-UA" w:eastAsia="ja-JP"/>
        </w:rPr>
        <w:t xml:space="preserve">З цією ціллю далі будуть наведені статті експертів на </w:t>
      </w:r>
      <w:r w:rsidR="007332A9">
        <w:rPr>
          <w:rFonts w:ascii="Times New Roman" w:eastAsiaTheme="minorEastAsia" w:hAnsi="Times New Roman"/>
          <w:bCs/>
          <w:sz w:val="28"/>
          <w:szCs w:val="28"/>
          <w:lang w:val="uk-UA" w:eastAsia="ja-JP"/>
        </w:rPr>
        <w:t xml:space="preserve">тему </w:t>
      </w:r>
      <w:r w:rsidR="00F46DDB">
        <w:rPr>
          <w:rFonts w:ascii="Times New Roman" w:eastAsiaTheme="minorEastAsia" w:hAnsi="Times New Roman"/>
          <w:bCs/>
          <w:sz w:val="28"/>
          <w:szCs w:val="28"/>
          <w:lang w:eastAsia="ja-JP"/>
        </w:rPr>
        <w:t>«</w:t>
      </w:r>
      <w:r w:rsidR="007332A9">
        <w:rPr>
          <w:rFonts w:ascii="Times New Roman" w:eastAsiaTheme="minorEastAsia" w:hAnsi="Times New Roman"/>
          <w:bCs/>
          <w:sz w:val="28"/>
          <w:szCs w:val="28"/>
          <w:lang w:val="uk-UA" w:eastAsia="ja-JP"/>
        </w:rPr>
        <w:t>показники, політики та програми які впливають на фондовий ринок Японії</w:t>
      </w:r>
      <w:r w:rsidR="00F46DDB">
        <w:rPr>
          <w:rFonts w:ascii="Times New Roman" w:eastAsiaTheme="minorEastAsia" w:hAnsi="Times New Roman"/>
          <w:bCs/>
          <w:sz w:val="28"/>
          <w:szCs w:val="28"/>
          <w:lang w:val="uk-UA" w:eastAsia="ja-JP"/>
        </w:rPr>
        <w:t>»</w:t>
      </w:r>
      <w:r w:rsidR="007332A9">
        <w:rPr>
          <w:rFonts w:ascii="Times New Roman" w:eastAsiaTheme="minorEastAsia" w:hAnsi="Times New Roman"/>
          <w:bCs/>
          <w:sz w:val="28"/>
          <w:szCs w:val="28"/>
          <w:lang w:val="uk-UA" w:eastAsia="ja-JP"/>
        </w:rPr>
        <w:t>.</w:t>
      </w:r>
    </w:p>
    <w:p w14:paraId="20884273" w14:textId="3FC088F8" w:rsidR="00673826" w:rsidRPr="00140820" w:rsidRDefault="00673826" w:rsidP="00673826">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t>У своїй статті Мд. Махмудул Алам і Газі Уддін</w:t>
      </w:r>
      <w:r w:rsidR="000A0B17" w:rsidRPr="000A0B17">
        <w:rPr>
          <w:rFonts w:ascii="Times New Roman" w:hAnsi="Times New Roman"/>
          <w:bCs/>
          <w:sz w:val="28"/>
          <w:szCs w:val="28"/>
          <w:lang w:val="uk-UA"/>
        </w:rPr>
        <w:t xml:space="preserve"> (2009)</w:t>
      </w:r>
      <w:r w:rsidRPr="00880718">
        <w:rPr>
          <w:rFonts w:ascii="Times New Roman" w:hAnsi="Times New Roman"/>
          <w:bCs/>
          <w:sz w:val="28"/>
          <w:szCs w:val="28"/>
          <w:lang w:val="uk-UA"/>
        </w:rPr>
        <w:t xml:space="preserve">, аналізують тему </w:t>
      </w:r>
      <w:r w:rsidRPr="00880718">
        <w:rPr>
          <w:rFonts w:ascii="Times New Roman" w:eastAsiaTheme="minorEastAsia" w:hAnsi="Times New Roman"/>
          <w:bCs/>
          <w:sz w:val="28"/>
          <w:szCs w:val="28"/>
          <w:lang w:val="uk-UA" w:eastAsia="ja-JP"/>
        </w:rPr>
        <w:t>“</w:t>
      </w:r>
      <w:r w:rsidRPr="00880718">
        <w:rPr>
          <w:rFonts w:ascii="Times New Roman" w:hAnsi="Times New Roman"/>
          <w:bCs/>
          <w:sz w:val="28"/>
          <w:szCs w:val="28"/>
          <w:lang w:val="uk-UA"/>
        </w:rPr>
        <w:t xml:space="preserve">Взаємозв'язок між відсотковою ставкою та ціною акцій: емпіричні дані з розвинених країн та країн, що розвиваються”. Якщо слідувати загальній економічній </w:t>
      </w:r>
      <w:r w:rsidR="007332A9" w:rsidRPr="00880718">
        <w:rPr>
          <w:rFonts w:ascii="Times New Roman" w:hAnsi="Times New Roman"/>
          <w:bCs/>
          <w:sz w:val="28"/>
          <w:szCs w:val="28"/>
          <w:lang w:val="uk-UA"/>
        </w:rPr>
        <w:t>логі</w:t>
      </w:r>
      <w:r w:rsidR="007332A9" w:rsidRPr="00880718">
        <w:rPr>
          <w:rFonts w:ascii="Times New Roman" w:eastAsiaTheme="minorEastAsia" w:hAnsi="Times New Roman"/>
          <w:bCs/>
          <w:sz w:val="28"/>
          <w:szCs w:val="28"/>
          <w:lang w:val="uk-UA" w:eastAsia="ja-JP"/>
        </w:rPr>
        <w:t>кі</w:t>
      </w:r>
      <w:r w:rsidRPr="00880718">
        <w:rPr>
          <w:rFonts w:ascii="Times New Roman" w:hAnsi="Times New Roman"/>
          <w:bCs/>
          <w:sz w:val="28"/>
          <w:szCs w:val="28"/>
          <w:lang w:val="uk-UA"/>
        </w:rPr>
        <w:t xml:space="preserve">, можна припустити, що висока кількість «дешевих грошей», які створює зниження відсоткової ставки, повинна мати вплив на ціну акцій. Причиною є те що при ці гроші скоріш за все будуть використовуватися для інвестицій у різноманітні активи країни, у тому числи і цінні папери. Для виявлення впливу відсоткової ставки на ціну акцій авторами статті був використаний метод регресійного аналізу. Автори проводили аналіз багатьох </w:t>
      </w:r>
      <w:r>
        <w:rPr>
          <w:rFonts w:ascii="Times New Roman" w:hAnsi="Times New Roman"/>
          <w:bCs/>
          <w:sz w:val="28"/>
          <w:szCs w:val="28"/>
          <w:lang w:val="uk-UA"/>
        </w:rPr>
        <w:t>країн</w:t>
      </w:r>
      <w:r w:rsidRPr="00880718">
        <w:rPr>
          <w:rFonts w:ascii="Times New Roman" w:hAnsi="Times New Roman"/>
          <w:bCs/>
          <w:sz w:val="28"/>
          <w:szCs w:val="28"/>
          <w:lang w:val="uk-UA"/>
        </w:rPr>
        <w:t xml:space="preserve">, але </w:t>
      </w:r>
      <w:r w:rsidR="009A4B41">
        <w:rPr>
          <w:rFonts w:ascii="Times New Roman" w:hAnsi="Times New Roman"/>
          <w:bCs/>
          <w:sz w:val="28"/>
          <w:szCs w:val="28"/>
          <w:lang w:val="uk-UA"/>
        </w:rPr>
        <w:t>у даній роботі</w:t>
      </w:r>
      <w:r w:rsidRPr="00880718">
        <w:rPr>
          <w:rFonts w:ascii="Times New Roman" w:hAnsi="Times New Roman"/>
          <w:bCs/>
          <w:sz w:val="28"/>
          <w:szCs w:val="28"/>
          <w:lang w:val="uk-UA"/>
        </w:rPr>
        <w:t xml:space="preserve"> будуть використовуватися лише дані по Японії. Якщо цитувати слова авторів «Зміна відсоткової ставки має негативний зв'язок із зміною ціни акцій.» Це є логічним висновком, при підвищенні відсоткової ставки ціни на акції будуть знижатися і навпаки. Дослідження авторів може служити доказом того, що загальні макроекономічні правила навіть зі специфікою Японської економіки працюють як завжди [4]</w:t>
      </w:r>
      <w:r w:rsidR="00050F12" w:rsidRPr="00140820">
        <w:rPr>
          <w:rFonts w:ascii="Times New Roman" w:hAnsi="Times New Roman"/>
          <w:bCs/>
          <w:sz w:val="28"/>
          <w:szCs w:val="28"/>
          <w:lang w:val="uk-UA"/>
        </w:rPr>
        <w:t>.</w:t>
      </w:r>
    </w:p>
    <w:p w14:paraId="2669F265" w14:textId="26326318" w:rsidR="00673826" w:rsidRPr="00880718" w:rsidRDefault="00673826" w:rsidP="00673826">
      <w:pPr>
        <w:spacing w:after="0" w:line="360" w:lineRule="auto"/>
        <w:ind w:firstLine="720"/>
        <w:jc w:val="both"/>
        <w:rPr>
          <w:rFonts w:ascii="Times New Roman" w:hAnsi="Times New Roman"/>
          <w:bCs/>
          <w:sz w:val="28"/>
          <w:szCs w:val="28"/>
          <w:lang w:val="uk-UA"/>
        </w:rPr>
      </w:pPr>
      <w:r w:rsidRPr="00880718">
        <w:rPr>
          <w:rFonts w:ascii="Times New Roman" w:hAnsi="Times New Roman"/>
          <w:bCs/>
          <w:sz w:val="28"/>
          <w:szCs w:val="28"/>
          <w:lang w:val="uk-UA"/>
        </w:rPr>
        <w:lastRenderedPageBreak/>
        <w:t>Андреа Барбон, та Вірджинія Джанінацці</w:t>
      </w:r>
      <w:r w:rsidR="000A0B17" w:rsidRPr="000A0B17">
        <w:rPr>
          <w:rFonts w:ascii="Times New Roman" w:hAnsi="Times New Roman"/>
          <w:bCs/>
          <w:sz w:val="28"/>
          <w:szCs w:val="28"/>
          <w:lang w:val="uk-UA"/>
        </w:rPr>
        <w:t xml:space="preserve"> (2019)</w:t>
      </w:r>
      <w:r w:rsidRPr="00880718">
        <w:rPr>
          <w:rFonts w:ascii="Times New Roman" w:hAnsi="Times New Roman"/>
          <w:bCs/>
          <w:sz w:val="28"/>
          <w:szCs w:val="28"/>
          <w:lang w:val="uk-UA"/>
        </w:rPr>
        <w:t xml:space="preserve"> у своїй статті аналізують «Кількісне ослаблення та ціни на акції: докази програми ETF Банку Японії». У контексті Японії буде доречно згадати про політику кількісн</w:t>
      </w:r>
      <w:r w:rsidRPr="00880718">
        <w:rPr>
          <w:rFonts w:ascii="Times New Roman" w:eastAsiaTheme="minorEastAsia" w:hAnsi="Times New Roman"/>
          <w:bCs/>
          <w:sz w:val="28"/>
          <w:szCs w:val="28"/>
          <w:lang w:val="uk-UA" w:eastAsia="ja-JP"/>
        </w:rPr>
        <w:t>ого</w:t>
      </w:r>
      <w:r w:rsidRPr="00880718">
        <w:rPr>
          <w:rFonts w:ascii="Times New Roman" w:hAnsi="Times New Roman"/>
          <w:bCs/>
          <w:sz w:val="28"/>
          <w:szCs w:val="28"/>
          <w:lang w:val="uk-UA"/>
        </w:rPr>
        <w:t xml:space="preserve"> пом'якшення, в разі якої центральний банк купує довгострокові цінні папери на відкритому ринку з метою збільшення грошової маси та стимулювання кредитування та інвестицій. Проблема країни полягає у тому що звичайні монетарні та фіскальні політиці вже були випробувані, але результатів не дали. Прикладом може послужити негативні показники відсоткової ставки (показник відсоткової ставки на Серпень 2020 = -0,3%). Авторами, у ході дослідження було показано, що втручання позитивно та стійко впливає на внутрішні ціни акцій, тим самим зменшуючи вартість капіталу для вітчизняних компаній. Авторами було наведено емпіричні докази того, що ефект узгоджується з каналом балансу портфеля як у горизонтальному аналізі, так і вертикальному. За висновками авторів можна сказати, що політика виконує свою ціль – стимуляція економіки та інвестицій Японії [5],[6].</w:t>
      </w:r>
    </w:p>
    <w:p w14:paraId="4984E482" w14:textId="1F4FDE8C" w:rsidR="00673826" w:rsidRPr="00050F12" w:rsidRDefault="00673826" w:rsidP="00673826">
      <w:pPr>
        <w:spacing w:after="0" w:line="360" w:lineRule="auto"/>
        <w:ind w:firstLine="720"/>
        <w:jc w:val="both"/>
        <w:rPr>
          <w:rFonts w:ascii="Times New Roman" w:hAnsi="Times New Roman"/>
          <w:bCs/>
          <w:sz w:val="28"/>
          <w:szCs w:val="28"/>
        </w:rPr>
      </w:pPr>
      <w:r w:rsidRPr="00880718">
        <w:rPr>
          <w:rFonts w:ascii="Times New Roman" w:hAnsi="Times New Roman"/>
          <w:bCs/>
          <w:sz w:val="28"/>
          <w:szCs w:val="28"/>
          <w:lang w:val="uk-UA"/>
        </w:rPr>
        <w:t>У статті Такахіро Хатторі та Джиро Йошида</w:t>
      </w:r>
      <w:r w:rsidR="000A0B17" w:rsidRPr="000A0B17">
        <w:rPr>
          <w:rFonts w:ascii="Times New Roman" w:hAnsi="Times New Roman"/>
          <w:bCs/>
          <w:sz w:val="28"/>
          <w:szCs w:val="28"/>
          <w:lang w:val="uk-UA"/>
        </w:rPr>
        <w:t xml:space="preserve"> (2020)</w:t>
      </w:r>
      <w:r w:rsidRPr="00880718">
        <w:rPr>
          <w:rFonts w:ascii="Times New Roman" w:hAnsi="Times New Roman"/>
          <w:bCs/>
          <w:sz w:val="28"/>
          <w:szCs w:val="28"/>
          <w:lang w:val="uk-UA"/>
        </w:rPr>
        <w:t xml:space="preserve"> розглядається тема «Банк Японії як контрастний інвестор акцій: великі закупівлі ETF». Робиться висновки щодо ефективності використання банком Японії цієї політики. У статті аналізується, придбання банком Японії ETF як частина нетрадиційної монетарної політики. Автори знаходять чіткі докази щодо правила протициклічного втручання, що залежить від повернення запасів протягом дня - одна з двох складових загальної добової прибутковості, що генерується акцією. Друга складова це - внутрішньоденна дохідність яка вимірює прибутковість, яку генерує акція протягом звичайних торгових годин, на основі зміни її ціни від відкриття торгового дня до його закриття. Хоча така поведінка закупівель як відмітили автори навряд чи виправдана як звичайна грошово-кредитна політика за нормальних економічних умов, вона узгоджується зі спробою Банку вплинути на премії ризику власного капіталу після вичерпання інших </w:t>
      </w:r>
      <w:r w:rsidRPr="00880718">
        <w:rPr>
          <w:rFonts w:ascii="Times New Roman" w:hAnsi="Times New Roman"/>
          <w:bCs/>
          <w:sz w:val="28"/>
          <w:szCs w:val="28"/>
          <w:lang w:val="uk-UA"/>
        </w:rPr>
        <w:lastRenderedPageBreak/>
        <w:t>інструментів грошово-кредитної політики, включаючи ставку політики, таргетування інфляції та LSAP облігацій. Таким чином, дослідження авторів обговорює варіанти використання монетарної політики за тривалої нульової процентної ставки та дефляційного економічного середовища [7]</w:t>
      </w:r>
      <w:r w:rsidR="00050F12" w:rsidRPr="00050F12">
        <w:rPr>
          <w:rFonts w:ascii="Times New Roman" w:hAnsi="Times New Roman"/>
          <w:bCs/>
          <w:sz w:val="28"/>
          <w:szCs w:val="28"/>
        </w:rPr>
        <w:t>.</w:t>
      </w:r>
    </w:p>
    <w:p w14:paraId="0A3F2493" w14:textId="249F3E8B" w:rsidR="00673826" w:rsidRPr="00880718" w:rsidRDefault="00673826" w:rsidP="00673826">
      <w:pPr>
        <w:spacing w:after="0" w:line="360" w:lineRule="auto"/>
        <w:ind w:firstLine="720"/>
        <w:jc w:val="both"/>
        <w:rPr>
          <w:rFonts w:ascii="Times New Roman" w:eastAsiaTheme="minorEastAsia" w:hAnsi="Times New Roman"/>
          <w:bCs/>
          <w:sz w:val="28"/>
          <w:szCs w:val="28"/>
          <w:lang w:val="uk-UA" w:eastAsia="ja-JP"/>
        </w:rPr>
      </w:pPr>
      <w:r w:rsidRPr="00880718">
        <w:rPr>
          <w:rFonts w:ascii="Times New Roman" w:hAnsi="Times New Roman"/>
          <w:bCs/>
          <w:sz w:val="28"/>
          <w:szCs w:val="28"/>
          <w:lang w:val="uk-UA"/>
        </w:rPr>
        <w:t>У своїй статті  Масахіро Каваї</w:t>
      </w:r>
      <w:r w:rsidR="000A0B17" w:rsidRPr="000A0B17">
        <w:rPr>
          <w:rFonts w:ascii="Times New Roman" w:hAnsi="Times New Roman"/>
          <w:bCs/>
          <w:sz w:val="28"/>
          <w:szCs w:val="28"/>
        </w:rPr>
        <w:t xml:space="preserve"> (2015)</w:t>
      </w:r>
      <w:r w:rsidRPr="00880718">
        <w:rPr>
          <w:rFonts w:ascii="Times New Roman" w:hAnsi="Times New Roman"/>
          <w:bCs/>
          <w:sz w:val="28"/>
          <w:szCs w:val="28"/>
          <w:lang w:val="uk-UA"/>
        </w:rPr>
        <w:t xml:space="preserve"> аналізує приклади використовування політики кількісного пом</w:t>
      </w:r>
      <w:r w:rsidRPr="00880718">
        <w:rPr>
          <w:rFonts w:ascii="Times New Roman" w:eastAsiaTheme="minorEastAsia" w:hAnsi="Times New Roman"/>
          <w:bCs/>
          <w:sz w:val="28"/>
          <w:szCs w:val="28"/>
          <w:lang w:val="uk-UA" w:eastAsia="ja-JP"/>
        </w:rPr>
        <w:t>’якшення на прикладах США та Японії</w:t>
      </w:r>
      <w:r w:rsidRPr="00880718">
        <w:rPr>
          <w:rFonts w:ascii="Times New Roman" w:hAnsi="Times New Roman"/>
          <w:bCs/>
          <w:sz w:val="28"/>
          <w:szCs w:val="28"/>
          <w:lang w:val="uk-UA"/>
        </w:rPr>
        <w:t>. Уряд Японії під керівництвом прем'єр-міністра Сіндзо Абе, який був обраний у грудні 2012 року, визначив новий політичний пакет під назвою "Абеноміка". Цей проект має три складові: монетарну політику, «гнучку» фіскальну політику та структурні реформи для зростання. Це може бути останнім шансом для Японії припинити довгострокову дефляцію та економічну стагнацію – так звані "втрачені два десятиліття" - та відновити зростання. Його провал, як відмічають автори, може призвести Японію до суверенної боргової кризи, катастрофи не тільки для Японії, але й для азіатської та світової економіки. Під час реформ очікувалось, що нова політика матиме кілька наслідків</w:t>
      </w:r>
      <w:r w:rsidRPr="00880718">
        <w:rPr>
          <w:rFonts w:ascii="Times New Roman" w:eastAsiaTheme="minorEastAsia" w:hAnsi="Times New Roman"/>
          <w:bCs/>
          <w:sz w:val="28"/>
          <w:szCs w:val="28"/>
          <w:lang w:val="uk-UA" w:eastAsia="ja-JP"/>
        </w:rPr>
        <w:t xml:space="preserve"> </w:t>
      </w:r>
    </w:p>
    <w:p w14:paraId="336ACA9C" w14:textId="77777777" w:rsidR="00673826" w:rsidRPr="00880718" w:rsidRDefault="00673826" w:rsidP="00673826">
      <w:pPr>
        <w:spacing w:after="0" w:line="360" w:lineRule="auto"/>
        <w:jc w:val="both"/>
        <w:rPr>
          <w:rFonts w:ascii="Times New Roman" w:hAnsi="Times New Roman"/>
          <w:bCs/>
          <w:sz w:val="28"/>
          <w:szCs w:val="28"/>
          <w:lang w:val="uk-UA"/>
        </w:rPr>
      </w:pPr>
      <w:r w:rsidRPr="00880718">
        <w:rPr>
          <w:rFonts w:ascii="Times New Roman" w:eastAsiaTheme="minorEastAsia" w:hAnsi="Times New Roman"/>
          <w:bCs/>
          <w:sz w:val="28"/>
          <w:szCs w:val="28"/>
          <w:lang w:val="uk-UA" w:eastAsia="ja-JP"/>
        </w:rPr>
        <w:t xml:space="preserve">1) </w:t>
      </w:r>
      <w:r w:rsidRPr="00880718">
        <w:rPr>
          <w:rFonts w:ascii="Times New Roman" w:hAnsi="Times New Roman"/>
          <w:bCs/>
          <w:sz w:val="28"/>
          <w:szCs w:val="28"/>
          <w:lang w:val="uk-UA"/>
        </w:rPr>
        <w:t xml:space="preserve">Зросла б інфляція цін на товари, створивши середовище для стійкого зростання та середньострокової фіскальної консолідації шляхом зростання номінального ВВП. </w:t>
      </w:r>
    </w:p>
    <w:p w14:paraId="22EB86C9" w14:textId="77777777" w:rsidR="00673826" w:rsidRPr="00880718" w:rsidRDefault="00673826" w:rsidP="00673826">
      <w:pPr>
        <w:spacing w:after="0" w:line="360" w:lineRule="auto"/>
        <w:jc w:val="both"/>
        <w:rPr>
          <w:rFonts w:ascii="Times New Roman" w:hAnsi="Times New Roman"/>
          <w:bCs/>
          <w:sz w:val="28"/>
          <w:szCs w:val="28"/>
          <w:lang w:val="uk-UA"/>
        </w:rPr>
      </w:pPr>
      <w:r w:rsidRPr="00880718">
        <w:rPr>
          <w:rFonts w:ascii="Times New Roman" w:hAnsi="Times New Roman"/>
          <w:bCs/>
          <w:sz w:val="28"/>
          <w:szCs w:val="28"/>
          <w:lang w:val="uk-UA"/>
        </w:rPr>
        <w:t xml:space="preserve">2) Ціни на акції зросли б, стимулюючи споживчі витрати завдяки ефекту багатства. </w:t>
      </w:r>
    </w:p>
    <w:p w14:paraId="409E84C4" w14:textId="77777777" w:rsidR="00673826" w:rsidRPr="00880718" w:rsidRDefault="00673826" w:rsidP="00673826">
      <w:pPr>
        <w:spacing w:after="0" w:line="360" w:lineRule="auto"/>
        <w:jc w:val="both"/>
        <w:rPr>
          <w:rFonts w:ascii="Times New Roman" w:hAnsi="Times New Roman"/>
          <w:bCs/>
          <w:sz w:val="28"/>
          <w:szCs w:val="28"/>
          <w:lang w:val="uk-UA"/>
        </w:rPr>
      </w:pPr>
      <w:r w:rsidRPr="00880718">
        <w:rPr>
          <w:rFonts w:ascii="Times New Roman" w:hAnsi="Times New Roman"/>
          <w:bCs/>
          <w:sz w:val="28"/>
          <w:szCs w:val="28"/>
          <w:lang w:val="uk-UA"/>
        </w:rPr>
        <w:t xml:space="preserve">3) Реальні довгострокові процентні ставки знижуватимуться, стимулюючи корпоративні та житлові інвестиції. </w:t>
      </w:r>
    </w:p>
    <w:p w14:paraId="1C583271" w14:textId="14B22EDC" w:rsidR="00673826" w:rsidRPr="00050F12" w:rsidRDefault="00673826" w:rsidP="00332147">
      <w:pPr>
        <w:spacing w:after="0" w:line="348" w:lineRule="auto"/>
        <w:jc w:val="both"/>
        <w:rPr>
          <w:rFonts w:ascii="Times New Roman" w:eastAsiaTheme="minorEastAsia" w:hAnsi="Times New Roman"/>
          <w:bCs/>
          <w:sz w:val="28"/>
          <w:szCs w:val="28"/>
          <w:lang w:eastAsia="ja-JP"/>
        </w:rPr>
      </w:pPr>
      <w:r w:rsidRPr="00880718">
        <w:rPr>
          <w:rFonts w:ascii="Times New Roman" w:hAnsi="Times New Roman"/>
          <w:bCs/>
          <w:sz w:val="28"/>
          <w:szCs w:val="28"/>
          <w:lang w:val="uk-UA"/>
        </w:rPr>
        <w:t>4) Номінальна заробітна плата зросла би. Це би стимулювало споживання домогосподарств за рахунок ефекту доходу. Далі, ієна буде знецінюватися щодо інших валют, розширюючи експорт та підвищуючи ціни на імпорт і, таким чином, сприяючи підвищенню інфляції. Проблема політики була у тому що всі ці стимуляційні дії не визвали достатнього рівня реагування. Інвестиції збільшилися</w:t>
      </w:r>
      <w:r w:rsidR="009178CD">
        <w:rPr>
          <w:rFonts w:ascii="Times New Roman" w:hAnsi="Times New Roman"/>
          <w:bCs/>
          <w:sz w:val="28"/>
          <w:szCs w:val="28"/>
          <w:lang w:val="uk-UA"/>
        </w:rPr>
        <w:t>,</w:t>
      </w:r>
      <w:r w:rsidRPr="00880718">
        <w:rPr>
          <w:rFonts w:ascii="Times New Roman" w:hAnsi="Times New Roman"/>
          <w:bCs/>
          <w:sz w:val="28"/>
          <w:szCs w:val="28"/>
          <w:lang w:val="uk-UA"/>
        </w:rPr>
        <w:t xml:space="preserve"> але не на стільки щоб запустити Абеноміку як планувалося. </w:t>
      </w:r>
      <w:r w:rsidRPr="00880718">
        <w:rPr>
          <w:rFonts w:ascii="Times New Roman" w:hAnsi="Times New Roman"/>
          <w:bCs/>
          <w:sz w:val="28"/>
          <w:szCs w:val="28"/>
          <w:lang w:val="uk-UA"/>
        </w:rPr>
        <w:lastRenderedPageBreak/>
        <w:t>Прикладом автори також наводять знецінення ієни. Планувалося, що знецінення валюти значно вплине на рівень експорту. Вплив відбувся, і деякі компанії дійсно змогли досить багато виграти на знеціненні. Але знову ж таки, вплив виявився не настільки великим як планувалося. У висновку автори говорять, що Абеноміка все ж таки мала успіх, особливо якщо порівнювати її з іншими прикладами використання кількісного пом</w:t>
      </w:r>
      <w:r w:rsidRPr="00880718">
        <w:rPr>
          <w:rFonts w:ascii="Times New Roman" w:eastAsiaTheme="minorEastAsia" w:hAnsi="Times New Roman"/>
          <w:bCs/>
          <w:sz w:val="28"/>
          <w:szCs w:val="28"/>
          <w:lang w:val="uk-UA" w:eastAsia="ja-JP"/>
        </w:rPr>
        <w:t>’якшення [8]</w:t>
      </w:r>
      <w:r w:rsidR="00050F12" w:rsidRPr="00050F12">
        <w:rPr>
          <w:rFonts w:ascii="Times New Roman" w:eastAsiaTheme="minorEastAsia" w:hAnsi="Times New Roman"/>
          <w:bCs/>
          <w:sz w:val="28"/>
          <w:szCs w:val="28"/>
          <w:lang w:eastAsia="ja-JP"/>
        </w:rPr>
        <w:t>.</w:t>
      </w:r>
    </w:p>
    <w:p w14:paraId="395F132B" w14:textId="252055C6" w:rsidR="00E928DB" w:rsidRPr="00880718" w:rsidRDefault="00563E7D" w:rsidP="00332147">
      <w:pPr>
        <w:spacing w:after="0" w:line="348" w:lineRule="auto"/>
        <w:ind w:firstLine="720"/>
        <w:jc w:val="both"/>
        <w:rPr>
          <w:rFonts w:ascii="Times New Roman" w:eastAsiaTheme="minorEastAsia" w:hAnsi="Times New Roman"/>
          <w:bCs/>
          <w:sz w:val="28"/>
          <w:szCs w:val="28"/>
          <w:lang w:val="uk-UA" w:eastAsia="ja-JP"/>
        </w:rPr>
      </w:pPr>
      <w:r w:rsidRPr="00880718">
        <w:rPr>
          <w:rFonts w:ascii="Times New Roman" w:hAnsi="Times New Roman"/>
          <w:bCs/>
          <w:sz w:val="28"/>
          <w:szCs w:val="28"/>
          <w:lang w:val="uk-UA"/>
        </w:rPr>
        <w:t>На основі проаналізованих статей можн</w:t>
      </w:r>
      <w:r w:rsidR="00D20301" w:rsidRPr="00880718">
        <w:rPr>
          <w:rFonts w:ascii="Times New Roman" w:hAnsi="Times New Roman"/>
          <w:bCs/>
          <w:sz w:val="28"/>
          <w:szCs w:val="28"/>
          <w:lang w:val="uk-UA"/>
        </w:rPr>
        <w:t>а</w:t>
      </w:r>
      <w:r w:rsidRPr="00880718">
        <w:rPr>
          <w:rFonts w:ascii="Times New Roman" w:hAnsi="Times New Roman"/>
          <w:bCs/>
          <w:sz w:val="28"/>
          <w:szCs w:val="28"/>
          <w:lang w:val="uk-UA"/>
        </w:rPr>
        <w:t xml:space="preserve"> зробити такий висновок, Японсь</w:t>
      </w:r>
      <w:r w:rsidR="007B4719" w:rsidRPr="00880718">
        <w:rPr>
          <w:rFonts w:ascii="Times New Roman" w:hAnsi="Times New Roman"/>
          <w:bCs/>
          <w:sz w:val="28"/>
          <w:szCs w:val="28"/>
          <w:lang w:val="uk-UA"/>
        </w:rPr>
        <w:t xml:space="preserve">кий фондовий ринок як і вся фінансова система </w:t>
      </w:r>
      <w:r w:rsidRPr="00880718">
        <w:rPr>
          <w:rFonts w:ascii="Times New Roman" w:hAnsi="Times New Roman"/>
          <w:bCs/>
          <w:sz w:val="28"/>
          <w:szCs w:val="28"/>
          <w:lang w:val="uk-UA"/>
        </w:rPr>
        <w:t>характеризу</w:t>
      </w:r>
      <w:r w:rsidR="007B4719" w:rsidRPr="00880718">
        <w:rPr>
          <w:rFonts w:ascii="Times New Roman" w:hAnsi="Times New Roman"/>
          <w:bCs/>
          <w:sz w:val="28"/>
          <w:szCs w:val="28"/>
          <w:lang w:val="uk-UA"/>
        </w:rPr>
        <w:t xml:space="preserve">ється </w:t>
      </w:r>
      <w:r w:rsidRPr="00880718">
        <w:rPr>
          <w:rFonts w:ascii="Times New Roman" w:hAnsi="Times New Roman"/>
          <w:bCs/>
          <w:sz w:val="28"/>
          <w:szCs w:val="28"/>
          <w:lang w:val="uk-UA"/>
        </w:rPr>
        <w:t>високим ступенем розвитку а також взаємозалежності між центральним банком, комерційними банками та промисловістю.</w:t>
      </w:r>
      <w:r w:rsidR="00F41A81" w:rsidRPr="00880718">
        <w:rPr>
          <w:rFonts w:ascii="Times New Roman" w:hAnsi="Times New Roman"/>
          <w:bCs/>
          <w:sz w:val="28"/>
          <w:szCs w:val="28"/>
          <w:lang w:val="uk-UA"/>
        </w:rPr>
        <w:t xml:space="preserve"> Ця система дуже добре себе показала у 20-му столітті, коли у Японії відбулося економічне диво. Ця система також має і свої недоліки, так наприклад шоки цін на активи в першу чергу стосуються фірм, які більше покладаються на банківське фінансування. Це саме стосується більшості фірм у Японії тому як більшість з них входить до структур під назвою кеірецу – група компаній з різною направленістю діяльності</w:t>
      </w:r>
      <w:r w:rsidR="009178CD">
        <w:rPr>
          <w:rFonts w:ascii="Times New Roman" w:hAnsi="Times New Roman"/>
          <w:bCs/>
          <w:sz w:val="28"/>
          <w:szCs w:val="28"/>
          <w:lang w:val="uk-UA"/>
        </w:rPr>
        <w:t>,</w:t>
      </w:r>
      <w:r w:rsidR="00F41A81" w:rsidRPr="00880718">
        <w:rPr>
          <w:rFonts w:ascii="Times New Roman" w:hAnsi="Times New Roman"/>
          <w:bCs/>
          <w:sz w:val="28"/>
          <w:szCs w:val="28"/>
          <w:lang w:val="uk-UA"/>
        </w:rPr>
        <w:t xml:space="preserve"> але </w:t>
      </w:r>
      <w:r w:rsidR="002046F6" w:rsidRPr="00880718">
        <w:rPr>
          <w:rFonts w:ascii="Times New Roman" w:hAnsi="Times New Roman"/>
          <w:bCs/>
          <w:sz w:val="28"/>
          <w:szCs w:val="28"/>
          <w:lang w:val="uk-UA"/>
        </w:rPr>
        <w:t>об</w:t>
      </w:r>
      <w:r w:rsidR="002046F6" w:rsidRPr="00880718">
        <w:rPr>
          <w:rFonts w:ascii="Times New Roman" w:eastAsiaTheme="minorEastAsia" w:hAnsi="Times New Roman"/>
          <w:bCs/>
          <w:sz w:val="28"/>
          <w:szCs w:val="28"/>
          <w:lang w:val="uk-UA" w:eastAsia="ja-JP"/>
        </w:rPr>
        <w:t>’єднані спільним банком. Система і зараз показує досить непогані результати, але у силу стагнації країни, не може розкрити свій потенціал.</w:t>
      </w:r>
      <w:r w:rsidR="0099394E" w:rsidRPr="00880718">
        <w:rPr>
          <w:rFonts w:ascii="Times New Roman" w:eastAsiaTheme="minorEastAsia" w:hAnsi="Times New Roman"/>
          <w:bCs/>
          <w:sz w:val="28"/>
          <w:szCs w:val="28"/>
          <w:lang w:val="uk-UA" w:eastAsia="ja-JP"/>
        </w:rPr>
        <w:t xml:space="preserve"> Як </w:t>
      </w:r>
      <w:r w:rsidR="00880718" w:rsidRPr="00880718">
        <w:rPr>
          <w:rFonts w:ascii="Times New Roman" w:eastAsiaTheme="minorEastAsia" w:hAnsi="Times New Roman"/>
          <w:bCs/>
          <w:sz w:val="28"/>
          <w:szCs w:val="28"/>
          <w:lang w:val="uk-UA" w:eastAsia="ja-JP"/>
        </w:rPr>
        <w:t>можна</w:t>
      </w:r>
      <w:r w:rsidR="0099394E" w:rsidRPr="00880718">
        <w:rPr>
          <w:rFonts w:ascii="Times New Roman" w:eastAsiaTheme="minorEastAsia" w:hAnsi="Times New Roman"/>
          <w:bCs/>
          <w:sz w:val="28"/>
          <w:szCs w:val="28"/>
          <w:lang w:val="uk-UA" w:eastAsia="ja-JP"/>
        </w:rPr>
        <w:t xml:space="preserve"> було бачити у статтях країна намагається використовувати будь-які інструменти та методи для відновлення економічного росту який зазнала країна у минулому. Політика кількісного пом’якшення є одним з таких </w:t>
      </w:r>
      <w:r w:rsidR="00880718" w:rsidRPr="00880718">
        <w:rPr>
          <w:rFonts w:ascii="Times New Roman" w:eastAsiaTheme="minorEastAsia" w:hAnsi="Times New Roman"/>
          <w:bCs/>
          <w:sz w:val="28"/>
          <w:szCs w:val="28"/>
          <w:lang w:val="uk-UA" w:eastAsia="ja-JP"/>
        </w:rPr>
        <w:t>прикладів</w:t>
      </w:r>
      <w:r w:rsidR="0099394E" w:rsidRPr="00880718">
        <w:rPr>
          <w:rFonts w:ascii="Times New Roman" w:eastAsiaTheme="minorEastAsia" w:hAnsi="Times New Roman"/>
          <w:bCs/>
          <w:sz w:val="28"/>
          <w:szCs w:val="28"/>
          <w:lang w:val="uk-UA" w:eastAsia="ja-JP"/>
        </w:rPr>
        <w:t xml:space="preserve">. І навіть якщо не всі з цих методів працюють як планували їх автори, країни не зупиняється у пошуках нових варіантів стимуляції економіки. Тема без якої не </w:t>
      </w:r>
      <w:r w:rsidR="00880718" w:rsidRPr="00880718">
        <w:rPr>
          <w:rFonts w:ascii="Times New Roman" w:eastAsiaTheme="minorEastAsia" w:hAnsi="Times New Roman"/>
          <w:bCs/>
          <w:sz w:val="28"/>
          <w:szCs w:val="28"/>
          <w:lang w:val="uk-UA" w:eastAsia="ja-JP"/>
        </w:rPr>
        <w:t>можна</w:t>
      </w:r>
      <w:r w:rsidR="0099394E" w:rsidRPr="00880718">
        <w:rPr>
          <w:rFonts w:ascii="Times New Roman" w:eastAsiaTheme="minorEastAsia" w:hAnsi="Times New Roman"/>
          <w:bCs/>
          <w:sz w:val="28"/>
          <w:szCs w:val="28"/>
          <w:lang w:val="uk-UA" w:eastAsia="ja-JP"/>
        </w:rPr>
        <w:t xml:space="preserve"> уявити сучасний світ це COVID-19, і для Японії це є найбільш актуальною темою. Японія дуже сильно інтегрована у світові ланцюги виробництва і як </w:t>
      </w:r>
      <w:r w:rsidR="00880718" w:rsidRPr="00880718">
        <w:rPr>
          <w:rFonts w:ascii="Times New Roman" w:eastAsiaTheme="minorEastAsia" w:hAnsi="Times New Roman"/>
          <w:bCs/>
          <w:sz w:val="28"/>
          <w:szCs w:val="28"/>
          <w:lang w:val="uk-UA" w:eastAsia="ja-JP"/>
        </w:rPr>
        <w:t>можна</w:t>
      </w:r>
      <w:r w:rsidR="0099394E" w:rsidRPr="00880718">
        <w:rPr>
          <w:rFonts w:ascii="Times New Roman" w:eastAsiaTheme="minorEastAsia" w:hAnsi="Times New Roman"/>
          <w:bCs/>
          <w:sz w:val="28"/>
          <w:szCs w:val="28"/>
          <w:lang w:val="uk-UA" w:eastAsia="ja-JP"/>
        </w:rPr>
        <w:t xml:space="preserve"> бачити з інформації статей шкода яку зазнали Японські компанії була досить значною. Тільки за період Березня та Квітня 2020 року агрегований індекс Nikkei-225 зазнав падіння на ≈ 30%</w:t>
      </w:r>
      <w:r w:rsidR="00EC43EA" w:rsidRPr="00880718">
        <w:rPr>
          <w:rFonts w:ascii="Times New Roman" w:eastAsiaTheme="minorEastAsia" w:hAnsi="Times New Roman"/>
          <w:bCs/>
          <w:sz w:val="28"/>
          <w:szCs w:val="28"/>
          <w:lang w:val="uk-UA" w:eastAsia="ja-JP"/>
        </w:rPr>
        <w:t xml:space="preserve">. Як і </w:t>
      </w:r>
      <w:r w:rsidR="00880718" w:rsidRPr="00880718">
        <w:rPr>
          <w:rFonts w:ascii="Times New Roman" w:eastAsiaTheme="minorEastAsia" w:hAnsi="Times New Roman"/>
          <w:bCs/>
          <w:sz w:val="28"/>
          <w:szCs w:val="28"/>
          <w:lang w:val="uk-UA" w:eastAsia="ja-JP"/>
        </w:rPr>
        <w:t>очікувалося</w:t>
      </w:r>
      <w:r w:rsidR="00EC43EA" w:rsidRPr="00880718">
        <w:rPr>
          <w:rFonts w:ascii="Times New Roman" w:eastAsiaTheme="minorEastAsia" w:hAnsi="Times New Roman"/>
          <w:bCs/>
          <w:sz w:val="28"/>
          <w:szCs w:val="28"/>
          <w:lang w:val="uk-UA" w:eastAsia="ja-JP"/>
        </w:rPr>
        <w:t>, найбільшої шкоди зазнали компанії які були більш пов’язані з США та Китаєм. Це ще раз показує ступінь та важливість інтеграції країн світу, особливо розвинутих економік.</w:t>
      </w:r>
      <w:r w:rsidR="007332A9">
        <w:rPr>
          <w:rFonts w:ascii="Times New Roman" w:eastAsiaTheme="minorEastAsia" w:hAnsi="Times New Roman"/>
          <w:bCs/>
          <w:sz w:val="28"/>
          <w:szCs w:val="28"/>
          <w:lang w:val="uk-UA" w:eastAsia="ja-JP"/>
        </w:rPr>
        <w:t xml:space="preserve"> </w:t>
      </w:r>
    </w:p>
    <w:p w14:paraId="5BB2E05C" w14:textId="77777777" w:rsidR="007D5078" w:rsidRPr="0000223A" w:rsidRDefault="007D5078" w:rsidP="007D5078">
      <w:pPr>
        <w:spacing w:line="360" w:lineRule="auto"/>
        <w:jc w:val="center"/>
        <w:rPr>
          <w:rFonts w:ascii="Times New Roman" w:hAnsi="Times New Roman"/>
          <w:b/>
          <w:sz w:val="28"/>
          <w:szCs w:val="28"/>
          <w:lang w:val="uk-UA"/>
        </w:rPr>
      </w:pPr>
      <w:r w:rsidRPr="0000223A">
        <w:rPr>
          <w:rFonts w:ascii="Times New Roman" w:hAnsi="Times New Roman"/>
          <w:b/>
          <w:sz w:val="28"/>
          <w:szCs w:val="28"/>
          <w:lang w:val="uk-UA"/>
        </w:rPr>
        <w:lastRenderedPageBreak/>
        <w:t>РОЗДІЛ</w:t>
      </w:r>
      <w:r w:rsidRPr="0000223A">
        <w:rPr>
          <w:rFonts w:ascii="Times New Roman" w:hAnsi="Times New Roman"/>
          <w:bCs/>
          <w:sz w:val="28"/>
          <w:szCs w:val="28"/>
          <w:lang w:val="uk-UA"/>
        </w:rPr>
        <w:t xml:space="preserve"> </w:t>
      </w:r>
      <w:r w:rsidRPr="0000223A">
        <w:rPr>
          <w:rFonts w:ascii="Times New Roman" w:hAnsi="Times New Roman"/>
          <w:b/>
          <w:sz w:val="28"/>
          <w:szCs w:val="28"/>
          <w:lang w:val="uk-UA"/>
        </w:rPr>
        <w:t>ІІ</w:t>
      </w:r>
    </w:p>
    <w:p w14:paraId="78560DF9" w14:textId="77777777" w:rsidR="007D5078" w:rsidRDefault="007D5078" w:rsidP="007D5078">
      <w:pPr>
        <w:spacing w:line="360" w:lineRule="auto"/>
        <w:jc w:val="center"/>
        <w:rPr>
          <w:rFonts w:ascii="Times New Roman" w:hAnsi="Times New Roman"/>
          <w:bCs/>
          <w:sz w:val="28"/>
          <w:szCs w:val="28"/>
          <w:lang w:val="uk-UA"/>
        </w:rPr>
      </w:pPr>
      <w:r w:rsidRPr="0000223A">
        <w:rPr>
          <w:rFonts w:ascii="Times New Roman" w:hAnsi="Times New Roman"/>
          <w:b/>
          <w:sz w:val="28"/>
          <w:szCs w:val="28"/>
          <w:lang w:val="uk-UA"/>
        </w:rPr>
        <w:t xml:space="preserve">ДОСЛІДЖЕННЯ </w:t>
      </w:r>
      <w:r>
        <w:rPr>
          <w:rFonts w:ascii="Times New Roman" w:hAnsi="Times New Roman"/>
          <w:b/>
          <w:sz w:val="28"/>
          <w:szCs w:val="28"/>
          <w:lang w:val="uk-UA"/>
        </w:rPr>
        <w:t>ФАКТОРІВ ВПЛИВУ НА ФОНДОВИЙ РИНОК</w:t>
      </w:r>
      <w:r w:rsidRPr="0000223A">
        <w:rPr>
          <w:rFonts w:ascii="Times New Roman" w:hAnsi="Times New Roman"/>
          <w:b/>
          <w:sz w:val="28"/>
          <w:szCs w:val="28"/>
          <w:lang w:val="uk-UA"/>
        </w:rPr>
        <w:t xml:space="preserve"> ЯПОНІЇ</w:t>
      </w:r>
    </w:p>
    <w:p w14:paraId="63A5544E" w14:textId="77777777" w:rsidR="00A0245A" w:rsidRPr="00444012" w:rsidRDefault="00A0245A" w:rsidP="00A0245A">
      <w:pPr>
        <w:spacing w:line="240" w:lineRule="auto"/>
        <w:ind w:firstLine="720"/>
        <w:jc w:val="both"/>
        <w:rPr>
          <w:rFonts w:ascii="Times New Roman" w:eastAsiaTheme="minorEastAsia" w:hAnsi="Times New Roman"/>
          <w:bCs/>
          <w:sz w:val="28"/>
          <w:szCs w:val="28"/>
          <w:lang w:val="uk-UA" w:eastAsia="ja-JP"/>
        </w:rPr>
      </w:pPr>
    </w:p>
    <w:p w14:paraId="28D03F39" w14:textId="6F05F82E" w:rsidR="00A0245A" w:rsidRPr="00A0245A" w:rsidRDefault="007D5078" w:rsidP="00055011">
      <w:pPr>
        <w:spacing w:line="360" w:lineRule="auto"/>
        <w:ind w:firstLine="720"/>
        <w:jc w:val="both"/>
        <w:rPr>
          <w:rFonts w:ascii="Times New Roman" w:hAnsi="Times New Roman"/>
          <w:b/>
          <w:sz w:val="28"/>
          <w:szCs w:val="28"/>
          <w:lang w:val="uk-UA"/>
        </w:rPr>
      </w:pPr>
      <w:r w:rsidRPr="00444012">
        <w:rPr>
          <w:rFonts w:ascii="Times New Roman" w:hAnsi="Times New Roman"/>
          <w:b/>
          <w:sz w:val="28"/>
          <w:szCs w:val="28"/>
          <w:lang w:val="uk-UA"/>
        </w:rPr>
        <w:t>2.1 Макроекономічні показники та їх вплив на фондовий ринок Японії</w:t>
      </w:r>
    </w:p>
    <w:p w14:paraId="720786BD" w14:textId="77777777" w:rsidR="00BA652D" w:rsidRDefault="00BA652D" w:rsidP="00BA652D">
      <w:pPr>
        <w:spacing w:after="0" w:line="360" w:lineRule="auto"/>
        <w:ind w:firstLine="720"/>
        <w:jc w:val="both"/>
        <w:rPr>
          <w:rFonts w:ascii="Times New Roman" w:eastAsiaTheme="minorEastAsia" w:hAnsi="Times New Roman"/>
          <w:bCs/>
          <w:sz w:val="28"/>
          <w:szCs w:val="28"/>
          <w:lang w:val="uk-UA" w:eastAsia="ja-JP"/>
        </w:rPr>
      </w:pPr>
      <w:r>
        <w:rPr>
          <w:rFonts w:ascii="Times New Roman" w:hAnsi="Times New Roman"/>
          <w:bCs/>
          <w:sz w:val="28"/>
          <w:szCs w:val="28"/>
          <w:lang w:val="uk-UA"/>
        </w:rPr>
        <w:t xml:space="preserve">У першому розділі було проаналізовано роботи відомих експертів на тему проблематики. У цьому розділі буде проведено власне дослідження щодо факторів впливу на фондовий ринок Японії. Аналіз буде будуватися на базі двох підрозділів. У першому підрозділі буде проаналізовано основні макроекономічні показники спочатку на прикладі графіків, після цього буде проведений регресійний аналіз впливу цих показників на головний індекс Японського фондового ринку – </w:t>
      </w:r>
      <w:r>
        <w:rPr>
          <w:rFonts w:ascii="Times New Roman" w:eastAsiaTheme="minorEastAsia" w:hAnsi="Times New Roman"/>
          <w:bCs/>
          <w:sz w:val="28"/>
          <w:szCs w:val="28"/>
          <w:lang w:val="en-US" w:eastAsia="ja-JP"/>
        </w:rPr>
        <w:t>Nikkei</w:t>
      </w:r>
      <w:r w:rsidRPr="00444012">
        <w:rPr>
          <w:rFonts w:ascii="Times New Roman" w:eastAsiaTheme="minorEastAsia" w:hAnsi="Times New Roman"/>
          <w:bCs/>
          <w:sz w:val="28"/>
          <w:szCs w:val="28"/>
          <w:lang w:val="uk-UA" w:eastAsia="ja-JP"/>
        </w:rPr>
        <w:t xml:space="preserve"> 225.</w:t>
      </w:r>
      <w:r>
        <w:rPr>
          <w:rFonts w:ascii="Times New Roman" w:eastAsiaTheme="minorEastAsia" w:hAnsi="Times New Roman"/>
          <w:bCs/>
          <w:sz w:val="28"/>
          <w:szCs w:val="28"/>
          <w:lang w:val="uk-UA" w:eastAsia="ja-JP"/>
        </w:rPr>
        <w:t xml:space="preserve"> Другий підрозділ буде фокусуватися на інших факторах впливу, але у цьому разі політичних та соціальних. </w:t>
      </w:r>
    </w:p>
    <w:p w14:paraId="0E4450C7" w14:textId="4125C2FE" w:rsidR="007D5078" w:rsidRDefault="007D5078" w:rsidP="00BA652D">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Буде правильним відмітити, що макроекономічні показники грають найважливішу роль у всій фінансовій системі країни. Показники можна розглядати з точки зору оцінки ступені розвитку та поточного стану національної фінансової системи. Фондовий ринок є одним з основних складових цієї системи, тому ступінь впливу макроекономічних показників повинна буде суттєвою. Далі будуть представлені графіки та аналіз найважливіших на думку автора у цьому контексті макроекономічних показників.</w:t>
      </w:r>
    </w:p>
    <w:p w14:paraId="4DE8B1FF" w14:textId="46A09D07" w:rsidR="00DD6FC6" w:rsidRPr="003C5479" w:rsidRDefault="00DD6FC6" w:rsidP="007D5078">
      <w:pPr>
        <w:spacing w:line="360" w:lineRule="auto"/>
        <w:ind w:firstLine="720"/>
        <w:jc w:val="both"/>
        <w:rPr>
          <w:rFonts w:ascii="Times New Roman" w:hAnsi="Times New Roman"/>
          <w:bCs/>
          <w:sz w:val="28"/>
          <w:szCs w:val="28"/>
          <w:lang w:val="uk-UA"/>
        </w:rPr>
      </w:pPr>
      <w:r>
        <w:rPr>
          <w:rFonts w:ascii="Times New Roman" w:hAnsi="Times New Roman"/>
          <w:bCs/>
          <w:sz w:val="28"/>
          <w:szCs w:val="28"/>
          <w:lang w:val="uk-UA"/>
        </w:rPr>
        <w:t>Для більш детального ознайомлення з проблематикою Японії буде корисно проаналізувати динаміку ВВП цієї країни</w:t>
      </w:r>
      <w:r w:rsidR="00A0245A">
        <w:rPr>
          <w:rFonts w:ascii="Times New Roman" w:hAnsi="Times New Roman"/>
          <w:bCs/>
          <w:sz w:val="28"/>
          <w:szCs w:val="28"/>
          <w:lang w:val="uk-UA"/>
        </w:rPr>
        <w:t xml:space="preserve"> (див. рис. 2.1)</w:t>
      </w:r>
      <w:r>
        <w:rPr>
          <w:rFonts w:ascii="Times New Roman" w:hAnsi="Times New Roman"/>
          <w:bCs/>
          <w:sz w:val="28"/>
          <w:szCs w:val="28"/>
          <w:lang w:val="uk-UA"/>
        </w:rPr>
        <w:t xml:space="preserve">. </w:t>
      </w:r>
      <w:r w:rsidR="003C42A8">
        <w:rPr>
          <w:rFonts w:ascii="Times New Roman" w:hAnsi="Times New Roman"/>
          <w:bCs/>
          <w:sz w:val="28"/>
          <w:szCs w:val="28"/>
          <w:lang w:val="uk-UA"/>
        </w:rPr>
        <w:t>Як можна бачити на графіку, з 1985 року ВВП стрімко зроста</w:t>
      </w:r>
      <w:r w:rsidR="006173A8">
        <w:rPr>
          <w:rFonts w:ascii="Times New Roman" w:hAnsi="Times New Roman"/>
          <w:bCs/>
          <w:sz w:val="28"/>
          <w:szCs w:val="28"/>
          <w:lang w:val="uk-UA"/>
        </w:rPr>
        <w:t>в,</w:t>
      </w:r>
      <w:r w:rsidR="003C42A8">
        <w:rPr>
          <w:rFonts w:ascii="Times New Roman" w:hAnsi="Times New Roman"/>
          <w:bCs/>
          <w:sz w:val="28"/>
          <w:szCs w:val="28"/>
          <w:lang w:val="uk-UA"/>
        </w:rPr>
        <w:t xml:space="preserve"> таке зростання подовжується до 1995 року. Дев’яності роки для Японії були найменш успішними, криза 1991 року та її наслідки країна, як можна помітити на графіку, </w:t>
      </w:r>
      <w:r w:rsidR="003C42A8">
        <w:rPr>
          <w:rFonts w:ascii="Times New Roman" w:hAnsi="Times New Roman"/>
          <w:bCs/>
          <w:sz w:val="28"/>
          <w:szCs w:val="28"/>
          <w:lang w:val="uk-UA"/>
        </w:rPr>
        <w:lastRenderedPageBreak/>
        <w:t>відчуває навіть сьогодні. Країна та її економіка знаходяться у стані стагнації. Ціль багатьох політиків та державних програм у останні 30 років були направленні на відновлення стійкого росту.</w:t>
      </w:r>
      <w:r w:rsidR="00620132" w:rsidRPr="00620132">
        <w:rPr>
          <w:rFonts w:ascii="Times New Roman" w:eastAsiaTheme="minorEastAsia" w:hAnsi="Times New Roman"/>
          <w:sz w:val="28"/>
          <w:szCs w:val="28"/>
          <w:lang w:val="uk-UA" w:eastAsia="ja-JP"/>
        </w:rPr>
        <w:t xml:space="preserve"> </w:t>
      </w:r>
      <w:r w:rsidR="00620132">
        <w:rPr>
          <w:rFonts w:ascii="Times New Roman" w:eastAsiaTheme="minorEastAsia" w:hAnsi="Times New Roman"/>
          <w:sz w:val="28"/>
          <w:szCs w:val="28"/>
          <w:lang w:val="uk-UA" w:eastAsia="ja-JP"/>
        </w:rPr>
        <w:t xml:space="preserve">Можна помітити що динаміка ВВП корелює з динамікою індексу </w:t>
      </w:r>
      <w:r w:rsidR="00620132">
        <w:rPr>
          <w:rFonts w:ascii="Times New Roman" w:eastAsiaTheme="minorEastAsia" w:hAnsi="Times New Roman"/>
          <w:sz w:val="28"/>
          <w:szCs w:val="28"/>
          <w:lang w:val="en-US" w:eastAsia="ja-JP"/>
        </w:rPr>
        <w:t>Nikkei</w:t>
      </w:r>
      <w:r w:rsidR="00620132" w:rsidRPr="00620132">
        <w:rPr>
          <w:rFonts w:ascii="Times New Roman" w:eastAsiaTheme="minorEastAsia" w:hAnsi="Times New Roman"/>
          <w:sz w:val="28"/>
          <w:szCs w:val="28"/>
          <w:lang w:val="uk-UA" w:eastAsia="ja-JP"/>
        </w:rPr>
        <w:t xml:space="preserve"> </w:t>
      </w:r>
      <w:r w:rsidR="00620132">
        <w:rPr>
          <w:rFonts w:ascii="Times New Roman" w:eastAsiaTheme="minorEastAsia" w:hAnsi="Times New Roman"/>
          <w:sz w:val="28"/>
          <w:szCs w:val="28"/>
          <w:lang w:val="uk-UA" w:eastAsia="ja-JP"/>
        </w:rPr>
        <w:t>до 2008 року. Після цього року залежність скоріше зворотна.</w:t>
      </w:r>
      <w:r w:rsidR="003C5479">
        <w:rPr>
          <w:rFonts w:ascii="Times New Roman" w:eastAsiaTheme="minorEastAsia" w:hAnsi="Times New Roman"/>
          <w:sz w:val="28"/>
          <w:szCs w:val="28"/>
          <w:lang w:val="uk-UA" w:eastAsia="ja-JP"/>
        </w:rPr>
        <w:t xml:space="preserve"> У 2020 році ВВП почало стрімко знижуватися у зв’язку з пандемією.</w:t>
      </w:r>
    </w:p>
    <w:p w14:paraId="4B61BE51" w14:textId="61464BBB" w:rsidR="00DD6FC6" w:rsidRDefault="0010507B" w:rsidP="007D5078">
      <w:pPr>
        <w:spacing w:line="360" w:lineRule="auto"/>
        <w:ind w:firstLine="720"/>
        <w:jc w:val="both"/>
        <w:rPr>
          <w:rFonts w:ascii="Times New Roman" w:hAnsi="Times New Roman"/>
          <w:bCs/>
          <w:sz w:val="28"/>
          <w:szCs w:val="28"/>
          <w:lang w:val="uk-UA"/>
        </w:rPr>
      </w:pPr>
      <w:r>
        <w:rPr>
          <w:noProof/>
          <w:lang w:val="uk-UA" w:eastAsia="uk-UA"/>
        </w:rPr>
        <w:drawing>
          <wp:inline distT="0" distB="0" distL="0" distR="0" wp14:anchorId="60D42178" wp14:editId="02F680AF">
            <wp:extent cx="5120640" cy="3032760"/>
            <wp:effectExtent l="0" t="0" r="3810" b="15240"/>
            <wp:docPr id="30" name="Chart 3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6E1234-0D37-4233-B85C-009AC7D6FF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05133E5" w14:textId="5CC768AE" w:rsidR="003C42A8" w:rsidRPr="0000223A" w:rsidRDefault="003C42A8" w:rsidP="003C42A8">
      <w:pPr>
        <w:jc w:val="both"/>
        <w:rPr>
          <w:rFonts w:ascii="Times New Roman" w:hAnsi="Times New Roman"/>
          <w:sz w:val="28"/>
          <w:szCs w:val="28"/>
          <w:lang w:val="uk-UA"/>
        </w:rPr>
      </w:pPr>
      <w:r w:rsidRPr="0000223A">
        <w:rPr>
          <w:rFonts w:ascii="Times New Roman" w:hAnsi="Times New Roman"/>
          <w:sz w:val="28"/>
          <w:szCs w:val="28"/>
          <w:lang w:val="uk-UA"/>
        </w:rPr>
        <w:t xml:space="preserve">Рис 2.1 </w:t>
      </w:r>
      <w:r>
        <w:rPr>
          <w:rFonts w:ascii="Times New Roman" w:hAnsi="Times New Roman"/>
          <w:sz w:val="28"/>
          <w:szCs w:val="28"/>
          <w:lang w:val="uk-UA"/>
        </w:rPr>
        <w:t xml:space="preserve">ВВП Японії </w:t>
      </w:r>
      <w:r w:rsidRPr="0000223A">
        <w:rPr>
          <w:rFonts w:ascii="Times New Roman" w:hAnsi="Times New Roman"/>
          <w:sz w:val="28"/>
          <w:szCs w:val="28"/>
          <w:lang w:val="uk-UA"/>
        </w:rPr>
        <w:t>у період</w:t>
      </w:r>
      <w:r w:rsidR="0010507B">
        <w:rPr>
          <w:rFonts w:ascii="Times New Roman" w:hAnsi="Times New Roman"/>
          <w:sz w:val="28"/>
          <w:szCs w:val="28"/>
          <w:lang w:val="uk-UA"/>
        </w:rPr>
        <w:t xml:space="preserve"> у трильйонах дол. США</w:t>
      </w:r>
      <w:r w:rsidRPr="0000223A">
        <w:rPr>
          <w:rFonts w:ascii="Times New Roman" w:hAnsi="Times New Roman"/>
          <w:sz w:val="28"/>
          <w:szCs w:val="28"/>
          <w:lang w:val="uk-UA"/>
        </w:rPr>
        <w:t xml:space="preserve"> 19</w:t>
      </w:r>
      <w:r>
        <w:rPr>
          <w:rFonts w:ascii="Times New Roman" w:hAnsi="Times New Roman"/>
          <w:sz w:val="28"/>
          <w:szCs w:val="28"/>
          <w:lang w:val="uk-UA"/>
        </w:rPr>
        <w:t>85</w:t>
      </w:r>
      <w:r w:rsidRPr="0000223A">
        <w:rPr>
          <w:rFonts w:ascii="Times New Roman" w:hAnsi="Times New Roman"/>
          <w:sz w:val="28"/>
          <w:szCs w:val="28"/>
          <w:lang w:val="uk-UA"/>
        </w:rPr>
        <w:t xml:space="preserve"> – 20</w:t>
      </w:r>
      <w:r>
        <w:rPr>
          <w:rFonts w:ascii="Times New Roman" w:hAnsi="Times New Roman"/>
          <w:sz w:val="28"/>
          <w:szCs w:val="28"/>
          <w:lang w:val="uk-UA"/>
        </w:rPr>
        <w:t>19</w:t>
      </w:r>
      <w:r w:rsidRPr="0000223A">
        <w:rPr>
          <w:rFonts w:ascii="Times New Roman" w:hAnsi="Times New Roman"/>
          <w:sz w:val="28"/>
          <w:szCs w:val="28"/>
          <w:lang w:val="uk-UA"/>
        </w:rPr>
        <w:t xml:space="preserve"> років </w:t>
      </w:r>
    </w:p>
    <w:p w14:paraId="7E5F1AC6" w14:textId="5695851D" w:rsidR="003C42A8" w:rsidRPr="0081762D" w:rsidRDefault="003C42A8" w:rsidP="003C42A8">
      <w:pPr>
        <w:jc w:val="both"/>
        <w:rPr>
          <w:rFonts w:ascii="Times New Roman" w:hAnsi="Times New Roman"/>
          <w:sz w:val="28"/>
          <w:szCs w:val="28"/>
        </w:rPr>
      </w:pPr>
      <w:r w:rsidRPr="0000223A">
        <w:rPr>
          <w:rFonts w:ascii="Times New Roman" w:hAnsi="Times New Roman"/>
          <w:sz w:val="28"/>
          <w:szCs w:val="28"/>
          <w:lang w:val="uk-UA"/>
        </w:rPr>
        <w:t>Складено на основі [</w:t>
      </w:r>
      <w:r w:rsidR="0081762D" w:rsidRPr="0081762D">
        <w:rPr>
          <w:rFonts w:ascii="Times New Roman" w:hAnsi="Times New Roman"/>
          <w:sz w:val="28"/>
          <w:szCs w:val="28"/>
        </w:rPr>
        <w:t>14</w:t>
      </w:r>
      <w:r w:rsidRPr="0000223A">
        <w:rPr>
          <w:rFonts w:ascii="Times New Roman" w:hAnsi="Times New Roman"/>
          <w:sz w:val="28"/>
          <w:szCs w:val="28"/>
          <w:lang w:val="uk-UA"/>
        </w:rPr>
        <w:t>]</w:t>
      </w:r>
      <w:r w:rsidR="0081762D" w:rsidRPr="0081762D">
        <w:rPr>
          <w:rFonts w:ascii="Times New Roman" w:hAnsi="Times New Roman"/>
          <w:sz w:val="28"/>
          <w:szCs w:val="28"/>
        </w:rPr>
        <w:t>,[15].</w:t>
      </w:r>
    </w:p>
    <w:p w14:paraId="60245B74" w14:textId="3CD70540" w:rsidR="00312F23" w:rsidRPr="00166B1B" w:rsidRDefault="007D5078" w:rsidP="00312F23">
      <w:pPr>
        <w:spacing w:line="360" w:lineRule="auto"/>
        <w:ind w:firstLine="720"/>
        <w:jc w:val="both"/>
        <w:rPr>
          <w:rFonts w:ascii="Times New Roman" w:eastAsiaTheme="minorEastAsia" w:hAnsi="Times New Roman"/>
          <w:sz w:val="28"/>
          <w:szCs w:val="28"/>
          <w:lang w:eastAsia="ja-JP"/>
        </w:rPr>
      </w:pPr>
      <w:r>
        <w:rPr>
          <w:rFonts w:ascii="Times New Roman" w:hAnsi="Times New Roman"/>
          <w:bCs/>
          <w:sz w:val="28"/>
          <w:szCs w:val="28"/>
          <w:lang w:val="uk-UA"/>
        </w:rPr>
        <w:t>Першим з обраних показників до аналізу є курс обміну ієни</w:t>
      </w:r>
      <w:r w:rsidR="00A0245A">
        <w:rPr>
          <w:rFonts w:ascii="Times New Roman" w:hAnsi="Times New Roman"/>
          <w:bCs/>
          <w:sz w:val="28"/>
          <w:szCs w:val="28"/>
          <w:lang w:val="uk-UA"/>
        </w:rPr>
        <w:t xml:space="preserve"> (див. рис. 2.2)</w:t>
      </w:r>
      <w:r>
        <w:rPr>
          <w:rFonts w:ascii="Times New Roman" w:hAnsi="Times New Roman"/>
          <w:bCs/>
          <w:sz w:val="28"/>
          <w:szCs w:val="28"/>
          <w:lang w:val="uk-UA"/>
        </w:rPr>
        <w:t>. У силу того що більшість міжнародних розрахунків здійснюється у доларах, то важливо розуміти відношення ієни до долару. Це визначає привабливість активів для іноземних  інвесторів, на підтримку яких Японія почала все більше враховувати з часів кризи 1990х.</w:t>
      </w:r>
      <w:r w:rsidRPr="005370F8">
        <w:rPr>
          <w:rFonts w:ascii="Times New Roman" w:hAnsi="Times New Roman"/>
          <w:sz w:val="28"/>
          <w:szCs w:val="28"/>
          <w:lang w:val="uk-UA"/>
        </w:rPr>
        <w:t xml:space="preserve"> </w:t>
      </w:r>
      <w:r w:rsidRPr="0000223A">
        <w:rPr>
          <w:rFonts w:ascii="Times New Roman" w:hAnsi="Times New Roman"/>
          <w:sz w:val="28"/>
          <w:szCs w:val="28"/>
          <w:lang w:val="uk-UA"/>
        </w:rPr>
        <w:t xml:space="preserve">Найнижчі показники у Японії на 2012 рік 79 ієн за долар. Найвищі показники у Японії до 1970 360 ієн за долар, це є </w:t>
      </w:r>
      <w:r>
        <w:rPr>
          <w:rFonts w:ascii="Times New Roman" w:hAnsi="Times New Roman"/>
          <w:sz w:val="28"/>
          <w:szCs w:val="28"/>
          <w:lang w:val="uk-UA"/>
        </w:rPr>
        <w:t>спрямованою</w:t>
      </w:r>
      <w:r w:rsidRPr="0000223A">
        <w:rPr>
          <w:rFonts w:ascii="Times New Roman" w:hAnsi="Times New Roman"/>
          <w:sz w:val="28"/>
          <w:szCs w:val="28"/>
          <w:lang w:val="uk-UA"/>
        </w:rPr>
        <w:t xml:space="preserve"> політикою утримання заниженого курсу для більш ефективного експорту</w:t>
      </w:r>
      <w:r>
        <w:rPr>
          <w:rFonts w:ascii="Times New Roman" w:hAnsi="Times New Roman"/>
          <w:sz w:val="28"/>
          <w:szCs w:val="28"/>
          <w:lang w:val="uk-UA"/>
        </w:rPr>
        <w:t xml:space="preserve"> та відновлення економіки після другої світової війни. </w:t>
      </w:r>
      <w:r w:rsidR="003C42A8">
        <w:rPr>
          <w:rFonts w:ascii="Times New Roman" w:hAnsi="Times New Roman"/>
          <w:sz w:val="28"/>
          <w:szCs w:val="28"/>
          <w:lang w:val="uk-UA"/>
        </w:rPr>
        <w:t xml:space="preserve">На </w:t>
      </w:r>
      <w:r w:rsidR="003C42A8">
        <w:rPr>
          <w:rFonts w:ascii="Times New Roman" w:hAnsi="Times New Roman"/>
          <w:sz w:val="28"/>
          <w:szCs w:val="28"/>
          <w:lang w:val="uk-UA"/>
        </w:rPr>
        <w:lastRenderedPageBreak/>
        <w:t xml:space="preserve">сьогодні ієна є однією з найбільш стабільних валют світу, та </w:t>
      </w:r>
      <w:r w:rsidR="008A78A6">
        <w:rPr>
          <w:rFonts w:ascii="Times New Roman" w:hAnsi="Times New Roman"/>
          <w:sz w:val="28"/>
          <w:szCs w:val="28"/>
          <w:lang w:val="uk-UA"/>
        </w:rPr>
        <w:t>багато</w:t>
      </w:r>
      <w:r w:rsidR="003C42A8">
        <w:rPr>
          <w:rFonts w:ascii="Times New Roman" w:hAnsi="Times New Roman"/>
          <w:sz w:val="28"/>
          <w:szCs w:val="28"/>
          <w:lang w:val="uk-UA"/>
        </w:rPr>
        <w:t xml:space="preserve"> інвесторів вважають її </w:t>
      </w:r>
      <w:r w:rsidR="008A78A6">
        <w:rPr>
          <w:rFonts w:ascii="Times New Roman" w:hAnsi="Times New Roman"/>
          <w:sz w:val="28"/>
          <w:szCs w:val="28"/>
          <w:lang w:val="uk-UA"/>
        </w:rPr>
        <w:t xml:space="preserve">та державні облігації Японії </w:t>
      </w:r>
      <w:r w:rsidR="008A78A6">
        <w:rPr>
          <w:rFonts w:ascii="Times New Roman" w:eastAsiaTheme="minorEastAsia" w:hAnsi="Times New Roman"/>
          <w:sz w:val="28"/>
          <w:szCs w:val="28"/>
          <w:lang w:val="uk-UA" w:eastAsia="ja-JP"/>
        </w:rPr>
        <w:t>«</w:t>
      </w:r>
      <w:r w:rsidR="008A78A6">
        <w:rPr>
          <w:rFonts w:ascii="Times New Roman" w:eastAsiaTheme="minorEastAsia" w:hAnsi="Times New Roman"/>
          <w:sz w:val="28"/>
          <w:szCs w:val="28"/>
          <w:lang w:val="en-US" w:eastAsia="ja-JP"/>
        </w:rPr>
        <w:t>safe</w:t>
      </w:r>
      <w:r w:rsidR="008A78A6" w:rsidRPr="008A78A6">
        <w:rPr>
          <w:rFonts w:ascii="Times New Roman" w:eastAsiaTheme="minorEastAsia" w:hAnsi="Times New Roman"/>
          <w:sz w:val="28"/>
          <w:szCs w:val="28"/>
          <w:lang w:val="uk-UA" w:eastAsia="ja-JP"/>
        </w:rPr>
        <w:t xml:space="preserve"> </w:t>
      </w:r>
      <w:r w:rsidR="008A78A6">
        <w:rPr>
          <w:rFonts w:ascii="Times New Roman" w:eastAsiaTheme="minorEastAsia" w:hAnsi="Times New Roman"/>
          <w:sz w:val="28"/>
          <w:szCs w:val="28"/>
          <w:lang w:val="en-US" w:eastAsia="ja-JP"/>
        </w:rPr>
        <w:t>h</w:t>
      </w:r>
      <w:r w:rsidR="006173A8">
        <w:rPr>
          <w:rFonts w:ascii="Times New Roman" w:eastAsiaTheme="minorEastAsia" w:hAnsi="Times New Roman"/>
          <w:sz w:val="28"/>
          <w:szCs w:val="28"/>
          <w:lang w:val="en-US" w:eastAsia="ja-JP"/>
        </w:rPr>
        <w:t>a</w:t>
      </w:r>
      <w:r w:rsidR="008A78A6">
        <w:rPr>
          <w:rFonts w:ascii="Times New Roman" w:eastAsiaTheme="minorEastAsia" w:hAnsi="Times New Roman"/>
          <w:sz w:val="28"/>
          <w:szCs w:val="28"/>
          <w:lang w:val="en-US" w:eastAsia="ja-JP"/>
        </w:rPr>
        <w:t>ven</w:t>
      </w:r>
      <w:r w:rsidR="008A78A6">
        <w:rPr>
          <w:rFonts w:ascii="Times New Roman" w:eastAsiaTheme="minorEastAsia" w:hAnsi="Times New Roman"/>
          <w:sz w:val="28"/>
          <w:szCs w:val="28"/>
          <w:lang w:val="uk-UA" w:eastAsia="ja-JP"/>
        </w:rPr>
        <w:t xml:space="preserve">» тобто стабільні на надійні активи. К активам таких типів часто звертаються у часи криз, коли інші активи не показують схожого рівня стабільності. </w:t>
      </w:r>
      <w:r w:rsidR="00620132">
        <w:rPr>
          <w:rFonts w:ascii="Times New Roman" w:eastAsiaTheme="minorEastAsia" w:hAnsi="Times New Roman"/>
          <w:sz w:val="28"/>
          <w:szCs w:val="28"/>
          <w:lang w:val="uk-UA" w:eastAsia="ja-JP"/>
        </w:rPr>
        <w:t xml:space="preserve">Також якщо порівнювати динаміку з індексом </w:t>
      </w:r>
      <w:r w:rsidR="00620132">
        <w:rPr>
          <w:rFonts w:ascii="Times New Roman" w:eastAsiaTheme="minorEastAsia" w:hAnsi="Times New Roman"/>
          <w:sz w:val="28"/>
          <w:szCs w:val="28"/>
          <w:lang w:val="en-US" w:eastAsia="ja-JP"/>
        </w:rPr>
        <w:t>Nikkei</w:t>
      </w:r>
      <w:r w:rsidR="00620132">
        <w:rPr>
          <w:rFonts w:ascii="Times New Roman" w:eastAsiaTheme="minorEastAsia" w:hAnsi="Times New Roman"/>
          <w:sz w:val="28"/>
          <w:szCs w:val="28"/>
          <w:lang w:val="uk-UA" w:eastAsia="ja-JP"/>
        </w:rPr>
        <w:t xml:space="preserve"> то можна помітити, що існує деяка кореляційна залежність у деяких періодах. Наприклад з 1990 до 1995 року обидва показника показують негативну динаміку.</w:t>
      </w:r>
      <w:r w:rsidR="00312F23">
        <w:rPr>
          <w:rFonts w:ascii="Times New Roman" w:eastAsiaTheme="minorEastAsia" w:hAnsi="Times New Roman"/>
          <w:sz w:val="28"/>
          <w:szCs w:val="28"/>
          <w:lang w:val="uk-UA" w:eastAsia="ja-JP"/>
        </w:rPr>
        <w:t xml:space="preserve"> Але також треба відмітити, коливання курсу ієни є досить незначним для того щоб говорити про значний вплив на фондовий ринок особливо це стосується останніх років коли на протязі 5 років курс майже не змінювався, але індекс</w:t>
      </w:r>
      <w:r w:rsidR="00312F23" w:rsidRPr="00312F23">
        <w:rPr>
          <w:rFonts w:ascii="Times New Roman" w:eastAsiaTheme="minorEastAsia" w:hAnsi="Times New Roman"/>
          <w:sz w:val="28"/>
          <w:szCs w:val="28"/>
          <w:lang w:val="uk-UA" w:eastAsia="ja-JP"/>
        </w:rPr>
        <w:t xml:space="preserve"> </w:t>
      </w:r>
      <w:r w:rsidR="00312F23">
        <w:rPr>
          <w:rFonts w:ascii="Times New Roman" w:eastAsiaTheme="minorEastAsia" w:hAnsi="Times New Roman"/>
          <w:sz w:val="28"/>
          <w:szCs w:val="28"/>
          <w:lang w:val="en-US" w:eastAsia="ja-JP"/>
        </w:rPr>
        <w:t>Nikkei</w:t>
      </w:r>
      <w:r w:rsidR="00312F23">
        <w:rPr>
          <w:rFonts w:ascii="Times New Roman" w:eastAsiaTheme="minorEastAsia" w:hAnsi="Times New Roman"/>
          <w:sz w:val="28"/>
          <w:szCs w:val="28"/>
          <w:lang w:val="uk-UA" w:eastAsia="ja-JP"/>
        </w:rPr>
        <w:t xml:space="preserve"> почав різко зростати</w:t>
      </w:r>
      <w:r w:rsidR="00BD2E8F" w:rsidRPr="00BD2E8F">
        <w:rPr>
          <w:rFonts w:ascii="Times New Roman" w:eastAsiaTheme="minorEastAsia" w:hAnsi="Times New Roman"/>
          <w:sz w:val="28"/>
          <w:szCs w:val="28"/>
          <w:lang w:eastAsia="ja-JP"/>
        </w:rPr>
        <w:t>.</w:t>
      </w:r>
      <w:r w:rsidR="00BD2E8F">
        <w:rPr>
          <w:rFonts w:ascii="Times New Roman" w:eastAsiaTheme="minorEastAsia" w:hAnsi="Times New Roman"/>
          <w:sz w:val="28"/>
          <w:szCs w:val="28"/>
          <w:lang w:val="uk-UA" w:eastAsia="ja-JP"/>
        </w:rPr>
        <w:t xml:space="preserve"> Японська ієна також активно торгується на валютних ринках</w:t>
      </w:r>
      <w:r w:rsidR="00166B1B">
        <w:rPr>
          <w:rFonts w:ascii="Times New Roman" w:eastAsiaTheme="minorEastAsia" w:hAnsi="Times New Roman"/>
          <w:sz w:val="28"/>
          <w:szCs w:val="28"/>
          <w:lang w:val="uk-UA" w:eastAsia="ja-JP"/>
        </w:rPr>
        <w:t xml:space="preserve"> у формах різних деривативів</w:t>
      </w:r>
      <w:r w:rsidR="00BD2E8F">
        <w:rPr>
          <w:rFonts w:ascii="Times New Roman" w:eastAsiaTheme="minorEastAsia" w:hAnsi="Times New Roman"/>
          <w:sz w:val="28"/>
          <w:szCs w:val="28"/>
          <w:lang w:val="uk-UA" w:eastAsia="ja-JP"/>
        </w:rPr>
        <w:t xml:space="preserve"> </w:t>
      </w:r>
      <w:r w:rsidR="00BD2E8F" w:rsidRPr="00BD2E8F">
        <w:rPr>
          <w:rFonts w:ascii="Times New Roman" w:eastAsiaTheme="minorEastAsia" w:hAnsi="Times New Roman"/>
          <w:sz w:val="28"/>
          <w:szCs w:val="28"/>
          <w:lang w:eastAsia="ja-JP"/>
        </w:rPr>
        <w:t xml:space="preserve"> </w:t>
      </w:r>
      <w:r w:rsidR="00BD2E8F" w:rsidRPr="00166B1B">
        <w:rPr>
          <w:rFonts w:ascii="Times New Roman" w:eastAsiaTheme="minorEastAsia" w:hAnsi="Times New Roman"/>
          <w:sz w:val="28"/>
          <w:szCs w:val="28"/>
          <w:lang w:eastAsia="ja-JP"/>
        </w:rPr>
        <w:t>[33].</w:t>
      </w:r>
    </w:p>
    <w:p w14:paraId="1E57DDDC" w14:textId="534B8802" w:rsidR="007D5078" w:rsidRDefault="00FA2BDD" w:rsidP="007D5078">
      <w:pPr>
        <w:spacing w:line="360" w:lineRule="auto"/>
        <w:ind w:firstLine="720"/>
        <w:rPr>
          <w:rFonts w:ascii="Times New Roman" w:hAnsi="Times New Roman"/>
          <w:bCs/>
          <w:sz w:val="28"/>
          <w:szCs w:val="28"/>
          <w:lang w:val="uk-UA"/>
        </w:rPr>
      </w:pPr>
      <w:r>
        <w:rPr>
          <w:noProof/>
          <w:lang w:val="uk-UA" w:eastAsia="uk-UA"/>
        </w:rPr>
        <w:drawing>
          <wp:inline distT="0" distB="0" distL="0" distR="0" wp14:anchorId="13ADA9C5" wp14:editId="1D26CA7D">
            <wp:extent cx="4724400" cy="2872740"/>
            <wp:effectExtent l="0" t="0" r="0" b="3810"/>
            <wp:docPr id="1" name="Chart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712EBEF-C8ED-4FD5-A2D7-11240F1710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BE6F765" w14:textId="13FA543E"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2</w:t>
      </w:r>
      <w:r w:rsidRPr="0000223A">
        <w:rPr>
          <w:rFonts w:ascii="Times New Roman" w:hAnsi="Times New Roman"/>
          <w:sz w:val="28"/>
          <w:szCs w:val="28"/>
          <w:lang w:val="uk-UA"/>
        </w:rPr>
        <w:t xml:space="preserve"> Курс обміну ієни у період 1960 – 20</w:t>
      </w:r>
      <w:r w:rsidRPr="00720A1F">
        <w:rPr>
          <w:rFonts w:ascii="Times New Roman" w:hAnsi="Times New Roman"/>
          <w:sz w:val="28"/>
          <w:szCs w:val="28"/>
        </w:rPr>
        <w:t>20</w:t>
      </w:r>
      <w:r w:rsidRPr="0000223A">
        <w:rPr>
          <w:rFonts w:ascii="Times New Roman" w:hAnsi="Times New Roman"/>
          <w:sz w:val="28"/>
          <w:szCs w:val="28"/>
          <w:lang w:val="uk-UA"/>
        </w:rPr>
        <w:t xml:space="preserve"> років (за 1 долар США)</w:t>
      </w:r>
    </w:p>
    <w:p w14:paraId="56ADB98D" w14:textId="4250827E" w:rsidR="007D5078" w:rsidRPr="00863D57" w:rsidRDefault="007D5078" w:rsidP="007D5078">
      <w:pPr>
        <w:jc w:val="both"/>
        <w:rPr>
          <w:rFonts w:ascii="Times New Roman" w:hAnsi="Times New Roman"/>
          <w:sz w:val="28"/>
          <w:szCs w:val="28"/>
        </w:rPr>
      </w:pPr>
      <w:r w:rsidRPr="0000223A">
        <w:rPr>
          <w:rFonts w:ascii="Times New Roman" w:hAnsi="Times New Roman"/>
          <w:sz w:val="28"/>
          <w:szCs w:val="28"/>
          <w:lang w:val="uk-UA"/>
        </w:rPr>
        <w:t xml:space="preserve">Складено на основі </w:t>
      </w:r>
      <w:r w:rsidR="0081762D" w:rsidRPr="0000223A">
        <w:rPr>
          <w:rFonts w:ascii="Times New Roman" w:hAnsi="Times New Roman"/>
          <w:sz w:val="28"/>
          <w:szCs w:val="28"/>
          <w:lang w:val="uk-UA"/>
        </w:rPr>
        <w:t>[</w:t>
      </w:r>
      <w:r w:rsidR="0081762D" w:rsidRPr="0081762D">
        <w:rPr>
          <w:rFonts w:ascii="Times New Roman" w:hAnsi="Times New Roman"/>
          <w:sz w:val="28"/>
          <w:szCs w:val="28"/>
        </w:rPr>
        <w:t>14</w:t>
      </w:r>
      <w:r w:rsidR="0081762D" w:rsidRPr="0000223A">
        <w:rPr>
          <w:rFonts w:ascii="Times New Roman" w:hAnsi="Times New Roman"/>
          <w:sz w:val="28"/>
          <w:szCs w:val="28"/>
          <w:lang w:val="uk-UA"/>
        </w:rPr>
        <w:t>]</w:t>
      </w:r>
      <w:r w:rsidR="0081762D" w:rsidRPr="0081762D">
        <w:rPr>
          <w:rFonts w:ascii="Times New Roman" w:hAnsi="Times New Roman"/>
          <w:sz w:val="28"/>
          <w:szCs w:val="28"/>
        </w:rPr>
        <w:t>,[15]</w:t>
      </w:r>
      <w:r w:rsidR="00462478" w:rsidRPr="00863D57">
        <w:rPr>
          <w:rFonts w:ascii="Times New Roman" w:hAnsi="Times New Roman"/>
          <w:sz w:val="28"/>
          <w:szCs w:val="28"/>
        </w:rPr>
        <w:t>,[31]</w:t>
      </w:r>
    </w:p>
    <w:p w14:paraId="61B44A96" w14:textId="77777777" w:rsidR="007D5078" w:rsidRPr="0000223A" w:rsidRDefault="007D5078" w:rsidP="007D5078">
      <w:pPr>
        <w:spacing w:line="360" w:lineRule="auto"/>
        <w:jc w:val="both"/>
        <w:rPr>
          <w:rFonts w:ascii="Times New Roman" w:hAnsi="Times New Roman"/>
          <w:sz w:val="28"/>
          <w:szCs w:val="28"/>
          <w:lang w:val="uk-UA"/>
        </w:rPr>
      </w:pPr>
      <w:r w:rsidRPr="0000223A">
        <w:rPr>
          <w:rFonts w:ascii="Times New Roman" w:hAnsi="Times New Roman"/>
          <w:sz w:val="28"/>
          <w:szCs w:val="28"/>
          <w:lang w:val="uk-UA"/>
        </w:rPr>
        <w:tab/>
        <w:t>Далі буде розглянуто один з найголовніших макроекономічних показників – відсоткову ставку країн</w:t>
      </w:r>
      <w:r>
        <w:rPr>
          <w:rFonts w:ascii="Times New Roman" w:hAnsi="Times New Roman"/>
          <w:sz w:val="28"/>
          <w:szCs w:val="28"/>
          <w:lang w:val="uk-UA"/>
        </w:rPr>
        <w:t>и</w:t>
      </w:r>
      <w:r w:rsidRPr="0000223A">
        <w:rPr>
          <w:rFonts w:ascii="Times New Roman" w:hAnsi="Times New Roman"/>
          <w:sz w:val="28"/>
          <w:szCs w:val="28"/>
          <w:lang w:val="uk-UA"/>
        </w:rPr>
        <w:t xml:space="preserve">. </w:t>
      </w:r>
    </w:p>
    <w:p w14:paraId="5C9E39B4" w14:textId="5FA47EF8" w:rsidR="007D5078" w:rsidRPr="00620132" w:rsidRDefault="007D5078" w:rsidP="006F16D7">
      <w:pPr>
        <w:spacing w:line="360" w:lineRule="auto"/>
        <w:ind w:firstLine="720"/>
        <w:jc w:val="both"/>
        <w:rPr>
          <w:rFonts w:ascii="Times New Roman" w:eastAsiaTheme="minorEastAsia" w:hAnsi="Times New Roman"/>
          <w:sz w:val="28"/>
          <w:szCs w:val="28"/>
          <w:lang w:val="uk-UA" w:eastAsia="ja-JP"/>
        </w:rPr>
      </w:pPr>
      <w:r w:rsidRPr="0000223A">
        <w:rPr>
          <w:rFonts w:ascii="Times New Roman" w:hAnsi="Times New Roman"/>
          <w:sz w:val="28"/>
          <w:szCs w:val="28"/>
          <w:lang w:val="uk-UA"/>
        </w:rPr>
        <w:lastRenderedPageBreak/>
        <w:t xml:space="preserve">Дивлячись на </w:t>
      </w:r>
      <w:r>
        <w:rPr>
          <w:rFonts w:ascii="Times New Roman" w:hAnsi="Times New Roman"/>
          <w:sz w:val="28"/>
          <w:szCs w:val="28"/>
          <w:lang w:val="uk-UA"/>
        </w:rPr>
        <w:t>графік</w:t>
      </w:r>
      <w:r w:rsidR="00A0245A">
        <w:rPr>
          <w:rFonts w:ascii="Times New Roman" w:hAnsi="Times New Roman"/>
          <w:sz w:val="28"/>
          <w:szCs w:val="28"/>
          <w:lang w:val="uk-UA"/>
        </w:rPr>
        <w:t xml:space="preserve"> </w:t>
      </w:r>
      <w:r w:rsidR="00A0245A">
        <w:rPr>
          <w:rFonts w:ascii="Times New Roman" w:hAnsi="Times New Roman"/>
          <w:bCs/>
          <w:sz w:val="28"/>
          <w:szCs w:val="28"/>
          <w:lang w:val="uk-UA"/>
        </w:rPr>
        <w:t>(див. рис. 2.3)</w:t>
      </w:r>
      <w:r>
        <w:rPr>
          <w:rFonts w:ascii="Times New Roman" w:hAnsi="Times New Roman"/>
          <w:sz w:val="28"/>
          <w:szCs w:val="28"/>
          <w:lang w:val="uk-UA"/>
        </w:rPr>
        <w:t xml:space="preserve"> </w:t>
      </w:r>
      <w:r w:rsidRPr="0000223A">
        <w:rPr>
          <w:rFonts w:ascii="Times New Roman" w:hAnsi="Times New Roman"/>
          <w:sz w:val="28"/>
          <w:szCs w:val="28"/>
          <w:lang w:val="uk-UA"/>
        </w:rPr>
        <w:t xml:space="preserve">можна одразу побачити тенденцію </w:t>
      </w:r>
      <w:r>
        <w:rPr>
          <w:rFonts w:ascii="Times New Roman" w:hAnsi="Times New Roman"/>
          <w:sz w:val="28"/>
          <w:szCs w:val="28"/>
          <w:lang w:val="uk-UA"/>
        </w:rPr>
        <w:t xml:space="preserve">до поступового зниження </w:t>
      </w:r>
      <w:r w:rsidRPr="0000223A">
        <w:rPr>
          <w:rFonts w:ascii="Times New Roman" w:hAnsi="Times New Roman"/>
          <w:sz w:val="28"/>
          <w:szCs w:val="28"/>
          <w:lang w:val="uk-UA"/>
        </w:rPr>
        <w:t xml:space="preserve">відсоткової ставки. </w:t>
      </w:r>
      <w:r>
        <w:rPr>
          <w:rFonts w:ascii="Times New Roman" w:hAnsi="Times New Roman"/>
          <w:sz w:val="28"/>
          <w:szCs w:val="28"/>
          <w:lang w:val="uk-UA"/>
        </w:rPr>
        <w:t xml:space="preserve">Треба також </w:t>
      </w:r>
      <w:r w:rsidRPr="0000223A">
        <w:rPr>
          <w:rFonts w:ascii="Times New Roman" w:hAnsi="Times New Roman"/>
          <w:sz w:val="28"/>
          <w:szCs w:val="28"/>
          <w:lang w:val="uk-UA"/>
        </w:rPr>
        <w:t xml:space="preserve">відмітити момент з кризою 1991 року, коли </w:t>
      </w:r>
      <w:r>
        <w:rPr>
          <w:rFonts w:ascii="Times New Roman" w:hAnsi="Times New Roman"/>
          <w:sz w:val="28"/>
          <w:szCs w:val="28"/>
          <w:lang w:val="uk-UA"/>
        </w:rPr>
        <w:t xml:space="preserve">рівень </w:t>
      </w:r>
      <w:r w:rsidRPr="0000223A">
        <w:rPr>
          <w:rFonts w:ascii="Times New Roman" w:hAnsi="Times New Roman"/>
          <w:sz w:val="28"/>
          <w:szCs w:val="28"/>
          <w:lang w:val="uk-UA"/>
        </w:rPr>
        <w:t>спекулятивн</w:t>
      </w:r>
      <w:r>
        <w:rPr>
          <w:rFonts w:ascii="Times New Roman" w:hAnsi="Times New Roman"/>
          <w:sz w:val="28"/>
          <w:szCs w:val="28"/>
          <w:lang w:val="uk-UA"/>
        </w:rPr>
        <w:t>их</w:t>
      </w:r>
      <w:r w:rsidRPr="0000223A">
        <w:rPr>
          <w:rFonts w:ascii="Times New Roman" w:hAnsi="Times New Roman"/>
          <w:sz w:val="28"/>
          <w:szCs w:val="28"/>
          <w:lang w:val="uk-UA"/>
        </w:rPr>
        <w:t xml:space="preserve"> процес</w:t>
      </w:r>
      <w:r>
        <w:rPr>
          <w:rFonts w:ascii="Times New Roman" w:hAnsi="Times New Roman"/>
          <w:sz w:val="28"/>
          <w:szCs w:val="28"/>
          <w:lang w:val="uk-UA"/>
        </w:rPr>
        <w:t>ів</w:t>
      </w:r>
      <w:r w:rsidRPr="0000223A">
        <w:rPr>
          <w:rFonts w:ascii="Times New Roman" w:hAnsi="Times New Roman"/>
          <w:sz w:val="28"/>
          <w:szCs w:val="28"/>
          <w:lang w:val="uk-UA"/>
        </w:rPr>
        <w:t xml:space="preserve"> у </w:t>
      </w:r>
      <w:r>
        <w:rPr>
          <w:rFonts w:ascii="Times New Roman" w:hAnsi="Times New Roman"/>
          <w:sz w:val="28"/>
          <w:szCs w:val="28"/>
          <w:lang w:val="uk-UA"/>
        </w:rPr>
        <w:t>Японії зростав до раніше не бачених рівнів,</w:t>
      </w:r>
      <w:r w:rsidRPr="0000223A">
        <w:rPr>
          <w:rFonts w:ascii="Times New Roman" w:hAnsi="Times New Roman"/>
          <w:sz w:val="28"/>
          <w:szCs w:val="28"/>
          <w:lang w:val="uk-UA"/>
        </w:rPr>
        <w:t xml:space="preserve"> відсоткова ставка була піднята на кілька відсотків</w:t>
      </w:r>
      <w:r>
        <w:rPr>
          <w:rFonts w:ascii="Times New Roman" w:hAnsi="Times New Roman"/>
          <w:sz w:val="28"/>
          <w:szCs w:val="28"/>
          <w:lang w:val="uk-UA"/>
        </w:rPr>
        <w:t xml:space="preserve"> з ціллю зупинки цих процесів</w:t>
      </w:r>
      <w:r w:rsidRPr="0000223A">
        <w:rPr>
          <w:rFonts w:ascii="Times New Roman" w:hAnsi="Times New Roman"/>
          <w:sz w:val="28"/>
          <w:szCs w:val="28"/>
          <w:lang w:val="uk-UA"/>
        </w:rPr>
        <w:t xml:space="preserve">. Це і призвело до </w:t>
      </w:r>
      <w:r>
        <w:rPr>
          <w:rFonts w:ascii="Times New Roman" w:hAnsi="Times New Roman"/>
          <w:sz w:val="28"/>
          <w:szCs w:val="28"/>
          <w:lang w:val="uk-UA"/>
        </w:rPr>
        <w:t>явищ</w:t>
      </w:r>
      <w:r w:rsidR="006173A8">
        <w:rPr>
          <w:rFonts w:ascii="Times New Roman" w:hAnsi="Times New Roman"/>
          <w:sz w:val="28"/>
          <w:szCs w:val="28"/>
          <w:lang w:val="uk-UA"/>
        </w:rPr>
        <w:t>а я</w:t>
      </w:r>
      <w:r>
        <w:rPr>
          <w:rFonts w:ascii="Times New Roman" w:hAnsi="Times New Roman"/>
          <w:sz w:val="28"/>
          <w:szCs w:val="28"/>
          <w:lang w:val="uk-UA"/>
        </w:rPr>
        <w:t xml:space="preserve">ке відоме в Японії як </w:t>
      </w:r>
      <w:r w:rsidRPr="0000223A">
        <w:rPr>
          <w:rFonts w:ascii="Times New Roman" w:eastAsiaTheme="minorEastAsia" w:hAnsi="Times New Roman"/>
          <w:sz w:val="28"/>
          <w:szCs w:val="28"/>
          <w:lang w:val="uk-UA" w:eastAsia="ja-JP"/>
        </w:rPr>
        <w:t>“втрачен</w:t>
      </w:r>
      <w:r>
        <w:rPr>
          <w:rFonts w:ascii="Times New Roman" w:eastAsiaTheme="minorEastAsia" w:hAnsi="Times New Roman"/>
          <w:sz w:val="28"/>
          <w:szCs w:val="28"/>
          <w:lang w:val="uk-UA" w:eastAsia="ja-JP"/>
        </w:rPr>
        <w:t>е</w:t>
      </w:r>
      <w:r w:rsidRPr="0000223A">
        <w:rPr>
          <w:rFonts w:ascii="Times New Roman" w:eastAsiaTheme="minorEastAsia" w:hAnsi="Times New Roman"/>
          <w:sz w:val="28"/>
          <w:szCs w:val="28"/>
          <w:lang w:val="uk-UA" w:eastAsia="ja-JP"/>
        </w:rPr>
        <w:t xml:space="preserve"> десятиріччя”</w:t>
      </w:r>
      <w:r w:rsidRPr="0000223A">
        <w:rPr>
          <w:rFonts w:ascii="Times New Roman" w:hAnsi="Times New Roman"/>
          <w:sz w:val="28"/>
          <w:szCs w:val="28"/>
          <w:lang w:val="uk-UA"/>
        </w:rPr>
        <w:t xml:space="preserve"> з 1991 до 2001 року. </w:t>
      </w:r>
      <w:r>
        <w:rPr>
          <w:rFonts w:ascii="Times New Roman" w:hAnsi="Times New Roman"/>
          <w:sz w:val="28"/>
          <w:szCs w:val="28"/>
          <w:lang w:val="uk-UA"/>
        </w:rPr>
        <w:t xml:space="preserve">В подальшому </w:t>
      </w:r>
      <w:r w:rsidRPr="0000223A">
        <w:rPr>
          <w:rFonts w:ascii="Times New Roman" w:hAnsi="Times New Roman"/>
          <w:sz w:val="28"/>
          <w:szCs w:val="28"/>
          <w:lang w:val="uk-UA"/>
        </w:rPr>
        <w:t xml:space="preserve">динаміка відсоткової ставки у Японії була негативна. Влада країни і досі намагається </w:t>
      </w:r>
      <w:r w:rsidRPr="0000223A">
        <w:rPr>
          <w:rFonts w:ascii="Times New Roman" w:eastAsiaTheme="minorEastAsia" w:hAnsi="Times New Roman"/>
          <w:sz w:val="28"/>
          <w:szCs w:val="28"/>
          <w:lang w:val="uk-UA" w:eastAsia="ja-JP"/>
        </w:rPr>
        <w:t>“запустити” економіку яка перебуває у стагнації саме с 1991 року.</w:t>
      </w:r>
      <w:r>
        <w:rPr>
          <w:rFonts w:ascii="Times New Roman" w:eastAsiaTheme="minorEastAsia" w:hAnsi="Times New Roman"/>
          <w:sz w:val="28"/>
          <w:szCs w:val="28"/>
          <w:lang w:val="uk-UA" w:eastAsia="ja-JP"/>
        </w:rPr>
        <w:t xml:space="preserve"> Треба відмітити 2020 рік де відсоткова ставка була піднята а не знижена як звичайно робиться у разі кризової ситуації, схожу картину можна спостерігати і у 2008 році.</w:t>
      </w:r>
      <w:r w:rsidR="00620132">
        <w:rPr>
          <w:rFonts w:ascii="Times New Roman" w:eastAsiaTheme="minorEastAsia" w:hAnsi="Times New Roman"/>
          <w:sz w:val="28"/>
          <w:szCs w:val="28"/>
          <w:lang w:val="uk-UA" w:eastAsia="ja-JP"/>
        </w:rPr>
        <w:t xml:space="preserve"> Також якщо порівнювати динаміку з індексом </w:t>
      </w:r>
      <w:r w:rsidR="00620132">
        <w:rPr>
          <w:rFonts w:ascii="Times New Roman" w:eastAsiaTheme="minorEastAsia" w:hAnsi="Times New Roman"/>
          <w:sz w:val="28"/>
          <w:szCs w:val="28"/>
          <w:lang w:val="en-US" w:eastAsia="ja-JP"/>
        </w:rPr>
        <w:t>Nikkei</w:t>
      </w:r>
      <w:r w:rsidR="00620132">
        <w:rPr>
          <w:rFonts w:ascii="Times New Roman" w:eastAsiaTheme="minorEastAsia" w:hAnsi="Times New Roman"/>
          <w:sz w:val="28"/>
          <w:szCs w:val="28"/>
          <w:lang w:val="uk-UA" w:eastAsia="ja-JP"/>
        </w:rPr>
        <w:t xml:space="preserve"> то треба одразу відмітити момент кризи 1990 року, як вказувалося раніше, саме ця зміна ставки була одною з головних причин кризи. Як можна бачити далі, ставка не оказує впливу на </w:t>
      </w:r>
      <w:r w:rsidR="00620132">
        <w:rPr>
          <w:rFonts w:ascii="Times New Roman" w:eastAsiaTheme="minorEastAsia" w:hAnsi="Times New Roman"/>
          <w:sz w:val="28"/>
          <w:szCs w:val="28"/>
          <w:lang w:val="en-US" w:eastAsia="ja-JP"/>
        </w:rPr>
        <w:t>Nikkei</w:t>
      </w:r>
      <w:r w:rsidR="00620132">
        <w:rPr>
          <w:rFonts w:ascii="Times New Roman" w:eastAsiaTheme="minorEastAsia" w:hAnsi="Times New Roman"/>
          <w:sz w:val="28"/>
          <w:szCs w:val="28"/>
          <w:lang w:val="uk-UA" w:eastAsia="ja-JP"/>
        </w:rPr>
        <w:t xml:space="preserve"> саме </w:t>
      </w:r>
      <w:r w:rsidR="000913D3">
        <w:rPr>
          <w:rFonts w:ascii="Times New Roman" w:eastAsiaTheme="minorEastAsia" w:hAnsi="Times New Roman"/>
          <w:sz w:val="28"/>
          <w:szCs w:val="28"/>
          <w:lang w:val="uk-UA" w:eastAsia="ja-JP"/>
        </w:rPr>
        <w:t>після кризи.</w:t>
      </w:r>
      <w:r w:rsidR="006F16D7">
        <w:rPr>
          <w:rFonts w:ascii="Times New Roman" w:eastAsiaTheme="minorEastAsia" w:hAnsi="Times New Roman"/>
          <w:sz w:val="28"/>
          <w:szCs w:val="28"/>
          <w:lang w:val="uk-UA" w:eastAsia="ja-JP"/>
        </w:rPr>
        <w:t xml:space="preserve"> Саме із-за цього уряд Японії намагається використовувати нові та нестандартні методи монетарної політики. Прикладом такої політики є період Абеноміки.</w:t>
      </w:r>
      <w:r w:rsidR="00312F23">
        <w:rPr>
          <w:rFonts w:ascii="Times New Roman" w:eastAsiaTheme="minorEastAsia" w:hAnsi="Times New Roman"/>
          <w:sz w:val="28"/>
          <w:szCs w:val="28"/>
          <w:lang w:val="uk-UA" w:eastAsia="ja-JP"/>
        </w:rPr>
        <w:t xml:space="preserve"> Єдиний період який можна вважати логічним з точки зори </w:t>
      </w:r>
      <w:r w:rsidR="006F16D7">
        <w:rPr>
          <w:rFonts w:ascii="Times New Roman" w:eastAsiaTheme="minorEastAsia" w:hAnsi="Times New Roman"/>
          <w:sz w:val="28"/>
          <w:szCs w:val="28"/>
          <w:lang w:val="uk-UA" w:eastAsia="ja-JP"/>
        </w:rPr>
        <w:t>монетарної політики це період</w:t>
      </w:r>
      <w:r w:rsidR="0081762D">
        <w:rPr>
          <w:rFonts w:ascii="Times New Roman" w:eastAsiaTheme="minorEastAsia" w:hAnsi="Times New Roman"/>
          <w:sz w:val="28"/>
          <w:szCs w:val="28"/>
          <w:lang w:val="uk-UA" w:eastAsia="ja-JP"/>
        </w:rPr>
        <w:t xml:space="preserve"> правління</w:t>
      </w:r>
      <w:r w:rsidR="006F16D7">
        <w:rPr>
          <w:rFonts w:ascii="Times New Roman" w:eastAsiaTheme="minorEastAsia" w:hAnsi="Times New Roman"/>
          <w:sz w:val="28"/>
          <w:szCs w:val="28"/>
          <w:lang w:val="uk-UA" w:eastAsia="ja-JP"/>
        </w:rPr>
        <w:t xml:space="preserve"> Сіндзо Абе з 2012 до 2020 року, коли при знижені ставки індекс все таки показує позитивну динаміку.</w:t>
      </w:r>
      <w:r w:rsidR="00312F23">
        <w:rPr>
          <w:rFonts w:ascii="Times New Roman" w:eastAsiaTheme="minorEastAsia" w:hAnsi="Times New Roman"/>
          <w:sz w:val="28"/>
          <w:szCs w:val="28"/>
          <w:lang w:val="uk-UA" w:eastAsia="ja-JP"/>
        </w:rPr>
        <w:t xml:space="preserve"> </w:t>
      </w:r>
      <w:r w:rsidR="000913D3">
        <w:rPr>
          <w:rFonts w:ascii="Times New Roman" w:eastAsiaTheme="minorEastAsia" w:hAnsi="Times New Roman"/>
          <w:sz w:val="28"/>
          <w:szCs w:val="28"/>
          <w:lang w:val="uk-UA" w:eastAsia="ja-JP"/>
        </w:rPr>
        <w:t xml:space="preserve"> </w:t>
      </w:r>
    </w:p>
    <w:p w14:paraId="3D1886BB" w14:textId="1D26E757" w:rsidR="007D5078" w:rsidRDefault="00133267" w:rsidP="007D5078">
      <w:pPr>
        <w:spacing w:line="360" w:lineRule="auto"/>
        <w:ind w:firstLine="720"/>
        <w:jc w:val="both"/>
        <w:rPr>
          <w:rFonts w:ascii="Times New Roman" w:hAnsi="Times New Roman"/>
          <w:bCs/>
          <w:sz w:val="28"/>
          <w:szCs w:val="28"/>
          <w:lang w:val="uk-UA"/>
        </w:rPr>
      </w:pPr>
      <w:r>
        <w:rPr>
          <w:noProof/>
          <w:lang w:val="uk-UA" w:eastAsia="uk-UA"/>
        </w:rPr>
        <w:lastRenderedPageBreak/>
        <w:drawing>
          <wp:inline distT="0" distB="0" distL="0" distR="0" wp14:anchorId="7885ACCC" wp14:editId="6B26108E">
            <wp:extent cx="4930140" cy="2705100"/>
            <wp:effectExtent l="0" t="0" r="3810" b="0"/>
            <wp:docPr id="10" name="Chart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67DF00-AE82-4E37-832D-05301EE804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0F593B0" w14:textId="613FAC51"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3</w:t>
      </w:r>
      <w:r w:rsidRPr="0000223A">
        <w:rPr>
          <w:rFonts w:ascii="Times New Roman" w:hAnsi="Times New Roman"/>
          <w:sz w:val="28"/>
          <w:szCs w:val="28"/>
          <w:lang w:val="uk-UA"/>
        </w:rPr>
        <w:t xml:space="preserve"> Відсоткова ставка Японії у період 197</w:t>
      </w:r>
      <w:r>
        <w:rPr>
          <w:rFonts w:ascii="Times New Roman" w:hAnsi="Times New Roman"/>
          <w:sz w:val="28"/>
          <w:szCs w:val="28"/>
          <w:lang w:val="uk-UA"/>
        </w:rPr>
        <w:t>8</w:t>
      </w:r>
      <w:r w:rsidRPr="0000223A">
        <w:rPr>
          <w:rFonts w:ascii="Times New Roman" w:hAnsi="Times New Roman"/>
          <w:sz w:val="28"/>
          <w:szCs w:val="28"/>
          <w:lang w:val="uk-UA"/>
        </w:rPr>
        <w:t xml:space="preserve"> – 20</w:t>
      </w:r>
      <w:r>
        <w:rPr>
          <w:rFonts w:ascii="Times New Roman" w:hAnsi="Times New Roman"/>
          <w:sz w:val="28"/>
          <w:szCs w:val="28"/>
          <w:lang w:val="uk-UA"/>
        </w:rPr>
        <w:t>20</w:t>
      </w:r>
      <w:r w:rsidRPr="0000223A">
        <w:rPr>
          <w:rFonts w:ascii="Times New Roman" w:hAnsi="Times New Roman"/>
          <w:sz w:val="28"/>
          <w:szCs w:val="28"/>
          <w:lang w:val="uk-UA"/>
        </w:rPr>
        <w:t xml:space="preserve"> років </w:t>
      </w:r>
    </w:p>
    <w:p w14:paraId="182FCC63" w14:textId="58EE0EAC" w:rsidR="007D5078" w:rsidRPr="00863D57" w:rsidRDefault="007D5078" w:rsidP="007D5078">
      <w:pPr>
        <w:jc w:val="both"/>
        <w:rPr>
          <w:rFonts w:ascii="Times New Roman" w:hAnsi="Times New Roman"/>
          <w:sz w:val="28"/>
          <w:szCs w:val="28"/>
        </w:rPr>
      </w:pPr>
      <w:r w:rsidRPr="0000223A">
        <w:rPr>
          <w:rFonts w:ascii="Times New Roman" w:hAnsi="Times New Roman"/>
          <w:sz w:val="28"/>
          <w:szCs w:val="28"/>
          <w:lang w:val="uk-UA"/>
        </w:rPr>
        <w:t xml:space="preserve">Складено на основі </w:t>
      </w:r>
      <w:r w:rsidR="0081762D" w:rsidRPr="0000223A">
        <w:rPr>
          <w:rFonts w:ascii="Times New Roman" w:hAnsi="Times New Roman"/>
          <w:sz w:val="28"/>
          <w:szCs w:val="28"/>
          <w:lang w:val="uk-UA"/>
        </w:rPr>
        <w:t>[</w:t>
      </w:r>
      <w:r w:rsidR="0081762D" w:rsidRPr="0081762D">
        <w:rPr>
          <w:rFonts w:ascii="Times New Roman" w:hAnsi="Times New Roman"/>
          <w:sz w:val="28"/>
          <w:szCs w:val="28"/>
        </w:rPr>
        <w:t>14</w:t>
      </w:r>
      <w:r w:rsidR="0081762D" w:rsidRPr="0000223A">
        <w:rPr>
          <w:rFonts w:ascii="Times New Roman" w:hAnsi="Times New Roman"/>
          <w:sz w:val="28"/>
          <w:szCs w:val="28"/>
          <w:lang w:val="uk-UA"/>
        </w:rPr>
        <w:t>]</w:t>
      </w:r>
      <w:r w:rsidR="0081762D" w:rsidRPr="0081762D">
        <w:rPr>
          <w:rFonts w:ascii="Times New Roman" w:hAnsi="Times New Roman"/>
          <w:sz w:val="28"/>
          <w:szCs w:val="28"/>
        </w:rPr>
        <w:t>,[15]</w:t>
      </w:r>
      <w:r w:rsidR="005052F9" w:rsidRPr="005052F9">
        <w:rPr>
          <w:rFonts w:ascii="Times New Roman" w:hAnsi="Times New Roman"/>
          <w:sz w:val="28"/>
          <w:szCs w:val="28"/>
        </w:rPr>
        <w:t>,[1</w:t>
      </w:r>
      <w:r w:rsidR="00161AB7" w:rsidRPr="00050F12">
        <w:rPr>
          <w:rFonts w:ascii="Times New Roman" w:hAnsi="Times New Roman"/>
          <w:sz w:val="28"/>
          <w:szCs w:val="28"/>
        </w:rPr>
        <w:t>7</w:t>
      </w:r>
      <w:r w:rsidR="005052F9" w:rsidRPr="005052F9">
        <w:rPr>
          <w:rFonts w:ascii="Times New Roman" w:hAnsi="Times New Roman"/>
          <w:sz w:val="28"/>
          <w:szCs w:val="28"/>
        </w:rPr>
        <w:t>]</w:t>
      </w:r>
      <w:r w:rsidR="00462478" w:rsidRPr="00462478">
        <w:rPr>
          <w:rFonts w:ascii="Times New Roman" w:hAnsi="Times New Roman"/>
          <w:sz w:val="28"/>
          <w:szCs w:val="28"/>
        </w:rPr>
        <w:t>,[</w:t>
      </w:r>
      <w:r w:rsidR="00462478" w:rsidRPr="00863D57">
        <w:rPr>
          <w:rFonts w:ascii="Times New Roman" w:hAnsi="Times New Roman"/>
          <w:sz w:val="28"/>
          <w:szCs w:val="28"/>
        </w:rPr>
        <w:t>31].</w:t>
      </w:r>
    </w:p>
    <w:p w14:paraId="28E4E428" w14:textId="5A75E7B5" w:rsidR="007D5078" w:rsidRPr="00161AB7" w:rsidRDefault="007D5078" w:rsidP="005E13BA">
      <w:pPr>
        <w:spacing w:line="360" w:lineRule="auto"/>
        <w:ind w:firstLine="720"/>
        <w:jc w:val="both"/>
        <w:rPr>
          <w:rFonts w:ascii="Times New Roman" w:eastAsiaTheme="minorEastAsia" w:hAnsi="Times New Roman"/>
          <w:bCs/>
          <w:sz w:val="28"/>
          <w:szCs w:val="28"/>
          <w:lang w:val="uk-UA" w:eastAsia="ja-JP"/>
        </w:rPr>
      </w:pPr>
      <w:r>
        <w:rPr>
          <w:rFonts w:ascii="Times New Roman" w:hAnsi="Times New Roman"/>
          <w:bCs/>
          <w:sz w:val="28"/>
          <w:szCs w:val="28"/>
          <w:lang w:val="uk-UA"/>
        </w:rPr>
        <w:t>Велику роль у формуванні загальної фінансової системи будь якої країни держава та ті ресурси які вона виділяє на розвиток своєї країни. Далі буде представлений графік загального державного боргу до ВВП Японії</w:t>
      </w:r>
      <w:r w:rsidR="00A0245A">
        <w:rPr>
          <w:rFonts w:ascii="Times New Roman" w:hAnsi="Times New Roman"/>
          <w:bCs/>
          <w:sz w:val="28"/>
          <w:szCs w:val="28"/>
          <w:lang w:val="uk-UA"/>
        </w:rPr>
        <w:t xml:space="preserve"> (див. рис. 2.4)</w:t>
      </w:r>
      <w:r>
        <w:rPr>
          <w:rFonts w:ascii="Times New Roman" w:hAnsi="Times New Roman"/>
          <w:bCs/>
          <w:sz w:val="28"/>
          <w:szCs w:val="28"/>
          <w:lang w:val="uk-UA"/>
        </w:rPr>
        <w:t>. Ціль відокремленого аналізу боргу є у тому щоб зрозуміти причину появлення та природу цього боргу. Причина такого високого боргу знов же таки у кризі 1991 року. Експерти називають різні причини стрімкого росту боргу, одна з найпопулярніших – стимуляційні міри прийняті урядом для ліквідування наслідків кризи. Інша причина полягає у швидкій зміні відсоткової ставки за 3 роки майже на половину (1988-1991). Однак цей борг досить легко підтримується завдяки дуже низьким виплатам. Також</w:t>
      </w:r>
      <w:r>
        <w:rPr>
          <w:rFonts w:ascii="Times New Roman" w:eastAsiaTheme="minorEastAsia" w:hAnsi="Times New Roman"/>
          <w:bCs/>
          <w:sz w:val="28"/>
          <w:szCs w:val="28"/>
          <w:lang w:val="uk-UA" w:eastAsia="ja-JP"/>
        </w:rPr>
        <w:t xml:space="preserve"> виплати по цьому боргу досить малі та</w:t>
      </w:r>
      <w:r>
        <w:rPr>
          <w:rFonts w:ascii="Times New Roman" w:eastAsiaTheme="minorEastAsia" w:hAnsi="Times New Roman"/>
          <w:bCs/>
          <w:sz w:val="28"/>
          <w:szCs w:val="28"/>
          <w:lang w:eastAsia="ja-JP"/>
        </w:rPr>
        <w:t xml:space="preserve"> </w:t>
      </w:r>
      <w:r>
        <w:rPr>
          <w:rFonts w:ascii="Times New Roman" w:eastAsiaTheme="minorEastAsia" w:hAnsi="Times New Roman"/>
          <w:bCs/>
          <w:sz w:val="28"/>
          <w:szCs w:val="28"/>
          <w:lang w:val="uk-UA" w:eastAsia="ja-JP"/>
        </w:rPr>
        <w:t>більшість його володарів це Японськи структури.</w:t>
      </w:r>
      <w:r w:rsidR="000913D3">
        <w:rPr>
          <w:rFonts w:ascii="Times New Roman" w:eastAsiaTheme="minorEastAsia" w:hAnsi="Times New Roman"/>
          <w:bCs/>
          <w:sz w:val="28"/>
          <w:szCs w:val="28"/>
          <w:lang w:val="uk-UA" w:eastAsia="ja-JP"/>
        </w:rPr>
        <w:t xml:space="preserve"> </w:t>
      </w:r>
      <w:r w:rsidR="000913D3">
        <w:rPr>
          <w:rFonts w:ascii="Times New Roman" w:eastAsiaTheme="minorEastAsia" w:hAnsi="Times New Roman"/>
          <w:sz w:val="28"/>
          <w:szCs w:val="28"/>
          <w:lang w:val="uk-UA" w:eastAsia="ja-JP"/>
        </w:rPr>
        <w:t xml:space="preserve">Також якщо порівнювати динаміку з індексом </w:t>
      </w:r>
      <w:r w:rsidR="000913D3">
        <w:rPr>
          <w:rFonts w:ascii="Times New Roman" w:eastAsiaTheme="minorEastAsia" w:hAnsi="Times New Roman"/>
          <w:sz w:val="28"/>
          <w:szCs w:val="28"/>
          <w:lang w:val="en-US" w:eastAsia="ja-JP"/>
        </w:rPr>
        <w:t>Nikkei</w:t>
      </w:r>
      <w:r w:rsidR="000913D3">
        <w:rPr>
          <w:rFonts w:ascii="Times New Roman" w:eastAsiaTheme="minorEastAsia" w:hAnsi="Times New Roman"/>
          <w:sz w:val="28"/>
          <w:szCs w:val="28"/>
          <w:lang w:val="uk-UA" w:eastAsia="ja-JP"/>
        </w:rPr>
        <w:t xml:space="preserve"> то можна відмітити що кореляції у цьому випадку немає, що може означати що рівень державного боргу має незначний вплив на фондовий індекс </w:t>
      </w:r>
      <w:r w:rsidR="000913D3">
        <w:rPr>
          <w:rFonts w:ascii="Times New Roman" w:eastAsiaTheme="minorEastAsia" w:hAnsi="Times New Roman"/>
          <w:sz w:val="28"/>
          <w:szCs w:val="28"/>
          <w:lang w:val="en-US" w:eastAsia="ja-JP"/>
        </w:rPr>
        <w:t>Nikkei</w:t>
      </w:r>
      <w:r w:rsidR="00161AB7" w:rsidRPr="00161AB7">
        <w:rPr>
          <w:rFonts w:ascii="Times New Roman" w:eastAsiaTheme="minorEastAsia" w:hAnsi="Times New Roman"/>
          <w:sz w:val="28"/>
          <w:szCs w:val="28"/>
          <w:lang w:val="uk-UA" w:eastAsia="ja-JP"/>
        </w:rPr>
        <w:t xml:space="preserve"> [18].</w:t>
      </w:r>
    </w:p>
    <w:p w14:paraId="7011887A" w14:textId="63E2EBEE" w:rsidR="007D5078" w:rsidRDefault="00FA2BDD" w:rsidP="007D5078">
      <w:pPr>
        <w:spacing w:line="360" w:lineRule="auto"/>
        <w:ind w:firstLine="720"/>
        <w:jc w:val="both"/>
        <w:rPr>
          <w:rFonts w:ascii="Times New Roman" w:hAnsi="Times New Roman"/>
          <w:bCs/>
          <w:sz w:val="28"/>
          <w:szCs w:val="28"/>
          <w:lang w:val="uk-UA"/>
        </w:rPr>
      </w:pPr>
      <w:r>
        <w:rPr>
          <w:noProof/>
          <w:lang w:val="uk-UA" w:eastAsia="uk-UA"/>
        </w:rPr>
        <w:lastRenderedPageBreak/>
        <w:drawing>
          <wp:inline distT="0" distB="0" distL="0" distR="0" wp14:anchorId="1381E52D" wp14:editId="0D76C577">
            <wp:extent cx="4914900" cy="3078480"/>
            <wp:effectExtent l="0" t="0" r="0" b="7620"/>
            <wp:docPr id="11" name="Chart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AFFA3A6-141E-4DE0-844A-ABB96D56E2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BADA821" w14:textId="5CB83496"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4</w:t>
      </w:r>
      <w:r w:rsidRPr="0000223A">
        <w:rPr>
          <w:rFonts w:ascii="Times New Roman" w:hAnsi="Times New Roman"/>
          <w:sz w:val="28"/>
          <w:szCs w:val="28"/>
          <w:lang w:val="uk-UA"/>
        </w:rPr>
        <w:t xml:space="preserve"> </w:t>
      </w:r>
      <w:r>
        <w:rPr>
          <w:rFonts w:ascii="Times New Roman" w:hAnsi="Times New Roman"/>
          <w:sz w:val="28"/>
          <w:szCs w:val="28"/>
          <w:lang w:val="uk-UA"/>
        </w:rPr>
        <w:t xml:space="preserve">Борг до ВВП </w:t>
      </w:r>
      <w:r w:rsidRPr="0000223A">
        <w:rPr>
          <w:rFonts w:ascii="Times New Roman" w:hAnsi="Times New Roman"/>
          <w:sz w:val="28"/>
          <w:szCs w:val="28"/>
          <w:lang w:val="uk-UA"/>
        </w:rPr>
        <w:t>Японії у період 19</w:t>
      </w:r>
      <w:r>
        <w:rPr>
          <w:rFonts w:ascii="Times New Roman" w:hAnsi="Times New Roman"/>
          <w:sz w:val="28"/>
          <w:szCs w:val="28"/>
          <w:lang w:val="uk-UA"/>
        </w:rPr>
        <w:t>80</w:t>
      </w:r>
      <w:r w:rsidRPr="0000223A">
        <w:rPr>
          <w:rFonts w:ascii="Times New Roman" w:hAnsi="Times New Roman"/>
          <w:sz w:val="28"/>
          <w:szCs w:val="28"/>
          <w:lang w:val="uk-UA"/>
        </w:rPr>
        <w:t xml:space="preserve"> – 20</w:t>
      </w:r>
      <w:r>
        <w:rPr>
          <w:rFonts w:ascii="Times New Roman" w:hAnsi="Times New Roman"/>
          <w:sz w:val="28"/>
          <w:szCs w:val="28"/>
          <w:lang w:val="uk-UA"/>
        </w:rPr>
        <w:t>19</w:t>
      </w:r>
      <w:r w:rsidRPr="0000223A">
        <w:rPr>
          <w:rFonts w:ascii="Times New Roman" w:hAnsi="Times New Roman"/>
          <w:sz w:val="28"/>
          <w:szCs w:val="28"/>
          <w:lang w:val="uk-UA"/>
        </w:rPr>
        <w:t xml:space="preserve"> років </w:t>
      </w:r>
    </w:p>
    <w:p w14:paraId="0017E4EA" w14:textId="6926FD5D" w:rsidR="007D5078" w:rsidRPr="00050F12" w:rsidRDefault="007D5078" w:rsidP="007D5078">
      <w:pPr>
        <w:jc w:val="both"/>
        <w:rPr>
          <w:rFonts w:ascii="Times New Roman" w:hAnsi="Times New Roman"/>
          <w:sz w:val="28"/>
          <w:szCs w:val="28"/>
        </w:rPr>
      </w:pPr>
      <w:r w:rsidRPr="0000223A">
        <w:rPr>
          <w:rFonts w:ascii="Times New Roman" w:hAnsi="Times New Roman"/>
          <w:sz w:val="28"/>
          <w:szCs w:val="28"/>
          <w:lang w:val="uk-UA"/>
        </w:rPr>
        <w:t xml:space="preserve">Складено на основі </w:t>
      </w:r>
      <w:r w:rsidR="005052F9" w:rsidRPr="00050F12">
        <w:rPr>
          <w:rFonts w:ascii="Times New Roman" w:hAnsi="Times New Roman"/>
          <w:sz w:val="28"/>
          <w:szCs w:val="28"/>
        </w:rPr>
        <w:t>[14],</w:t>
      </w:r>
      <w:r w:rsidRPr="0000223A">
        <w:rPr>
          <w:rFonts w:ascii="Times New Roman" w:hAnsi="Times New Roman"/>
          <w:sz w:val="28"/>
          <w:szCs w:val="28"/>
          <w:lang w:val="uk-UA"/>
        </w:rPr>
        <w:t>[</w:t>
      </w:r>
      <w:r w:rsidR="005052F9" w:rsidRPr="00050F12">
        <w:rPr>
          <w:rFonts w:ascii="Times New Roman" w:hAnsi="Times New Roman"/>
          <w:sz w:val="28"/>
          <w:szCs w:val="28"/>
        </w:rPr>
        <w:t>15</w:t>
      </w:r>
      <w:r w:rsidRPr="0000223A">
        <w:rPr>
          <w:rFonts w:ascii="Times New Roman" w:hAnsi="Times New Roman"/>
          <w:sz w:val="28"/>
          <w:szCs w:val="28"/>
          <w:lang w:val="uk-UA"/>
        </w:rPr>
        <w:t>],[</w:t>
      </w:r>
      <w:r w:rsidR="005052F9" w:rsidRPr="00050F12">
        <w:rPr>
          <w:rFonts w:ascii="Times New Roman" w:hAnsi="Times New Roman"/>
          <w:sz w:val="28"/>
          <w:szCs w:val="28"/>
        </w:rPr>
        <w:t>16</w:t>
      </w:r>
      <w:r w:rsidRPr="0000223A">
        <w:rPr>
          <w:rFonts w:ascii="Times New Roman" w:hAnsi="Times New Roman"/>
          <w:sz w:val="28"/>
          <w:szCs w:val="28"/>
          <w:lang w:val="uk-UA"/>
        </w:rPr>
        <w:t>]</w:t>
      </w:r>
      <w:r w:rsidR="004A533E" w:rsidRPr="00050F12">
        <w:rPr>
          <w:rFonts w:ascii="Times New Roman" w:hAnsi="Times New Roman"/>
          <w:sz w:val="28"/>
          <w:szCs w:val="28"/>
        </w:rPr>
        <w:t>.</w:t>
      </w:r>
    </w:p>
    <w:p w14:paraId="5A1BE47F" w14:textId="21AF63B0" w:rsidR="007D5078" w:rsidRDefault="007D5078" w:rsidP="00807D9E">
      <w:pPr>
        <w:spacing w:line="336" w:lineRule="auto"/>
        <w:jc w:val="both"/>
        <w:rPr>
          <w:rFonts w:ascii="Times New Roman" w:hAnsi="Times New Roman"/>
          <w:bCs/>
          <w:sz w:val="28"/>
          <w:szCs w:val="28"/>
          <w:lang w:val="uk-UA"/>
        </w:rPr>
      </w:pPr>
      <w:r>
        <w:rPr>
          <w:rFonts w:ascii="Times New Roman" w:hAnsi="Times New Roman"/>
          <w:bCs/>
          <w:sz w:val="28"/>
          <w:szCs w:val="28"/>
          <w:lang w:val="uk-UA"/>
        </w:rPr>
        <w:tab/>
        <w:t xml:space="preserve">Інфляція оказує вплив на всю економіку у тому числі на фондовий ринок. В Японії ситуація з інфляцією досить неоднозначна. Як </w:t>
      </w:r>
      <w:r w:rsidR="004A533E">
        <w:rPr>
          <w:rFonts w:ascii="Times New Roman" w:hAnsi="Times New Roman"/>
          <w:bCs/>
          <w:sz w:val="28"/>
          <w:szCs w:val="28"/>
          <w:lang w:val="uk-UA"/>
        </w:rPr>
        <w:t>можна</w:t>
      </w:r>
      <w:r>
        <w:rPr>
          <w:rFonts w:ascii="Times New Roman" w:hAnsi="Times New Roman"/>
          <w:bCs/>
          <w:sz w:val="28"/>
          <w:szCs w:val="28"/>
          <w:lang w:val="uk-UA"/>
        </w:rPr>
        <w:t xml:space="preserve"> бачити на представленому далі графіку</w:t>
      </w:r>
      <w:r w:rsidR="00A0245A" w:rsidRPr="00A0245A">
        <w:rPr>
          <w:rFonts w:ascii="Times New Roman" w:hAnsi="Times New Roman"/>
          <w:bCs/>
          <w:sz w:val="28"/>
          <w:szCs w:val="28"/>
        </w:rPr>
        <w:t xml:space="preserve"> 2.5</w:t>
      </w:r>
      <w:r>
        <w:rPr>
          <w:rFonts w:ascii="Times New Roman" w:hAnsi="Times New Roman"/>
          <w:bCs/>
          <w:sz w:val="28"/>
          <w:szCs w:val="28"/>
          <w:lang w:val="uk-UA"/>
        </w:rPr>
        <w:t xml:space="preserve">, інфляція в Японії у останні 30 років була чи дуже низькою, чи негативною. Може показатися що низька інфляція це добре, але занадто низька – не дуже. Це признак стагнації економіки, та спаду економічної активності. На мою думку цьому є  два головних пояснення. Перше це загальна економічна не активність Японців, як доказ можна привести відсоткові ставки за кредитами у Японії. Ці ставки досить низькі як і відсоткова ставка центрального банку, але населення все одно не охоче бере кредити, і про це свідчить інфляція, чи у цьому разі дефляція. Друга причина це старіння населення, та зниження </w:t>
      </w:r>
      <w:r w:rsidRPr="004971D1">
        <w:rPr>
          <w:rFonts w:ascii="Times New Roman" w:hAnsi="Times New Roman"/>
          <w:bCs/>
          <w:sz w:val="28"/>
          <w:szCs w:val="28"/>
          <w:lang w:val="uk-UA"/>
        </w:rPr>
        <w:t>народжуваності</w:t>
      </w:r>
      <w:r>
        <w:rPr>
          <w:rFonts w:ascii="Times New Roman" w:hAnsi="Times New Roman"/>
          <w:bCs/>
          <w:sz w:val="28"/>
          <w:szCs w:val="28"/>
          <w:lang w:val="uk-UA"/>
        </w:rPr>
        <w:t>. Кожна нова родина це потенційні споживачі та штовхачі економіки. Зменшення населення – уповільнення економіки  З цими проблемами уряд Японії продовжує боротьбу і сьогодні.</w:t>
      </w:r>
      <w:r w:rsidR="000913D3">
        <w:rPr>
          <w:rFonts w:ascii="Times New Roman" w:hAnsi="Times New Roman"/>
          <w:bCs/>
          <w:sz w:val="28"/>
          <w:szCs w:val="28"/>
          <w:lang w:val="uk-UA"/>
        </w:rPr>
        <w:t xml:space="preserve"> </w:t>
      </w:r>
      <w:r w:rsidR="000913D3">
        <w:rPr>
          <w:rFonts w:ascii="Times New Roman" w:eastAsiaTheme="minorEastAsia" w:hAnsi="Times New Roman"/>
          <w:sz w:val="28"/>
          <w:szCs w:val="28"/>
          <w:lang w:val="uk-UA" w:eastAsia="ja-JP"/>
        </w:rPr>
        <w:t xml:space="preserve">Також якщо порівнювати динаміку з індексом </w:t>
      </w:r>
      <w:r w:rsidR="000913D3">
        <w:rPr>
          <w:rFonts w:ascii="Times New Roman" w:eastAsiaTheme="minorEastAsia" w:hAnsi="Times New Roman"/>
          <w:sz w:val="28"/>
          <w:szCs w:val="28"/>
          <w:lang w:val="en-US" w:eastAsia="ja-JP"/>
        </w:rPr>
        <w:t>Nikkei</w:t>
      </w:r>
      <w:r w:rsidR="000913D3">
        <w:rPr>
          <w:rFonts w:ascii="Times New Roman" w:eastAsiaTheme="minorEastAsia" w:hAnsi="Times New Roman"/>
          <w:sz w:val="28"/>
          <w:szCs w:val="28"/>
          <w:lang w:val="uk-UA" w:eastAsia="ja-JP"/>
        </w:rPr>
        <w:t xml:space="preserve"> то можна побачити що у багатьох випадках</w:t>
      </w:r>
      <w:r w:rsidR="00312F23">
        <w:rPr>
          <w:rFonts w:ascii="Times New Roman" w:eastAsiaTheme="minorEastAsia" w:hAnsi="Times New Roman"/>
          <w:sz w:val="28"/>
          <w:szCs w:val="28"/>
          <w:lang w:val="uk-UA" w:eastAsia="ja-JP"/>
        </w:rPr>
        <w:t>, за винятком деяких періодів,</w:t>
      </w:r>
      <w:r w:rsidR="000913D3">
        <w:rPr>
          <w:rFonts w:ascii="Times New Roman" w:eastAsiaTheme="minorEastAsia" w:hAnsi="Times New Roman"/>
          <w:sz w:val="28"/>
          <w:szCs w:val="28"/>
          <w:lang w:val="uk-UA" w:eastAsia="ja-JP"/>
        </w:rPr>
        <w:t xml:space="preserve"> присутня кореляція. Таким </w:t>
      </w:r>
      <w:r w:rsidR="000913D3">
        <w:rPr>
          <w:rFonts w:ascii="Times New Roman" w:eastAsiaTheme="minorEastAsia" w:hAnsi="Times New Roman"/>
          <w:sz w:val="28"/>
          <w:szCs w:val="28"/>
          <w:lang w:val="uk-UA" w:eastAsia="ja-JP"/>
        </w:rPr>
        <w:lastRenderedPageBreak/>
        <w:t>чином можна зробити припущення що рівень інфляції має деякий вплив на фондовий індекс</w:t>
      </w:r>
      <w:r w:rsidR="000913D3" w:rsidRPr="000913D3">
        <w:rPr>
          <w:rFonts w:ascii="Times New Roman" w:eastAsiaTheme="minorEastAsia" w:hAnsi="Times New Roman"/>
          <w:sz w:val="28"/>
          <w:szCs w:val="28"/>
          <w:lang w:eastAsia="ja-JP"/>
        </w:rPr>
        <w:t xml:space="preserve"> </w:t>
      </w:r>
      <w:r w:rsidR="000913D3">
        <w:rPr>
          <w:rFonts w:ascii="Times New Roman" w:eastAsiaTheme="minorEastAsia" w:hAnsi="Times New Roman"/>
          <w:sz w:val="28"/>
          <w:szCs w:val="28"/>
          <w:lang w:val="en-US" w:eastAsia="ja-JP"/>
        </w:rPr>
        <w:t>Nikkei</w:t>
      </w:r>
      <w:r w:rsidR="000913D3">
        <w:rPr>
          <w:rFonts w:ascii="Times New Roman" w:eastAsiaTheme="minorEastAsia" w:hAnsi="Times New Roman"/>
          <w:sz w:val="28"/>
          <w:szCs w:val="28"/>
          <w:lang w:val="uk-UA" w:eastAsia="ja-JP"/>
        </w:rPr>
        <w:t>.</w:t>
      </w:r>
    </w:p>
    <w:p w14:paraId="7B19D392" w14:textId="47775814" w:rsidR="007D5078" w:rsidRDefault="00FA2BDD" w:rsidP="007D5078">
      <w:pPr>
        <w:spacing w:line="360" w:lineRule="auto"/>
        <w:ind w:firstLine="720"/>
        <w:jc w:val="both"/>
        <w:rPr>
          <w:rFonts w:ascii="Times New Roman" w:hAnsi="Times New Roman"/>
          <w:bCs/>
          <w:sz w:val="28"/>
          <w:szCs w:val="28"/>
          <w:lang w:val="uk-UA"/>
        </w:rPr>
      </w:pPr>
      <w:r>
        <w:rPr>
          <w:noProof/>
          <w:lang w:val="uk-UA" w:eastAsia="uk-UA"/>
        </w:rPr>
        <w:drawing>
          <wp:inline distT="0" distB="0" distL="0" distR="0" wp14:anchorId="487AD7C6" wp14:editId="3FF8226C">
            <wp:extent cx="5318760" cy="2720340"/>
            <wp:effectExtent l="0" t="0" r="15240" b="3810"/>
            <wp:docPr id="12" name="Chart 1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6FA1FA8-9A1B-4B31-B1C9-AA2C67D93A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8D67669" w14:textId="0B1BD887"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5</w:t>
      </w:r>
      <w:r w:rsidRPr="0000223A">
        <w:rPr>
          <w:rFonts w:ascii="Times New Roman" w:hAnsi="Times New Roman"/>
          <w:sz w:val="28"/>
          <w:szCs w:val="28"/>
          <w:lang w:val="uk-UA"/>
        </w:rPr>
        <w:t xml:space="preserve"> </w:t>
      </w:r>
      <w:r>
        <w:rPr>
          <w:rFonts w:ascii="Times New Roman" w:hAnsi="Times New Roman"/>
          <w:sz w:val="28"/>
          <w:szCs w:val="28"/>
          <w:lang w:val="uk-UA"/>
        </w:rPr>
        <w:t xml:space="preserve">Інфляція </w:t>
      </w:r>
      <w:r w:rsidRPr="0000223A">
        <w:rPr>
          <w:rFonts w:ascii="Times New Roman" w:hAnsi="Times New Roman"/>
          <w:sz w:val="28"/>
          <w:szCs w:val="28"/>
          <w:lang w:val="uk-UA"/>
        </w:rPr>
        <w:t>Японії у період 19</w:t>
      </w:r>
      <w:r>
        <w:rPr>
          <w:rFonts w:ascii="Times New Roman" w:hAnsi="Times New Roman"/>
          <w:sz w:val="28"/>
          <w:szCs w:val="28"/>
          <w:lang w:val="uk-UA"/>
        </w:rPr>
        <w:t>60</w:t>
      </w:r>
      <w:r w:rsidRPr="0000223A">
        <w:rPr>
          <w:rFonts w:ascii="Times New Roman" w:hAnsi="Times New Roman"/>
          <w:sz w:val="28"/>
          <w:szCs w:val="28"/>
          <w:lang w:val="uk-UA"/>
        </w:rPr>
        <w:t xml:space="preserve"> – 20</w:t>
      </w:r>
      <w:r>
        <w:rPr>
          <w:rFonts w:ascii="Times New Roman" w:hAnsi="Times New Roman"/>
          <w:sz w:val="28"/>
          <w:szCs w:val="28"/>
          <w:lang w:val="uk-UA"/>
        </w:rPr>
        <w:t>19</w:t>
      </w:r>
      <w:r w:rsidRPr="0000223A">
        <w:rPr>
          <w:rFonts w:ascii="Times New Roman" w:hAnsi="Times New Roman"/>
          <w:sz w:val="28"/>
          <w:szCs w:val="28"/>
          <w:lang w:val="uk-UA"/>
        </w:rPr>
        <w:t xml:space="preserve"> років </w:t>
      </w:r>
    </w:p>
    <w:p w14:paraId="4689630D" w14:textId="69DCA8B8" w:rsidR="007D5078" w:rsidRPr="00140820" w:rsidRDefault="007D5078" w:rsidP="007D5078">
      <w:pPr>
        <w:jc w:val="both"/>
        <w:rPr>
          <w:rFonts w:ascii="Times New Roman" w:hAnsi="Times New Roman"/>
          <w:sz w:val="28"/>
          <w:szCs w:val="28"/>
        </w:rPr>
      </w:pPr>
      <w:r w:rsidRPr="0000223A">
        <w:rPr>
          <w:rFonts w:ascii="Times New Roman" w:hAnsi="Times New Roman"/>
          <w:sz w:val="28"/>
          <w:szCs w:val="28"/>
          <w:lang w:val="uk-UA"/>
        </w:rPr>
        <w:t>Складено на основі [</w:t>
      </w:r>
      <w:r w:rsidR="005052F9" w:rsidRPr="00050F12">
        <w:rPr>
          <w:rFonts w:ascii="Times New Roman" w:hAnsi="Times New Roman"/>
          <w:sz w:val="28"/>
          <w:szCs w:val="28"/>
        </w:rPr>
        <w:t>14</w:t>
      </w:r>
      <w:r w:rsidRPr="0000223A">
        <w:rPr>
          <w:rFonts w:ascii="Times New Roman" w:hAnsi="Times New Roman"/>
          <w:sz w:val="28"/>
          <w:szCs w:val="28"/>
          <w:lang w:val="uk-UA"/>
        </w:rPr>
        <w:t>],[</w:t>
      </w:r>
      <w:r w:rsidR="005052F9" w:rsidRPr="00050F12">
        <w:rPr>
          <w:rFonts w:ascii="Times New Roman" w:hAnsi="Times New Roman"/>
          <w:sz w:val="28"/>
          <w:szCs w:val="28"/>
        </w:rPr>
        <w:t>15</w:t>
      </w:r>
      <w:r w:rsidRPr="0000223A">
        <w:rPr>
          <w:rFonts w:ascii="Times New Roman" w:hAnsi="Times New Roman"/>
          <w:sz w:val="28"/>
          <w:szCs w:val="28"/>
          <w:lang w:val="uk-UA"/>
        </w:rPr>
        <w:t>]</w:t>
      </w:r>
      <w:r w:rsidR="00050F12" w:rsidRPr="00140820">
        <w:rPr>
          <w:rFonts w:ascii="Times New Roman" w:hAnsi="Times New Roman"/>
          <w:sz w:val="28"/>
          <w:szCs w:val="28"/>
        </w:rPr>
        <w:t>.</w:t>
      </w:r>
    </w:p>
    <w:p w14:paraId="1FA9B973" w14:textId="59561727" w:rsidR="007D5078" w:rsidRPr="000913D3" w:rsidRDefault="007D5078" w:rsidP="007D5078">
      <w:pPr>
        <w:spacing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Прямі іноземні інвестиції мають суттєвий вплив як на фондовий ринок країни так і на економіку. Японія є розвиненою країною як в економічному так і фінансовому і технологічному плані. По мірі її більшої інтеграції у світову торгівлю зростають і інвестиції. На графіку</w:t>
      </w:r>
      <w:r w:rsidR="00A0245A" w:rsidRPr="00A0245A">
        <w:rPr>
          <w:rFonts w:ascii="Times New Roman" w:eastAsiaTheme="minorEastAsia" w:hAnsi="Times New Roman"/>
          <w:bCs/>
          <w:sz w:val="28"/>
          <w:szCs w:val="28"/>
          <w:lang w:eastAsia="ja-JP"/>
        </w:rPr>
        <w:t xml:space="preserve"> 2.6</w:t>
      </w:r>
      <w:r>
        <w:rPr>
          <w:rFonts w:ascii="Times New Roman" w:eastAsiaTheme="minorEastAsia" w:hAnsi="Times New Roman"/>
          <w:bCs/>
          <w:sz w:val="28"/>
          <w:szCs w:val="28"/>
          <w:lang w:val="uk-UA" w:eastAsia="ja-JP"/>
        </w:rPr>
        <w:t xml:space="preserve"> представленому далі можна побачити чітку зміну динаміки яка трапилась саме після кризи 1991 року. Пояснюється це тим що до цього моменту в Японії існувала негласна домовленість між крупними конгломератами кейрецу щодо виходу на Японський ринок будь яких конкурентів. З роками часи жорсткого контролю за ринком пройшли, та це у слід і відкрило дорогу іноземним інвесторам. На момент 2019 року прямі іноземні інвестиції в Японію склали 36 мільярдів доларів. </w:t>
      </w:r>
      <w:r w:rsidR="000913D3">
        <w:rPr>
          <w:rFonts w:ascii="Times New Roman" w:eastAsiaTheme="minorEastAsia" w:hAnsi="Times New Roman"/>
          <w:sz w:val="28"/>
          <w:szCs w:val="28"/>
          <w:lang w:val="uk-UA" w:eastAsia="ja-JP"/>
        </w:rPr>
        <w:t xml:space="preserve">Також якщо порівнювати динаміку з індексом </w:t>
      </w:r>
      <w:r w:rsidR="000913D3">
        <w:rPr>
          <w:rFonts w:ascii="Times New Roman" w:eastAsiaTheme="minorEastAsia" w:hAnsi="Times New Roman"/>
          <w:sz w:val="28"/>
          <w:szCs w:val="28"/>
          <w:lang w:val="en-US" w:eastAsia="ja-JP"/>
        </w:rPr>
        <w:t>Nikkei</w:t>
      </w:r>
      <w:r w:rsidR="000913D3">
        <w:rPr>
          <w:rFonts w:ascii="Times New Roman" w:eastAsiaTheme="minorEastAsia" w:hAnsi="Times New Roman"/>
          <w:sz w:val="28"/>
          <w:szCs w:val="28"/>
          <w:lang w:val="uk-UA" w:eastAsia="ja-JP"/>
        </w:rPr>
        <w:t xml:space="preserve"> то можна відмітити деякий рівень кореляції, особливо з 1999 року. Незвичайним є період з 2004 року, коли прямі іноземні інвестиції знижувалися, але динаміка </w:t>
      </w:r>
      <w:r w:rsidR="000913D3">
        <w:rPr>
          <w:rFonts w:ascii="Times New Roman" w:eastAsiaTheme="minorEastAsia" w:hAnsi="Times New Roman"/>
          <w:sz w:val="28"/>
          <w:szCs w:val="28"/>
          <w:lang w:val="en-US" w:eastAsia="ja-JP"/>
        </w:rPr>
        <w:t>Nikkei</w:t>
      </w:r>
      <w:r w:rsidR="000913D3">
        <w:rPr>
          <w:rFonts w:ascii="Times New Roman" w:eastAsiaTheme="minorEastAsia" w:hAnsi="Times New Roman"/>
          <w:sz w:val="28"/>
          <w:szCs w:val="28"/>
          <w:lang w:val="uk-UA" w:eastAsia="ja-JP"/>
        </w:rPr>
        <w:t xml:space="preserve"> </w:t>
      </w:r>
      <w:r w:rsidR="000913D3">
        <w:rPr>
          <w:rFonts w:ascii="Times New Roman" w:eastAsiaTheme="minorEastAsia" w:hAnsi="Times New Roman"/>
          <w:sz w:val="28"/>
          <w:szCs w:val="28"/>
          <w:lang w:val="uk-UA" w:eastAsia="ja-JP"/>
        </w:rPr>
        <w:lastRenderedPageBreak/>
        <w:t>була позитивною. У цьому випадку це може бути пов’язано з іншими факторами чи подіями які відбувалися саме в цей рік.</w:t>
      </w:r>
    </w:p>
    <w:p w14:paraId="4D3C2E71" w14:textId="240AD593" w:rsidR="007D5078" w:rsidRPr="00884CBB" w:rsidRDefault="00884CBB" w:rsidP="007D5078">
      <w:pPr>
        <w:spacing w:line="360" w:lineRule="auto"/>
        <w:ind w:firstLine="720"/>
        <w:jc w:val="both"/>
        <w:rPr>
          <w:rFonts w:ascii="Times New Roman" w:eastAsiaTheme="minorEastAsia" w:hAnsi="Times New Roman"/>
          <w:bCs/>
          <w:sz w:val="28"/>
          <w:szCs w:val="28"/>
          <w:lang w:val="uk-UA" w:eastAsia="ja-JP"/>
        </w:rPr>
      </w:pPr>
      <w:r>
        <w:rPr>
          <w:noProof/>
          <w:lang w:val="uk-UA" w:eastAsia="uk-UA"/>
        </w:rPr>
        <w:drawing>
          <wp:inline distT="0" distB="0" distL="0" distR="0" wp14:anchorId="4EB01D3A" wp14:editId="38946178">
            <wp:extent cx="5448300" cy="3009900"/>
            <wp:effectExtent l="0" t="0" r="0" b="0"/>
            <wp:docPr id="21" name="Chart 2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C832085-6ED4-4017-8210-EAEF00B28C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8CE91B3" w14:textId="4991A48C"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6</w:t>
      </w:r>
      <w:r w:rsidRPr="0000223A">
        <w:rPr>
          <w:rFonts w:ascii="Times New Roman" w:hAnsi="Times New Roman"/>
          <w:sz w:val="28"/>
          <w:szCs w:val="28"/>
          <w:lang w:val="uk-UA"/>
        </w:rPr>
        <w:t xml:space="preserve"> </w:t>
      </w:r>
      <w:r>
        <w:rPr>
          <w:rFonts w:ascii="Times New Roman" w:hAnsi="Times New Roman"/>
          <w:sz w:val="28"/>
          <w:szCs w:val="28"/>
          <w:lang w:val="uk-UA"/>
        </w:rPr>
        <w:t xml:space="preserve">Прямі іноземні інвестиції </w:t>
      </w:r>
      <w:r w:rsidRPr="0000223A">
        <w:rPr>
          <w:rFonts w:ascii="Times New Roman" w:hAnsi="Times New Roman"/>
          <w:sz w:val="28"/>
          <w:szCs w:val="28"/>
          <w:lang w:val="uk-UA"/>
        </w:rPr>
        <w:t>Японії у період 197</w:t>
      </w:r>
      <w:r>
        <w:rPr>
          <w:rFonts w:ascii="Times New Roman" w:hAnsi="Times New Roman"/>
          <w:sz w:val="28"/>
          <w:szCs w:val="28"/>
          <w:lang w:val="uk-UA"/>
        </w:rPr>
        <w:t>0</w:t>
      </w:r>
      <w:r w:rsidRPr="0000223A">
        <w:rPr>
          <w:rFonts w:ascii="Times New Roman" w:hAnsi="Times New Roman"/>
          <w:sz w:val="28"/>
          <w:szCs w:val="28"/>
          <w:lang w:val="uk-UA"/>
        </w:rPr>
        <w:t xml:space="preserve"> – 20</w:t>
      </w:r>
      <w:r>
        <w:rPr>
          <w:rFonts w:ascii="Times New Roman" w:hAnsi="Times New Roman"/>
          <w:sz w:val="28"/>
          <w:szCs w:val="28"/>
          <w:lang w:val="uk-UA"/>
        </w:rPr>
        <w:t>20</w:t>
      </w:r>
      <w:r w:rsidRPr="0000223A">
        <w:rPr>
          <w:rFonts w:ascii="Times New Roman" w:hAnsi="Times New Roman"/>
          <w:sz w:val="28"/>
          <w:szCs w:val="28"/>
          <w:lang w:val="uk-UA"/>
        </w:rPr>
        <w:t xml:space="preserve"> років </w:t>
      </w:r>
    </w:p>
    <w:p w14:paraId="47B8420A" w14:textId="51418FBB" w:rsidR="007D5078" w:rsidRPr="00140820"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Складено на основі [</w:t>
      </w:r>
      <w:r w:rsidR="005052F9" w:rsidRPr="00050F12">
        <w:rPr>
          <w:rFonts w:ascii="Times New Roman" w:hAnsi="Times New Roman"/>
          <w:sz w:val="28"/>
          <w:szCs w:val="28"/>
          <w:lang w:val="uk-UA"/>
        </w:rPr>
        <w:t>14</w:t>
      </w:r>
      <w:r w:rsidRPr="0000223A">
        <w:rPr>
          <w:rFonts w:ascii="Times New Roman" w:hAnsi="Times New Roman"/>
          <w:sz w:val="28"/>
          <w:szCs w:val="28"/>
          <w:lang w:val="uk-UA"/>
        </w:rPr>
        <w:t>],[</w:t>
      </w:r>
      <w:r w:rsidR="005052F9" w:rsidRPr="00050F12">
        <w:rPr>
          <w:rFonts w:ascii="Times New Roman" w:hAnsi="Times New Roman"/>
          <w:sz w:val="28"/>
          <w:szCs w:val="28"/>
          <w:lang w:val="uk-UA"/>
        </w:rPr>
        <w:t>15</w:t>
      </w:r>
      <w:r w:rsidRPr="0000223A">
        <w:rPr>
          <w:rFonts w:ascii="Times New Roman" w:hAnsi="Times New Roman"/>
          <w:sz w:val="28"/>
          <w:szCs w:val="28"/>
          <w:lang w:val="uk-UA"/>
        </w:rPr>
        <w:t>]</w:t>
      </w:r>
      <w:r w:rsidR="00050F12" w:rsidRPr="00140820">
        <w:rPr>
          <w:rFonts w:ascii="Times New Roman" w:hAnsi="Times New Roman"/>
          <w:sz w:val="28"/>
          <w:szCs w:val="28"/>
          <w:lang w:val="uk-UA"/>
        </w:rPr>
        <w:t>.</w:t>
      </w:r>
    </w:p>
    <w:p w14:paraId="242ACC76" w14:textId="54BC15BD" w:rsidR="007D5078" w:rsidRPr="006173A8" w:rsidRDefault="007D5078" w:rsidP="00964670">
      <w:pPr>
        <w:spacing w:line="384"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Після аналізу даних на прикладу графіків та більш детального розбору специфіки як Японської економічної ситуації у цілому, можна прийти до перейти до безпосередньо аналізу головного показника фондового ринка Японії – індексу </w:t>
      </w:r>
      <w:r>
        <w:rPr>
          <w:rFonts w:ascii="Times New Roman" w:eastAsiaTheme="minorEastAsia" w:hAnsi="Times New Roman"/>
          <w:bCs/>
          <w:sz w:val="28"/>
          <w:szCs w:val="28"/>
          <w:lang w:val="en-US" w:eastAsia="ja-JP"/>
        </w:rPr>
        <w:t>Nikkei</w:t>
      </w:r>
      <w:r w:rsidRPr="00436B05">
        <w:rPr>
          <w:rFonts w:ascii="Times New Roman" w:eastAsiaTheme="minorEastAsia" w:hAnsi="Times New Roman"/>
          <w:bCs/>
          <w:sz w:val="28"/>
          <w:szCs w:val="28"/>
          <w:lang w:val="uk-UA" w:eastAsia="ja-JP"/>
        </w:rPr>
        <w:t xml:space="preserve"> 225. </w:t>
      </w:r>
      <w:r>
        <w:rPr>
          <w:rFonts w:ascii="Times New Roman" w:eastAsiaTheme="minorEastAsia" w:hAnsi="Times New Roman"/>
          <w:bCs/>
          <w:sz w:val="28"/>
          <w:szCs w:val="28"/>
          <w:lang w:val="uk-UA" w:eastAsia="ja-JP"/>
        </w:rPr>
        <w:t>Цей індекс включає в себе агреговані акції 225 крупніших Японських компаній. Цей показник можна вважати індикатором стану фінансового ринку та в деякій мірі економіки країни. Далі на графіку</w:t>
      </w:r>
      <w:r w:rsidR="00676A8B">
        <w:rPr>
          <w:rFonts w:ascii="Times New Roman" w:eastAsiaTheme="minorEastAsia" w:hAnsi="Times New Roman"/>
          <w:bCs/>
          <w:sz w:val="28"/>
          <w:szCs w:val="28"/>
          <w:lang w:val="uk-UA" w:eastAsia="ja-JP"/>
        </w:rPr>
        <w:t xml:space="preserve"> 2.7</w:t>
      </w:r>
      <w:r>
        <w:rPr>
          <w:rFonts w:ascii="Times New Roman" w:eastAsiaTheme="minorEastAsia" w:hAnsi="Times New Roman"/>
          <w:bCs/>
          <w:sz w:val="28"/>
          <w:szCs w:val="28"/>
          <w:lang w:val="uk-UA" w:eastAsia="ja-JP"/>
        </w:rPr>
        <w:t xml:space="preserve"> буде представленні дані по </w:t>
      </w:r>
      <w:r>
        <w:rPr>
          <w:rFonts w:ascii="Times New Roman" w:eastAsiaTheme="minorEastAsia" w:hAnsi="Times New Roman"/>
          <w:bCs/>
          <w:sz w:val="28"/>
          <w:szCs w:val="28"/>
          <w:lang w:val="en-US" w:eastAsia="ja-JP"/>
        </w:rPr>
        <w:t>Nikkei</w:t>
      </w:r>
      <w:r w:rsidRPr="00436B05">
        <w:rPr>
          <w:rFonts w:ascii="Times New Roman" w:eastAsiaTheme="minorEastAsia" w:hAnsi="Times New Roman"/>
          <w:bCs/>
          <w:sz w:val="28"/>
          <w:szCs w:val="28"/>
          <w:lang w:eastAsia="ja-JP"/>
        </w:rPr>
        <w:t xml:space="preserve"> 225</w:t>
      </w:r>
      <w:r>
        <w:rPr>
          <w:rFonts w:ascii="Times New Roman" w:eastAsiaTheme="minorEastAsia" w:hAnsi="Times New Roman"/>
          <w:bCs/>
          <w:sz w:val="28"/>
          <w:szCs w:val="28"/>
          <w:lang w:val="uk-UA" w:eastAsia="ja-JP"/>
        </w:rPr>
        <w:t>. Важно відмітити що дані були взяти за 1 число кожного місяця в період з 1985 року по 2021. Як можна бачити на графіку індекс досяг свого піку у грудні 1989 року. Результат кризи – падіння з 38 тисяч ієн до 20 тисяч. Також на протязі наступних 10 років можна спостерігати спроби відновити докризові рівні, але динаміка спаду все ще присутня. Ситуація починає вирівнюватися тільки з 2012 року</w:t>
      </w:r>
      <w:r w:rsidRPr="00AA4719">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uk-UA" w:eastAsia="ja-JP"/>
        </w:rPr>
        <w:t xml:space="preserve">Це дуже чітко корелює з початком </w:t>
      </w:r>
      <w:r>
        <w:rPr>
          <w:rFonts w:ascii="Times New Roman" w:eastAsiaTheme="minorEastAsia" w:hAnsi="Times New Roman"/>
          <w:bCs/>
          <w:sz w:val="28"/>
          <w:szCs w:val="28"/>
          <w:lang w:val="uk-UA" w:eastAsia="ja-JP"/>
        </w:rPr>
        <w:lastRenderedPageBreak/>
        <w:t xml:space="preserve">строку прем’єр міністра Сінзо Абе. Який представив новий пакет економічних реформ під назвою Абеноміка.  Треба відмітити також момент з кризою 2020 року. Тут насамперед нема такого падіння яке відбувалось у 1990 чи у 2008, а навпаки індекс почав зростати ще більш швидкими темпами ніж у некризовий період. Це пов’язано з великою кількістю грошей які були «введені» в економіку у формі стимуляційної програми ліквідації наслідків </w:t>
      </w:r>
      <w:r>
        <w:rPr>
          <w:rFonts w:ascii="Times New Roman" w:eastAsiaTheme="minorEastAsia" w:hAnsi="Times New Roman"/>
          <w:bCs/>
          <w:sz w:val="28"/>
          <w:szCs w:val="28"/>
          <w:lang w:val="en-US" w:eastAsia="ja-JP"/>
        </w:rPr>
        <w:t>COVID</w:t>
      </w:r>
      <w:r w:rsidRPr="000A6061">
        <w:rPr>
          <w:rFonts w:ascii="Times New Roman" w:eastAsiaTheme="minorEastAsia" w:hAnsi="Times New Roman"/>
          <w:bCs/>
          <w:sz w:val="28"/>
          <w:szCs w:val="28"/>
          <w:lang w:val="uk-UA" w:eastAsia="ja-JP"/>
        </w:rPr>
        <w:t xml:space="preserve">-19. </w:t>
      </w:r>
      <w:r>
        <w:rPr>
          <w:rFonts w:ascii="Times New Roman" w:eastAsiaTheme="minorEastAsia" w:hAnsi="Times New Roman"/>
          <w:bCs/>
          <w:sz w:val="28"/>
          <w:szCs w:val="28"/>
          <w:lang w:val="uk-UA" w:eastAsia="ja-JP"/>
        </w:rPr>
        <w:t xml:space="preserve">На момент квітню 2021 року </w:t>
      </w:r>
      <w:r>
        <w:rPr>
          <w:rFonts w:ascii="Times New Roman" w:eastAsiaTheme="minorEastAsia" w:hAnsi="Times New Roman"/>
          <w:bCs/>
          <w:sz w:val="28"/>
          <w:szCs w:val="28"/>
          <w:lang w:val="en-US" w:eastAsia="ja-JP"/>
        </w:rPr>
        <w:t>Nikkei</w:t>
      </w:r>
      <w:r w:rsidRPr="000019C7">
        <w:rPr>
          <w:rFonts w:ascii="Times New Roman" w:eastAsiaTheme="minorEastAsia" w:hAnsi="Times New Roman"/>
          <w:bCs/>
          <w:sz w:val="28"/>
          <w:szCs w:val="28"/>
          <w:lang w:val="uk-UA" w:eastAsia="ja-JP"/>
        </w:rPr>
        <w:t xml:space="preserve"> 225 </w:t>
      </w:r>
      <w:r>
        <w:rPr>
          <w:rFonts w:ascii="Times New Roman" w:eastAsiaTheme="minorEastAsia" w:hAnsi="Times New Roman"/>
          <w:bCs/>
          <w:sz w:val="28"/>
          <w:szCs w:val="28"/>
          <w:lang w:val="uk-UA" w:eastAsia="ja-JP"/>
        </w:rPr>
        <w:t>має ціну 29620 ієн.</w:t>
      </w:r>
      <w:r w:rsidR="006173A8">
        <w:rPr>
          <w:rFonts w:ascii="Times New Roman" w:eastAsiaTheme="minorEastAsia" w:hAnsi="Times New Roman"/>
          <w:bCs/>
          <w:sz w:val="28"/>
          <w:szCs w:val="28"/>
          <w:lang w:val="uk-UA" w:eastAsia="ja-JP"/>
        </w:rPr>
        <w:t xml:space="preserve"> Це є досить парадоксальним, тому як країна зазнала досить серйозну кризу, ВВП знижувалося, загальна економічна активність також знижувалася. Як буде проаналізовано далі, причина таког</w:t>
      </w:r>
      <w:r w:rsidR="00676A8B">
        <w:rPr>
          <w:rFonts w:ascii="Times New Roman" w:eastAsiaTheme="minorEastAsia" w:hAnsi="Times New Roman"/>
          <w:bCs/>
          <w:sz w:val="28"/>
          <w:szCs w:val="28"/>
          <w:lang w:val="uk-UA" w:eastAsia="ja-JP"/>
        </w:rPr>
        <w:t>о зростання є велика кількість грошей які були введені в економіку для стимуляції економіки у кризовій ситуації.</w:t>
      </w:r>
    </w:p>
    <w:p w14:paraId="18F28E9B" w14:textId="77777777" w:rsidR="007D5078" w:rsidRPr="00110099" w:rsidRDefault="007D5078" w:rsidP="007D5078">
      <w:pPr>
        <w:spacing w:line="360" w:lineRule="auto"/>
        <w:ind w:firstLine="720"/>
        <w:jc w:val="both"/>
        <w:rPr>
          <w:rFonts w:ascii="Times New Roman" w:eastAsiaTheme="minorEastAsia" w:hAnsi="Times New Roman"/>
          <w:bCs/>
          <w:sz w:val="28"/>
          <w:szCs w:val="28"/>
          <w:lang w:val="uk-UA" w:eastAsia="ja-JP"/>
        </w:rPr>
      </w:pPr>
      <w:r>
        <w:rPr>
          <w:noProof/>
          <w:lang w:val="uk-UA" w:eastAsia="uk-UA"/>
        </w:rPr>
        <w:drawing>
          <wp:inline distT="0" distB="0" distL="0" distR="0" wp14:anchorId="7A62D432" wp14:editId="1737D010">
            <wp:extent cx="5090160" cy="2842260"/>
            <wp:effectExtent l="0" t="0" r="15240" b="15240"/>
            <wp:docPr id="6" name="Chart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F42CDC1-374E-461A-B813-4A020A9AC4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C558B94" w14:textId="222F0300" w:rsidR="007D5078" w:rsidRPr="0000223A"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7</w:t>
      </w:r>
      <w:r w:rsidRPr="0000223A">
        <w:rPr>
          <w:rFonts w:ascii="Times New Roman" w:hAnsi="Times New Roman"/>
          <w:sz w:val="28"/>
          <w:szCs w:val="28"/>
          <w:lang w:val="uk-UA"/>
        </w:rPr>
        <w:t xml:space="preserve"> </w:t>
      </w:r>
      <w:r>
        <w:rPr>
          <w:rFonts w:ascii="Times New Roman" w:hAnsi="Times New Roman"/>
          <w:sz w:val="28"/>
          <w:szCs w:val="28"/>
          <w:lang w:val="uk-UA"/>
        </w:rPr>
        <w:t xml:space="preserve">Ціна </w:t>
      </w:r>
      <w:r>
        <w:rPr>
          <w:rFonts w:ascii="Times New Roman" w:eastAsiaTheme="minorEastAsia" w:hAnsi="Times New Roman"/>
          <w:sz w:val="28"/>
          <w:szCs w:val="28"/>
          <w:lang w:val="en-US" w:eastAsia="ja-JP"/>
        </w:rPr>
        <w:t>Nikkei</w:t>
      </w:r>
      <w:r w:rsidRPr="00D32B94">
        <w:rPr>
          <w:rFonts w:ascii="Times New Roman" w:eastAsiaTheme="minorEastAsia" w:hAnsi="Times New Roman"/>
          <w:sz w:val="28"/>
          <w:szCs w:val="28"/>
          <w:lang w:eastAsia="ja-JP"/>
        </w:rPr>
        <w:t xml:space="preserve"> 225 </w:t>
      </w:r>
      <w:r w:rsidRPr="0000223A">
        <w:rPr>
          <w:rFonts w:ascii="Times New Roman" w:hAnsi="Times New Roman"/>
          <w:sz w:val="28"/>
          <w:szCs w:val="28"/>
          <w:lang w:val="uk-UA"/>
        </w:rPr>
        <w:t>у період 19</w:t>
      </w:r>
      <w:r>
        <w:rPr>
          <w:rFonts w:ascii="Times New Roman" w:hAnsi="Times New Roman"/>
          <w:sz w:val="28"/>
          <w:szCs w:val="28"/>
          <w:lang w:val="uk-UA"/>
        </w:rPr>
        <w:t>85</w:t>
      </w:r>
      <w:r w:rsidRPr="0000223A">
        <w:rPr>
          <w:rFonts w:ascii="Times New Roman" w:hAnsi="Times New Roman"/>
          <w:sz w:val="28"/>
          <w:szCs w:val="28"/>
          <w:lang w:val="uk-UA"/>
        </w:rPr>
        <w:t xml:space="preserve"> – 20</w:t>
      </w:r>
      <w:r>
        <w:rPr>
          <w:rFonts w:ascii="Times New Roman" w:hAnsi="Times New Roman"/>
          <w:sz w:val="28"/>
          <w:szCs w:val="28"/>
          <w:lang w:val="uk-UA"/>
        </w:rPr>
        <w:t>20</w:t>
      </w:r>
      <w:r w:rsidRPr="0000223A">
        <w:rPr>
          <w:rFonts w:ascii="Times New Roman" w:hAnsi="Times New Roman"/>
          <w:sz w:val="28"/>
          <w:szCs w:val="28"/>
          <w:lang w:val="uk-UA"/>
        </w:rPr>
        <w:t xml:space="preserve"> років </w:t>
      </w:r>
    </w:p>
    <w:p w14:paraId="53D66F51" w14:textId="4E9AE10E" w:rsidR="007D5078" w:rsidRDefault="007D5078" w:rsidP="005E13BA">
      <w:pPr>
        <w:jc w:val="both"/>
        <w:rPr>
          <w:rFonts w:ascii="Times New Roman" w:hAnsi="Times New Roman"/>
          <w:sz w:val="28"/>
          <w:szCs w:val="28"/>
        </w:rPr>
      </w:pPr>
      <w:r w:rsidRPr="0000223A">
        <w:rPr>
          <w:rFonts w:ascii="Times New Roman" w:hAnsi="Times New Roman"/>
          <w:sz w:val="28"/>
          <w:szCs w:val="28"/>
          <w:lang w:val="uk-UA"/>
        </w:rPr>
        <w:t>Складено на основі [</w:t>
      </w:r>
      <w:r w:rsidR="005052F9" w:rsidRPr="00050F12">
        <w:rPr>
          <w:rFonts w:ascii="Times New Roman" w:hAnsi="Times New Roman"/>
          <w:sz w:val="28"/>
          <w:szCs w:val="28"/>
        </w:rPr>
        <w:t>15</w:t>
      </w:r>
      <w:r w:rsidRPr="0000223A">
        <w:rPr>
          <w:rFonts w:ascii="Times New Roman" w:hAnsi="Times New Roman"/>
          <w:sz w:val="28"/>
          <w:szCs w:val="28"/>
          <w:lang w:val="uk-UA"/>
        </w:rPr>
        <w:t>]</w:t>
      </w:r>
      <w:r w:rsidR="00050F12" w:rsidRPr="00140820">
        <w:rPr>
          <w:rFonts w:ascii="Times New Roman" w:hAnsi="Times New Roman"/>
          <w:sz w:val="28"/>
          <w:szCs w:val="28"/>
        </w:rPr>
        <w:t>.</w:t>
      </w:r>
    </w:p>
    <w:p w14:paraId="26B8B76B" w14:textId="7640BE91" w:rsidR="00676A8B" w:rsidRDefault="00676A8B" w:rsidP="003C5479">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На ціну фондових активів може мати вплив багато показників, але для формування більш детального висновку у наступному підрозділі буде проведено регресійний аналіз для виявлення математично залежних факторів. </w:t>
      </w:r>
    </w:p>
    <w:p w14:paraId="2CDBBE2F" w14:textId="77777777" w:rsidR="00A0245A" w:rsidRPr="00676A8B" w:rsidRDefault="00A0245A" w:rsidP="005E13BA">
      <w:pPr>
        <w:jc w:val="both"/>
        <w:rPr>
          <w:rFonts w:ascii="Times New Roman" w:hAnsi="Times New Roman"/>
          <w:sz w:val="28"/>
          <w:szCs w:val="28"/>
          <w:lang w:val="uk-UA"/>
        </w:rPr>
      </w:pPr>
    </w:p>
    <w:p w14:paraId="16C01658" w14:textId="699991B8" w:rsidR="00A0245A" w:rsidRPr="00325A1E" w:rsidRDefault="007D5078" w:rsidP="00F700A5">
      <w:pPr>
        <w:ind w:firstLine="720"/>
        <w:jc w:val="both"/>
        <w:rPr>
          <w:rFonts w:ascii="Times New Roman" w:hAnsi="Times New Roman"/>
          <w:b/>
          <w:bCs/>
          <w:sz w:val="28"/>
          <w:szCs w:val="28"/>
          <w:lang w:val="uk-UA"/>
        </w:rPr>
      </w:pPr>
      <w:r w:rsidRPr="004B6514">
        <w:rPr>
          <w:rFonts w:ascii="Times New Roman" w:hAnsi="Times New Roman"/>
          <w:b/>
          <w:bCs/>
          <w:sz w:val="28"/>
          <w:szCs w:val="28"/>
          <w:lang w:val="uk-UA"/>
        </w:rPr>
        <w:t>2.2. Регресійний аналіз факторів</w:t>
      </w:r>
      <w:r>
        <w:rPr>
          <w:rFonts w:ascii="Times New Roman" w:hAnsi="Times New Roman"/>
          <w:b/>
          <w:bCs/>
          <w:sz w:val="28"/>
          <w:szCs w:val="28"/>
          <w:lang w:val="uk-UA"/>
        </w:rPr>
        <w:t xml:space="preserve"> впливу на Японський фондовий ринок</w:t>
      </w:r>
      <w:r w:rsidRPr="004B6514">
        <w:rPr>
          <w:rFonts w:ascii="Times New Roman" w:hAnsi="Times New Roman"/>
          <w:b/>
          <w:bCs/>
          <w:sz w:val="28"/>
          <w:szCs w:val="28"/>
          <w:lang w:val="uk-UA"/>
        </w:rPr>
        <w:t xml:space="preserve"> </w:t>
      </w:r>
    </w:p>
    <w:p w14:paraId="2122432C" w14:textId="77777777" w:rsidR="007D5078" w:rsidRDefault="007D5078" w:rsidP="007D5078">
      <w:pPr>
        <w:spacing w:line="360" w:lineRule="auto"/>
        <w:jc w:val="both"/>
        <w:rPr>
          <w:rFonts w:ascii="Times New Roman" w:eastAsiaTheme="minorEastAsia" w:hAnsi="Times New Roman"/>
          <w:bCs/>
          <w:sz w:val="28"/>
          <w:szCs w:val="28"/>
          <w:lang w:eastAsia="ja-JP"/>
        </w:rPr>
      </w:pPr>
      <w:r>
        <w:rPr>
          <w:rFonts w:ascii="Times New Roman" w:eastAsiaTheme="minorEastAsia" w:hAnsi="Times New Roman"/>
          <w:bCs/>
          <w:sz w:val="28"/>
          <w:szCs w:val="28"/>
          <w:lang w:val="uk-UA" w:eastAsia="ja-JP"/>
        </w:rPr>
        <w:tab/>
        <w:t xml:space="preserve">Провівши аналіз основних фінансових показників та подивившись на динаміку головного індексу Японії вже можна було би робити деякі висновки. Але для більш глибокого розуміння масштабу впливу різних факторів на фондовий ринок Японії буде проведений регресійний аналіз. Ціль регресійного аналізу – виявити саме фінансові та макроекономічні показники з найбільшим рівнем впливу на фондовий індекс </w:t>
      </w:r>
      <w:r>
        <w:rPr>
          <w:rFonts w:ascii="Times New Roman" w:eastAsiaTheme="minorEastAsia" w:hAnsi="Times New Roman"/>
          <w:bCs/>
          <w:sz w:val="28"/>
          <w:szCs w:val="28"/>
          <w:lang w:val="en-US" w:eastAsia="ja-JP"/>
        </w:rPr>
        <w:t>Nikkei</w:t>
      </w:r>
      <w:r w:rsidRPr="00325A1E">
        <w:rPr>
          <w:rFonts w:ascii="Times New Roman" w:eastAsiaTheme="minorEastAsia" w:hAnsi="Times New Roman"/>
          <w:bCs/>
          <w:sz w:val="28"/>
          <w:szCs w:val="28"/>
          <w:lang w:val="uk-UA" w:eastAsia="ja-JP"/>
        </w:rPr>
        <w:t xml:space="preserve"> 225. </w:t>
      </w:r>
      <w:r>
        <w:rPr>
          <w:rFonts w:ascii="Times New Roman" w:eastAsiaTheme="minorEastAsia" w:hAnsi="Times New Roman"/>
          <w:bCs/>
          <w:sz w:val="28"/>
          <w:szCs w:val="28"/>
          <w:lang w:val="uk-UA" w:eastAsia="ja-JP"/>
        </w:rPr>
        <w:t xml:space="preserve">Для аналізу будуть взяті всі попередні макроекономічні показники та сам індекс </w:t>
      </w:r>
      <w:r>
        <w:rPr>
          <w:rFonts w:ascii="Times New Roman" w:eastAsiaTheme="minorEastAsia" w:hAnsi="Times New Roman"/>
          <w:bCs/>
          <w:sz w:val="28"/>
          <w:szCs w:val="28"/>
          <w:lang w:val="en-US" w:eastAsia="ja-JP"/>
        </w:rPr>
        <w:t>Nikkei</w:t>
      </w:r>
      <w:r w:rsidRPr="00325A1E">
        <w:rPr>
          <w:rFonts w:ascii="Times New Roman" w:eastAsiaTheme="minorEastAsia" w:hAnsi="Times New Roman"/>
          <w:bCs/>
          <w:sz w:val="28"/>
          <w:szCs w:val="28"/>
          <w:lang w:eastAsia="ja-JP"/>
        </w:rPr>
        <w:t xml:space="preserve"> 225. </w:t>
      </w:r>
    </w:p>
    <w:p w14:paraId="3A77C05B" w14:textId="77777777" w:rsidR="007D5078"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Показники та їх назви у моделі:</w:t>
      </w:r>
    </w:p>
    <w:p w14:paraId="1F1B46F1" w14:textId="77777777" w:rsidR="007D5078"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Курс обміну ієни – </w:t>
      </w:r>
      <w:r>
        <w:rPr>
          <w:rFonts w:ascii="Times New Roman" w:eastAsiaTheme="minorEastAsia" w:hAnsi="Times New Roman"/>
          <w:bCs/>
          <w:sz w:val="28"/>
          <w:szCs w:val="28"/>
          <w:lang w:val="en-US" w:eastAsia="ja-JP"/>
        </w:rPr>
        <w:t>Exchange</w:t>
      </w:r>
    </w:p>
    <w:p w14:paraId="747D43E5" w14:textId="77777777" w:rsidR="007D5078" w:rsidRPr="00AA4719"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Відсоткова ставка – </w:t>
      </w:r>
      <w:r>
        <w:rPr>
          <w:rFonts w:ascii="Times New Roman" w:eastAsiaTheme="minorEastAsia" w:hAnsi="Times New Roman"/>
          <w:bCs/>
          <w:sz w:val="28"/>
          <w:szCs w:val="28"/>
          <w:lang w:val="en-US" w:eastAsia="ja-JP"/>
        </w:rPr>
        <w:t>Interest</w:t>
      </w:r>
    </w:p>
    <w:p w14:paraId="04A298D0" w14:textId="77777777" w:rsidR="007D5078" w:rsidRPr="00AA4719"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Інфляція – </w:t>
      </w:r>
      <w:r>
        <w:rPr>
          <w:rFonts w:ascii="Times New Roman" w:eastAsiaTheme="minorEastAsia" w:hAnsi="Times New Roman"/>
          <w:bCs/>
          <w:sz w:val="28"/>
          <w:szCs w:val="28"/>
          <w:lang w:val="en-US" w:eastAsia="ja-JP"/>
        </w:rPr>
        <w:t>Inflation</w:t>
      </w:r>
    </w:p>
    <w:p w14:paraId="6CCD1756" w14:textId="77777777" w:rsidR="007D5078" w:rsidRPr="00AA4719"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Державний борг –</w:t>
      </w:r>
      <w:r w:rsidRPr="00AA4719">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en-US" w:eastAsia="ja-JP"/>
        </w:rPr>
        <w:t>Debt</w:t>
      </w:r>
    </w:p>
    <w:p w14:paraId="13052BCA" w14:textId="77777777" w:rsidR="007D5078"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Прямі іноземні інвестиції – </w:t>
      </w:r>
      <w:r>
        <w:rPr>
          <w:rFonts w:ascii="Times New Roman" w:eastAsiaTheme="minorEastAsia" w:hAnsi="Times New Roman"/>
          <w:bCs/>
          <w:sz w:val="28"/>
          <w:szCs w:val="28"/>
          <w:lang w:val="en-US" w:eastAsia="ja-JP"/>
        </w:rPr>
        <w:t>FDI</w:t>
      </w:r>
    </w:p>
    <w:p w14:paraId="486DAD70" w14:textId="77777777" w:rsidR="007D5078" w:rsidRPr="00EC6703"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en-US" w:eastAsia="ja-JP"/>
        </w:rPr>
        <w:t>Nikkei</w:t>
      </w:r>
      <w:r w:rsidRPr="00EC6703">
        <w:rPr>
          <w:rFonts w:ascii="Times New Roman" w:eastAsiaTheme="minorEastAsia" w:hAnsi="Times New Roman"/>
          <w:bCs/>
          <w:sz w:val="28"/>
          <w:szCs w:val="28"/>
          <w:lang w:val="uk-UA" w:eastAsia="ja-JP"/>
        </w:rPr>
        <w:t xml:space="preserve"> 225</w:t>
      </w:r>
      <w:r>
        <w:rPr>
          <w:rFonts w:ascii="Times New Roman" w:eastAsiaTheme="minorEastAsia" w:hAnsi="Times New Roman"/>
          <w:bCs/>
          <w:sz w:val="28"/>
          <w:szCs w:val="28"/>
          <w:lang w:val="uk-UA" w:eastAsia="ja-JP"/>
        </w:rPr>
        <w:t xml:space="preserve"> як залежна змінна – </w:t>
      </w:r>
      <w:r>
        <w:rPr>
          <w:rFonts w:ascii="Times New Roman" w:eastAsiaTheme="minorEastAsia" w:hAnsi="Times New Roman"/>
          <w:bCs/>
          <w:sz w:val="28"/>
          <w:szCs w:val="28"/>
          <w:lang w:val="en-US" w:eastAsia="ja-JP"/>
        </w:rPr>
        <w:t>Nikkei</w:t>
      </w:r>
      <w:r w:rsidRPr="00EC6703">
        <w:rPr>
          <w:rFonts w:ascii="Times New Roman" w:eastAsiaTheme="minorEastAsia" w:hAnsi="Times New Roman"/>
          <w:bCs/>
          <w:sz w:val="28"/>
          <w:szCs w:val="28"/>
          <w:lang w:val="uk-UA" w:eastAsia="ja-JP"/>
        </w:rPr>
        <w:t xml:space="preserve"> </w:t>
      </w:r>
    </w:p>
    <w:p w14:paraId="32A37F59" w14:textId="77777777" w:rsidR="007D5078" w:rsidRPr="004B6514" w:rsidRDefault="007D5078" w:rsidP="007D5078">
      <w:pPr>
        <w:jc w:val="both"/>
        <w:rPr>
          <w:rFonts w:ascii="Times New Roman" w:hAnsi="Times New Roman"/>
          <w:sz w:val="28"/>
          <w:szCs w:val="28"/>
          <w:lang w:val="uk-UA"/>
        </w:rPr>
      </w:pPr>
      <w:r w:rsidRPr="004B6514">
        <w:rPr>
          <w:rFonts w:ascii="Times New Roman" w:hAnsi="Times New Roman"/>
          <w:sz w:val="28"/>
          <w:szCs w:val="28"/>
          <w:lang w:val="uk-UA"/>
        </w:rPr>
        <w:t>Далі буде проаналізовано</w:t>
      </w:r>
      <w:r>
        <w:rPr>
          <w:rFonts w:ascii="Times New Roman" w:hAnsi="Times New Roman"/>
          <w:sz w:val="28"/>
          <w:szCs w:val="28"/>
          <w:lang w:val="uk-UA"/>
        </w:rPr>
        <w:t xml:space="preserve"> отриману</w:t>
      </w:r>
      <w:r w:rsidRPr="004B6514">
        <w:rPr>
          <w:rFonts w:ascii="Times New Roman" w:hAnsi="Times New Roman"/>
          <w:sz w:val="28"/>
          <w:szCs w:val="28"/>
          <w:lang w:val="uk-UA"/>
        </w:rPr>
        <w:t xml:space="preserve"> регресійну модель. Таблиці звіту та коефіцієнтів можна переглянути в [додаток 1]. Модель складена на основі [7],[8].</w:t>
      </w:r>
    </w:p>
    <w:p w14:paraId="4559551F" w14:textId="77777777" w:rsidR="007D5078" w:rsidRPr="004B6514" w:rsidRDefault="007D5078" w:rsidP="007D5078">
      <w:pPr>
        <w:jc w:val="both"/>
        <w:rPr>
          <w:rFonts w:ascii="Times New Roman" w:hAnsi="Times New Roman"/>
          <w:sz w:val="28"/>
          <w:szCs w:val="28"/>
          <w:lang w:val="uk-UA"/>
        </w:rPr>
      </w:pPr>
      <w:r w:rsidRPr="004B6514">
        <w:rPr>
          <w:rFonts w:ascii="Times New Roman" w:hAnsi="Times New Roman"/>
          <w:sz w:val="28"/>
          <w:szCs w:val="28"/>
          <w:lang w:val="uk-UA"/>
        </w:rPr>
        <w:t>Модель передбачає, що:</w:t>
      </w:r>
    </w:p>
    <w:p w14:paraId="0F234D4C" w14:textId="77777777" w:rsidR="007D5078" w:rsidRPr="004B6514" w:rsidRDefault="007D5078" w:rsidP="007D5078">
      <w:pPr>
        <w:pStyle w:val="a3"/>
        <w:numPr>
          <w:ilvl w:val="0"/>
          <w:numId w:val="2"/>
        </w:numPr>
        <w:jc w:val="both"/>
        <w:rPr>
          <w:rFonts w:ascii="Times New Roman" w:hAnsi="Times New Roman"/>
          <w:sz w:val="28"/>
          <w:szCs w:val="28"/>
          <w:lang w:val="uk-UA"/>
        </w:rPr>
      </w:pPr>
      <w:r>
        <w:rPr>
          <w:rFonts w:ascii="Times New Roman" w:hAnsi="Times New Roman"/>
          <w:sz w:val="28"/>
          <w:szCs w:val="28"/>
          <w:lang w:val="en-US"/>
        </w:rPr>
        <w:t>Exchange</w:t>
      </w:r>
      <w:r w:rsidRPr="004B6514">
        <w:rPr>
          <w:rFonts w:ascii="Times New Roman" w:hAnsi="Times New Roman"/>
          <w:sz w:val="28"/>
          <w:szCs w:val="28"/>
          <w:lang w:val="uk-UA"/>
        </w:rPr>
        <w:t xml:space="preserve"> ↑ - </w:t>
      </w:r>
      <w:r>
        <w:rPr>
          <w:rFonts w:ascii="Times New Roman" w:eastAsiaTheme="minorEastAsia" w:hAnsi="Times New Roman"/>
          <w:bCs/>
          <w:sz w:val="28"/>
          <w:szCs w:val="28"/>
          <w:lang w:val="en-US" w:eastAsia="ja-JP"/>
        </w:rPr>
        <w:t>Nikkei</w:t>
      </w:r>
      <w:r w:rsidRPr="004B6514">
        <w:rPr>
          <w:rFonts w:ascii="Times New Roman" w:hAnsi="Times New Roman"/>
          <w:sz w:val="28"/>
          <w:szCs w:val="28"/>
          <w:lang w:val="uk-UA"/>
        </w:rPr>
        <w:t xml:space="preserve"> ↓</w:t>
      </w:r>
    </w:p>
    <w:p w14:paraId="58591794" w14:textId="77777777" w:rsidR="007D5078" w:rsidRPr="004B6514" w:rsidRDefault="007D5078" w:rsidP="007D5078">
      <w:pPr>
        <w:pStyle w:val="a3"/>
        <w:numPr>
          <w:ilvl w:val="0"/>
          <w:numId w:val="2"/>
        </w:numPr>
        <w:jc w:val="both"/>
        <w:rPr>
          <w:rFonts w:ascii="Times New Roman" w:hAnsi="Times New Roman"/>
          <w:sz w:val="28"/>
          <w:szCs w:val="28"/>
          <w:lang w:val="uk-UA"/>
        </w:rPr>
      </w:pPr>
      <w:r>
        <w:rPr>
          <w:rFonts w:ascii="Times New Roman" w:hAnsi="Times New Roman"/>
          <w:sz w:val="28"/>
          <w:szCs w:val="28"/>
          <w:lang w:val="en-US"/>
        </w:rPr>
        <w:t>Interest</w:t>
      </w:r>
      <w:r w:rsidRPr="004B6514">
        <w:rPr>
          <w:rFonts w:ascii="Times New Roman" w:hAnsi="Times New Roman"/>
          <w:sz w:val="28"/>
          <w:szCs w:val="28"/>
          <w:lang w:val="uk-UA"/>
        </w:rPr>
        <w:t xml:space="preserve"> ↑ - </w:t>
      </w:r>
      <w:r>
        <w:rPr>
          <w:rFonts w:ascii="Times New Roman" w:eastAsiaTheme="minorEastAsia" w:hAnsi="Times New Roman"/>
          <w:bCs/>
          <w:sz w:val="28"/>
          <w:szCs w:val="28"/>
          <w:lang w:val="en-US" w:eastAsia="ja-JP"/>
        </w:rPr>
        <w:t>Nikkei</w:t>
      </w:r>
      <w:r w:rsidRPr="004B6514">
        <w:rPr>
          <w:rFonts w:ascii="Times New Roman" w:hAnsi="Times New Roman"/>
          <w:sz w:val="28"/>
          <w:szCs w:val="28"/>
          <w:lang w:val="uk-UA"/>
        </w:rPr>
        <w:t xml:space="preserve"> ↓</w:t>
      </w:r>
    </w:p>
    <w:p w14:paraId="6CEA60BB" w14:textId="77777777" w:rsidR="007D5078" w:rsidRPr="004B6514" w:rsidRDefault="007D5078" w:rsidP="007D5078">
      <w:pPr>
        <w:pStyle w:val="a3"/>
        <w:numPr>
          <w:ilvl w:val="0"/>
          <w:numId w:val="2"/>
        </w:numPr>
        <w:jc w:val="both"/>
        <w:rPr>
          <w:rFonts w:ascii="Times New Roman" w:hAnsi="Times New Roman"/>
          <w:sz w:val="28"/>
          <w:szCs w:val="28"/>
          <w:lang w:val="uk-UA"/>
        </w:rPr>
      </w:pPr>
      <w:r>
        <w:rPr>
          <w:rFonts w:ascii="Times New Roman" w:hAnsi="Times New Roman"/>
          <w:sz w:val="28"/>
          <w:szCs w:val="28"/>
          <w:lang w:val="en-US"/>
        </w:rPr>
        <w:t xml:space="preserve">Inflation </w:t>
      </w:r>
      <w:r w:rsidRPr="004B6514">
        <w:rPr>
          <w:rFonts w:ascii="Times New Roman" w:hAnsi="Times New Roman"/>
          <w:sz w:val="28"/>
          <w:szCs w:val="28"/>
          <w:lang w:val="uk-UA"/>
        </w:rPr>
        <w:t xml:space="preserve">↑ - </w:t>
      </w:r>
      <w:r>
        <w:rPr>
          <w:rFonts w:ascii="Times New Roman" w:eastAsiaTheme="minorEastAsia" w:hAnsi="Times New Roman"/>
          <w:bCs/>
          <w:sz w:val="28"/>
          <w:szCs w:val="28"/>
          <w:lang w:val="en-US" w:eastAsia="ja-JP"/>
        </w:rPr>
        <w:t>Nikkei</w:t>
      </w:r>
      <w:r w:rsidRPr="004B6514">
        <w:rPr>
          <w:rFonts w:ascii="Times New Roman" w:hAnsi="Times New Roman"/>
          <w:sz w:val="28"/>
          <w:szCs w:val="28"/>
          <w:lang w:val="uk-UA"/>
        </w:rPr>
        <w:t xml:space="preserve"> ↓</w:t>
      </w:r>
    </w:p>
    <w:p w14:paraId="768DC936" w14:textId="77777777" w:rsidR="007D5078" w:rsidRDefault="007D5078" w:rsidP="007D5078">
      <w:pPr>
        <w:pStyle w:val="a3"/>
        <w:numPr>
          <w:ilvl w:val="0"/>
          <w:numId w:val="2"/>
        </w:numPr>
        <w:jc w:val="both"/>
        <w:rPr>
          <w:rFonts w:ascii="Times New Roman" w:hAnsi="Times New Roman"/>
          <w:sz w:val="28"/>
          <w:szCs w:val="28"/>
          <w:lang w:val="uk-UA"/>
        </w:rPr>
      </w:pPr>
      <w:r>
        <w:rPr>
          <w:rFonts w:ascii="Times New Roman" w:hAnsi="Times New Roman"/>
          <w:sz w:val="28"/>
          <w:szCs w:val="28"/>
          <w:lang w:val="en-US"/>
        </w:rPr>
        <w:t>Debt</w:t>
      </w:r>
      <w:r w:rsidRPr="004B6514">
        <w:rPr>
          <w:rFonts w:ascii="Times New Roman" w:hAnsi="Times New Roman"/>
          <w:sz w:val="28"/>
          <w:szCs w:val="28"/>
          <w:lang w:val="uk-UA"/>
        </w:rPr>
        <w:t xml:space="preserve"> ↑ - </w:t>
      </w:r>
      <w:r>
        <w:rPr>
          <w:rFonts w:ascii="Times New Roman" w:eastAsiaTheme="minorEastAsia" w:hAnsi="Times New Roman"/>
          <w:bCs/>
          <w:sz w:val="28"/>
          <w:szCs w:val="28"/>
          <w:lang w:val="en-US" w:eastAsia="ja-JP"/>
        </w:rPr>
        <w:t>Nikkei</w:t>
      </w:r>
      <w:r w:rsidRPr="004B6514">
        <w:rPr>
          <w:rFonts w:ascii="Times New Roman" w:hAnsi="Times New Roman"/>
          <w:sz w:val="28"/>
          <w:szCs w:val="28"/>
          <w:lang w:val="uk-UA"/>
        </w:rPr>
        <w:t xml:space="preserve"> ↓</w:t>
      </w:r>
    </w:p>
    <w:p w14:paraId="386D1062" w14:textId="77777777" w:rsidR="007D5078" w:rsidRDefault="007D5078" w:rsidP="007D5078">
      <w:pPr>
        <w:pStyle w:val="a3"/>
        <w:numPr>
          <w:ilvl w:val="0"/>
          <w:numId w:val="2"/>
        </w:numPr>
        <w:jc w:val="both"/>
        <w:rPr>
          <w:rFonts w:ascii="Times New Roman" w:hAnsi="Times New Roman"/>
          <w:sz w:val="28"/>
          <w:szCs w:val="28"/>
          <w:lang w:val="uk-UA"/>
        </w:rPr>
      </w:pPr>
      <w:r>
        <w:rPr>
          <w:rFonts w:ascii="Times New Roman" w:hAnsi="Times New Roman"/>
          <w:sz w:val="28"/>
          <w:szCs w:val="28"/>
          <w:lang w:val="en-US"/>
        </w:rPr>
        <w:lastRenderedPageBreak/>
        <w:t xml:space="preserve">FDI </w:t>
      </w:r>
      <w:r w:rsidRPr="004B6514">
        <w:rPr>
          <w:rFonts w:ascii="Times New Roman" w:hAnsi="Times New Roman"/>
          <w:sz w:val="28"/>
          <w:szCs w:val="28"/>
          <w:lang w:val="uk-UA"/>
        </w:rPr>
        <w:t xml:space="preserve">↑ - </w:t>
      </w:r>
      <w:r>
        <w:rPr>
          <w:rFonts w:ascii="Times New Roman" w:eastAsiaTheme="minorEastAsia" w:hAnsi="Times New Roman"/>
          <w:bCs/>
          <w:sz w:val="28"/>
          <w:szCs w:val="28"/>
          <w:lang w:val="en-US" w:eastAsia="ja-JP"/>
        </w:rPr>
        <w:t>Nikkei</w:t>
      </w:r>
      <w:r w:rsidRPr="004B6514">
        <w:rPr>
          <w:rFonts w:ascii="Times New Roman" w:hAnsi="Times New Roman"/>
          <w:sz w:val="28"/>
          <w:szCs w:val="28"/>
          <w:lang w:val="uk-UA"/>
        </w:rPr>
        <w:t xml:space="preserve"> ↓</w:t>
      </w:r>
    </w:p>
    <w:p w14:paraId="4B1A4B81" w14:textId="77777777" w:rsidR="007D5078" w:rsidRDefault="007D5078" w:rsidP="00F700A5">
      <w:pPr>
        <w:jc w:val="both"/>
        <w:rPr>
          <w:rFonts w:ascii="Times New Roman" w:eastAsiaTheme="minorEastAsia" w:hAnsi="Times New Roman"/>
          <w:sz w:val="28"/>
          <w:szCs w:val="28"/>
          <w:lang w:val="uk-UA" w:eastAsia="ja-JP"/>
        </w:rPr>
      </w:pPr>
      <w:r>
        <w:rPr>
          <w:rFonts w:ascii="Times New Roman" w:hAnsi="Times New Roman"/>
          <w:sz w:val="28"/>
          <w:szCs w:val="28"/>
          <w:lang w:val="uk-UA"/>
        </w:rPr>
        <w:t xml:space="preserve">Результат отриманої моделі наступний. Показники </w:t>
      </w:r>
      <w:r>
        <w:rPr>
          <w:rFonts w:ascii="Times New Roman" w:eastAsiaTheme="minorEastAsia" w:hAnsi="Times New Roman"/>
          <w:sz w:val="28"/>
          <w:szCs w:val="28"/>
          <w:lang w:val="en-US" w:eastAsia="ja-JP"/>
        </w:rPr>
        <w:t>Exchange</w:t>
      </w:r>
      <w:r w:rsidRPr="00D869E7">
        <w:rPr>
          <w:rFonts w:ascii="Times New Roman" w:eastAsiaTheme="minorEastAsia" w:hAnsi="Times New Roman"/>
          <w:sz w:val="28"/>
          <w:szCs w:val="28"/>
          <w:lang w:val="uk-UA" w:eastAsia="ja-JP"/>
        </w:rPr>
        <w:t xml:space="preserve">, </w:t>
      </w:r>
      <w:r>
        <w:rPr>
          <w:rFonts w:ascii="Times New Roman" w:eastAsiaTheme="minorEastAsia" w:hAnsi="Times New Roman"/>
          <w:sz w:val="28"/>
          <w:szCs w:val="28"/>
          <w:lang w:val="en-US" w:eastAsia="ja-JP"/>
        </w:rPr>
        <w:t>Inflation</w:t>
      </w:r>
      <w:r w:rsidRPr="00D869E7">
        <w:rPr>
          <w:rFonts w:ascii="Times New Roman" w:eastAsiaTheme="minorEastAsia" w:hAnsi="Times New Roman"/>
          <w:sz w:val="28"/>
          <w:szCs w:val="28"/>
          <w:lang w:val="uk-UA" w:eastAsia="ja-JP"/>
        </w:rPr>
        <w:t xml:space="preserve">, </w:t>
      </w:r>
      <w:r w:rsidRPr="00D869E7">
        <w:rPr>
          <w:rFonts w:ascii="Times New Roman" w:eastAsiaTheme="minorEastAsia" w:hAnsi="Times New Roman"/>
          <w:sz w:val="28"/>
          <w:szCs w:val="28"/>
          <w:lang w:val="en-US" w:eastAsia="ja-JP"/>
        </w:rPr>
        <w:t>Debt</w:t>
      </w:r>
      <w:r>
        <w:rPr>
          <w:rFonts w:ascii="Times New Roman" w:eastAsiaTheme="minorEastAsia" w:hAnsi="Times New Roman"/>
          <w:sz w:val="28"/>
          <w:szCs w:val="28"/>
          <w:lang w:val="uk-UA" w:eastAsia="ja-JP"/>
        </w:rPr>
        <w:t xml:space="preserve"> показують низький рівень </w:t>
      </w:r>
      <w:r w:rsidRPr="00D869E7">
        <w:rPr>
          <w:rFonts w:ascii="Times New Roman" w:eastAsiaTheme="minorEastAsia" w:hAnsi="Times New Roman"/>
          <w:sz w:val="28"/>
          <w:szCs w:val="28"/>
          <w:lang w:val="uk-UA" w:eastAsia="ja-JP"/>
        </w:rPr>
        <w:t>з</w:t>
      </w:r>
      <w:r>
        <w:rPr>
          <w:rFonts w:ascii="Times New Roman" w:eastAsiaTheme="minorEastAsia" w:hAnsi="Times New Roman"/>
          <w:sz w:val="28"/>
          <w:szCs w:val="28"/>
          <w:lang w:val="uk-UA" w:eastAsia="ja-JP"/>
        </w:rPr>
        <w:t>начимості. FDI та Interest мають високі показники значимості та можуть бути використанні для будування моделі.</w:t>
      </w:r>
    </w:p>
    <w:p w14:paraId="4ACF6DC7" w14:textId="4B08AF93" w:rsidR="007D5078" w:rsidRDefault="007D5078" w:rsidP="007D5078">
      <w:pPr>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Отримує</w:t>
      </w:r>
      <w:r w:rsidR="003B59DB">
        <w:rPr>
          <w:rFonts w:ascii="Times New Roman" w:eastAsiaTheme="minorEastAsia" w:hAnsi="Times New Roman"/>
          <w:sz w:val="28"/>
          <w:szCs w:val="28"/>
          <w:lang w:val="uk-UA" w:eastAsia="ja-JP"/>
        </w:rPr>
        <w:t>мо</w:t>
      </w:r>
      <w:r>
        <w:rPr>
          <w:rFonts w:ascii="Times New Roman" w:eastAsiaTheme="minorEastAsia" w:hAnsi="Times New Roman"/>
          <w:sz w:val="28"/>
          <w:szCs w:val="28"/>
          <w:lang w:val="uk-UA" w:eastAsia="ja-JP"/>
        </w:rPr>
        <w:t xml:space="preserve"> модель</w:t>
      </w:r>
      <w:r w:rsidR="00B455C7">
        <w:rPr>
          <w:rFonts w:ascii="Times New Roman" w:eastAsiaTheme="minorEastAsia" w:hAnsi="Times New Roman"/>
          <w:sz w:val="28"/>
          <w:szCs w:val="28"/>
          <w:lang w:val="uk-UA" w:eastAsia="ja-JP"/>
        </w:rPr>
        <w:t xml:space="preserve"> 1</w:t>
      </w:r>
    </w:p>
    <w:p w14:paraId="12B343F0" w14:textId="2A6F9A92" w:rsidR="007D5078" w:rsidRPr="000019C7" w:rsidRDefault="007D5078" w:rsidP="007D5078">
      <w:pPr>
        <w:spacing w:after="0" w:line="240" w:lineRule="auto"/>
        <w:rPr>
          <w:rFonts w:ascii="Times New Roman" w:eastAsiaTheme="minorEastAsia" w:hAnsi="Times New Roman"/>
          <w:sz w:val="28"/>
          <w:szCs w:val="28"/>
          <w:lang w:val="uk-UA" w:eastAsia="ja-JP"/>
        </w:rPr>
      </w:pPr>
      <w:r w:rsidRPr="007A5A4B">
        <w:rPr>
          <w:rFonts w:ascii="Times New Roman" w:hAnsi="Times New Roman"/>
          <w:sz w:val="28"/>
          <w:szCs w:val="28"/>
          <w:lang w:val="en-US"/>
        </w:rPr>
        <w:t>Nikkei</w:t>
      </w:r>
      <w:r>
        <w:rPr>
          <w:rFonts w:ascii="Times New Roman" w:hAnsi="Times New Roman"/>
          <w:sz w:val="28"/>
          <w:szCs w:val="28"/>
          <w:lang w:val="uk-UA"/>
        </w:rPr>
        <w:t xml:space="preserve"> </w:t>
      </w:r>
      <w:r w:rsidRPr="004B6514">
        <w:rPr>
          <w:rFonts w:ascii="Times New Roman" w:hAnsi="Times New Roman"/>
          <w:sz w:val="28"/>
          <w:szCs w:val="28"/>
          <w:lang w:val="uk-UA"/>
        </w:rPr>
        <w:t>= + 0</w:t>
      </w:r>
      <w:r w:rsidRPr="00AA4719">
        <w:rPr>
          <w:rFonts w:ascii="Times New Roman" w:hAnsi="Times New Roman"/>
          <w:sz w:val="28"/>
          <w:szCs w:val="28"/>
          <w:lang w:val="uk-UA"/>
        </w:rPr>
        <w:t>,758</w:t>
      </w:r>
      <w:r w:rsidRPr="004B6514">
        <w:rPr>
          <w:rFonts w:ascii="Times New Roman" w:hAnsi="Times New Roman"/>
          <w:sz w:val="28"/>
          <w:szCs w:val="28"/>
          <w:lang w:val="uk-UA"/>
        </w:rPr>
        <w:t>*</w:t>
      </w:r>
      <w:r>
        <w:rPr>
          <w:rFonts w:ascii="Times New Roman" w:hAnsi="Times New Roman"/>
          <w:sz w:val="28"/>
          <w:szCs w:val="28"/>
          <w:lang w:val="uk-UA"/>
        </w:rPr>
        <w:t>Int</w:t>
      </w:r>
      <w:r w:rsidRPr="004B6514">
        <w:rPr>
          <w:rFonts w:ascii="Times New Roman" w:hAnsi="Times New Roman"/>
          <w:sz w:val="28"/>
          <w:szCs w:val="28"/>
          <w:lang w:val="uk-UA"/>
        </w:rPr>
        <w:t xml:space="preserve"> </w:t>
      </w:r>
      <w:r>
        <w:rPr>
          <w:rFonts w:ascii="Times New Roman" w:hAnsi="Times New Roman"/>
          <w:sz w:val="28"/>
          <w:szCs w:val="28"/>
          <w:lang w:val="uk-UA"/>
        </w:rPr>
        <w:t>+ 0,385*FDI</w:t>
      </w:r>
      <w:r w:rsidR="00B61089">
        <w:rPr>
          <w:rFonts w:ascii="Times New Roman" w:hAnsi="Times New Roman"/>
          <w:sz w:val="28"/>
          <w:szCs w:val="28"/>
          <w:lang w:val="uk-UA"/>
        </w:rPr>
        <w:t>-0,349</w:t>
      </w:r>
      <w:r w:rsidR="00B61089">
        <w:rPr>
          <w:rFonts w:ascii="Times New Roman" w:eastAsiaTheme="minorEastAsia" w:hAnsi="Times New Roman"/>
          <w:sz w:val="28"/>
          <w:szCs w:val="28"/>
          <w:lang w:val="en-US" w:eastAsia="ja-JP"/>
        </w:rPr>
        <w:t>Ex</w:t>
      </w:r>
      <w:r w:rsidR="003D76A5" w:rsidRPr="000019C7">
        <w:rPr>
          <w:rFonts w:ascii="Times New Roman" w:eastAsiaTheme="minorEastAsia" w:hAnsi="Times New Roman"/>
          <w:sz w:val="28"/>
          <w:szCs w:val="28"/>
          <w:lang w:val="uk-UA" w:eastAsia="ja-JP"/>
        </w:rPr>
        <w:t>-</w:t>
      </w:r>
      <w:r w:rsidR="00780364">
        <w:rPr>
          <w:rFonts w:ascii="Times New Roman" w:eastAsiaTheme="minorEastAsia" w:hAnsi="Times New Roman"/>
          <w:sz w:val="28"/>
          <w:szCs w:val="28"/>
          <w:lang w:val="uk-UA" w:eastAsia="ja-JP"/>
        </w:rPr>
        <w:t>0</w:t>
      </w:r>
      <w:r w:rsidR="003D76A5">
        <w:rPr>
          <w:rFonts w:ascii="Times New Roman" w:eastAsiaTheme="minorEastAsia" w:hAnsi="Times New Roman"/>
          <w:sz w:val="28"/>
          <w:szCs w:val="28"/>
          <w:lang w:val="uk-UA" w:eastAsia="ja-JP"/>
        </w:rPr>
        <w:t>,768</w:t>
      </w:r>
      <w:r w:rsidR="00524CC0">
        <w:rPr>
          <w:rFonts w:ascii="Times New Roman" w:eastAsiaTheme="minorEastAsia" w:hAnsi="Times New Roman"/>
          <w:sz w:val="28"/>
          <w:szCs w:val="28"/>
          <w:lang w:val="en-US" w:eastAsia="ja-JP"/>
        </w:rPr>
        <w:t>Inf</w:t>
      </w:r>
      <w:r w:rsidR="00524CC0" w:rsidRPr="000019C7">
        <w:rPr>
          <w:rFonts w:ascii="Times New Roman" w:eastAsiaTheme="minorEastAsia" w:hAnsi="Times New Roman"/>
          <w:sz w:val="28"/>
          <w:szCs w:val="28"/>
          <w:lang w:val="uk-UA" w:eastAsia="ja-JP"/>
        </w:rPr>
        <w:t>-0,819</w:t>
      </w:r>
      <w:r w:rsidR="00524CC0">
        <w:rPr>
          <w:rFonts w:ascii="Times New Roman" w:eastAsiaTheme="minorEastAsia" w:hAnsi="Times New Roman"/>
          <w:sz w:val="28"/>
          <w:szCs w:val="28"/>
          <w:lang w:val="en-US" w:eastAsia="ja-JP"/>
        </w:rPr>
        <w:t>Debt</w:t>
      </w:r>
    </w:p>
    <w:p w14:paraId="0241FD19" w14:textId="1CD94DB7" w:rsidR="007D5078" w:rsidRDefault="007D5078" w:rsidP="007D5078">
      <w:pPr>
        <w:spacing w:after="0" w:line="240" w:lineRule="auto"/>
        <w:ind w:firstLine="567"/>
        <w:rPr>
          <w:rFonts w:ascii="Times New Roman" w:hAnsi="Times New Roman"/>
          <w:sz w:val="28"/>
          <w:szCs w:val="28"/>
          <w:lang w:val="uk-UA"/>
        </w:rPr>
      </w:pPr>
      <w:r w:rsidRPr="004B6514">
        <w:rPr>
          <w:rFonts w:ascii="Times New Roman" w:hAnsi="Times New Roman"/>
          <w:sz w:val="28"/>
          <w:szCs w:val="28"/>
          <w:lang w:val="uk-UA"/>
        </w:rPr>
        <w:t xml:space="preserve">         (</w:t>
      </w:r>
      <w:r>
        <w:rPr>
          <w:rFonts w:ascii="Times New Roman" w:hAnsi="Times New Roman"/>
          <w:sz w:val="28"/>
          <w:szCs w:val="28"/>
          <w:lang w:val="uk-UA"/>
        </w:rPr>
        <w:t>1,942*</w:t>
      </w:r>
      <w:r w:rsidRPr="004B6514">
        <w:rPr>
          <w:rFonts w:ascii="Times New Roman" w:hAnsi="Times New Roman"/>
          <w:sz w:val="28"/>
          <w:szCs w:val="28"/>
          <w:lang w:val="uk-UA"/>
        </w:rPr>
        <w:t xml:space="preserve">)     </w:t>
      </w:r>
      <w:r>
        <w:rPr>
          <w:rFonts w:ascii="Times New Roman" w:hAnsi="Times New Roman"/>
          <w:sz w:val="28"/>
          <w:szCs w:val="28"/>
          <w:lang w:val="uk-UA"/>
        </w:rPr>
        <w:t xml:space="preserve">   </w:t>
      </w:r>
      <w:r w:rsidRPr="004B6514">
        <w:rPr>
          <w:rFonts w:ascii="Times New Roman" w:hAnsi="Times New Roman"/>
          <w:sz w:val="28"/>
          <w:szCs w:val="28"/>
          <w:lang w:val="uk-UA"/>
        </w:rPr>
        <w:t xml:space="preserve"> (2</w:t>
      </w:r>
      <w:r w:rsidRPr="00AA4719">
        <w:rPr>
          <w:rFonts w:ascii="Times New Roman" w:hAnsi="Times New Roman"/>
          <w:sz w:val="28"/>
          <w:szCs w:val="28"/>
          <w:lang w:val="uk-UA"/>
        </w:rPr>
        <w:t>,</w:t>
      </w:r>
      <w:r>
        <w:rPr>
          <w:rFonts w:ascii="Times New Roman" w:hAnsi="Times New Roman"/>
          <w:sz w:val="28"/>
          <w:szCs w:val="28"/>
          <w:lang w:val="uk-UA"/>
        </w:rPr>
        <w:t>004</w:t>
      </w:r>
      <w:r w:rsidRPr="004B6514">
        <w:rPr>
          <w:rFonts w:ascii="Times New Roman" w:hAnsi="Times New Roman"/>
          <w:sz w:val="28"/>
          <w:szCs w:val="28"/>
          <w:lang w:val="uk-UA"/>
        </w:rPr>
        <w:t xml:space="preserve">**)  </w:t>
      </w:r>
      <w:r w:rsidR="00524CC0" w:rsidRPr="000019C7">
        <w:rPr>
          <w:rFonts w:ascii="Times New Roman" w:hAnsi="Times New Roman"/>
          <w:sz w:val="28"/>
          <w:szCs w:val="28"/>
          <w:lang w:val="uk-UA"/>
        </w:rPr>
        <w:t>(-1,567)  (-0,786)  (-0.819)</w:t>
      </w:r>
      <w:r w:rsidRPr="004B6514">
        <w:rPr>
          <w:rFonts w:ascii="Times New Roman" w:hAnsi="Times New Roman"/>
          <w:sz w:val="28"/>
          <w:szCs w:val="28"/>
          <w:lang w:val="uk-UA"/>
        </w:rPr>
        <w:t xml:space="preserve">  </w:t>
      </w:r>
    </w:p>
    <w:p w14:paraId="38975052" w14:textId="77777777" w:rsidR="007D5078" w:rsidRDefault="007D5078" w:rsidP="007D5078">
      <w:pPr>
        <w:spacing w:after="0" w:line="240" w:lineRule="auto"/>
        <w:ind w:firstLine="567"/>
        <w:rPr>
          <w:rFonts w:ascii="Times New Roman" w:hAnsi="Times New Roman"/>
          <w:sz w:val="28"/>
          <w:szCs w:val="28"/>
          <w:lang w:val="uk-UA"/>
        </w:rPr>
      </w:pPr>
    </w:p>
    <w:p w14:paraId="1FF12206" w14:textId="77777777" w:rsidR="007D5078" w:rsidRDefault="007D5078" w:rsidP="007D5078">
      <w:pPr>
        <w:spacing w:after="0" w:line="360" w:lineRule="auto"/>
        <w:ind w:firstLine="567"/>
        <w:rPr>
          <w:rFonts w:ascii="Times New Roman" w:hAnsi="Times New Roman"/>
          <w:sz w:val="28"/>
          <w:szCs w:val="28"/>
          <w:lang w:val="uk-UA"/>
        </w:rPr>
      </w:pPr>
      <w:r>
        <w:rPr>
          <w:rFonts w:ascii="Times New Roman" w:hAnsi="Times New Roman"/>
          <w:sz w:val="28"/>
          <w:szCs w:val="28"/>
          <w:lang w:val="uk-UA"/>
        </w:rPr>
        <w:t xml:space="preserve">Згідно цієї моделі </w:t>
      </w:r>
    </w:p>
    <w:p w14:paraId="00B30E8F" w14:textId="77777777" w:rsidR="007D5078" w:rsidRDefault="007D5078" w:rsidP="007D5078">
      <w:pPr>
        <w:spacing w:after="0" w:line="360" w:lineRule="auto"/>
        <w:jc w:val="both"/>
        <w:rPr>
          <w:rFonts w:ascii="Times New Roman" w:hAnsi="Times New Roman"/>
          <w:sz w:val="28"/>
          <w:szCs w:val="28"/>
          <w:lang w:val="uk-UA"/>
        </w:rPr>
      </w:pPr>
      <w:r w:rsidRPr="003F779C">
        <w:rPr>
          <w:rFonts w:ascii="Times New Roman" w:hAnsi="Times New Roman"/>
          <w:sz w:val="28"/>
          <w:szCs w:val="28"/>
          <w:lang w:val="uk-UA"/>
        </w:rPr>
        <w:t>1.</w:t>
      </w:r>
      <w:r>
        <w:rPr>
          <w:rFonts w:ascii="Times New Roman" w:hAnsi="Times New Roman"/>
          <w:sz w:val="28"/>
          <w:szCs w:val="28"/>
          <w:lang w:val="uk-UA"/>
        </w:rPr>
        <w:t xml:space="preserve"> </w:t>
      </w:r>
      <w:r w:rsidRPr="004B6514">
        <w:rPr>
          <w:rFonts w:ascii="Times New Roman" w:hAnsi="Times New Roman"/>
          <w:sz w:val="28"/>
          <w:szCs w:val="28"/>
          <w:lang w:val="uk-UA"/>
        </w:rPr>
        <w:t xml:space="preserve">Збільшення </w:t>
      </w:r>
      <w:r>
        <w:rPr>
          <w:rFonts w:ascii="Times New Roman" w:hAnsi="Times New Roman"/>
          <w:sz w:val="28"/>
          <w:szCs w:val="28"/>
          <w:lang w:val="uk-UA"/>
        </w:rPr>
        <w:t xml:space="preserve">відсоткової ставки </w:t>
      </w:r>
      <w:r w:rsidRPr="004B6514">
        <w:rPr>
          <w:rFonts w:ascii="Times New Roman" w:hAnsi="Times New Roman"/>
          <w:sz w:val="28"/>
          <w:szCs w:val="28"/>
          <w:lang w:val="uk-UA"/>
        </w:rPr>
        <w:t xml:space="preserve">в </w:t>
      </w:r>
      <w:r>
        <w:rPr>
          <w:rFonts w:ascii="Times New Roman" w:hAnsi="Times New Roman"/>
          <w:sz w:val="28"/>
          <w:szCs w:val="28"/>
          <w:lang w:val="uk-UA"/>
        </w:rPr>
        <w:t xml:space="preserve">Японії </w:t>
      </w:r>
      <w:r w:rsidRPr="004B6514">
        <w:rPr>
          <w:rFonts w:ascii="Times New Roman" w:hAnsi="Times New Roman"/>
          <w:sz w:val="28"/>
          <w:szCs w:val="28"/>
          <w:lang w:val="uk-UA"/>
        </w:rPr>
        <w:t xml:space="preserve">на 1 стандартне відхилення, при сталості інших факторів, призведе до збільшення </w:t>
      </w:r>
      <w:r>
        <w:rPr>
          <w:rFonts w:ascii="Times New Roman" w:hAnsi="Times New Roman"/>
          <w:sz w:val="28"/>
          <w:szCs w:val="28"/>
          <w:lang w:val="uk-UA"/>
        </w:rPr>
        <w:t xml:space="preserve">вартості </w:t>
      </w:r>
      <w:r>
        <w:rPr>
          <w:rFonts w:ascii="Times New Roman" w:hAnsi="Times New Roman"/>
          <w:sz w:val="28"/>
          <w:szCs w:val="28"/>
          <w:lang w:val="en-US"/>
        </w:rPr>
        <w:t>Nikkei</w:t>
      </w:r>
      <w:r w:rsidRPr="003F779C">
        <w:rPr>
          <w:rFonts w:ascii="Times New Roman" w:hAnsi="Times New Roman"/>
          <w:sz w:val="28"/>
          <w:szCs w:val="28"/>
          <w:lang w:val="uk-UA"/>
        </w:rPr>
        <w:t xml:space="preserve"> </w:t>
      </w:r>
      <w:r w:rsidRPr="004B6514">
        <w:rPr>
          <w:rFonts w:ascii="Times New Roman" w:hAnsi="Times New Roman"/>
          <w:sz w:val="28"/>
          <w:szCs w:val="28"/>
          <w:lang w:val="uk-UA"/>
        </w:rPr>
        <w:t>на 0</w:t>
      </w:r>
      <w:r>
        <w:rPr>
          <w:rFonts w:ascii="Times New Roman" w:hAnsi="Times New Roman"/>
          <w:sz w:val="28"/>
          <w:szCs w:val="28"/>
          <w:lang w:val="uk-UA"/>
        </w:rPr>
        <w:t>,758</w:t>
      </w:r>
      <w:r w:rsidRPr="004B6514">
        <w:rPr>
          <w:rFonts w:ascii="Times New Roman" w:hAnsi="Times New Roman"/>
          <w:sz w:val="28"/>
          <w:szCs w:val="28"/>
          <w:lang w:val="uk-UA"/>
        </w:rPr>
        <w:t xml:space="preserve"> стандартного відхилення.</w:t>
      </w:r>
      <w:r>
        <w:rPr>
          <w:rFonts w:ascii="Times New Roman" w:hAnsi="Times New Roman"/>
          <w:sz w:val="28"/>
          <w:szCs w:val="28"/>
          <w:lang w:val="uk-UA"/>
        </w:rPr>
        <w:t xml:space="preserve"> Це може показатися не логічним, але якщо згадати попередні графіки а саме період кризи, коли відсоткова ставка після різкого підйому знижалась, але індекси продовжували падіння. Це вказує на те що не завжди традиційні фінансові інструменти мають бажаний вплив особливо коли мова їде про фондовий ринок.</w:t>
      </w:r>
    </w:p>
    <w:p w14:paraId="70423746" w14:textId="0B6A1593" w:rsidR="007D5078" w:rsidRDefault="007D5078" w:rsidP="007D5078">
      <w:pPr>
        <w:spacing w:after="0" w:line="360" w:lineRule="auto"/>
        <w:jc w:val="both"/>
        <w:rPr>
          <w:rFonts w:ascii="Times New Roman" w:hAnsi="Times New Roman"/>
          <w:sz w:val="28"/>
          <w:szCs w:val="28"/>
          <w:lang w:val="uk-UA"/>
        </w:rPr>
      </w:pPr>
      <w:r>
        <w:rPr>
          <w:rFonts w:ascii="Times New Roman" w:hAnsi="Times New Roman"/>
          <w:sz w:val="28"/>
          <w:szCs w:val="28"/>
          <w:lang w:val="uk-UA"/>
        </w:rPr>
        <w:t>2. Збільшення прями</w:t>
      </w:r>
      <w:r w:rsidR="006173A8">
        <w:rPr>
          <w:rFonts w:ascii="Times New Roman" w:hAnsi="Times New Roman"/>
          <w:sz w:val="28"/>
          <w:szCs w:val="28"/>
          <w:lang w:val="uk-UA"/>
        </w:rPr>
        <w:t>х</w:t>
      </w:r>
      <w:r>
        <w:rPr>
          <w:rFonts w:ascii="Times New Roman" w:hAnsi="Times New Roman"/>
          <w:sz w:val="28"/>
          <w:szCs w:val="28"/>
          <w:lang w:val="uk-UA"/>
        </w:rPr>
        <w:t xml:space="preserve"> іноземних інвестицій </w:t>
      </w:r>
      <w:r w:rsidRPr="004B6514">
        <w:rPr>
          <w:rFonts w:ascii="Times New Roman" w:hAnsi="Times New Roman"/>
          <w:sz w:val="28"/>
          <w:szCs w:val="28"/>
          <w:lang w:val="uk-UA"/>
        </w:rPr>
        <w:t xml:space="preserve">в </w:t>
      </w:r>
      <w:r>
        <w:rPr>
          <w:rFonts w:ascii="Times New Roman" w:hAnsi="Times New Roman"/>
          <w:sz w:val="28"/>
          <w:szCs w:val="28"/>
          <w:lang w:val="uk-UA"/>
        </w:rPr>
        <w:t xml:space="preserve">Японії </w:t>
      </w:r>
      <w:r w:rsidRPr="004B6514">
        <w:rPr>
          <w:rFonts w:ascii="Times New Roman" w:hAnsi="Times New Roman"/>
          <w:sz w:val="28"/>
          <w:szCs w:val="28"/>
          <w:lang w:val="uk-UA"/>
        </w:rPr>
        <w:t xml:space="preserve">на 1 стандартне відхилення, при сталості інших факторів, призведе до збільшення </w:t>
      </w:r>
      <w:r>
        <w:rPr>
          <w:rFonts w:ascii="Times New Roman" w:hAnsi="Times New Roman"/>
          <w:sz w:val="28"/>
          <w:szCs w:val="28"/>
          <w:lang w:val="uk-UA"/>
        </w:rPr>
        <w:t xml:space="preserve">вартості </w:t>
      </w:r>
      <w:r>
        <w:rPr>
          <w:rFonts w:ascii="Times New Roman" w:hAnsi="Times New Roman"/>
          <w:sz w:val="28"/>
          <w:szCs w:val="28"/>
          <w:lang w:val="en-US"/>
        </w:rPr>
        <w:t>Nikkei</w:t>
      </w:r>
      <w:r w:rsidRPr="003F779C">
        <w:rPr>
          <w:rFonts w:ascii="Times New Roman" w:hAnsi="Times New Roman"/>
          <w:sz w:val="28"/>
          <w:szCs w:val="28"/>
          <w:lang w:val="uk-UA"/>
        </w:rPr>
        <w:t xml:space="preserve"> </w:t>
      </w:r>
      <w:r w:rsidRPr="004B6514">
        <w:rPr>
          <w:rFonts w:ascii="Times New Roman" w:hAnsi="Times New Roman"/>
          <w:sz w:val="28"/>
          <w:szCs w:val="28"/>
          <w:lang w:val="uk-UA"/>
        </w:rPr>
        <w:t>на</w:t>
      </w:r>
      <w:r>
        <w:rPr>
          <w:rFonts w:ascii="Times New Roman" w:hAnsi="Times New Roman"/>
          <w:sz w:val="28"/>
          <w:szCs w:val="28"/>
          <w:lang w:val="uk-UA"/>
        </w:rPr>
        <w:t xml:space="preserve"> 0,385 стандартного відхилення. Це єдиний показник який має логічний вплив на фондовий ринок Японії з усієї вибірки. </w:t>
      </w:r>
    </w:p>
    <w:p w14:paraId="374F6288" w14:textId="77777777" w:rsidR="007D5078" w:rsidRDefault="007D5078" w:rsidP="007D5078">
      <w:pPr>
        <w:spacing w:after="0" w:line="360" w:lineRule="auto"/>
        <w:ind w:firstLine="567"/>
        <w:jc w:val="both"/>
        <w:rPr>
          <w:rFonts w:ascii="Times New Roman" w:eastAsiaTheme="minorEastAsia" w:hAnsi="Times New Roman"/>
          <w:sz w:val="28"/>
          <w:szCs w:val="28"/>
          <w:lang w:val="uk-UA" w:eastAsia="ja-JP"/>
        </w:rPr>
      </w:pPr>
      <w:r>
        <w:rPr>
          <w:rFonts w:ascii="Times New Roman" w:hAnsi="Times New Roman"/>
          <w:sz w:val="28"/>
          <w:szCs w:val="28"/>
          <w:lang w:val="uk-UA"/>
        </w:rPr>
        <w:t>Для більшої достовірності було проведено ще декілька спроб будови моделі але з меншою кількістю незалежних. (додаток 2)</w:t>
      </w:r>
    </w:p>
    <w:p w14:paraId="7B83C236" w14:textId="77777777" w:rsidR="007D5078" w:rsidRDefault="007D5078" w:rsidP="007D5078">
      <w:pPr>
        <w:spacing w:after="0" w:line="360" w:lineRule="auto"/>
        <w:ind w:firstLine="567"/>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Так наприклад при будуванні однолінійної регресійної моделі, суттєвий вплив показав «борг до ВВП». </w:t>
      </w:r>
    </w:p>
    <w:p w14:paraId="08BE8469" w14:textId="6AC1FF3E" w:rsidR="007D5078" w:rsidRDefault="00B455C7" w:rsidP="007D5078">
      <w:pPr>
        <w:spacing w:after="0" w:line="360" w:lineRule="auto"/>
        <w:ind w:firstLine="567"/>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Модель 2</w:t>
      </w:r>
      <w:r w:rsidR="007D5078">
        <w:rPr>
          <w:rFonts w:ascii="Times New Roman" w:eastAsiaTheme="minorEastAsia" w:hAnsi="Times New Roman"/>
          <w:sz w:val="28"/>
          <w:szCs w:val="28"/>
          <w:lang w:val="uk-UA" w:eastAsia="ja-JP"/>
        </w:rPr>
        <w:t>:</w:t>
      </w:r>
    </w:p>
    <w:p w14:paraId="0FEA6E1D" w14:textId="77777777" w:rsidR="007D5078" w:rsidRDefault="007D5078" w:rsidP="007D5078">
      <w:pPr>
        <w:spacing w:after="0" w:line="360" w:lineRule="auto"/>
        <w:ind w:firstLine="567"/>
        <w:jc w:val="both"/>
        <w:rPr>
          <w:rFonts w:ascii="Times New Roman" w:eastAsiaTheme="minorEastAsia" w:hAnsi="Times New Roman"/>
          <w:sz w:val="28"/>
          <w:szCs w:val="28"/>
          <w:lang w:val="uk-UA" w:eastAsia="ja-JP"/>
        </w:rPr>
      </w:pPr>
    </w:p>
    <w:p w14:paraId="2F8F0A54" w14:textId="77777777" w:rsidR="007D5078" w:rsidRPr="004B6514" w:rsidRDefault="007D5078" w:rsidP="007D5078">
      <w:pPr>
        <w:spacing w:after="0" w:line="240" w:lineRule="auto"/>
        <w:rPr>
          <w:rFonts w:ascii="Times New Roman" w:hAnsi="Times New Roman"/>
          <w:sz w:val="28"/>
          <w:szCs w:val="28"/>
          <w:lang w:val="uk-UA"/>
        </w:rPr>
      </w:pPr>
      <w:r>
        <w:rPr>
          <w:rFonts w:ascii="Times New Roman" w:eastAsiaTheme="minorEastAsia" w:hAnsi="Times New Roman"/>
          <w:sz w:val="28"/>
          <w:szCs w:val="28"/>
          <w:lang w:val="uk-UA" w:eastAsia="ja-JP"/>
        </w:rPr>
        <w:t xml:space="preserve"> </w:t>
      </w:r>
      <w:r w:rsidRPr="007A5A4B">
        <w:rPr>
          <w:rFonts w:ascii="Times New Roman" w:hAnsi="Times New Roman"/>
          <w:sz w:val="28"/>
          <w:szCs w:val="28"/>
          <w:lang w:val="en-US"/>
        </w:rPr>
        <w:t>Nikkei</w:t>
      </w:r>
      <w:r>
        <w:rPr>
          <w:rFonts w:ascii="Times New Roman" w:hAnsi="Times New Roman"/>
          <w:sz w:val="28"/>
          <w:szCs w:val="28"/>
          <w:lang w:val="uk-UA"/>
        </w:rPr>
        <w:t xml:space="preserve"> </w:t>
      </w:r>
      <w:r w:rsidRPr="004B6514">
        <w:rPr>
          <w:rFonts w:ascii="Times New Roman" w:hAnsi="Times New Roman"/>
          <w:sz w:val="28"/>
          <w:szCs w:val="28"/>
          <w:lang w:val="uk-UA"/>
        </w:rPr>
        <w:t xml:space="preserve">= </w:t>
      </w:r>
      <w:r>
        <w:rPr>
          <w:rFonts w:ascii="Times New Roman" w:hAnsi="Times New Roman"/>
          <w:sz w:val="28"/>
          <w:szCs w:val="28"/>
          <w:lang w:val="uk-UA"/>
        </w:rPr>
        <w:t xml:space="preserve">- </w:t>
      </w:r>
      <w:r w:rsidRPr="004B6514">
        <w:rPr>
          <w:rFonts w:ascii="Times New Roman" w:hAnsi="Times New Roman"/>
          <w:sz w:val="28"/>
          <w:szCs w:val="28"/>
          <w:lang w:val="uk-UA"/>
        </w:rPr>
        <w:t>0</w:t>
      </w:r>
      <w:r w:rsidRPr="006308B0">
        <w:rPr>
          <w:rFonts w:ascii="Times New Roman" w:hAnsi="Times New Roman"/>
          <w:sz w:val="28"/>
          <w:szCs w:val="28"/>
          <w:lang w:val="uk-UA"/>
        </w:rPr>
        <w:t>,467</w:t>
      </w:r>
      <w:r w:rsidRPr="004B6514">
        <w:rPr>
          <w:rFonts w:ascii="Times New Roman" w:hAnsi="Times New Roman"/>
          <w:sz w:val="28"/>
          <w:szCs w:val="28"/>
          <w:lang w:val="uk-UA"/>
        </w:rPr>
        <w:t>*</w:t>
      </w:r>
      <w:r>
        <w:rPr>
          <w:rFonts w:ascii="Times New Roman" w:hAnsi="Times New Roman"/>
          <w:sz w:val="28"/>
          <w:szCs w:val="28"/>
          <w:lang w:val="en-US"/>
        </w:rPr>
        <w:t>Debt</w:t>
      </w:r>
      <w:r w:rsidRPr="004B6514">
        <w:rPr>
          <w:rFonts w:ascii="Times New Roman" w:hAnsi="Times New Roman"/>
          <w:sz w:val="28"/>
          <w:szCs w:val="28"/>
          <w:lang w:val="uk-UA"/>
        </w:rPr>
        <w:t xml:space="preserve"> </w:t>
      </w:r>
    </w:p>
    <w:p w14:paraId="1D8C1069" w14:textId="77777777" w:rsidR="007D5078" w:rsidRDefault="007D5078" w:rsidP="007D5078">
      <w:pPr>
        <w:spacing w:after="0" w:line="240" w:lineRule="auto"/>
        <w:ind w:firstLine="567"/>
        <w:rPr>
          <w:rFonts w:ascii="Times New Roman" w:hAnsi="Times New Roman"/>
          <w:sz w:val="28"/>
          <w:szCs w:val="28"/>
          <w:lang w:val="uk-UA"/>
        </w:rPr>
      </w:pPr>
      <w:r w:rsidRPr="004B6514">
        <w:rPr>
          <w:rFonts w:ascii="Times New Roman" w:hAnsi="Times New Roman"/>
          <w:sz w:val="28"/>
          <w:szCs w:val="28"/>
          <w:lang w:val="uk-UA"/>
        </w:rPr>
        <w:t xml:space="preserve">         (</w:t>
      </w:r>
      <w:r>
        <w:rPr>
          <w:rFonts w:ascii="Times New Roman" w:hAnsi="Times New Roman"/>
          <w:sz w:val="28"/>
          <w:szCs w:val="28"/>
          <w:lang w:val="uk-UA"/>
        </w:rPr>
        <w:t>-1,942***</w:t>
      </w:r>
      <w:r w:rsidRPr="004B6514">
        <w:rPr>
          <w:rFonts w:ascii="Times New Roman" w:hAnsi="Times New Roman"/>
          <w:sz w:val="28"/>
          <w:szCs w:val="28"/>
          <w:lang w:val="uk-UA"/>
        </w:rPr>
        <w:t xml:space="preserve">)     </w:t>
      </w:r>
      <w:r>
        <w:rPr>
          <w:rFonts w:ascii="Times New Roman" w:hAnsi="Times New Roman"/>
          <w:sz w:val="28"/>
          <w:szCs w:val="28"/>
          <w:lang w:val="uk-UA"/>
        </w:rPr>
        <w:t xml:space="preserve">   </w:t>
      </w:r>
      <w:r w:rsidRPr="004B6514">
        <w:rPr>
          <w:rFonts w:ascii="Times New Roman" w:hAnsi="Times New Roman"/>
          <w:sz w:val="28"/>
          <w:szCs w:val="28"/>
          <w:lang w:val="uk-UA"/>
        </w:rPr>
        <w:t xml:space="preserve"> </w:t>
      </w:r>
    </w:p>
    <w:p w14:paraId="215E4218" w14:textId="77777777" w:rsidR="007D5078" w:rsidRDefault="007D5078" w:rsidP="007D5078">
      <w:pPr>
        <w:spacing w:after="0" w:line="360" w:lineRule="auto"/>
        <w:jc w:val="both"/>
        <w:rPr>
          <w:rFonts w:ascii="Times New Roman" w:hAnsi="Times New Roman"/>
          <w:sz w:val="28"/>
          <w:szCs w:val="28"/>
          <w:lang w:val="uk-UA"/>
        </w:rPr>
      </w:pPr>
    </w:p>
    <w:p w14:paraId="381A642B" w14:textId="77777777" w:rsidR="007D5078" w:rsidRDefault="007D5078" w:rsidP="00F700A5">
      <w:pPr>
        <w:spacing w:after="0" w:line="348" w:lineRule="auto"/>
        <w:ind w:firstLine="562"/>
        <w:jc w:val="both"/>
        <w:rPr>
          <w:rFonts w:ascii="Times New Roman" w:hAnsi="Times New Roman"/>
          <w:sz w:val="28"/>
          <w:szCs w:val="28"/>
          <w:lang w:val="uk-UA"/>
        </w:rPr>
      </w:pPr>
      <w:r>
        <w:rPr>
          <w:rFonts w:ascii="Times New Roman" w:hAnsi="Times New Roman"/>
          <w:sz w:val="28"/>
          <w:szCs w:val="28"/>
          <w:lang w:val="uk-UA"/>
        </w:rPr>
        <w:lastRenderedPageBreak/>
        <w:t xml:space="preserve">Збільшення державного боргу </w:t>
      </w:r>
      <w:r w:rsidRPr="004B6514">
        <w:rPr>
          <w:rFonts w:ascii="Times New Roman" w:hAnsi="Times New Roman"/>
          <w:sz w:val="28"/>
          <w:szCs w:val="28"/>
          <w:lang w:val="uk-UA"/>
        </w:rPr>
        <w:t xml:space="preserve">в </w:t>
      </w:r>
      <w:r>
        <w:rPr>
          <w:rFonts w:ascii="Times New Roman" w:hAnsi="Times New Roman"/>
          <w:sz w:val="28"/>
          <w:szCs w:val="28"/>
          <w:lang w:val="uk-UA"/>
        </w:rPr>
        <w:t xml:space="preserve">Японії </w:t>
      </w:r>
      <w:r w:rsidRPr="004B6514">
        <w:rPr>
          <w:rFonts w:ascii="Times New Roman" w:hAnsi="Times New Roman"/>
          <w:sz w:val="28"/>
          <w:szCs w:val="28"/>
          <w:lang w:val="uk-UA"/>
        </w:rPr>
        <w:t>на 1 стандартне відхилення, при сталості інших факторів, призведе до з</w:t>
      </w:r>
      <w:r>
        <w:rPr>
          <w:rFonts w:ascii="Times New Roman" w:hAnsi="Times New Roman"/>
          <w:sz w:val="28"/>
          <w:szCs w:val="28"/>
          <w:lang w:val="uk-UA"/>
        </w:rPr>
        <w:t>меншення</w:t>
      </w:r>
      <w:r w:rsidRPr="004B6514">
        <w:rPr>
          <w:rFonts w:ascii="Times New Roman" w:hAnsi="Times New Roman"/>
          <w:sz w:val="28"/>
          <w:szCs w:val="28"/>
          <w:lang w:val="uk-UA"/>
        </w:rPr>
        <w:t xml:space="preserve"> </w:t>
      </w:r>
      <w:r>
        <w:rPr>
          <w:rFonts w:ascii="Times New Roman" w:hAnsi="Times New Roman"/>
          <w:sz w:val="28"/>
          <w:szCs w:val="28"/>
          <w:lang w:val="uk-UA"/>
        </w:rPr>
        <w:t xml:space="preserve">вартості </w:t>
      </w:r>
      <w:r>
        <w:rPr>
          <w:rFonts w:ascii="Times New Roman" w:hAnsi="Times New Roman"/>
          <w:sz w:val="28"/>
          <w:szCs w:val="28"/>
          <w:lang w:val="en-US"/>
        </w:rPr>
        <w:t>Nikkei</w:t>
      </w:r>
      <w:r w:rsidRPr="003F779C">
        <w:rPr>
          <w:rFonts w:ascii="Times New Roman" w:hAnsi="Times New Roman"/>
          <w:sz w:val="28"/>
          <w:szCs w:val="28"/>
          <w:lang w:val="uk-UA"/>
        </w:rPr>
        <w:t xml:space="preserve"> </w:t>
      </w:r>
      <w:r w:rsidRPr="004B6514">
        <w:rPr>
          <w:rFonts w:ascii="Times New Roman" w:hAnsi="Times New Roman"/>
          <w:sz w:val="28"/>
          <w:szCs w:val="28"/>
          <w:lang w:val="uk-UA"/>
        </w:rPr>
        <w:t>на</w:t>
      </w:r>
      <w:r>
        <w:rPr>
          <w:rFonts w:ascii="Times New Roman" w:hAnsi="Times New Roman"/>
          <w:sz w:val="28"/>
          <w:szCs w:val="28"/>
          <w:lang w:val="uk-UA"/>
        </w:rPr>
        <w:t xml:space="preserve"> 0,467 стандартного відхилення. Це також є логічним висновком, тому як у разі кризи державний борг Японії зростає та фондові індекси починають знижуватися.</w:t>
      </w:r>
    </w:p>
    <w:p w14:paraId="67818A1A" w14:textId="77777777" w:rsidR="007D5078" w:rsidRPr="004101B5" w:rsidRDefault="007D5078" w:rsidP="00F700A5">
      <w:pPr>
        <w:spacing w:after="0" w:line="348" w:lineRule="auto"/>
        <w:ind w:firstLine="562"/>
        <w:jc w:val="both"/>
        <w:rPr>
          <w:rFonts w:ascii="Times New Roman" w:eastAsiaTheme="minorEastAsia" w:hAnsi="Times New Roman"/>
          <w:sz w:val="28"/>
          <w:szCs w:val="28"/>
          <w:lang w:val="uk-UA" w:eastAsia="ja-JP"/>
        </w:rPr>
      </w:pPr>
      <w:r>
        <w:rPr>
          <w:rFonts w:ascii="Times New Roman" w:hAnsi="Times New Roman"/>
          <w:sz w:val="28"/>
          <w:szCs w:val="28"/>
          <w:lang w:val="uk-UA"/>
        </w:rPr>
        <w:t xml:space="preserve">Окремо потрібно виділити інфляцію. У разі Японії можна прослідкувати чому вона не мала такого впливу як інші показники, якщо повернутися к графіку інфляції можна помітити що її зміни були досить не значними, у той час коли зміни в вартості </w:t>
      </w:r>
      <w:r>
        <w:rPr>
          <w:rFonts w:ascii="Times New Roman" w:eastAsiaTheme="minorEastAsia" w:hAnsi="Times New Roman"/>
          <w:sz w:val="28"/>
          <w:szCs w:val="28"/>
          <w:lang w:val="en-US" w:eastAsia="ja-JP"/>
        </w:rPr>
        <w:t>Nikkei</w:t>
      </w:r>
      <w:r w:rsidRPr="00AA4719">
        <w:rPr>
          <w:rFonts w:ascii="Times New Roman" w:eastAsiaTheme="minorEastAsia" w:hAnsi="Times New Roman"/>
          <w:sz w:val="28"/>
          <w:szCs w:val="28"/>
          <w:lang w:val="uk-UA" w:eastAsia="ja-JP"/>
        </w:rPr>
        <w:t xml:space="preserve"> 225</w:t>
      </w:r>
      <w:r>
        <w:rPr>
          <w:rFonts w:ascii="Times New Roman" w:eastAsiaTheme="minorEastAsia" w:hAnsi="Times New Roman"/>
          <w:sz w:val="28"/>
          <w:szCs w:val="28"/>
          <w:lang w:val="uk-UA" w:eastAsia="ja-JP"/>
        </w:rPr>
        <w:t xml:space="preserve"> були досить суттєвими. </w:t>
      </w:r>
    </w:p>
    <w:p w14:paraId="6F9C0865" w14:textId="71F9CF37" w:rsidR="007D5078" w:rsidRDefault="007D5078" w:rsidP="00F700A5">
      <w:pPr>
        <w:spacing w:after="0" w:line="348" w:lineRule="auto"/>
        <w:ind w:firstLine="562"/>
        <w:jc w:val="both"/>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ab/>
      </w:r>
      <w:r>
        <w:rPr>
          <w:rFonts w:ascii="Times New Roman" w:hAnsi="Times New Roman"/>
          <w:sz w:val="28"/>
          <w:szCs w:val="28"/>
          <w:lang w:val="uk-UA"/>
        </w:rPr>
        <w:t>Висновок з даного розділу наступний – не завжди макроекономічні показники мають вагомий вплив на фондові індекси країни, навіть якщо це є логічним та згоджується з економічними теоріями.</w:t>
      </w:r>
      <w:r w:rsidRPr="004B6514">
        <w:rPr>
          <w:rFonts w:ascii="Times New Roman" w:hAnsi="Times New Roman"/>
          <w:sz w:val="28"/>
          <w:szCs w:val="28"/>
          <w:lang w:val="uk-UA"/>
        </w:rPr>
        <w:t xml:space="preserve">  </w:t>
      </w:r>
      <w:r>
        <w:rPr>
          <w:rFonts w:ascii="Times New Roman" w:hAnsi="Times New Roman"/>
          <w:sz w:val="28"/>
          <w:szCs w:val="28"/>
          <w:lang w:val="uk-UA"/>
        </w:rPr>
        <w:t xml:space="preserve">Як можна було побачити, єдиний показник який мав суттєвий та що не мало важливо логічний вплив на фондовий індекс </w:t>
      </w:r>
      <w:r>
        <w:rPr>
          <w:rFonts w:ascii="Times New Roman" w:eastAsiaTheme="minorEastAsia" w:hAnsi="Times New Roman"/>
          <w:sz w:val="28"/>
          <w:szCs w:val="28"/>
          <w:lang w:val="en-US" w:eastAsia="ja-JP"/>
        </w:rPr>
        <w:t>Nikkei</w:t>
      </w:r>
      <w:r w:rsidRPr="00ED7406">
        <w:rPr>
          <w:rFonts w:ascii="Times New Roman" w:eastAsiaTheme="minorEastAsia" w:hAnsi="Times New Roman"/>
          <w:sz w:val="28"/>
          <w:szCs w:val="28"/>
          <w:lang w:val="uk-UA" w:eastAsia="ja-JP"/>
        </w:rPr>
        <w:t xml:space="preserve"> 225 </w:t>
      </w:r>
      <w:r>
        <w:rPr>
          <w:rFonts w:ascii="Times New Roman" w:eastAsiaTheme="minorEastAsia" w:hAnsi="Times New Roman"/>
          <w:sz w:val="28"/>
          <w:szCs w:val="28"/>
          <w:lang w:val="uk-UA" w:eastAsia="ja-JP"/>
        </w:rPr>
        <w:t xml:space="preserve">це прямі іноземні інвестиції. Це дозволяє зробити такий висновок – саме гроші, а не </w:t>
      </w:r>
      <w:r w:rsidR="00B051E3">
        <w:rPr>
          <w:rFonts w:ascii="Times New Roman" w:eastAsiaTheme="minorEastAsia" w:hAnsi="Times New Roman"/>
          <w:sz w:val="28"/>
          <w:szCs w:val="28"/>
          <w:lang w:val="uk-UA" w:eastAsia="ja-JP"/>
        </w:rPr>
        <w:t xml:space="preserve">показники </w:t>
      </w:r>
      <w:r>
        <w:rPr>
          <w:rFonts w:ascii="Times New Roman" w:eastAsiaTheme="minorEastAsia" w:hAnsi="Times New Roman"/>
          <w:sz w:val="28"/>
          <w:szCs w:val="28"/>
          <w:lang w:val="uk-UA" w:eastAsia="ja-JP"/>
        </w:rPr>
        <w:t>мають найбільший вплив на фондовий ринок, чим більше грошей заходить на ринок, тим дорожче будуть коштувати акції. Це не означає авжеж що інші інструменти не мають ніякого впливу, лише те що зміна в інший показниках потребує деякого часу для того щоб ефект можна було відчути.</w:t>
      </w:r>
    </w:p>
    <w:p w14:paraId="6961CFA7" w14:textId="77777777" w:rsidR="00312F23" w:rsidRDefault="00312F23" w:rsidP="007D5078">
      <w:pPr>
        <w:jc w:val="both"/>
        <w:rPr>
          <w:rFonts w:ascii="Times New Roman" w:hAnsi="Times New Roman"/>
          <w:b/>
          <w:bCs/>
          <w:sz w:val="28"/>
          <w:szCs w:val="28"/>
          <w:lang w:val="uk-UA"/>
        </w:rPr>
      </w:pPr>
    </w:p>
    <w:p w14:paraId="4FFAFBAF" w14:textId="252DCEC3" w:rsidR="007D5078" w:rsidRDefault="007D5078" w:rsidP="007D5078">
      <w:pPr>
        <w:jc w:val="both"/>
        <w:rPr>
          <w:rFonts w:ascii="Times New Roman" w:hAnsi="Times New Roman"/>
          <w:b/>
          <w:bCs/>
          <w:sz w:val="28"/>
          <w:szCs w:val="28"/>
          <w:lang w:val="uk-UA"/>
        </w:rPr>
      </w:pPr>
      <w:r w:rsidRPr="004B6514">
        <w:rPr>
          <w:rFonts w:ascii="Times New Roman" w:hAnsi="Times New Roman"/>
          <w:b/>
          <w:bCs/>
          <w:sz w:val="28"/>
          <w:szCs w:val="28"/>
          <w:lang w:val="uk-UA"/>
        </w:rPr>
        <w:t>2.</w:t>
      </w:r>
      <w:r>
        <w:rPr>
          <w:rFonts w:ascii="Times New Roman" w:hAnsi="Times New Roman"/>
          <w:b/>
          <w:bCs/>
          <w:sz w:val="28"/>
          <w:szCs w:val="28"/>
          <w:lang w:val="uk-UA"/>
        </w:rPr>
        <w:t>3</w:t>
      </w:r>
      <w:r w:rsidRPr="004B6514">
        <w:rPr>
          <w:rFonts w:ascii="Times New Roman" w:hAnsi="Times New Roman"/>
          <w:b/>
          <w:bCs/>
          <w:sz w:val="28"/>
          <w:szCs w:val="28"/>
          <w:lang w:val="uk-UA"/>
        </w:rPr>
        <w:t xml:space="preserve"> </w:t>
      </w:r>
      <w:r>
        <w:rPr>
          <w:rFonts w:ascii="Times New Roman" w:hAnsi="Times New Roman"/>
          <w:b/>
          <w:bCs/>
          <w:sz w:val="28"/>
          <w:szCs w:val="28"/>
          <w:lang w:val="uk-UA"/>
        </w:rPr>
        <w:t>А</w:t>
      </w:r>
      <w:r w:rsidRPr="004B6514">
        <w:rPr>
          <w:rFonts w:ascii="Times New Roman" w:hAnsi="Times New Roman"/>
          <w:b/>
          <w:bCs/>
          <w:sz w:val="28"/>
          <w:szCs w:val="28"/>
          <w:lang w:val="uk-UA"/>
        </w:rPr>
        <w:t>наліз</w:t>
      </w:r>
      <w:r>
        <w:rPr>
          <w:rFonts w:ascii="Times New Roman" w:hAnsi="Times New Roman"/>
          <w:b/>
          <w:bCs/>
          <w:sz w:val="28"/>
          <w:szCs w:val="28"/>
          <w:lang w:val="uk-UA"/>
        </w:rPr>
        <w:t xml:space="preserve"> впливу соціально-політичних</w:t>
      </w:r>
      <w:r w:rsidRPr="004B6514">
        <w:rPr>
          <w:rFonts w:ascii="Times New Roman" w:hAnsi="Times New Roman"/>
          <w:b/>
          <w:bCs/>
          <w:sz w:val="28"/>
          <w:szCs w:val="28"/>
          <w:lang w:val="uk-UA"/>
        </w:rPr>
        <w:t xml:space="preserve"> факторів</w:t>
      </w:r>
      <w:r>
        <w:rPr>
          <w:rFonts w:ascii="Times New Roman" w:hAnsi="Times New Roman"/>
          <w:b/>
          <w:bCs/>
          <w:sz w:val="28"/>
          <w:szCs w:val="28"/>
          <w:lang w:val="uk-UA"/>
        </w:rPr>
        <w:t xml:space="preserve"> на Японський фондовий ринок</w:t>
      </w:r>
      <w:r w:rsidRPr="004B6514">
        <w:rPr>
          <w:rFonts w:ascii="Times New Roman" w:hAnsi="Times New Roman"/>
          <w:b/>
          <w:bCs/>
          <w:sz w:val="28"/>
          <w:szCs w:val="28"/>
          <w:lang w:val="uk-UA"/>
        </w:rPr>
        <w:t xml:space="preserve"> </w:t>
      </w:r>
    </w:p>
    <w:p w14:paraId="41CBD390" w14:textId="4E6E0CD0" w:rsidR="007D5078" w:rsidRDefault="007D5078" w:rsidP="007D5078">
      <w:pPr>
        <w:spacing w:line="360" w:lineRule="auto"/>
        <w:jc w:val="both"/>
        <w:rPr>
          <w:rFonts w:ascii="Times New Roman" w:hAnsi="Times New Roman"/>
          <w:sz w:val="28"/>
          <w:szCs w:val="28"/>
          <w:lang w:val="uk-UA"/>
        </w:rPr>
      </w:pPr>
      <w:r>
        <w:rPr>
          <w:rFonts w:ascii="Times New Roman" w:hAnsi="Times New Roman"/>
          <w:sz w:val="28"/>
          <w:szCs w:val="28"/>
          <w:lang w:val="uk-UA"/>
        </w:rPr>
        <w:tab/>
        <w:t>Це досить відомий факт</w:t>
      </w:r>
      <w:r w:rsidR="004F5F4B">
        <w:rPr>
          <w:rFonts w:ascii="Times New Roman" w:hAnsi="Times New Roman"/>
          <w:sz w:val="28"/>
          <w:szCs w:val="28"/>
          <w:lang w:val="uk-UA"/>
        </w:rPr>
        <w:t>,</w:t>
      </w:r>
      <w:r>
        <w:rPr>
          <w:rFonts w:ascii="Times New Roman" w:hAnsi="Times New Roman"/>
          <w:sz w:val="28"/>
          <w:szCs w:val="28"/>
          <w:lang w:val="uk-UA"/>
        </w:rPr>
        <w:t xml:space="preserve"> що фондові ринки будь якої країни дуже сильно реагують на різного роду події та зміни. Події, новини, нові люди на важливих посадах, заяви та вимови політиків, прогнози, все це має суттєвий вплив на формування цін на фондові активи. У цьому підрозділі </w:t>
      </w:r>
      <w:r w:rsidR="00312F23">
        <w:rPr>
          <w:rFonts w:ascii="Times New Roman" w:hAnsi="Times New Roman"/>
          <w:sz w:val="28"/>
          <w:szCs w:val="28"/>
          <w:lang w:val="uk-UA"/>
        </w:rPr>
        <w:t>буде</w:t>
      </w:r>
      <w:r>
        <w:rPr>
          <w:rFonts w:ascii="Times New Roman" w:hAnsi="Times New Roman"/>
          <w:sz w:val="28"/>
          <w:szCs w:val="28"/>
          <w:lang w:val="uk-UA"/>
        </w:rPr>
        <w:t xml:space="preserve"> навед</w:t>
      </w:r>
      <w:r w:rsidR="00312F23">
        <w:rPr>
          <w:rFonts w:ascii="Times New Roman" w:hAnsi="Times New Roman"/>
          <w:sz w:val="28"/>
          <w:szCs w:val="28"/>
          <w:lang w:val="uk-UA"/>
        </w:rPr>
        <w:t>ено</w:t>
      </w:r>
      <w:r>
        <w:rPr>
          <w:rFonts w:ascii="Times New Roman" w:hAnsi="Times New Roman"/>
          <w:sz w:val="28"/>
          <w:szCs w:val="28"/>
          <w:lang w:val="uk-UA"/>
        </w:rPr>
        <w:t xml:space="preserve"> кілька прикладів такого впливу. </w:t>
      </w:r>
    </w:p>
    <w:p w14:paraId="210033DF" w14:textId="522A74B3" w:rsidR="007D5078" w:rsidRPr="007D5078" w:rsidRDefault="007D5078" w:rsidP="007D5078">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Для аналізу буде використовувано період 2020 року як один з найбільш насичених різного роду подіями рік. Також для більш наглядного аналізу буде використовувано графік цін на </w:t>
      </w:r>
      <w:r>
        <w:rPr>
          <w:rFonts w:ascii="Times New Roman" w:eastAsiaTheme="minorEastAsia" w:hAnsi="Times New Roman"/>
          <w:sz w:val="28"/>
          <w:szCs w:val="28"/>
          <w:lang w:val="en-US" w:eastAsia="ja-JP"/>
        </w:rPr>
        <w:t>Nikkei</w:t>
      </w:r>
      <w:r w:rsidRPr="00406740">
        <w:rPr>
          <w:rFonts w:ascii="Times New Roman" w:eastAsiaTheme="minorEastAsia" w:hAnsi="Times New Roman"/>
          <w:sz w:val="28"/>
          <w:szCs w:val="28"/>
          <w:lang w:eastAsia="ja-JP"/>
        </w:rPr>
        <w:t xml:space="preserve"> 225 </w:t>
      </w:r>
      <w:r>
        <w:rPr>
          <w:rFonts w:ascii="Times New Roman" w:eastAsiaTheme="minorEastAsia" w:hAnsi="Times New Roman"/>
          <w:sz w:val="28"/>
          <w:szCs w:val="28"/>
          <w:lang w:val="uk-UA" w:eastAsia="ja-JP"/>
        </w:rPr>
        <w:t>за 2020 рік з щоденними показниками.</w:t>
      </w:r>
    </w:p>
    <w:p w14:paraId="1FD2C0EA" w14:textId="6A78581A" w:rsidR="007D5078" w:rsidRPr="006B5FD0" w:rsidRDefault="00B47828" w:rsidP="007D5078">
      <w:pPr>
        <w:jc w:val="both"/>
        <w:rPr>
          <w:rFonts w:ascii="Times New Roman" w:eastAsiaTheme="minorEastAsia" w:hAnsi="Times New Roman"/>
          <w:sz w:val="28"/>
          <w:szCs w:val="28"/>
          <w:lang w:eastAsia="ja-JP"/>
        </w:rPr>
      </w:pPr>
      <w:r>
        <w:rPr>
          <w:noProof/>
          <w:lang w:val="uk-UA" w:eastAsia="uk-UA"/>
        </w:rPr>
        <w:drawing>
          <wp:inline distT="0" distB="0" distL="0" distR="0" wp14:anchorId="25D8D974" wp14:editId="12C8E8FB">
            <wp:extent cx="5897880" cy="2872740"/>
            <wp:effectExtent l="0" t="0" r="7620" b="3810"/>
            <wp:docPr id="14" name="Chart 1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011052B-4FF5-46F1-9E25-2207C21E04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3F8EBF" w14:textId="1FCC7E2D" w:rsidR="007D5078" w:rsidRPr="00C879E0" w:rsidRDefault="007D5078" w:rsidP="007D5078">
      <w:pPr>
        <w:jc w:val="both"/>
        <w:rPr>
          <w:rFonts w:ascii="Times New Roman" w:hAnsi="Times New Roman"/>
          <w:sz w:val="28"/>
          <w:szCs w:val="28"/>
          <w:lang w:val="uk-UA"/>
        </w:rPr>
      </w:pPr>
      <w:r w:rsidRPr="0000223A">
        <w:rPr>
          <w:rFonts w:ascii="Times New Roman" w:hAnsi="Times New Roman"/>
          <w:sz w:val="28"/>
          <w:szCs w:val="28"/>
          <w:lang w:val="uk-UA"/>
        </w:rPr>
        <w:t>Рис 2.</w:t>
      </w:r>
      <w:r w:rsidR="0072681F">
        <w:rPr>
          <w:rFonts w:ascii="Times New Roman" w:hAnsi="Times New Roman"/>
          <w:sz w:val="28"/>
          <w:szCs w:val="28"/>
          <w:lang w:val="uk-UA"/>
        </w:rPr>
        <w:t>8</w:t>
      </w:r>
      <w:r w:rsidRPr="0000223A">
        <w:rPr>
          <w:rFonts w:ascii="Times New Roman" w:hAnsi="Times New Roman"/>
          <w:sz w:val="28"/>
          <w:szCs w:val="28"/>
          <w:lang w:val="uk-UA"/>
        </w:rPr>
        <w:t xml:space="preserve"> </w:t>
      </w:r>
      <w:r>
        <w:rPr>
          <w:rFonts w:ascii="Times New Roman" w:eastAsiaTheme="minorEastAsia" w:hAnsi="Times New Roman"/>
          <w:sz w:val="28"/>
          <w:szCs w:val="28"/>
          <w:lang w:val="en-US" w:eastAsia="ja-JP"/>
        </w:rPr>
        <w:t>Nikkei</w:t>
      </w:r>
      <w:r w:rsidRPr="00C879E0">
        <w:rPr>
          <w:rFonts w:ascii="Times New Roman" w:eastAsiaTheme="minorEastAsia" w:hAnsi="Times New Roman"/>
          <w:sz w:val="28"/>
          <w:szCs w:val="28"/>
          <w:lang w:eastAsia="ja-JP"/>
        </w:rPr>
        <w:t xml:space="preserve"> 225 </w:t>
      </w:r>
      <w:r w:rsidRPr="0000223A">
        <w:rPr>
          <w:rFonts w:ascii="Times New Roman" w:hAnsi="Times New Roman"/>
          <w:sz w:val="28"/>
          <w:szCs w:val="28"/>
          <w:lang w:val="uk-UA"/>
        </w:rPr>
        <w:t>у період 20</w:t>
      </w:r>
      <w:r>
        <w:rPr>
          <w:rFonts w:ascii="Times New Roman" w:hAnsi="Times New Roman"/>
          <w:sz w:val="28"/>
          <w:szCs w:val="28"/>
          <w:lang w:val="uk-UA"/>
        </w:rPr>
        <w:t>20</w:t>
      </w:r>
      <w:r w:rsidRPr="0000223A">
        <w:rPr>
          <w:rFonts w:ascii="Times New Roman" w:hAnsi="Times New Roman"/>
          <w:sz w:val="28"/>
          <w:szCs w:val="28"/>
          <w:lang w:val="uk-UA"/>
        </w:rPr>
        <w:t xml:space="preserve"> рок</w:t>
      </w:r>
      <w:r>
        <w:rPr>
          <w:rFonts w:ascii="Times New Roman" w:hAnsi="Times New Roman"/>
          <w:sz w:val="28"/>
          <w:szCs w:val="28"/>
          <w:lang w:val="uk-UA"/>
        </w:rPr>
        <w:t>у</w:t>
      </w:r>
    </w:p>
    <w:p w14:paraId="68542900" w14:textId="26A2D427" w:rsidR="007D5078" w:rsidRPr="005052F9" w:rsidRDefault="007D5078" w:rsidP="007D5078">
      <w:pPr>
        <w:jc w:val="both"/>
        <w:rPr>
          <w:rFonts w:ascii="Times New Roman" w:hAnsi="Times New Roman"/>
          <w:sz w:val="28"/>
          <w:szCs w:val="28"/>
        </w:rPr>
      </w:pPr>
      <w:r w:rsidRPr="0000223A">
        <w:rPr>
          <w:rFonts w:ascii="Times New Roman" w:hAnsi="Times New Roman"/>
          <w:sz w:val="28"/>
          <w:szCs w:val="28"/>
          <w:lang w:val="uk-UA"/>
        </w:rPr>
        <w:t>Складено на основі [</w:t>
      </w:r>
      <w:r w:rsidR="005052F9" w:rsidRPr="005052F9">
        <w:rPr>
          <w:rFonts w:ascii="Times New Roman" w:hAnsi="Times New Roman"/>
          <w:sz w:val="28"/>
          <w:szCs w:val="28"/>
        </w:rPr>
        <w:t>15</w:t>
      </w:r>
      <w:r w:rsidRPr="0000223A">
        <w:rPr>
          <w:rFonts w:ascii="Times New Roman" w:hAnsi="Times New Roman"/>
          <w:sz w:val="28"/>
          <w:szCs w:val="28"/>
          <w:lang w:val="uk-UA"/>
        </w:rPr>
        <w:t>]</w:t>
      </w:r>
      <w:r w:rsidR="005052F9" w:rsidRPr="005052F9">
        <w:rPr>
          <w:rFonts w:ascii="Times New Roman" w:hAnsi="Times New Roman"/>
          <w:sz w:val="28"/>
          <w:szCs w:val="28"/>
        </w:rPr>
        <w:t>.</w:t>
      </w:r>
    </w:p>
    <w:p w14:paraId="2D570787" w14:textId="77777777" w:rsidR="007D5078" w:rsidRDefault="007D5078" w:rsidP="007D5078">
      <w:pPr>
        <w:spacing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ab/>
        <w:t xml:space="preserve">Базуючись на цьому графіку та хронологічному списку новин з сайту </w:t>
      </w:r>
      <w:r>
        <w:rPr>
          <w:rFonts w:ascii="Times New Roman" w:eastAsiaTheme="minorEastAsia" w:hAnsi="Times New Roman"/>
          <w:bCs/>
          <w:sz w:val="28"/>
          <w:szCs w:val="28"/>
          <w:lang w:val="en-US" w:eastAsia="ja-JP"/>
        </w:rPr>
        <w:t>nhk</w:t>
      </w:r>
      <w:r>
        <w:rPr>
          <w:rFonts w:ascii="Times New Roman" w:eastAsiaTheme="minorEastAsia" w:hAnsi="Times New Roman"/>
          <w:bCs/>
          <w:sz w:val="28"/>
          <w:szCs w:val="28"/>
          <w:lang w:val="uk-UA" w:eastAsia="ja-JP"/>
        </w:rPr>
        <w:t xml:space="preserve"> можна починати аналіз. Є декілька періодів які потрібно виділити: 1) період з 21 лютого по 19 березня. 2) період з 23 березня по 27 березня. 3) період з 14 травня по 9 червня</w:t>
      </w:r>
      <w:r w:rsidRPr="00AA4719">
        <w:rPr>
          <w:rFonts w:ascii="Times New Roman" w:eastAsiaTheme="minorEastAsia" w:hAnsi="Times New Roman"/>
          <w:bCs/>
          <w:sz w:val="28"/>
          <w:szCs w:val="28"/>
          <w:lang w:eastAsia="ja-JP"/>
        </w:rPr>
        <w:t xml:space="preserve">. 4) 10 </w:t>
      </w:r>
      <w:r>
        <w:rPr>
          <w:rFonts w:ascii="Times New Roman" w:eastAsiaTheme="minorEastAsia" w:hAnsi="Times New Roman"/>
          <w:bCs/>
          <w:sz w:val="28"/>
          <w:szCs w:val="28"/>
          <w:lang w:val="uk-UA" w:eastAsia="ja-JP"/>
        </w:rPr>
        <w:t xml:space="preserve">жовтня по 30 листопада. </w:t>
      </w:r>
    </w:p>
    <w:p w14:paraId="7EC88A00" w14:textId="49FDF34D" w:rsidR="007D5078" w:rsidRPr="003B59DB" w:rsidRDefault="007D5078" w:rsidP="007D5078">
      <w:pPr>
        <w:spacing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Перший період з 21 лютого по 19 березня – це період появи більшості новин про тоді маловідомий </w:t>
      </w:r>
      <w:r>
        <w:rPr>
          <w:rFonts w:ascii="Times New Roman" w:eastAsiaTheme="minorEastAsia" w:hAnsi="Times New Roman"/>
          <w:bCs/>
          <w:sz w:val="28"/>
          <w:szCs w:val="28"/>
          <w:lang w:val="en-US" w:eastAsia="ja-JP"/>
        </w:rPr>
        <w:t>COVID</w:t>
      </w:r>
      <w:r w:rsidRPr="00F6437C">
        <w:rPr>
          <w:rFonts w:ascii="Times New Roman" w:eastAsiaTheme="minorEastAsia" w:hAnsi="Times New Roman"/>
          <w:bCs/>
          <w:sz w:val="28"/>
          <w:szCs w:val="28"/>
          <w:lang w:eastAsia="ja-JP"/>
        </w:rPr>
        <w:t>-19</w:t>
      </w:r>
      <w:r>
        <w:rPr>
          <w:rFonts w:ascii="Times New Roman" w:eastAsiaTheme="minorEastAsia" w:hAnsi="Times New Roman"/>
          <w:bCs/>
          <w:sz w:val="28"/>
          <w:szCs w:val="28"/>
          <w:lang w:val="uk-UA" w:eastAsia="ja-JP"/>
        </w:rPr>
        <w:t xml:space="preserve">. Саме у цей період відбуваються переходи до режиму надзвичайного стану таких префектур як Хоккайдо – 27 лютого, Токіо, </w:t>
      </w:r>
      <w:r w:rsidRPr="00E2031E">
        <w:rPr>
          <w:rFonts w:ascii="Times New Roman" w:eastAsiaTheme="minorEastAsia" w:hAnsi="Times New Roman"/>
          <w:bCs/>
          <w:sz w:val="28"/>
          <w:szCs w:val="28"/>
          <w:lang w:val="uk-UA" w:eastAsia="ja-JP"/>
        </w:rPr>
        <w:t>Канагава, Сайтама, Чіба, Осака, Хего та Фукуока</w:t>
      </w:r>
      <w:r>
        <w:rPr>
          <w:rFonts w:ascii="Times New Roman" w:eastAsiaTheme="minorEastAsia" w:hAnsi="Times New Roman"/>
          <w:bCs/>
          <w:sz w:val="28"/>
          <w:szCs w:val="28"/>
          <w:lang w:val="uk-UA" w:eastAsia="ja-JP"/>
        </w:rPr>
        <w:t xml:space="preserve"> –</w:t>
      </w:r>
      <w:r w:rsidRPr="00E2031E">
        <w:rPr>
          <w:rFonts w:ascii="Times New Roman" w:eastAsiaTheme="minorEastAsia" w:hAnsi="Times New Roman"/>
          <w:bCs/>
          <w:sz w:val="28"/>
          <w:szCs w:val="28"/>
          <w:lang w:eastAsia="ja-JP"/>
        </w:rPr>
        <w:t xml:space="preserve"> 7 </w:t>
      </w:r>
      <w:r>
        <w:rPr>
          <w:rFonts w:ascii="Times New Roman" w:eastAsiaTheme="minorEastAsia" w:hAnsi="Times New Roman"/>
          <w:bCs/>
          <w:sz w:val="28"/>
          <w:szCs w:val="28"/>
          <w:lang w:val="uk-UA" w:eastAsia="ja-JP"/>
        </w:rPr>
        <w:t xml:space="preserve">квітня. Більша частка усієї економічної діяльності Японії відбувається саме у цих префектурах, тому їх закриття дуже сильно впливає на впевненість інвесторів. Пізніше режим надзвичайного стану був поширений на всі 47 префектур Японії. Закриваються навчальні заклади – 29 лютого. Саме у цей період відбуваються </w:t>
      </w:r>
      <w:r>
        <w:rPr>
          <w:rFonts w:ascii="Times New Roman" w:eastAsiaTheme="minorEastAsia" w:hAnsi="Times New Roman"/>
          <w:bCs/>
          <w:sz w:val="28"/>
          <w:szCs w:val="28"/>
          <w:lang w:val="uk-UA" w:eastAsia="ja-JP"/>
        </w:rPr>
        <w:lastRenderedPageBreak/>
        <w:t xml:space="preserve">значні падіння світових фондових індексів. Так наприклад </w:t>
      </w:r>
      <w:r>
        <w:rPr>
          <w:rFonts w:ascii="Times New Roman" w:eastAsiaTheme="minorEastAsia" w:hAnsi="Times New Roman"/>
          <w:bCs/>
          <w:sz w:val="28"/>
          <w:szCs w:val="28"/>
          <w:lang w:val="en-US" w:eastAsia="ja-JP"/>
        </w:rPr>
        <w:t>Dow</w:t>
      </w:r>
      <w:r w:rsidRPr="00E134E1">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en-US" w:eastAsia="ja-JP"/>
        </w:rPr>
        <w:t>Jones</w:t>
      </w:r>
      <w:r w:rsidRPr="00E134E1">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en-US" w:eastAsia="ja-JP"/>
        </w:rPr>
        <w:t>S</w:t>
      </w:r>
      <w:r w:rsidRPr="00E134E1">
        <w:rPr>
          <w:rFonts w:ascii="Times New Roman" w:eastAsiaTheme="minorEastAsia" w:hAnsi="Times New Roman"/>
          <w:bCs/>
          <w:sz w:val="28"/>
          <w:szCs w:val="28"/>
          <w:lang w:val="uk-UA" w:eastAsia="ja-JP"/>
        </w:rPr>
        <w:t>&amp;</w:t>
      </w:r>
      <w:r>
        <w:rPr>
          <w:rFonts w:ascii="Times New Roman" w:eastAsiaTheme="minorEastAsia" w:hAnsi="Times New Roman"/>
          <w:bCs/>
          <w:sz w:val="28"/>
          <w:szCs w:val="28"/>
          <w:lang w:val="en-US" w:eastAsia="ja-JP"/>
        </w:rPr>
        <w:t>P</w:t>
      </w:r>
      <w:r>
        <w:rPr>
          <w:rFonts w:ascii="Times New Roman" w:eastAsiaTheme="minorEastAsia" w:hAnsi="Times New Roman"/>
          <w:bCs/>
          <w:sz w:val="28"/>
          <w:szCs w:val="28"/>
          <w:lang w:val="uk-UA" w:eastAsia="ja-JP"/>
        </w:rPr>
        <w:t xml:space="preserve"> зазнали падіння приблизно на 30%. Індекс Італії </w:t>
      </w:r>
      <w:r w:rsidRPr="00E134E1">
        <w:rPr>
          <w:rFonts w:ascii="Times New Roman" w:eastAsiaTheme="minorEastAsia" w:hAnsi="Times New Roman"/>
          <w:bCs/>
          <w:sz w:val="28"/>
          <w:szCs w:val="28"/>
          <w:lang w:val="uk-UA" w:eastAsia="ja-JP"/>
        </w:rPr>
        <w:t>FTSE MIB</w:t>
      </w:r>
      <w:r>
        <w:rPr>
          <w:rFonts w:ascii="Times New Roman" w:eastAsiaTheme="minorEastAsia" w:hAnsi="Times New Roman"/>
          <w:bCs/>
          <w:sz w:val="28"/>
          <w:szCs w:val="28"/>
          <w:lang w:val="uk-UA" w:eastAsia="ja-JP"/>
        </w:rPr>
        <w:t xml:space="preserve"> знизився майже на 60%. У цей період їде також продовження нафтової війни між Росією та Саудівською Аравією, що спричиняє раніше не бачене явище – негативні ціни на нафтові ф’ючерси. Японія має досить розвинену індустрію по переробці нафти, тому такі події могли б бути одним з позитивних аспектів</w:t>
      </w:r>
      <w:r w:rsidR="00B21619" w:rsidRPr="00B21619">
        <w:rPr>
          <w:rFonts w:ascii="Times New Roman" w:eastAsiaTheme="minorEastAsia" w:hAnsi="Times New Roman"/>
          <w:bCs/>
          <w:sz w:val="28"/>
          <w:szCs w:val="28"/>
          <w:lang w:val="uk-UA" w:eastAsia="ja-JP"/>
        </w:rPr>
        <w:t xml:space="preserve"> [19].</w:t>
      </w:r>
      <w:r w:rsidR="003B59DB">
        <w:rPr>
          <w:rFonts w:ascii="Times New Roman" w:eastAsiaTheme="minorEastAsia" w:hAnsi="Times New Roman"/>
          <w:bCs/>
          <w:sz w:val="28"/>
          <w:szCs w:val="28"/>
          <w:lang w:val="uk-UA" w:eastAsia="ja-JP"/>
        </w:rPr>
        <w:t xml:space="preserve"> </w:t>
      </w:r>
    </w:p>
    <w:p w14:paraId="6E631889" w14:textId="2294ADE3" w:rsidR="007D5078" w:rsidRPr="00B21619" w:rsidRDefault="007D5078" w:rsidP="007D5078">
      <w:pPr>
        <w:spacing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Другий період характеризують швидким зростанням пояснення новинами про стимуляційний пакет які починають появлятися 23 березня. Сам стимуляційний пакет був прийнятий 7 квітня обсяг пакету склав 1,1 трлн доларів що на той момент дорівнювало приблизно 22%, як відмічається, більша кількість коштів присвячена підтримці бізнесу. від ВВП країни. та його ефект на ціні можна спостерігати на графіку, але ефект не настільки суттєвий як при заяві про сам стимуляційний пакет це приводить до висновку що настрій інвесторів та їх впевненість у даному випадку оказав більший вплив на ціни акцій на фондовому ринці</w:t>
      </w:r>
      <w:r w:rsidR="00B21619" w:rsidRPr="00B21619">
        <w:rPr>
          <w:rFonts w:ascii="Times New Roman" w:eastAsiaTheme="minorEastAsia" w:hAnsi="Times New Roman"/>
          <w:bCs/>
          <w:sz w:val="28"/>
          <w:szCs w:val="28"/>
          <w:lang w:val="uk-UA" w:eastAsia="ja-JP"/>
        </w:rPr>
        <w:t xml:space="preserve"> [19],[20].</w:t>
      </w:r>
    </w:p>
    <w:p w14:paraId="6AB12765" w14:textId="7EEDDD0C" w:rsidR="007D5078" w:rsidRPr="008A4080" w:rsidRDefault="007D5078" w:rsidP="007D5078">
      <w:pPr>
        <w:spacing w:line="360" w:lineRule="auto"/>
        <w:ind w:firstLine="720"/>
        <w:jc w:val="both"/>
        <w:rPr>
          <w:rFonts w:ascii="Times New Roman" w:eastAsiaTheme="minorEastAsia" w:hAnsi="Times New Roman"/>
          <w:bCs/>
          <w:sz w:val="28"/>
          <w:szCs w:val="28"/>
          <w:lang w:eastAsia="ja-JP"/>
        </w:rPr>
      </w:pPr>
      <w:r>
        <w:rPr>
          <w:rFonts w:ascii="Times New Roman" w:eastAsiaTheme="minorEastAsia" w:hAnsi="Times New Roman"/>
          <w:bCs/>
          <w:sz w:val="28"/>
          <w:szCs w:val="28"/>
          <w:lang w:val="uk-UA" w:eastAsia="ja-JP"/>
        </w:rPr>
        <w:t xml:space="preserve">Третій період –  14 травня по 9 червня урядом Японії було скасовано режим надзвичайного стану у 39 префектурах (не враховуючи Токіо). К 25 травня режим надзвичайного стану було скасовано в усіх префектурах та через 2 дні було запущено ще одну програму стимуляції який також дорівнював 1,1 трлн доларів. Це саме і дозволило повернути ситуацію на рівень лютого, і </w:t>
      </w:r>
      <w:r>
        <w:rPr>
          <w:rFonts w:ascii="Times New Roman" w:eastAsiaTheme="minorEastAsia" w:hAnsi="Times New Roman"/>
          <w:bCs/>
          <w:sz w:val="28"/>
          <w:szCs w:val="28"/>
          <w:lang w:val="en-US" w:eastAsia="ja-JP"/>
        </w:rPr>
        <w:t>Nikkei</w:t>
      </w:r>
      <w:r w:rsidRPr="004A161D">
        <w:rPr>
          <w:rFonts w:ascii="Times New Roman" w:eastAsiaTheme="minorEastAsia" w:hAnsi="Times New Roman"/>
          <w:bCs/>
          <w:sz w:val="28"/>
          <w:szCs w:val="28"/>
          <w:lang w:eastAsia="ja-JP"/>
        </w:rPr>
        <w:t xml:space="preserve"> 225</w:t>
      </w:r>
      <w:r>
        <w:rPr>
          <w:rFonts w:ascii="Times New Roman" w:eastAsiaTheme="minorEastAsia" w:hAnsi="Times New Roman"/>
          <w:bCs/>
          <w:sz w:val="28"/>
          <w:szCs w:val="28"/>
          <w:lang w:val="uk-UA" w:eastAsia="ja-JP"/>
        </w:rPr>
        <w:t xml:space="preserve"> знов дорівнював 23тис ієн на момент 10 червня</w:t>
      </w:r>
      <w:r w:rsidR="00B21619" w:rsidRPr="00B21619">
        <w:rPr>
          <w:rFonts w:ascii="Times New Roman" w:eastAsiaTheme="minorEastAsia" w:hAnsi="Times New Roman"/>
          <w:bCs/>
          <w:sz w:val="28"/>
          <w:szCs w:val="28"/>
          <w:lang w:eastAsia="ja-JP"/>
        </w:rPr>
        <w:t xml:space="preserve"> </w:t>
      </w:r>
      <w:r w:rsidR="00B21619"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19</w:t>
      </w:r>
      <w:r w:rsidR="00B21619"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20</w:t>
      </w:r>
      <w:r w:rsidR="00B21619"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w:t>
      </w:r>
    </w:p>
    <w:p w14:paraId="29412FA0" w14:textId="623E9D37" w:rsidR="007D5078" w:rsidRPr="00B21619" w:rsidRDefault="007D5078" w:rsidP="007D5078">
      <w:pPr>
        <w:spacing w:line="360" w:lineRule="auto"/>
        <w:ind w:firstLine="720"/>
        <w:jc w:val="both"/>
        <w:rPr>
          <w:rFonts w:ascii="Times New Roman" w:eastAsiaTheme="minorEastAsia" w:hAnsi="Times New Roman"/>
          <w:bCs/>
          <w:sz w:val="28"/>
          <w:szCs w:val="28"/>
          <w:lang w:eastAsia="ja-JP"/>
        </w:rPr>
      </w:pPr>
      <w:r>
        <w:rPr>
          <w:rFonts w:ascii="Times New Roman" w:eastAsiaTheme="minorEastAsia" w:hAnsi="Times New Roman"/>
          <w:bCs/>
          <w:sz w:val="28"/>
          <w:szCs w:val="28"/>
          <w:lang w:val="uk-UA" w:eastAsia="ja-JP"/>
        </w:rPr>
        <w:t xml:space="preserve">Четвертий період – з </w:t>
      </w:r>
      <w:r w:rsidRPr="004A161D">
        <w:rPr>
          <w:rFonts w:ascii="Times New Roman" w:eastAsiaTheme="minorEastAsia" w:hAnsi="Times New Roman"/>
          <w:bCs/>
          <w:sz w:val="28"/>
          <w:szCs w:val="28"/>
          <w:lang w:eastAsia="ja-JP"/>
        </w:rPr>
        <w:t xml:space="preserve">10 </w:t>
      </w:r>
      <w:r>
        <w:rPr>
          <w:rFonts w:ascii="Times New Roman" w:eastAsiaTheme="minorEastAsia" w:hAnsi="Times New Roman"/>
          <w:bCs/>
          <w:sz w:val="28"/>
          <w:szCs w:val="28"/>
          <w:lang w:val="uk-UA" w:eastAsia="ja-JP"/>
        </w:rPr>
        <w:t xml:space="preserve">жовтня по 30 листопада відбувається зростання </w:t>
      </w:r>
      <w:r>
        <w:rPr>
          <w:rFonts w:ascii="Times New Roman" w:eastAsiaTheme="minorEastAsia" w:hAnsi="Times New Roman"/>
          <w:bCs/>
          <w:sz w:val="28"/>
          <w:szCs w:val="28"/>
          <w:lang w:val="en-US" w:eastAsia="ja-JP"/>
        </w:rPr>
        <w:t>Nikkei</w:t>
      </w:r>
      <w:r w:rsidRPr="004A161D">
        <w:rPr>
          <w:rFonts w:ascii="Times New Roman" w:eastAsiaTheme="minorEastAsia" w:hAnsi="Times New Roman"/>
          <w:bCs/>
          <w:sz w:val="28"/>
          <w:szCs w:val="28"/>
          <w:lang w:eastAsia="ja-JP"/>
        </w:rPr>
        <w:t xml:space="preserve"> 225 </w:t>
      </w:r>
      <w:r>
        <w:rPr>
          <w:rFonts w:ascii="Times New Roman" w:eastAsiaTheme="minorEastAsia" w:hAnsi="Times New Roman"/>
          <w:bCs/>
          <w:sz w:val="28"/>
          <w:szCs w:val="28"/>
          <w:lang w:val="uk-UA" w:eastAsia="ja-JP"/>
        </w:rPr>
        <w:t xml:space="preserve">рівня якого не було ще з часів фінансової кризи 1990х. Єдина значна світова подія яка відбулася у цей період це признання перемоги Джо Байдена на виборах США 2020 року. Попередній президент Дональд Трамп находився у досить теплих відносинах з попереднім прем’єр міністром Японії Сінзо Абе, але </w:t>
      </w:r>
      <w:r>
        <w:rPr>
          <w:rFonts w:ascii="Times New Roman" w:eastAsiaTheme="minorEastAsia" w:hAnsi="Times New Roman"/>
          <w:bCs/>
          <w:sz w:val="28"/>
          <w:szCs w:val="28"/>
          <w:lang w:val="uk-UA" w:eastAsia="ja-JP"/>
        </w:rPr>
        <w:lastRenderedPageBreak/>
        <w:t xml:space="preserve">не зважаючи на це діяв більше в інтересах США. Так наприклад він виніс до уваги питання щодо фінансування воєнних баз США у Японії. Японці бачили в новому президенті США шанс на зміну курсу відносин США і Японії у більш позитивну сторону, з цього з’являється додаткова впевненість в фондових активах країни.  З подій у межах Японії, 10 листопада новий прем’єр міністр </w:t>
      </w:r>
      <w:r w:rsidRPr="0074778F">
        <w:rPr>
          <w:rFonts w:ascii="Times New Roman" w:eastAsiaTheme="minorEastAsia" w:hAnsi="Times New Roman"/>
          <w:bCs/>
          <w:sz w:val="28"/>
          <w:szCs w:val="28"/>
          <w:lang w:val="uk-UA" w:eastAsia="ja-JP"/>
        </w:rPr>
        <w:t>Йошіхіде Суга</w:t>
      </w:r>
      <w:r>
        <w:rPr>
          <w:rFonts w:ascii="Times New Roman" w:eastAsiaTheme="minorEastAsia" w:hAnsi="Times New Roman"/>
          <w:bCs/>
          <w:sz w:val="28"/>
          <w:szCs w:val="28"/>
          <w:lang w:val="uk-UA" w:eastAsia="ja-JP"/>
        </w:rPr>
        <w:t xml:space="preserve"> заявив  про створення нового стимуляційного бюджету</w:t>
      </w:r>
      <w:r w:rsidR="009178CD">
        <w:rPr>
          <w:rFonts w:ascii="Times New Roman" w:eastAsiaTheme="minorEastAsia" w:hAnsi="Times New Roman"/>
          <w:bCs/>
          <w:sz w:val="28"/>
          <w:szCs w:val="28"/>
          <w:lang w:val="uk-UA" w:eastAsia="ja-JP"/>
        </w:rPr>
        <w:t>,</w:t>
      </w:r>
      <w:r>
        <w:rPr>
          <w:rFonts w:ascii="Times New Roman" w:eastAsiaTheme="minorEastAsia" w:hAnsi="Times New Roman"/>
          <w:bCs/>
          <w:sz w:val="28"/>
          <w:szCs w:val="28"/>
          <w:lang w:val="uk-UA" w:eastAsia="ja-JP"/>
        </w:rPr>
        <w:t xml:space="preserve"> але треба зосередити увагу сам фонд як і додаткові стимуляції не проводилися </w:t>
      </w:r>
      <w:r w:rsidR="00A50318"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19</w:t>
      </w:r>
      <w:r w:rsidR="00A50318"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20</w:t>
      </w:r>
      <w:r w:rsidR="00A50318" w:rsidRPr="008A4080">
        <w:rPr>
          <w:rFonts w:ascii="Times New Roman" w:eastAsiaTheme="minorEastAsia" w:hAnsi="Times New Roman"/>
          <w:bCs/>
          <w:sz w:val="28"/>
          <w:szCs w:val="28"/>
          <w:lang w:eastAsia="ja-JP"/>
        </w:rPr>
        <w:t>]</w:t>
      </w:r>
      <w:r w:rsidR="00B21619" w:rsidRPr="00B21619">
        <w:rPr>
          <w:rFonts w:ascii="Times New Roman" w:eastAsiaTheme="minorEastAsia" w:hAnsi="Times New Roman"/>
          <w:bCs/>
          <w:sz w:val="28"/>
          <w:szCs w:val="28"/>
          <w:lang w:eastAsia="ja-JP"/>
        </w:rPr>
        <w:t>.</w:t>
      </w:r>
    </w:p>
    <w:p w14:paraId="44CCD01C" w14:textId="20809C42" w:rsidR="007D5078" w:rsidRDefault="007D5078" w:rsidP="007D5078">
      <w:pPr>
        <w:spacing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Після проведених аналізів як фінансових показників так і соціальних та політичних можна переходити до формування висновку щодо цінотворення активів на фондовому ринку Японії. Багато з приведених економічних факторів повинні мати вплив на фондовий ринок, регресійна модель однак показує що це не завжди так. Можна припустити що деякі показники все ж такі мають вплив, </w:t>
      </w:r>
      <w:r w:rsidR="009178CD">
        <w:rPr>
          <w:rFonts w:ascii="Times New Roman" w:eastAsiaTheme="minorEastAsia" w:hAnsi="Times New Roman"/>
          <w:bCs/>
          <w:sz w:val="28"/>
          <w:szCs w:val="28"/>
          <w:lang w:val="uk-UA" w:eastAsia="ja-JP"/>
        </w:rPr>
        <w:t>а</w:t>
      </w:r>
      <w:r>
        <w:rPr>
          <w:rFonts w:ascii="Times New Roman" w:eastAsiaTheme="minorEastAsia" w:hAnsi="Times New Roman"/>
          <w:bCs/>
          <w:sz w:val="28"/>
          <w:szCs w:val="28"/>
          <w:lang w:val="uk-UA" w:eastAsia="ja-JP"/>
        </w:rPr>
        <w:t xml:space="preserve">ле в силу обставин країни, як наприклад інфляція, майже не змінюються. Регресійна модель не зможе прорахувати можливі варіанти якщо би інфляція різко зросла, але все ж таки це би призвело до падіння ціни на фондові активи. Другий висновок можна зробити на основі аналізу проведеного у другому підрозділі. На ціноутворення фондових активів перш за все впливає попит на ці активи, попит з’являється тоді коли інвестори впевнені у позитивній динаміці цін на активи. Можна було спостерігати на прикладі стимуляційних мір які відбувались в Японії, самі стимуляційні пакети не на стільки вплинули на ціну як новини про них. Також і навпаки, можна було бачити як різко падають ціни на активи у разі появлення поганих новин які і призводять до зниження впевненості у позитивній динаміці цін. Інформація грає дуже важливу роль у сьогоднішньому світі, це стосується і фондового ринку, її цінність і була продемонстрована у цьому розділі роботи.   </w:t>
      </w:r>
    </w:p>
    <w:p w14:paraId="58ECF0E5" w14:textId="14E277A8"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4F15222D" w14:textId="78CCF063"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692EF036" w14:textId="48C23756"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5DD1B169" w14:textId="508FFACF"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3E95C618" w14:textId="12DD59F8"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50D12B00" w14:textId="036B89C7"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4F91448D" w14:textId="12FFA3FA"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74425D9F" w14:textId="310E989F"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1801C8FB" w14:textId="77777777" w:rsidR="00807D9E" w:rsidRDefault="00807D9E" w:rsidP="007D5078">
      <w:pPr>
        <w:spacing w:line="360" w:lineRule="auto"/>
        <w:ind w:firstLine="720"/>
        <w:jc w:val="both"/>
        <w:rPr>
          <w:rFonts w:ascii="Times New Roman" w:eastAsiaTheme="minorEastAsia" w:hAnsi="Times New Roman"/>
          <w:bCs/>
          <w:sz w:val="28"/>
          <w:szCs w:val="28"/>
          <w:lang w:val="uk-UA" w:eastAsia="ja-JP"/>
        </w:rPr>
      </w:pPr>
    </w:p>
    <w:p w14:paraId="4A74827B" w14:textId="77F9D925" w:rsidR="0081762D" w:rsidRDefault="0081762D" w:rsidP="00D56508">
      <w:pPr>
        <w:spacing w:after="160" w:line="259" w:lineRule="auto"/>
        <w:rPr>
          <w:rFonts w:ascii="Times New Roman" w:hAnsi="Times New Roman"/>
          <w:b/>
          <w:sz w:val="28"/>
          <w:szCs w:val="28"/>
          <w:lang w:val="uk-UA"/>
        </w:rPr>
      </w:pPr>
    </w:p>
    <w:p w14:paraId="470C6165" w14:textId="41012A65" w:rsidR="00F700A5" w:rsidRDefault="00F700A5" w:rsidP="00D56508">
      <w:pPr>
        <w:spacing w:after="160" w:line="259" w:lineRule="auto"/>
        <w:rPr>
          <w:rFonts w:ascii="Times New Roman" w:hAnsi="Times New Roman"/>
          <w:b/>
          <w:sz w:val="28"/>
          <w:szCs w:val="28"/>
          <w:lang w:val="uk-UA"/>
        </w:rPr>
      </w:pPr>
    </w:p>
    <w:p w14:paraId="64C44233" w14:textId="582C92BD" w:rsidR="00F700A5" w:rsidRDefault="00F700A5" w:rsidP="00D56508">
      <w:pPr>
        <w:spacing w:after="160" w:line="259" w:lineRule="auto"/>
        <w:rPr>
          <w:rFonts w:ascii="Times New Roman" w:hAnsi="Times New Roman"/>
          <w:b/>
          <w:sz w:val="28"/>
          <w:szCs w:val="28"/>
          <w:lang w:val="uk-UA"/>
        </w:rPr>
      </w:pPr>
    </w:p>
    <w:p w14:paraId="4106524C" w14:textId="77777777" w:rsidR="00F700A5" w:rsidRPr="00863D57" w:rsidRDefault="00F700A5" w:rsidP="00D56508">
      <w:pPr>
        <w:spacing w:after="160" w:line="259" w:lineRule="auto"/>
        <w:rPr>
          <w:rFonts w:ascii="Times New Roman" w:hAnsi="Times New Roman"/>
          <w:b/>
          <w:sz w:val="28"/>
          <w:szCs w:val="28"/>
          <w:lang w:val="uk-UA"/>
        </w:rPr>
      </w:pPr>
    </w:p>
    <w:p w14:paraId="126380BC" w14:textId="4C3645B8" w:rsidR="005E13BA" w:rsidRDefault="005E13BA" w:rsidP="00D56508">
      <w:pPr>
        <w:spacing w:after="160" w:line="259" w:lineRule="auto"/>
        <w:rPr>
          <w:rFonts w:ascii="Times New Roman" w:hAnsi="Times New Roman"/>
          <w:b/>
          <w:sz w:val="28"/>
          <w:szCs w:val="28"/>
          <w:lang w:val="uk-UA"/>
        </w:rPr>
      </w:pPr>
    </w:p>
    <w:p w14:paraId="7894AC3D" w14:textId="77777777" w:rsidR="00505A1C" w:rsidRPr="00505A1C" w:rsidRDefault="00505A1C" w:rsidP="00505A1C">
      <w:pPr>
        <w:spacing w:after="160" w:line="360" w:lineRule="auto"/>
        <w:jc w:val="center"/>
        <w:rPr>
          <w:rFonts w:ascii="Times New Roman" w:hAnsi="Times New Roman"/>
          <w:b/>
          <w:sz w:val="28"/>
          <w:szCs w:val="28"/>
          <w:lang w:val="uk-UA"/>
        </w:rPr>
      </w:pPr>
      <w:r w:rsidRPr="00505A1C">
        <w:rPr>
          <w:rFonts w:ascii="Times New Roman" w:hAnsi="Times New Roman"/>
          <w:b/>
          <w:sz w:val="28"/>
          <w:szCs w:val="28"/>
          <w:lang w:val="uk-UA"/>
        </w:rPr>
        <w:t>РОЗДІЛ ІІІ</w:t>
      </w:r>
    </w:p>
    <w:p w14:paraId="2B6FF5C1" w14:textId="669185B3" w:rsidR="00055011" w:rsidRPr="00055011" w:rsidRDefault="00505A1C" w:rsidP="00505A1C">
      <w:pPr>
        <w:spacing w:after="160" w:line="360" w:lineRule="auto"/>
        <w:rPr>
          <w:rFonts w:ascii="Times New Roman" w:hAnsi="Times New Roman"/>
          <w:b/>
          <w:sz w:val="28"/>
          <w:szCs w:val="28"/>
          <w:lang w:val="uk-UA"/>
        </w:rPr>
      </w:pPr>
      <w:bookmarkStart w:id="5" w:name="_Hlk73099282"/>
      <w:r w:rsidRPr="00505A1C">
        <w:rPr>
          <w:rFonts w:ascii="Times New Roman" w:hAnsi="Times New Roman"/>
          <w:b/>
          <w:sz w:val="28"/>
          <w:szCs w:val="28"/>
          <w:lang w:val="uk-UA"/>
        </w:rPr>
        <w:t xml:space="preserve">ДОСВІД  ДЛЯ УКРАЇНИ </w:t>
      </w:r>
      <w:r w:rsidR="005301E3">
        <w:rPr>
          <w:rFonts w:ascii="Times New Roman" w:hAnsi="Times New Roman"/>
          <w:b/>
          <w:sz w:val="28"/>
          <w:szCs w:val="28"/>
          <w:lang w:val="uk-UA"/>
        </w:rPr>
        <w:t xml:space="preserve">У </w:t>
      </w:r>
      <w:r w:rsidRPr="00505A1C">
        <w:rPr>
          <w:rFonts w:ascii="Times New Roman" w:hAnsi="Times New Roman"/>
          <w:b/>
          <w:sz w:val="28"/>
          <w:szCs w:val="28"/>
          <w:lang w:val="uk-UA"/>
        </w:rPr>
        <w:t>РОЗВИТКУ ФОНДОВОГО РИНКУ ЯПОНІЇ</w:t>
      </w:r>
    </w:p>
    <w:bookmarkEnd w:id="5"/>
    <w:p w14:paraId="14F05463" w14:textId="19074D3D" w:rsidR="00EE1AB6" w:rsidRPr="00C03670" w:rsidRDefault="00C03670" w:rsidP="00505A1C">
      <w:pPr>
        <w:spacing w:after="160" w:line="360" w:lineRule="auto"/>
        <w:jc w:val="both"/>
        <w:rPr>
          <w:rFonts w:ascii="Times New Roman" w:hAnsi="Times New Roman"/>
          <w:b/>
          <w:sz w:val="28"/>
          <w:szCs w:val="28"/>
          <w:lang w:val="uk-UA"/>
        </w:rPr>
      </w:pPr>
      <w:r w:rsidRPr="00C03670">
        <w:rPr>
          <w:rFonts w:ascii="Times New Roman" w:hAnsi="Times New Roman"/>
          <w:b/>
          <w:sz w:val="28"/>
          <w:szCs w:val="28"/>
          <w:lang w:val="uk-UA"/>
        </w:rPr>
        <w:t xml:space="preserve">3.1 </w:t>
      </w:r>
      <w:r w:rsidR="00505A1C" w:rsidRPr="00505A1C">
        <w:rPr>
          <w:rFonts w:ascii="Times New Roman" w:hAnsi="Times New Roman"/>
          <w:b/>
          <w:sz w:val="28"/>
          <w:szCs w:val="28"/>
          <w:lang w:val="uk-UA"/>
        </w:rPr>
        <w:t>Порівняння особливостей становлення фондового ринку Японії та України</w:t>
      </w:r>
    </w:p>
    <w:p w14:paraId="5160C085" w14:textId="36BA4516" w:rsidR="002211A9" w:rsidRPr="002211A9" w:rsidRDefault="00140820" w:rsidP="00482FBA">
      <w:pPr>
        <w:spacing w:after="160" w:line="360" w:lineRule="auto"/>
        <w:ind w:firstLine="720"/>
        <w:jc w:val="both"/>
        <w:rPr>
          <w:rFonts w:ascii="Times New Roman" w:eastAsiaTheme="minorEastAsia" w:hAnsi="Times New Roman"/>
          <w:bCs/>
          <w:sz w:val="28"/>
          <w:szCs w:val="28"/>
          <w:lang w:val="uk-UA" w:eastAsia="ja-JP"/>
        </w:rPr>
      </w:pPr>
      <w:r>
        <w:rPr>
          <w:rFonts w:ascii="Times New Roman" w:hAnsi="Times New Roman"/>
          <w:bCs/>
          <w:sz w:val="28"/>
          <w:szCs w:val="28"/>
          <w:lang w:val="uk-UA"/>
        </w:rPr>
        <w:t xml:space="preserve">У попередніх розділах було проаналізовано історію, особливості, путь становлення та фактори які сьогодні оказують вплив на фондовий ринок Японії. </w:t>
      </w:r>
      <w:r w:rsidR="00B461E5">
        <w:rPr>
          <w:rFonts w:ascii="Times New Roman" w:hAnsi="Times New Roman"/>
          <w:bCs/>
          <w:sz w:val="28"/>
          <w:szCs w:val="28"/>
          <w:lang w:val="uk-UA"/>
        </w:rPr>
        <w:t xml:space="preserve">На сьогодні великою проблемою для України є недостатність розвитку у майже усіх сферах життя. У рамках цієї роботи до сих пір аналізувалися фактори які на пряму </w:t>
      </w:r>
      <w:r w:rsidR="002211A9">
        <w:rPr>
          <w:rFonts w:ascii="Times New Roman" w:hAnsi="Times New Roman"/>
          <w:bCs/>
          <w:sz w:val="28"/>
          <w:szCs w:val="28"/>
          <w:lang w:val="uk-UA"/>
        </w:rPr>
        <w:t>пов’язані</w:t>
      </w:r>
      <w:r w:rsidR="00B461E5">
        <w:rPr>
          <w:rFonts w:ascii="Times New Roman" w:hAnsi="Times New Roman"/>
          <w:bCs/>
          <w:sz w:val="28"/>
          <w:szCs w:val="28"/>
          <w:lang w:val="uk-UA"/>
        </w:rPr>
        <w:t xml:space="preserve"> з фінансовим ринком країни, однак якщо ставити ціль</w:t>
      </w:r>
      <w:r w:rsidR="002211A9">
        <w:rPr>
          <w:rFonts w:ascii="Times New Roman" w:hAnsi="Times New Roman"/>
          <w:bCs/>
          <w:sz w:val="28"/>
          <w:szCs w:val="28"/>
          <w:lang w:val="uk-UA"/>
        </w:rPr>
        <w:t xml:space="preserve"> </w:t>
      </w:r>
      <w:r w:rsidR="002211A9" w:rsidRPr="002211A9">
        <w:rPr>
          <w:rFonts w:ascii="Times New Roman" w:hAnsi="Times New Roman"/>
          <w:bCs/>
          <w:sz w:val="28"/>
          <w:szCs w:val="28"/>
          <w:lang w:val="uk-UA"/>
        </w:rPr>
        <w:t>з'ясувати</w:t>
      </w:r>
      <w:r w:rsidR="002211A9">
        <w:rPr>
          <w:rFonts w:ascii="Times New Roman" w:hAnsi="Times New Roman"/>
          <w:bCs/>
          <w:sz w:val="28"/>
          <w:szCs w:val="28"/>
          <w:lang w:val="uk-UA"/>
        </w:rPr>
        <w:t xml:space="preserve"> </w:t>
      </w:r>
      <w:r w:rsidR="00B461E5">
        <w:rPr>
          <w:rFonts w:ascii="Times New Roman" w:hAnsi="Times New Roman"/>
          <w:bCs/>
          <w:sz w:val="28"/>
          <w:szCs w:val="28"/>
          <w:lang w:val="uk-UA"/>
        </w:rPr>
        <w:t xml:space="preserve">яким чином Україна може досягнути рівня Японського фондового ринку то тут </w:t>
      </w:r>
      <w:r w:rsidR="00B461E5">
        <w:rPr>
          <w:rFonts w:ascii="Times New Roman" w:hAnsi="Times New Roman"/>
          <w:bCs/>
          <w:sz w:val="28"/>
          <w:szCs w:val="28"/>
          <w:lang w:val="uk-UA"/>
        </w:rPr>
        <w:lastRenderedPageBreak/>
        <w:t>тре</w:t>
      </w:r>
      <w:r w:rsidR="002211A9">
        <w:rPr>
          <w:rFonts w:ascii="Times New Roman" w:hAnsi="Times New Roman"/>
          <w:bCs/>
          <w:sz w:val="28"/>
          <w:szCs w:val="28"/>
          <w:lang w:val="uk-UA"/>
        </w:rPr>
        <w:t xml:space="preserve">ба звертатися до історії. У разі специфіки цієї роботи буде розібрано історію модернізації саме Японії, тому як це дозволить правильно виділити усю специфіку розвитку. Це також допоможе правильно зрозуміти сучасний розвиток фондового ринку країни. </w:t>
      </w:r>
    </w:p>
    <w:p w14:paraId="415F9C06" w14:textId="733BC1A6" w:rsidR="004A6562" w:rsidRPr="00E71EE5" w:rsidRDefault="001F6EEA" w:rsidP="002211A9">
      <w:pPr>
        <w:spacing w:after="160" w:line="360" w:lineRule="auto"/>
        <w:ind w:firstLine="720"/>
        <w:jc w:val="both"/>
        <w:rPr>
          <w:rFonts w:ascii="Times New Roman" w:hAnsi="Times New Roman"/>
          <w:bCs/>
          <w:sz w:val="28"/>
          <w:szCs w:val="28"/>
        </w:rPr>
      </w:pPr>
      <w:r>
        <w:rPr>
          <w:rFonts w:ascii="Times New Roman" w:hAnsi="Times New Roman"/>
          <w:bCs/>
          <w:sz w:val="28"/>
          <w:szCs w:val="28"/>
          <w:lang w:val="uk-UA"/>
        </w:rPr>
        <w:t xml:space="preserve">Подальший аналіз фінансового ринку Японії та його особливостей допоможе </w:t>
      </w:r>
      <w:r w:rsidR="002211A9">
        <w:rPr>
          <w:rFonts w:ascii="Times New Roman" w:hAnsi="Times New Roman"/>
          <w:bCs/>
          <w:sz w:val="28"/>
          <w:szCs w:val="28"/>
          <w:lang w:val="uk-UA"/>
        </w:rPr>
        <w:t xml:space="preserve">виявити чи можна застосувати деякі методи до </w:t>
      </w:r>
      <w:r>
        <w:rPr>
          <w:rFonts w:ascii="Times New Roman" w:hAnsi="Times New Roman"/>
          <w:bCs/>
          <w:sz w:val="28"/>
          <w:szCs w:val="28"/>
          <w:lang w:val="uk-UA"/>
        </w:rPr>
        <w:t xml:space="preserve">майбутнього розвитку </w:t>
      </w:r>
      <w:r w:rsidR="002211A9">
        <w:rPr>
          <w:rFonts w:ascii="Times New Roman" w:hAnsi="Times New Roman"/>
          <w:bCs/>
          <w:sz w:val="28"/>
          <w:szCs w:val="28"/>
          <w:lang w:val="uk-UA"/>
        </w:rPr>
        <w:t xml:space="preserve">України. Японія </w:t>
      </w:r>
      <w:r w:rsidR="00140820">
        <w:rPr>
          <w:rFonts w:ascii="Times New Roman" w:hAnsi="Times New Roman"/>
          <w:bCs/>
          <w:sz w:val="28"/>
          <w:szCs w:val="28"/>
          <w:lang w:val="uk-UA"/>
        </w:rPr>
        <w:t>є дуже специфічною країною з характерними як культурними так і економічними особливостями, і повторити той важкий шлях яка пройшла ця країна з точністю до деталей неможливо і не потрібно. Однак дивлячись на досвід Японії, дивлячись на проблеми з якими зіткнулася ця країна, та яким чином вона їх вирішувала, яку систему впроваджувала, можна робити деякі висновки і для інших країн. Україна на даний момент не є ні відомим світовим фінансовим центром ні країною з процвітаючою економікою</w:t>
      </w:r>
      <w:r w:rsidR="00D42E76">
        <w:rPr>
          <w:rFonts w:ascii="Times New Roman" w:hAnsi="Times New Roman"/>
          <w:bCs/>
          <w:sz w:val="28"/>
          <w:szCs w:val="28"/>
          <w:lang w:val="uk-UA"/>
        </w:rPr>
        <w:t xml:space="preserve">, але це можливо та потрібно змінювати. Ще з прикладів історії можна помітити що країни робили для прискорення розвитку та модернізації – вони направляли свій погляд за межи своїх кордонів та вчилися у більш успішних держав. Навіть сама Японія у ще у 18 віці була досить примітивною країною, яка не мала ні якої індустрії чи армії, що було дуже важливо на той період. Дух країни на той час можна охарактеризувати так «У разі якщо старі уклади та традиції призвели до того </w:t>
      </w:r>
      <w:r w:rsidR="00140820">
        <w:rPr>
          <w:rFonts w:ascii="Times New Roman" w:hAnsi="Times New Roman"/>
          <w:bCs/>
          <w:sz w:val="28"/>
          <w:szCs w:val="28"/>
          <w:lang w:val="uk-UA"/>
        </w:rPr>
        <w:t xml:space="preserve"> </w:t>
      </w:r>
      <w:r w:rsidR="00D42E76">
        <w:rPr>
          <w:rFonts w:ascii="Times New Roman" w:hAnsi="Times New Roman"/>
          <w:bCs/>
          <w:sz w:val="28"/>
          <w:szCs w:val="28"/>
          <w:lang w:val="uk-UA"/>
        </w:rPr>
        <w:t xml:space="preserve">такої ситуації в якої знаходиться наша країна, то настав час їх змінити». Саме у цей період країна яка майже не мала природних ресурсів, здійснила одну з найшвидших індустріалізацій в історії. В Японії </w:t>
      </w:r>
      <w:r w:rsidR="004A6562">
        <w:rPr>
          <w:rFonts w:ascii="Times New Roman" w:hAnsi="Times New Roman"/>
          <w:bCs/>
          <w:sz w:val="28"/>
          <w:szCs w:val="28"/>
          <w:lang w:val="uk-UA"/>
        </w:rPr>
        <w:t>з’</w:t>
      </w:r>
      <w:r w:rsidR="004A6562">
        <w:rPr>
          <w:rFonts w:ascii="Times New Roman" w:eastAsiaTheme="minorEastAsia" w:hAnsi="Times New Roman"/>
          <w:bCs/>
          <w:sz w:val="28"/>
          <w:szCs w:val="28"/>
          <w:lang w:val="uk-UA" w:eastAsia="ja-JP"/>
        </w:rPr>
        <w:t>явилися</w:t>
      </w:r>
      <w:r w:rsidR="00D42E76">
        <w:rPr>
          <w:rFonts w:ascii="Times New Roman" w:eastAsiaTheme="minorEastAsia" w:hAnsi="Times New Roman"/>
          <w:bCs/>
          <w:sz w:val="28"/>
          <w:szCs w:val="28"/>
          <w:lang w:val="uk-UA" w:eastAsia="ja-JP"/>
        </w:rPr>
        <w:t xml:space="preserve"> заводи, фабрики, </w:t>
      </w:r>
      <w:r w:rsidR="004A6562">
        <w:rPr>
          <w:rFonts w:ascii="Times New Roman" w:eastAsiaTheme="minorEastAsia" w:hAnsi="Times New Roman"/>
          <w:bCs/>
          <w:sz w:val="28"/>
          <w:szCs w:val="28"/>
          <w:lang w:val="uk-UA" w:eastAsia="ja-JP"/>
        </w:rPr>
        <w:t>залізні дороги, банки, та навіть біржа. Успіх цієї індустріалізації підтверджується у перемозі Японії у Російсько-Японській війні. Це унікальний історичний випадок, саме після нього Японію почали вважати серйозним гравцем на світовій арені</w:t>
      </w:r>
      <w:r w:rsidR="00E71EE5" w:rsidRPr="00E71EE5">
        <w:rPr>
          <w:rFonts w:ascii="Times New Roman" w:eastAsiaTheme="minorEastAsia" w:hAnsi="Times New Roman"/>
          <w:bCs/>
          <w:sz w:val="28"/>
          <w:szCs w:val="28"/>
          <w:lang w:eastAsia="ja-JP"/>
        </w:rPr>
        <w:t xml:space="preserve"> [35]</w:t>
      </w:r>
      <w:r w:rsidR="005657AC">
        <w:rPr>
          <w:rFonts w:ascii="Times New Roman" w:eastAsiaTheme="minorEastAsia" w:hAnsi="Times New Roman"/>
          <w:bCs/>
          <w:sz w:val="28"/>
          <w:szCs w:val="28"/>
          <w:lang w:val="uk-UA" w:eastAsia="ja-JP"/>
        </w:rPr>
        <w:t xml:space="preserve">, </w:t>
      </w:r>
      <w:r w:rsidR="005657AC">
        <w:rPr>
          <w:rFonts w:ascii="Times New Roman" w:eastAsiaTheme="minorEastAsia" w:hAnsi="Times New Roman" w:hint="eastAsia"/>
          <w:bCs/>
          <w:sz w:val="28"/>
          <w:szCs w:val="28"/>
          <w:lang w:val="uk-UA" w:eastAsia="ja-JP"/>
        </w:rPr>
        <w:t>[</w:t>
      </w:r>
      <w:r w:rsidR="005657AC" w:rsidRPr="005657AC">
        <w:rPr>
          <w:rFonts w:ascii="Times New Roman" w:eastAsiaTheme="minorEastAsia" w:hAnsi="Times New Roman"/>
          <w:bCs/>
          <w:sz w:val="28"/>
          <w:szCs w:val="28"/>
          <w:lang w:eastAsia="ja-JP"/>
        </w:rPr>
        <w:t>36]</w:t>
      </w:r>
      <w:r w:rsidR="00E71EE5" w:rsidRPr="00E71EE5">
        <w:rPr>
          <w:rFonts w:ascii="Times New Roman" w:eastAsiaTheme="minorEastAsia" w:hAnsi="Times New Roman"/>
          <w:bCs/>
          <w:sz w:val="28"/>
          <w:szCs w:val="28"/>
          <w:lang w:eastAsia="ja-JP"/>
        </w:rPr>
        <w:t>.</w:t>
      </w:r>
    </w:p>
    <w:p w14:paraId="0E4D6362" w14:textId="3BDAB776" w:rsidR="008C20C9" w:rsidRDefault="004A6562"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lastRenderedPageBreak/>
        <w:tab/>
        <w:t xml:space="preserve">Такий вступ був зроблений з цілю показати на що саме здатна країна у процесі модернізації. Головний момент який треба відмітити – це факт того як Японія здійснювала всі модернізаційні процеси. Японія вчилася на прикладах передових на той момент Європейських держав. Але специфіка полягала саме у тому, що Японія намагалася брати найкраще з кожної розвинутої країни. На думку автора, саме по прикладу Японії, Україна повинна здійснювати модернізацію свого фінансового ринку.   </w:t>
      </w:r>
      <w:r w:rsidR="008C20C9">
        <w:rPr>
          <w:rFonts w:ascii="Times New Roman" w:eastAsiaTheme="minorEastAsia" w:hAnsi="Times New Roman"/>
          <w:bCs/>
          <w:sz w:val="28"/>
          <w:szCs w:val="28"/>
          <w:lang w:val="uk-UA" w:eastAsia="ja-JP"/>
        </w:rPr>
        <w:t>У доказ до цього можна привести приклад з дослідження щодо фондового ринку Японії у період до другої світової війни</w:t>
      </w:r>
      <w:r w:rsidR="00AA4BB9">
        <w:rPr>
          <w:rFonts w:ascii="Times New Roman" w:eastAsiaTheme="minorEastAsia" w:hAnsi="Times New Roman"/>
          <w:bCs/>
          <w:sz w:val="28"/>
          <w:szCs w:val="28"/>
          <w:lang w:val="uk-UA" w:eastAsia="ja-JP"/>
        </w:rPr>
        <w:t xml:space="preserve"> (2005)</w:t>
      </w:r>
      <w:r w:rsidR="008C20C9">
        <w:rPr>
          <w:rFonts w:ascii="Times New Roman" w:eastAsiaTheme="minorEastAsia" w:hAnsi="Times New Roman"/>
          <w:bCs/>
          <w:sz w:val="28"/>
          <w:szCs w:val="28"/>
          <w:lang w:val="uk-UA" w:eastAsia="ja-JP"/>
        </w:rPr>
        <w:t xml:space="preserve">. </w:t>
      </w:r>
      <w:r w:rsidR="00AA4BB9" w:rsidRPr="00AA4BB9">
        <w:rPr>
          <w:rFonts w:ascii="Times New Roman" w:eastAsiaTheme="minorEastAsia" w:hAnsi="Times New Roman"/>
          <w:bCs/>
          <w:sz w:val="28"/>
          <w:szCs w:val="28"/>
          <w:lang w:val="uk-UA" w:eastAsia="ja-JP"/>
        </w:rPr>
        <w:t xml:space="preserve">Ясусі Хамао Такео Хоші </w:t>
      </w:r>
      <w:r w:rsidR="00AA4BB9">
        <w:rPr>
          <w:rFonts w:ascii="Times New Roman" w:eastAsiaTheme="minorEastAsia" w:hAnsi="Times New Roman"/>
          <w:bCs/>
          <w:sz w:val="28"/>
          <w:szCs w:val="28"/>
          <w:lang w:val="uk-UA" w:eastAsia="ja-JP"/>
        </w:rPr>
        <w:t xml:space="preserve">та </w:t>
      </w:r>
      <w:r w:rsidR="00AA4BB9" w:rsidRPr="00AA4BB9">
        <w:rPr>
          <w:rFonts w:ascii="Times New Roman" w:eastAsiaTheme="minorEastAsia" w:hAnsi="Times New Roman"/>
          <w:bCs/>
          <w:sz w:val="28"/>
          <w:szCs w:val="28"/>
          <w:lang w:val="uk-UA" w:eastAsia="ja-JP"/>
        </w:rPr>
        <w:t xml:space="preserve">Тецудзі Оказакі </w:t>
      </w:r>
      <w:r w:rsidR="008C20C9">
        <w:rPr>
          <w:rFonts w:ascii="Times New Roman" w:eastAsiaTheme="minorEastAsia" w:hAnsi="Times New Roman"/>
          <w:bCs/>
          <w:sz w:val="28"/>
          <w:szCs w:val="28"/>
          <w:lang w:val="uk-UA" w:eastAsia="ja-JP"/>
        </w:rPr>
        <w:t>стверджу</w:t>
      </w:r>
      <w:r w:rsidR="00AA4BB9">
        <w:rPr>
          <w:rFonts w:ascii="Times New Roman" w:eastAsiaTheme="minorEastAsia" w:hAnsi="Times New Roman"/>
          <w:bCs/>
          <w:sz w:val="28"/>
          <w:szCs w:val="28"/>
          <w:lang w:val="uk-UA" w:eastAsia="ja-JP"/>
        </w:rPr>
        <w:t>ють</w:t>
      </w:r>
      <w:r w:rsidR="008C20C9">
        <w:rPr>
          <w:rFonts w:ascii="Times New Roman" w:eastAsiaTheme="minorEastAsia" w:hAnsi="Times New Roman"/>
          <w:bCs/>
          <w:sz w:val="28"/>
          <w:szCs w:val="28"/>
          <w:lang w:val="uk-UA" w:eastAsia="ja-JP"/>
        </w:rPr>
        <w:t xml:space="preserve">, що базуючись </w:t>
      </w:r>
      <w:r w:rsidR="008C20C9" w:rsidRPr="008C20C9">
        <w:rPr>
          <w:rFonts w:ascii="Times New Roman" w:eastAsiaTheme="minorEastAsia" w:hAnsi="Times New Roman"/>
          <w:bCs/>
          <w:sz w:val="28"/>
          <w:szCs w:val="28"/>
          <w:lang w:val="uk-UA" w:eastAsia="ja-JP"/>
        </w:rPr>
        <w:t xml:space="preserve">на трьох співвідношеннях як заходах для оцінки розвитку ринку капіталу, а саме: </w:t>
      </w:r>
    </w:p>
    <w:p w14:paraId="6FDFC956" w14:textId="6B9787DE" w:rsidR="008C20C9" w:rsidRPr="008C20C9" w:rsidRDefault="008C20C9" w:rsidP="008C20C9">
      <w:pPr>
        <w:spacing w:after="160" w:line="360" w:lineRule="auto"/>
        <w:jc w:val="both"/>
        <w:rPr>
          <w:rFonts w:ascii="Times New Roman" w:eastAsiaTheme="minorEastAsia" w:hAnsi="Times New Roman"/>
          <w:bCs/>
          <w:sz w:val="28"/>
          <w:szCs w:val="28"/>
          <w:lang w:val="uk-UA" w:eastAsia="ja-JP"/>
        </w:rPr>
      </w:pPr>
      <w:r w:rsidRPr="008C20C9">
        <w:rPr>
          <w:rFonts w:ascii="Times New Roman" w:eastAsiaTheme="minorEastAsia" w:hAnsi="Times New Roman"/>
          <w:bCs/>
          <w:sz w:val="28"/>
          <w:szCs w:val="28"/>
          <w:lang w:val="uk-UA" w:eastAsia="ja-JP"/>
        </w:rPr>
        <w:t>1.</w:t>
      </w:r>
      <w:r>
        <w:rPr>
          <w:rFonts w:ascii="Times New Roman" w:eastAsiaTheme="minorEastAsia" w:hAnsi="Times New Roman"/>
          <w:bCs/>
          <w:sz w:val="28"/>
          <w:szCs w:val="28"/>
          <w:lang w:val="uk-UA" w:eastAsia="ja-JP"/>
        </w:rPr>
        <w:t xml:space="preserve"> </w:t>
      </w:r>
      <w:r w:rsidRPr="008C20C9">
        <w:rPr>
          <w:rFonts w:ascii="Times New Roman" w:eastAsiaTheme="minorEastAsia" w:hAnsi="Times New Roman"/>
          <w:bCs/>
          <w:sz w:val="28"/>
          <w:szCs w:val="28"/>
          <w:lang w:val="uk-UA" w:eastAsia="ja-JP"/>
        </w:rPr>
        <w:t xml:space="preserve">загальна ринкова вартість перерахованих акцій / ВВП, </w:t>
      </w:r>
    </w:p>
    <w:p w14:paraId="77107D5A" w14:textId="77777777" w:rsidR="008C20C9" w:rsidRDefault="008C20C9" w:rsidP="008C20C9">
      <w:pPr>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2. </w:t>
      </w:r>
      <w:r w:rsidRPr="008C20C9">
        <w:rPr>
          <w:rFonts w:ascii="Times New Roman" w:eastAsiaTheme="minorEastAsia" w:hAnsi="Times New Roman"/>
          <w:sz w:val="28"/>
          <w:szCs w:val="28"/>
          <w:lang w:val="uk-UA" w:eastAsia="ja-JP"/>
        </w:rPr>
        <w:t xml:space="preserve">загальна вартість акцій що торгуються) / ВВП  </w:t>
      </w:r>
    </w:p>
    <w:p w14:paraId="64EF2992" w14:textId="77777777" w:rsidR="008C20C9" w:rsidRDefault="008C20C9" w:rsidP="008C20C9">
      <w:pPr>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 xml:space="preserve">3. </w:t>
      </w:r>
      <w:r w:rsidRPr="008C20C9">
        <w:rPr>
          <w:rFonts w:ascii="Times New Roman" w:eastAsiaTheme="minorEastAsia" w:hAnsi="Times New Roman"/>
          <w:sz w:val="28"/>
          <w:szCs w:val="28"/>
          <w:lang w:val="uk-UA" w:eastAsia="ja-JP"/>
        </w:rPr>
        <w:t xml:space="preserve"> загальна вартість акцій що торгуються / загальна ринкова вартість перерахованих </w:t>
      </w:r>
      <w:r>
        <w:rPr>
          <w:rFonts w:ascii="Times New Roman" w:eastAsiaTheme="minorEastAsia" w:hAnsi="Times New Roman"/>
          <w:sz w:val="28"/>
          <w:szCs w:val="28"/>
          <w:lang w:val="uk-UA" w:eastAsia="ja-JP"/>
        </w:rPr>
        <w:t>акцій</w:t>
      </w:r>
      <w:r w:rsidRPr="008C20C9">
        <w:rPr>
          <w:rFonts w:ascii="Times New Roman" w:eastAsiaTheme="minorEastAsia" w:hAnsi="Times New Roman"/>
          <w:sz w:val="28"/>
          <w:szCs w:val="28"/>
          <w:lang w:val="uk-UA" w:eastAsia="ja-JP"/>
        </w:rPr>
        <w:t xml:space="preserve">. </w:t>
      </w:r>
    </w:p>
    <w:p w14:paraId="6CB59060" w14:textId="3A5B1DEF" w:rsidR="008C20C9" w:rsidRPr="008C20C9" w:rsidRDefault="008C20C9" w:rsidP="00462478">
      <w:pPr>
        <w:spacing w:line="360" w:lineRule="auto"/>
        <w:ind w:firstLine="720"/>
        <w:rPr>
          <w:rFonts w:ascii="Times New Roman" w:eastAsiaTheme="minorEastAsia" w:hAnsi="Times New Roman"/>
          <w:sz w:val="28"/>
          <w:szCs w:val="28"/>
          <w:lang w:val="uk-UA" w:eastAsia="ja-JP"/>
        </w:rPr>
      </w:pPr>
      <w:r>
        <w:rPr>
          <w:rFonts w:ascii="Times New Roman" w:eastAsiaTheme="minorEastAsia" w:hAnsi="Times New Roman"/>
          <w:sz w:val="28"/>
          <w:szCs w:val="28"/>
          <w:lang w:val="uk-UA" w:eastAsia="ja-JP"/>
        </w:rPr>
        <w:t>Авторами зазначено, що з</w:t>
      </w:r>
      <w:r w:rsidRPr="008C20C9">
        <w:rPr>
          <w:rFonts w:ascii="Times New Roman" w:eastAsiaTheme="minorEastAsia" w:hAnsi="Times New Roman"/>
          <w:sz w:val="28"/>
          <w:szCs w:val="28"/>
          <w:lang w:val="uk-UA" w:eastAsia="ja-JP"/>
        </w:rPr>
        <w:t xml:space="preserve"> точки зору всіх цих трьох </w:t>
      </w:r>
      <w:r>
        <w:rPr>
          <w:rFonts w:ascii="Times New Roman" w:eastAsiaTheme="minorEastAsia" w:hAnsi="Times New Roman"/>
          <w:sz w:val="28"/>
          <w:szCs w:val="28"/>
          <w:lang w:val="uk-UA" w:eastAsia="ja-JP"/>
        </w:rPr>
        <w:t>показників</w:t>
      </w:r>
      <w:r w:rsidRPr="008C20C9">
        <w:rPr>
          <w:rFonts w:ascii="Times New Roman" w:eastAsiaTheme="minorEastAsia" w:hAnsi="Times New Roman"/>
          <w:sz w:val="28"/>
          <w:szCs w:val="28"/>
          <w:lang w:val="uk-UA" w:eastAsia="ja-JP"/>
        </w:rPr>
        <w:t>, фондовий ринок Японії в 1936 р. Був більш розвиненим, ніж ринок акцій США</w:t>
      </w:r>
      <w:r>
        <w:rPr>
          <w:rFonts w:ascii="Times New Roman" w:eastAsiaTheme="minorEastAsia" w:hAnsi="Times New Roman"/>
          <w:sz w:val="28"/>
          <w:szCs w:val="28"/>
          <w:lang w:val="uk-UA" w:eastAsia="ja-JP"/>
        </w:rPr>
        <w:t xml:space="preserve"> </w:t>
      </w:r>
      <w:r w:rsidRPr="008C20C9">
        <w:rPr>
          <w:rFonts w:ascii="Times New Roman" w:eastAsiaTheme="minorEastAsia" w:hAnsi="Times New Roman"/>
          <w:sz w:val="28"/>
          <w:szCs w:val="28"/>
          <w:lang w:eastAsia="ja-JP"/>
        </w:rPr>
        <w:t>[21]</w:t>
      </w:r>
      <w:r>
        <w:rPr>
          <w:rFonts w:ascii="Times New Roman" w:eastAsiaTheme="minorEastAsia" w:hAnsi="Times New Roman"/>
          <w:sz w:val="28"/>
          <w:szCs w:val="28"/>
          <w:lang w:val="uk-UA" w:eastAsia="ja-JP"/>
        </w:rPr>
        <w:t>.</w:t>
      </w:r>
    </w:p>
    <w:p w14:paraId="7007BE1A" w14:textId="50BD0AE6" w:rsidR="00124AEA" w:rsidRDefault="002211A9" w:rsidP="00482FBA">
      <w:pPr>
        <w:spacing w:after="160" w:line="360" w:lineRule="auto"/>
        <w:jc w:val="both"/>
        <w:rPr>
          <w:rFonts w:ascii="Times New Roman" w:eastAsiaTheme="minorEastAsia" w:hAnsi="Times New Roman"/>
          <w:bCs/>
          <w:sz w:val="28"/>
          <w:szCs w:val="28"/>
          <w:lang w:val="uk-UA" w:eastAsia="ja-JP"/>
        </w:rPr>
      </w:pPr>
      <w:r w:rsidRPr="008C20C9">
        <w:rPr>
          <w:rFonts w:ascii="Times New Roman" w:eastAsiaTheme="minorEastAsia" w:hAnsi="Times New Roman"/>
          <w:bCs/>
          <w:sz w:val="28"/>
          <w:szCs w:val="28"/>
          <w:lang w:val="uk-UA" w:eastAsia="ja-JP"/>
        </w:rPr>
        <w:tab/>
        <w:t>Щодо створення</w:t>
      </w:r>
      <w:r w:rsidR="008C20C9">
        <w:rPr>
          <w:rFonts w:ascii="Times New Roman" w:eastAsiaTheme="minorEastAsia" w:hAnsi="Times New Roman"/>
          <w:bCs/>
          <w:sz w:val="28"/>
          <w:szCs w:val="28"/>
          <w:lang w:val="uk-UA" w:eastAsia="ja-JP"/>
        </w:rPr>
        <w:t xml:space="preserve"> та модернізації</w:t>
      </w:r>
      <w:r w:rsidRPr="008C20C9">
        <w:rPr>
          <w:rFonts w:ascii="Times New Roman" w:eastAsiaTheme="minorEastAsia" w:hAnsi="Times New Roman"/>
          <w:bCs/>
          <w:sz w:val="28"/>
          <w:szCs w:val="28"/>
          <w:lang w:val="uk-UA" w:eastAsia="ja-JP"/>
        </w:rPr>
        <w:t xml:space="preserve"> фонового ринку Японії то треба відмітити кілька головних деталей</w:t>
      </w:r>
      <w:r w:rsidR="008C20C9">
        <w:rPr>
          <w:rFonts w:ascii="Times New Roman" w:eastAsiaTheme="minorEastAsia" w:hAnsi="Times New Roman"/>
          <w:bCs/>
          <w:sz w:val="28"/>
          <w:szCs w:val="28"/>
          <w:lang w:val="uk-UA" w:eastAsia="ja-JP"/>
        </w:rPr>
        <w:t>. В Японії головну роль у всій фінансовій системі відіграють банки, та саме на банках будується уся послідуюча фінансова інфраструктура. Щоб показати важливість ролі банків у фінансовій системі Японії можна привести приклад організації корпоративної діяльності на території цієї країни. Спочатку (до другої світової війни), в Японії існували конгломерати під назвою Дзайбатсу</w:t>
      </w:r>
      <w:r w:rsidR="002D29EC">
        <w:rPr>
          <w:rFonts w:ascii="Times New Roman" w:eastAsiaTheme="minorEastAsia" w:hAnsi="Times New Roman"/>
          <w:bCs/>
          <w:sz w:val="28"/>
          <w:szCs w:val="28"/>
          <w:lang w:val="uk-UA" w:eastAsia="ja-JP"/>
        </w:rPr>
        <w:t xml:space="preserve">. Це важливий момент який треба відмітити тому що у центрі кожного такого конгломерату існувала банківська структура яка координує діяльність саме цього конгломерату. Банківська структура може </w:t>
      </w:r>
      <w:r w:rsidR="002D29EC">
        <w:rPr>
          <w:rFonts w:ascii="Times New Roman" w:eastAsiaTheme="minorEastAsia" w:hAnsi="Times New Roman"/>
          <w:bCs/>
          <w:sz w:val="28"/>
          <w:szCs w:val="28"/>
          <w:lang w:val="uk-UA" w:eastAsia="ja-JP"/>
        </w:rPr>
        <w:lastRenderedPageBreak/>
        <w:t xml:space="preserve">навіть бути у центрі декількох таких конгломератів. Після війни ці </w:t>
      </w:r>
      <w:r w:rsidR="00A60A52">
        <w:rPr>
          <w:rFonts w:ascii="Times New Roman" w:eastAsiaTheme="minorEastAsia" w:hAnsi="Times New Roman"/>
          <w:bCs/>
          <w:sz w:val="28"/>
          <w:szCs w:val="28"/>
          <w:lang w:val="uk-UA" w:eastAsia="ja-JP"/>
        </w:rPr>
        <w:t xml:space="preserve">конгломерати зазнали деяких змін. Так наприклад якщо раніше цими конгломератами володіли багаті сім’ї то зараз на зміну прийшли виконавчі директори. Із-за негативних асоціацій з війною, назва була змінена на кейрецу. Роль банків все ще зберігається на високому рівні. </w:t>
      </w:r>
      <w:r w:rsidR="00124AEA">
        <w:rPr>
          <w:rFonts w:ascii="Times New Roman" w:eastAsiaTheme="minorEastAsia" w:hAnsi="Times New Roman"/>
          <w:bCs/>
          <w:sz w:val="28"/>
          <w:szCs w:val="28"/>
          <w:lang w:val="uk-UA" w:eastAsia="ja-JP"/>
        </w:rPr>
        <w:t xml:space="preserve">Структуру цих конгломератів можна бачити на рисунку 3.1. </w:t>
      </w:r>
      <w:r w:rsidR="00A60A52">
        <w:rPr>
          <w:rFonts w:ascii="Times New Roman" w:eastAsiaTheme="minorEastAsia" w:hAnsi="Times New Roman"/>
          <w:bCs/>
          <w:sz w:val="28"/>
          <w:szCs w:val="28"/>
          <w:lang w:val="uk-UA" w:eastAsia="ja-JP"/>
        </w:rPr>
        <w:t xml:space="preserve">На сьогодні все ще існує п’ять головних кейрецу - </w:t>
      </w:r>
      <w:r w:rsidR="00A60A52" w:rsidRPr="00A60A52">
        <w:rPr>
          <w:rFonts w:ascii="Times New Roman" w:eastAsiaTheme="minorEastAsia" w:hAnsi="Times New Roman"/>
          <w:bCs/>
          <w:sz w:val="28"/>
          <w:szCs w:val="28"/>
          <w:lang w:val="uk-UA" w:eastAsia="ja-JP"/>
        </w:rPr>
        <w:t xml:space="preserve"> Сумітомо, Міцубісі, Міцуї</w:t>
      </w:r>
      <w:r w:rsidR="00A60A52">
        <w:rPr>
          <w:rFonts w:ascii="Times New Roman" w:eastAsiaTheme="minorEastAsia" w:hAnsi="Times New Roman"/>
          <w:bCs/>
          <w:sz w:val="28"/>
          <w:szCs w:val="28"/>
          <w:lang w:val="uk-UA" w:eastAsia="ja-JP"/>
        </w:rPr>
        <w:t xml:space="preserve">, </w:t>
      </w:r>
      <w:r w:rsidR="00A60A52" w:rsidRPr="00A60A52">
        <w:rPr>
          <w:rFonts w:ascii="Times New Roman" w:eastAsiaTheme="minorEastAsia" w:hAnsi="Times New Roman"/>
          <w:bCs/>
          <w:sz w:val="28"/>
          <w:szCs w:val="28"/>
          <w:lang w:val="uk-UA" w:eastAsia="ja-JP"/>
        </w:rPr>
        <w:t>Фуйо</w:t>
      </w:r>
      <w:r w:rsidR="00A60A52">
        <w:rPr>
          <w:rFonts w:ascii="Times New Roman" w:eastAsiaTheme="minorEastAsia" w:hAnsi="Times New Roman"/>
          <w:bCs/>
          <w:sz w:val="28"/>
          <w:szCs w:val="28"/>
          <w:lang w:val="uk-UA" w:eastAsia="ja-JP"/>
        </w:rPr>
        <w:t xml:space="preserve">, </w:t>
      </w:r>
      <w:r w:rsidR="00A60A52" w:rsidRPr="00A60A52">
        <w:rPr>
          <w:rFonts w:ascii="Times New Roman" w:eastAsiaTheme="minorEastAsia" w:hAnsi="Times New Roman"/>
          <w:bCs/>
          <w:sz w:val="28"/>
          <w:szCs w:val="28"/>
          <w:lang w:val="uk-UA" w:eastAsia="ja-JP"/>
        </w:rPr>
        <w:t>Санва</w:t>
      </w:r>
      <w:r w:rsidR="00A60A52">
        <w:rPr>
          <w:rFonts w:ascii="Times New Roman" w:eastAsiaTheme="minorEastAsia" w:hAnsi="Times New Roman"/>
          <w:bCs/>
          <w:sz w:val="28"/>
          <w:szCs w:val="28"/>
          <w:lang w:val="uk-UA" w:eastAsia="ja-JP"/>
        </w:rPr>
        <w:t xml:space="preserve">. Ці компанії відіграють дуже важливу роль у саме формуванні структури Японського фондового ринку. </w:t>
      </w:r>
    </w:p>
    <w:p w14:paraId="4AEDBD3A" w14:textId="21D18D59" w:rsidR="00124AEA" w:rsidRDefault="00406A48"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5648" behindDoc="0" locked="0" layoutInCell="1" allowOverlap="1" wp14:anchorId="687279A6" wp14:editId="290EC6EC">
                <wp:simplePos x="0" y="0"/>
                <wp:positionH relativeFrom="column">
                  <wp:posOffset>5303520</wp:posOffset>
                </wp:positionH>
                <wp:positionV relativeFrom="paragraph">
                  <wp:posOffset>369570</wp:posOffset>
                </wp:positionV>
                <wp:extent cx="7620" cy="601980"/>
                <wp:effectExtent l="76200" t="38100" r="68580" b="64770"/>
                <wp:wrapNone/>
                <wp:docPr id="26" name="Straight Arrow Connector 26"/>
                <wp:cNvGraphicFramePr/>
                <a:graphic xmlns:a="http://schemas.openxmlformats.org/drawingml/2006/main">
                  <a:graphicData uri="http://schemas.microsoft.com/office/word/2010/wordprocessingShape">
                    <wps:wsp>
                      <wps:cNvCnPr/>
                      <wps:spPr>
                        <a:xfrm>
                          <a:off x="0" y="0"/>
                          <a:ext cx="7620" cy="60198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E014F9B" id="_x0000_t32" coordsize="21600,21600" o:spt="32" o:oned="t" path="m,l21600,21600e" filled="f">
                <v:path arrowok="t" fillok="f" o:connecttype="none"/>
                <o:lock v:ext="edit" shapetype="t"/>
              </v:shapetype>
              <v:shape id="Straight Arrow Connector 26" o:spid="_x0000_s1026" type="#_x0000_t32" style="position:absolute;margin-left:417.6pt;margin-top:29.1pt;width:.6pt;height:47.4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" strokecolor="black [3213]" strokeweight=".5pt">
                <v:stroke startarrow="block" endarrow="block" joinstyle="miter"/>
              </v:shape>
            </w:pict>
          </mc:Fallback>
        </mc:AlternateContent>
      </w: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3600" behindDoc="0" locked="0" layoutInCell="1" allowOverlap="1" wp14:anchorId="4AE38264" wp14:editId="17020088">
                <wp:simplePos x="0" y="0"/>
                <wp:positionH relativeFrom="margin">
                  <wp:align>center</wp:align>
                </wp:positionH>
                <wp:positionV relativeFrom="paragraph">
                  <wp:posOffset>392430</wp:posOffset>
                </wp:positionV>
                <wp:extent cx="7620" cy="601980"/>
                <wp:effectExtent l="76200" t="38100" r="68580" b="64770"/>
                <wp:wrapNone/>
                <wp:docPr id="25" name="Straight Arrow Connector 25"/>
                <wp:cNvGraphicFramePr/>
                <a:graphic xmlns:a="http://schemas.openxmlformats.org/drawingml/2006/main">
                  <a:graphicData uri="http://schemas.microsoft.com/office/word/2010/wordprocessingShape">
                    <wps:wsp>
                      <wps:cNvCnPr/>
                      <wps:spPr>
                        <a:xfrm>
                          <a:off x="0" y="0"/>
                          <a:ext cx="7620" cy="60198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A9D596" id="Straight Arrow Connector 25" o:spid="_x0000_s1026" type="#_x0000_t32" style="position:absolute;margin-left:0;margin-top:30.9pt;width:.6pt;height:47.4pt;z-index:25167360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" strokecolor="black [3213]" strokeweight=".5pt">
                <v:stroke startarrow="block" endarrow="block" joinstyle="miter"/>
                <w10:wrap anchorx="margin"/>
              </v:shape>
            </w:pict>
          </mc:Fallback>
        </mc:AlternateContent>
      </w: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1552" behindDoc="0" locked="0" layoutInCell="1" allowOverlap="1" wp14:anchorId="190A0590" wp14:editId="045AEC04">
                <wp:simplePos x="0" y="0"/>
                <wp:positionH relativeFrom="column">
                  <wp:posOffset>981710</wp:posOffset>
                </wp:positionH>
                <wp:positionV relativeFrom="paragraph">
                  <wp:posOffset>398780</wp:posOffset>
                </wp:positionV>
                <wp:extent cx="7620" cy="601980"/>
                <wp:effectExtent l="76200" t="38100" r="68580" b="64770"/>
                <wp:wrapNone/>
                <wp:docPr id="24" name="Straight Arrow Connector 24"/>
                <wp:cNvGraphicFramePr/>
                <a:graphic xmlns:a="http://schemas.openxmlformats.org/drawingml/2006/main">
                  <a:graphicData uri="http://schemas.microsoft.com/office/word/2010/wordprocessingShape">
                    <wps:wsp>
                      <wps:cNvCnPr/>
                      <wps:spPr>
                        <a:xfrm>
                          <a:off x="0" y="0"/>
                          <a:ext cx="7620" cy="60198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BED7A5" id="Straight Arrow Connector 24" o:spid="_x0000_s1026" type="#_x0000_t32" style="position:absolute;margin-left:77.3pt;margin-top:31.4pt;width:.6pt;height:47.4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" strokecolor="black [3213]" strokeweight=".5pt">
                <v:stroke startarrow="block" endarrow="block" joinstyle="miter"/>
              </v:shape>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61312" behindDoc="0" locked="0" layoutInCell="1" allowOverlap="1" wp14:anchorId="69F6E70A" wp14:editId="5D17ABB2">
                <wp:simplePos x="0" y="0"/>
                <wp:positionH relativeFrom="margin">
                  <wp:align>right</wp:align>
                </wp:positionH>
                <wp:positionV relativeFrom="paragraph">
                  <wp:posOffset>11430</wp:posOffset>
                </wp:positionV>
                <wp:extent cx="1836420" cy="388620"/>
                <wp:effectExtent l="0" t="0" r="11430" b="11430"/>
                <wp:wrapNone/>
                <wp:docPr id="4" name="Rectangle 4"/>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408E9B" w14:textId="77777777"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F6E70A" id="Rectangle 4" o:spid="_x0000_s1026" style="position:absolute;left:0;text-align:left;margin-left:93.4pt;margin-top:.9pt;width:144.6pt;height:30.6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" fillcolor="white [3212]" strokecolor="black [3213]" strokeweight="1pt">
                <v:textbox>
                  <w:txbxContent>
                    <w:p w14:paraId="35408E9B" w14:textId="77777777"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v:textbox>
                <w10:wrap anchorx="margin"/>
              </v:rect>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59264" behindDoc="0" locked="0" layoutInCell="1" allowOverlap="1" wp14:anchorId="34CEE3F5" wp14:editId="274E31FC">
                <wp:simplePos x="0" y="0"/>
                <wp:positionH relativeFrom="margin">
                  <wp:align>left</wp:align>
                </wp:positionH>
                <wp:positionV relativeFrom="paragraph">
                  <wp:posOffset>10160</wp:posOffset>
                </wp:positionV>
                <wp:extent cx="1836420" cy="388620"/>
                <wp:effectExtent l="0" t="0" r="11430" b="11430"/>
                <wp:wrapNone/>
                <wp:docPr id="3" name="Rectangle 3"/>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C76386" w14:textId="27B60E22"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CEE3F5" id="Rectangle 3" o:spid="_x0000_s1027" style="position:absolute;left:0;text-align:left;margin-left:0;margin-top:.8pt;width:144.6pt;height:30.6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" fillcolor="white [3212]" strokecolor="black [3213]" strokeweight="1pt">
                <v:textbox>
                  <w:txbxContent>
                    <w:p w14:paraId="72C76386" w14:textId="27B60E22"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v:textbox>
                <w10:wrap anchorx="margin"/>
              </v:rect>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63360" behindDoc="0" locked="0" layoutInCell="1" allowOverlap="1" wp14:anchorId="05201488" wp14:editId="6FD8F35D">
                <wp:simplePos x="0" y="0"/>
                <wp:positionH relativeFrom="page">
                  <wp:posOffset>3015615</wp:posOffset>
                </wp:positionH>
                <wp:positionV relativeFrom="paragraph">
                  <wp:posOffset>6985</wp:posOffset>
                </wp:positionV>
                <wp:extent cx="1836420" cy="388620"/>
                <wp:effectExtent l="0" t="0" r="11430" b="11430"/>
                <wp:wrapNone/>
                <wp:docPr id="5" name="Rectangle 5"/>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B6D3FB" w14:textId="77777777"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201488" id="Rectangle 5" o:spid="_x0000_s1028" style="position:absolute;left:0;text-align:left;margin-left:237.45pt;margin-top:.55pt;width:144.6pt;height:30.6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" fillcolor="white [3212]" strokecolor="black [3213]" strokeweight="1pt">
                <v:textbox>
                  <w:txbxContent>
                    <w:p w14:paraId="57B6D3FB" w14:textId="77777777"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Компанія учасник</w:t>
                      </w:r>
                    </w:p>
                  </w:txbxContent>
                </v:textbox>
                <w10:wrap anchorx="page"/>
              </v:rect>
            </w:pict>
          </mc:Fallback>
        </mc:AlternateContent>
      </w:r>
    </w:p>
    <w:p w14:paraId="5CECBE3E" w14:textId="542F158F" w:rsidR="00124AEA" w:rsidRDefault="00406A48"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81792" behindDoc="0" locked="0" layoutInCell="1" allowOverlap="1" wp14:anchorId="61DD899E" wp14:editId="52EEED32">
                <wp:simplePos x="0" y="0"/>
                <wp:positionH relativeFrom="column">
                  <wp:posOffset>2452370</wp:posOffset>
                </wp:positionH>
                <wp:positionV relativeFrom="paragraph">
                  <wp:posOffset>1384935</wp:posOffset>
                </wp:positionV>
                <wp:extent cx="853440" cy="0"/>
                <wp:effectExtent l="38100" t="76200" r="22860" b="95250"/>
                <wp:wrapNone/>
                <wp:docPr id="32" name="Straight Arrow Connector 32"/>
                <wp:cNvGraphicFramePr/>
                <a:graphic xmlns:a="http://schemas.openxmlformats.org/drawingml/2006/main">
                  <a:graphicData uri="http://schemas.microsoft.com/office/word/2010/wordprocessingShape">
                    <wps:wsp>
                      <wps:cNvCnPr/>
                      <wps:spPr>
                        <a:xfrm>
                          <a:off x="0" y="0"/>
                          <a:ext cx="853440"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9A1566" id="Straight Arrow Connector 32" o:spid="_x0000_s1026" type="#_x0000_t32" style="position:absolute;margin-left:193.1pt;margin-top:109.05pt;width:67.2pt;height:0;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" strokecolor="black [3213]" strokeweight=".5pt">
                <v:stroke startarrow="block" endarrow="block" joinstyle="miter"/>
              </v:shape>
            </w:pict>
          </mc:Fallback>
        </mc:AlternateContent>
      </w: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80768" behindDoc="0" locked="0" layoutInCell="1" allowOverlap="1" wp14:anchorId="7548D856" wp14:editId="20647161">
                <wp:simplePos x="0" y="0"/>
                <wp:positionH relativeFrom="margin">
                  <wp:posOffset>3808730</wp:posOffset>
                </wp:positionH>
                <wp:positionV relativeFrom="paragraph">
                  <wp:posOffset>1598295</wp:posOffset>
                </wp:positionV>
                <wp:extent cx="236220" cy="548640"/>
                <wp:effectExtent l="38100" t="38100" r="49530" b="60960"/>
                <wp:wrapNone/>
                <wp:docPr id="29" name="Straight Arrow Connector 29"/>
                <wp:cNvGraphicFramePr/>
                <a:graphic xmlns:a="http://schemas.openxmlformats.org/drawingml/2006/main">
                  <a:graphicData uri="http://schemas.microsoft.com/office/word/2010/wordprocessingShape">
                    <wps:wsp>
                      <wps:cNvCnPr/>
                      <wps:spPr>
                        <a:xfrm flipH="1">
                          <a:off x="0" y="0"/>
                          <a:ext cx="236220" cy="54864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E507EF" id="Straight Arrow Connector 29" o:spid="_x0000_s1026" type="#_x0000_t32" style="position:absolute;margin-left:299.9pt;margin-top:125.85pt;width:18.6pt;height:43.2pt;flip:x;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" strokecolor="black [3213]" strokeweight=".5pt">
                <v:stroke startarrow="block" endarrow="block" joinstyle="miter"/>
                <w10:wrap anchorx="margin"/>
              </v:shape>
            </w:pict>
          </mc:Fallback>
        </mc:AlternateContent>
      </w: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8720" behindDoc="0" locked="0" layoutInCell="1" allowOverlap="1" wp14:anchorId="40008429" wp14:editId="2810777A">
                <wp:simplePos x="0" y="0"/>
                <wp:positionH relativeFrom="margin">
                  <wp:posOffset>1652270</wp:posOffset>
                </wp:positionH>
                <wp:positionV relativeFrom="paragraph">
                  <wp:posOffset>1605915</wp:posOffset>
                </wp:positionV>
                <wp:extent cx="297180" cy="541020"/>
                <wp:effectExtent l="38100" t="38100" r="64770" b="49530"/>
                <wp:wrapNone/>
                <wp:docPr id="28" name="Straight Arrow Connector 28"/>
                <wp:cNvGraphicFramePr/>
                <a:graphic xmlns:a="http://schemas.openxmlformats.org/drawingml/2006/main">
                  <a:graphicData uri="http://schemas.microsoft.com/office/word/2010/wordprocessingShape">
                    <wps:wsp>
                      <wps:cNvCnPr/>
                      <wps:spPr>
                        <a:xfrm>
                          <a:off x="0" y="0"/>
                          <a:ext cx="297180" cy="54102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2095D5" id="Straight Arrow Connector 28" o:spid="_x0000_s1026" type="#_x0000_t32" style="position:absolute;margin-left:130.1pt;margin-top:126.45pt;width:23.4pt;height:42.6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" strokecolor="black [3213]" strokeweight=".5pt">
                <v:stroke startarrow="block" endarrow="block" joinstyle="miter"/>
                <w10:wrap anchorx="margin"/>
              </v:shape>
            </w:pict>
          </mc:Fallback>
        </mc:AlternateContent>
      </w: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6672" behindDoc="0" locked="0" layoutInCell="1" allowOverlap="1" wp14:anchorId="11C3D6B1" wp14:editId="06FEE572">
                <wp:simplePos x="0" y="0"/>
                <wp:positionH relativeFrom="margin">
                  <wp:align>center</wp:align>
                </wp:positionH>
                <wp:positionV relativeFrom="paragraph">
                  <wp:posOffset>706755</wp:posOffset>
                </wp:positionV>
                <wp:extent cx="1623060" cy="335280"/>
                <wp:effectExtent l="0" t="0" r="15240" b="26670"/>
                <wp:wrapNone/>
                <wp:docPr id="27" name="Text Box 27"/>
                <wp:cNvGraphicFramePr/>
                <a:graphic xmlns:a="http://schemas.openxmlformats.org/drawingml/2006/main">
                  <a:graphicData uri="http://schemas.microsoft.com/office/word/2010/wordprocessingShape">
                    <wps:wsp>
                      <wps:cNvSpPr txBox="1"/>
                      <wps:spPr>
                        <a:xfrm>
                          <a:off x="0" y="0"/>
                          <a:ext cx="1623060" cy="335280"/>
                        </a:xfrm>
                        <a:prstGeom prst="rect">
                          <a:avLst/>
                        </a:prstGeom>
                        <a:solidFill>
                          <a:schemeClr val="lt1"/>
                        </a:solidFill>
                        <a:ln w="6350">
                          <a:solidFill>
                            <a:schemeClr val="tx1"/>
                          </a:solidFill>
                        </a:ln>
                      </wps:spPr>
                      <wps:txbx>
                        <w:txbxContent>
                          <w:p w14:paraId="6F1A297B" w14:textId="5E07ADCD" w:rsidR="00406A48" w:rsidRPr="00406A48" w:rsidRDefault="00406A48">
                            <w:pPr>
                              <w:rPr>
                                <w:rFonts w:ascii="Times New Roman" w:hAnsi="Times New Roman"/>
                                <w:sz w:val="28"/>
                                <w:szCs w:val="28"/>
                                <w:lang w:val="uk-UA"/>
                              </w:rPr>
                            </w:pPr>
                            <w:r w:rsidRPr="00406A48">
                              <w:rPr>
                                <w:rFonts w:ascii="Times New Roman" w:hAnsi="Times New Roman"/>
                                <w:sz w:val="28"/>
                                <w:szCs w:val="28"/>
                                <w:lang w:val="uk-UA"/>
                              </w:rPr>
                              <w:t xml:space="preserve">Головна група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1C3D6B1" id="_x0000_t202" coordsize="21600,21600" o:spt="202" path="m,l,21600r21600,l21600,xe">
                <v:stroke joinstyle="miter"/>
                <v:path gradientshapeok="t" o:connecttype="rect"/>
              </v:shapetype>
              <v:shape id="Text Box 27" o:spid="_x0000_s1029" type="#_x0000_t202" style="position:absolute;left:0;text-align:left;margin-left:0;margin-top:55.65pt;width:127.8pt;height:26.4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" fillcolor="white [3201]" strokecolor="black [3213]" strokeweight=".5pt">
                <v:textbox>
                  <w:txbxContent>
                    <w:p w14:paraId="6F1A297B" w14:textId="5E07ADCD" w:rsidR="00406A48" w:rsidRPr="00406A48" w:rsidRDefault="00406A48">
                      <w:pPr>
                        <w:rPr>
                          <w:rFonts w:ascii="Times New Roman" w:hAnsi="Times New Roman"/>
                          <w:sz w:val="28"/>
                          <w:szCs w:val="28"/>
                          <w:lang w:val="uk-UA"/>
                        </w:rPr>
                      </w:pPr>
                      <w:r w:rsidRPr="00406A48">
                        <w:rPr>
                          <w:rFonts w:ascii="Times New Roman" w:hAnsi="Times New Roman"/>
                          <w:sz w:val="28"/>
                          <w:szCs w:val="28"/>
                          <w:lang w:val="uk-UA"/>
                        </w:rPr>
                        <w:t xml:space="preserve">Головна група </w:t>
                      </w:r>
                    </w:p>
                  </w:txbxContent>
                </v:textbox>
                <w10:wrap anchorx="margin"/>
              </v:shape>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69504" behindDoc="0" locked="0" layoutInCell="1" allowOverlap="1" wp14:anchorId="3A714B96" wp14:editId="32CAB038">
                <wp:simplePos x="0" y="0"/>
                <wp:positionH relativeFrom="column">
                  <wp:posOffset>1981200</wp:posOffset>
                </wp:positionH>
                <wp:positionV relativeFrom="paragraph">
                  <wp:posOffset>1873885</wp:posOffset>
                </wp:positionV>
                <wp:extent cx="1836420" cy="388620"/>
                <wp:effectExtent l="0" t="0" r="11430" b="11430"/>
                <wp:wrapNone/>
                <wp:docPr id="16" name="Rectangle 16"/>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3BAF0B" w14:textId="7EFF27C8"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 xml:space="preserve">Індустріальна </w:t>
                            </w:r>
                            <w:r w:rsidR="00406A48"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корп.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714B96" id="Rectangle 16" o:spid="_x0000_s1030" style="position:absolute;left:0;text-align:left;margin-left:156pt;margin-top:147.55pt;width:144.6pt;height:30.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" fillcolor="white [3212]" strokecolor="black [3213]" strokeweight="1pt">
                <v:textbox>
                  <w:txbxContent>
                    <w:p w14:paraId="453BAF0B" w14:textId="7EFF27C8"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 xml:space="preserve">Індустріальна </w:t>
                      </w:r>
                      <w:r w:rsidR="00406A48"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корп.</w:t>
                      </w:r>
                    </w:p>
                  </w:txbxContent>
                </v:textbox>
              </v:rect>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67456" behindDoc="0" locked="0" layoutInCell="1" allowOverlap="1" wp14:anchorId="768062EE" wp14:editId="43974BCB">
                <wp:simplePos x="0" y="0"/>
                <wp:positionH relativeFrom="column">
                  <wp:posOffset>3284220</wp:posOffset>
                </wp:positionH>
                <wp:positionV relativeFrom="paragraph">
                  <wp:posOffset>1218565</wp:posOffset>
                </wp:positionV>
                <wp:extent cx="1836420" cy="388620"/>
                <wp:effectExtent l="0" t="0" r="11430" b="11430"/>
                <wp:wrapNone/>
                <wp:docPr id="15" name="Rectangle 15"/>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767C25" w14:textId="110BD535" w:rsidR="00124AEA" w:rsidRPr="00AB3710" w:rsidRDefault="00AB3710"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Страхова компанія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8062EE" id="Rectangle 15" o:spid="_x0000_s1031" style="position:absolute;left:0;text-align:left;margin-left:258.6pt;margin-top:95.95pt;width:144.6pt;height:3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" fillcolor="white [3212]" strokecolor="black [3213]" strokeweight="1pt">
                <v:textbox>
                  <w:txbxContent>
                    <w:p w14:paraId="54767C25" w14:textId="110BD535" w:rsidR="00124AEA" w:rsidRPr="00AB3710" w:rsidRDefault="00AB3710"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Страхова компанія</w:t>
                      </w:r>
                    </w:p>
                  </w:txbxContent>
                </v:textbox>
              </v:rect>
            </w:pict>
          </mc:Fallback>
        </mc:AlternateContent>
      </w:r>
      <w:r w:rsidR="00124AEA">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65408" behindDoc="0" locked="0" layoutInCell="1" allowOverlap="1" wp14:anchorId="0F0C170E" wp14:editId="28B584FA">
                <wp:simplePos x="0" y="0"/>
                <wp:positionH relativeFrom="column">
                  <wp:posOffset>624840</wp:posOffset>
                </wp:positionH>
                <wp:positionV relativeFrom="paragraph">
                  <wp:posOffset>1210945</wp:posOffset>
                </wp:positionV>
                <wp:extent cx="1836420" cy="388620"/>
                <wp:effectExtent l="0" t="0" r="11430" b="11430"/>
                <wp:wrapNone/>
                <wp:docPr id="8" name="Rectangle 8"/>
                <wp:cNvGraphicFramePr/>
                <a:graphic xmlns:a="http://schemas.openxmlformats.org/drawingml/2006/main">
                  <a:graphicData uri="http://schemas.microsoft.com/office/word/2010/wordprocessingShape">
                    <wps:wsp>
                      <wps:cNvSpPr/>
                      <wps:spPr>
                        <a:xfrm>
                          <a:off x="0" y="0"/>
                          <a:ext cx="1836420" cy="388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48EF0F" w14:textId="55D7D796"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Банк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0C170E" id="Rectangle 8" o:spid="_x0000_s1032" style="position:absolute;left:0;text-align:left;margin-left:49.2pt;margin-top:95.35pt;width:144.6pt;height:30.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" fillcolor="white [3212]" strokecolor="black [3213]" strokeweight="1pt">
                <v:textbox>
                  <w:txbxContent>
                    <w:p w14:paraId="6C48EF0F" w14:textId="55D7D796" w:rsidR="00124AEA" w:rsidRPr="00AB3710" w:rsidRDefault="00124AEA" w:rsidP="00124AEA">
                      <w:pPr>
                        <w:jc w:val="center"/>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pPr>
                      <w:r w:rsidRPr="00AB3710">
                        <w:rPr>
                          <w:rFonts w:ascii="Times New Roman" w:eastAsiaTheme="minorEastAsia" w:hAnsi="Times New Roman"/>
                          <w:color w:val="000000" w:themeColor="text1"/>
                          <w:sz w:val="28"/>
                          <w:szCs w:val="28"/>
                          <w:lang w:val="uk-UA" w:eastAsia="ja-JP"/>
                          <w14:textOutline w14:w="0" w14:cap="flat" w14:cmpd="sng" w14:algn="ctr">
                            <w14:noFill/>
                            <w14:prstDash w14:val="solid"/>
                            <w14:round/>
                          </w14:textOutline>
                        </w:rPr>
                        <w:t>Банк</w:t>
                      </w:r>
                    </w:p>
                  </w:txbxContent>
                </v:textbox>
              </v:rect>
            </w:pict>
          </mc:Fallback>
        </mc:AlternateContent>
      </w:r>
    </w:p>
    <w:p w14:paraId="60F8CE68" w14:textId="2D5B03B0" w:rsidR="00124AEA" w:rsidRDefault="001F6EEA"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noProof/>
          <w:sz w:val="28"/>
          <w:szCs w:val="28"/>
          <w:lang w:val="uk-UA" w:eastAsia="uk-UA"/>
        </w:rPr>
        <mc:AlternateContent>
          <mc:Choice Requires="wps">
            <w:drawing>
              <wp:anchor distT="0" distB="0" distL="114300" distR="114300" simplePos="0" relativeHeight="251670528" behindDoc="0" locked="0" layoutInCell="1" allowOverlap="1" wp14:anchorId="5B662463" wp14:editId="129EFC6B">
                <wp:simplePos x="0" y="0"/>
                <wp:positionH relativeFrom="column">
                  <wp:posOffset>265430</wp:posOffset>
                </wp:positionH>
                <wp:positionV relativeFrom="paragraph">
                  <wp:posOffset>164465</wp:posOffset>
                </wp:positionV>
                <wp:extent cx="5394960" cy="1798320"/>
                <wp:effectExtent l="0" t="0" r="15240" b="11430"/>
                <wp:wrapNone/>
                <wp:docPr id="18" name="Rectangle 18"/>
                <wp:cNvGraphicFramePr/>
                <a:graphic xmlns:a="http://schemas.openxmlformats.org/drawingml/2006/main">
                  <a:graphicData uri="http://schemas.microsoft.com/office/word/2010/wordprocessingShape">
                    <wps:wsp>
                      <wps:cNvSpPr/>
                      <wps:spPr>
                        <a:xfrm>
                          <a:off x="0" y="0"/>
                          <a:ext cx="5394960" cy="17983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17EBA5" id="Rectangle 18" o:spid="_x0000_s1026" style="position:absolute;margin-left:20.9pt;margin-top:12.95pt;width:424.8pt;height:141.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" filled="f" strokecolor="black [3213]" strokeweight="1pt"/>
            </w:pict>
          </mc:Fallback>
        </mc:AlternateContent>
      </w:r>
    </w:p>
    <w:p w14:paraId="50482EA7" w14:textId="77777777" w:rsidR="00406A48" w:rsidRDefault="00406A48" w:rsidP="00482FBA">
      <w:pPr>
        <w:spacing w:after="160" w:line="360" w:lineRule="auto"/>
        <w:jc w:val="both"/>
        <w:rPr>
          <w:rFonts w:ascii="Times New Roman" w:eastAsiaTheme="minorEastAsia" w:hAnsi="Times New Roman"/>
          <w:bCs/>
          <w:sz w:val="28"/>
          <w:szCs w:val="28"/>
          <w:lang w:val="uk-UA" w:eastAsia="ja-JP"/>
        </w:rPr>
      </w:pPr>
    </w:p>
    <w:p w14:paraId="3C65C3A8" w14:textId="77777777" w:rsidR="00406A48" w:rsidRDefault="00406A48" w:rsidP="00482FBA">
      <w:pPr>
        <w:spacing w:after="160" w:line="360" w:lineRule="auto"/>
        <w:jc w:val="both"/>
        <w:rPr>
          <w:rFonts w:ascii="Times New Roman" w:eastAsiaTheme="minorEastAsia" w:hAnsi="Times New Roman"/>
          <w:bCs/>
          <w:sz w:val="28"/>
          <w:szCs w:val="28"/>
          <w:lang w:val="uk-UA" w:eastAsia="ja-JP"/>
        </w:rPr>
      </w:pPr>
    </w:p>
    <w:p w14:paraId="269D073D" w14:textId="77777777" w:rsidR="00406A48" w:rsidRDefault="00406A48" w:rsidP="00482FBA">
      <w:pPr>
        <w:spacing w:after="160" w:line="360" w:lineRule="auto"/>
        <w:jc w:val="both"/>
        <w:rPr>
          <w:rFonts w:ascii="Times New Roman" w:eastAsiaTheme="minorEastAsia" w:hAnsi="Times New Roman"/>
          <w:bCs/>
          <w:sz w:val="28"/>
          <w:szCs w:val="28"/>
          <w:lang w:val="uk-UA" w:eastAsia="ja-JP"/>
        </w:rPr>
      </w:pPr>
    </w:p>
    <w:p w14:paraId="35C2FD94" w14:textId="77777777" w:rsidR="00406A48" w:rsidRDefault="00406A48" w:rsidP="00482FBA">
      <w:pPr>
        <w:spacing w:after="160" w:line="360" w:lineRule="auto"/>
        <w:jc w:val="both"/>
        <w:rPr>
          <w:rFonts w:ascii="Times New Roman" w:eastAsiaTheme="minorEastAsia" w:hAnsi="Times New Roman"/>
          <w:bCs/>
          <w:sz w:val="28"/>
          <w:szCs w:val="28"/>
          <w:lang w:val="uk-UA" w:eastAsia="ja-JP"/>
        </w:rPr>
      </w:pPr>
    </w:p>
    <w:p w14:paraId="6552EACF" w14:textId="2C8EE537" w:rsidR="00124AEA" w:rsidRPr="00863D57" w:rsidRDefault="00124AEA" w:rsidP="00482FBA">
      <w:pPr>
        <w:spacing w:after="160" w:line="360" w:lineRule="auto"/>
        <w:jc w:val="both"/>
        <w:rPr>
          <w:rFonts w:ascii="Times New Roman" w:eastAsiaTheme="minorEastAsia" w:hAnsi="Times New Roman"/>
          <w:bCs/>
          <w:sz w:val="28"/>
          <w:szCs w:val="28"/>
          <w:lang w:eastAsia="ja-JP"/>
        </w:rPr>
      </w:pPr>
      <w:r>
        <w:rPr>
          <w:rFonts w:ascii="Times New Roman" w:eastAsiaTheme="minorEastAsia" w:hAnsi="Times New Roman"/>
          <w:bCs/>
          <w:sz w:val="28"/>
          <w:szCs w:val="28"/>
          <w:lang w:val="uk-UA" w:eastAsia="ja-JP"/>
        </w:rPr>
        <w:t>Рис 3.1 Структура Ке</w:t>
      </w:r>
      <w:r w:rsidR="00926139">
        <w:rPr>
          <w:rFonts w:ascii="Times New Roman" w:eastAsiaTheme="minorEastAsia" w:hAnsi="Times New Roman"/>
          <w:bCs/>
          <w:sz w:val="28"/>
          <w:szCs w:val="28"/>
          <w:lang w:val="uk-UA" w:eastAsia="ja-JP"/>
        </w:rPr>
        <w:t>й</w:t>
      </w:r>
      <w:r>
        <w:rPr>
          <w:rFonts w:ascii="Times New Roman" w:eastAsiaTheme="minorEastAsia" w:hAnsi="Times New Roman"/>
          <w:bCs/>
          <w:sz w:val="28"/>
          <w:szCs w:val="28"/>
          <w:lang w:val="uk-UA" w:eastAsia="ja-JP"/>
        </w:rPr>
        <w:t xml:space="preserve">рецу </w:t>
      </w:r>
      <w:r w:rsidRPr="0049161D">
        <w:rPr>
          <w:rFonts w:ascii="Times New Roman" w:eastAsiaTheme="minorEastAsia" w:hAnsi="Times New Roman"/>
          <w:bCs/>
          <w:sz w:val="28"/>
          <w:szCs w:val="28"/>
          <w:lang w:eastAsia="ja-JP"/>
        </w:rPr>
        <w:t>[22]</w:t>
      </w:r>
      <w:r w:rsidR="00E71EE5" w:rsidRPr="00863D57">
        <w:rPr>
          <w:rFonts w:ascii="Times New Roman" w:eastAsiaTheme="minorEastAsia" w:hAnsi="Times New Roman"/>
          <w:bCs/>
          <w:sz w:val="28"/>
          <w:szCs w:val="28"/>
          <w:lang w:eastAsia="ja-JP"/>
        </w:rPr>
        <w:t>, [35]</w:t>
      </w:r>
    </w:p>
    <w:p w14:paraId="190AB1C7" w14:textId="77777777" w:rsidR="00406A48" w:rsidRDefault="00A60A52"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ab/>
      </w:r>
    </w:p>
    <w:p w14:paraId="24E8FADC" w14:textId="75FC3E13" w:rsidR="00A60A52" w:rsidRPr="00A22DA9" w:rsidRDefault="00A60A52" w:rsidP="00482FBA">
      <w:pPr>
        <w:spacing w:after="160" w:line="360" w:lineRule="auto"/>
        <w:jc w:val="both"/>
        <w:rPr>
          <w:rFonts w:ascii="Times New Roman" w:eastAsiaTheme="minorEastAsia" w:hAnsi="Times New Roman"/>
          <w:bCs/>
          <w:sz w:val="28"/>
          <w:szCs w:val="28"/>
          <w:lang w:eastAsia="ja-JP"/>
        </w:rPr>
      </w:pPr>
      <w:r>
        <w:rPr>
          <w:rFonts w:ascii="Times New Roman" w:eastAsiaTheme="minorEastAsia" w:hAnsi="Times New Roman"/>
          <w:bCs/>
          <w:sz w:val="28"/>
          <w:szCs w:val="28"/>
          <w:lang w:val="uk-UA" w:eastAsia="ja-JP"/>
        </w:rPr>
        <w:t xml:space="preserve">Така система є унікальною, але вона досить довго та ефективно працювала. Причини такого функціонування є у кооперації цих компаній. У період найбільш активного росту  Японської економіки, ці компанії діяли координовано. </w:t>
      </w:r>
      <w:r w:rsidR="00124AEA">
        <w:rPr>
          <w:rFonts w:ascii="Times New Roman" w:eastAsiaTheme="minorEastAsia" w:hAnsi="Times New Roman"/>
          <w:bCs/>
          <w:sz w:val="28"/>
          <w:szCs w:val="28"/>
          <w:lang w:val="uk-UA" w:eastAsia="ja-JP"/>
        </w:rPr>
        <w:t xml:space="preserve">Боротьба за внутрішній ринок була відведена на другий план, у той час як боротьба за зовнішні ринки стала ціллю національних зусиль </w:t>
      </w:r>
      <w:r w:rsidR="00A22DA9" w:rsidRPr="00A22DA9">
        <w:rPr>
          <w:rFonts w:ascii="Times New Roman" w:eastAsiaTheme="minorEastAsia" w:hAnsi="Times New Roman"/>
          <w:bCs/>
          <w:sz w:val="28"/>
          <w:szCs w:val="28"/>
          <w:lang w:eastAsia="ja-JP"/>
        </w:rPr>
        <w:t>[29], [30].</w:t>
      </w:r>
    </w:p>
    <w:p w14:paraId="2399C42A" w14:textId="77777777" w:rsidR="00166B1B" w:rsidRDefault="00446F6D"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lastRenderedPageBreak/>
        <w:tab/>
        <w:t xml:space="preserve">Представлення цих конгломератів було зроблено з ціллю показати специфіку корпоративного устрою в Японії, що і на пряму відноситься до фондового ринку та його розвитку. Важлива річ яку потрібно виділити це те що частіше всього більшою часткою акцій володіють саме Японські акціонери, прикладом може послужити офіційна інформація з сайту </w:t>
      </w:r>
      <w:r>
        <w:rPr>
          <w:rFonts w:ascii="Times New Roman" w:eastAsiaTheme="minorEastAsia" w:hAnsi="Times New Roman"/>
          <w:bCs/>
          <w:sz w:val="28"/>
          <w:szCs w:val="28"/>
          <w:lang w:val="en-US" w:eastAsia="ja-JP"/>
        </w:rPr>
        <w:t>Mitsubishi</w:t>
      </w:r>
      <w:r>
        <w:rPr>
          <w:rFonts w:ascii="Times New Roman" w:eastAsiaTheme="minorEastAsia" w:hAnsi="Times New Roman"/>
          <w:bCs/>
          <w:sz w:val="28"/>
          <w:szCs w:val="28"/>
          <w:lang w:val="uk-UA" w:eastAsia="ja-JP"/>
        </w:rPr>
        <w:t xml:space="preserve"> про статистику акціонерів компанії</w:t>
      </w:r>
      <w:r w:rsidR="00A22DA9" w:rsidRPr="00A22DA9">
        <w:rPr>
          <w:rFonts w:ascii="Times New Roman" w:eastAsiaTheme="minorEastAsia" w:hAnsi="Times New Roman"/>
          <w:bCs/>
          <w:sz w:val="28"/>
          <w:szCs w:val="28"/>
          <w:lang w:val="uk-UA" w:eastAsia="ja-JP"/>
        </w:rPr>
        <w:t xml:space="preserve"> </w:t>
      </w:r>
      <w:r>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3</w:t>
      </w:r>
      <w:r>
        <w:rPr>
          <w:rFonts w:ascii="Times New Roman" w:eastAsiaTheme="minorEastAsia" w:hAnsi="Times New Roman"/>
          <w:bCs/>
          <w:sz w:val="28"/>
          <w:szCs w:val="28"/>
          <w:lang w:val="uk-UA" w:eastAsia="ja-JP"/>
        </w:rPr>
        <w:t xml:space="preserve">]. Тільки 26 відсотків акцій компанії знаходиться у володінні іноземних компаній. Така політика дозволяє Японським компаніям зберігати контроль над своїми компаніями та виключати ризики поглинання. </w:t>
      </w:r>
      <w:r w:rsidR="003540F8">
        <w:rPr>
          <w:rFonts w:ascii="Times New Roman" w:eastAsiaTheme="minorEastAsia" w:hAnsi="Times New Roman"/>
          <w:bCs/>
          <w:sz w:val="28"/>
          <w:szCs w:val="28"/>
          <w:lang w:val="uk-UA" w:eastAsia="ja-JP"/>
        </w:rPr>
        <w:t>Але не все так добре як може показатися. Такі дії</w:t>
      </w:r>
      <w:r>
        <w:rPr>
          <w:rFonts w:ascii="Times New Roman" w:eastAsiaTheme="minorEastAsia" w:hAnsi="Times New Roman"/>
          <w:bCs/>
          <w:sz w:val="28"/>
          <w:szCs w:val="28"/>
          <w:lang w:val="uk-UA" w:eastAsia="ja-JP"/>
        </w:rPr>
        <w:t xml:space="preserve"> авжеж призвод</w:t>
      </w:r>
      <w:r w:rsidR="003540F8">
        <w:rPr>
          <w:rFonts w:ascii="Times New Roman" w:eastAsiaTheme="minorEastAsia" w:hAnsi="Times New Roman"/>
          <w:bCs/>
          <w:sz w:val="28"/>
          <w:szCs w:val="28"/>
          <w:lang w:val="uk-UA" w:eastAsia="ja-JP"/>
        </w:rPr>
        <w:t>ять</w:t>
      </w:r>
      <w:r>
        <w:rPr>
          <w:rFonts w:ascii="Times New Roman" w:eastAsiaTheme="minorEastAsia" w:hAnsi="Times New Roman"/>
          <w:bCs/>
          <w:sz w:val="28"/>
          <w:szCs w:val="28"/>
          <w:lang w:val="uk-UA" w:eastAsia="ja-JP"/>
        </w:rPr>
        <w:t xml:space="preserve"> і до</w:t>
      </w:r>
      <w:r w:rsidR="003540F8">
        <w:rPr>
          <w:rFonts w:ascii="Times New Roman" w:eastAsiaTheme="minorEastAsia" w:hAnsi="Times New Roman"/>
          <w:bCs/>
          <w:sz w:val="28"/>
          <w:szCs w:val="28"/>
          <w:lang w:val="uk-UA" w:eastAsia="ja-JP"/>
        </w:rPr>
        <w:t xml:space="preserve"> деяких </w:t>
      </w:r>
      <w:r>
        <w:rPr>
          <w:rFonts w:ascii="Times New Roman" w:eastAsiaTheme="minorEastAsia" w:hAnsi="Times New Roman"/>
          <w:bCs/>
          <w:sz w:val="28"/>
          <w:szCs w:val="28"/>
          <w:lang w:val="uk-UA" w:eastAsia="ja-JP"/>
        </w:rPr>
        <w:t xml:space="preserve">проблем на фондовому ринку – це нестача активності на самому ринку. Іноземні компанії не інвестують багато у Японськи компанії та частіше не ризикують заходити на ринок саме із-за загрози яку </w:t>
      </w:r>
      <w:r w:rsidR="003540F8">
        <w:rPr>
          <w:rFonts w:ascii="Times New Roman" w:eastAsiaTheme="minorEastAsia" w:hAnsi="Times New Roman"/>
          <w:bCs/>
          <w:sz w:val="28"/>
          <w:szCs w:val="28"/>
          <w:lang w:val="uk-UA" w:eastAsia="ja-JP"/>
        </w:rPr>
        <w:t>представляють</w:t>
      </w:r>
      <w:r>
        <w:rPr>
          <w:rFonts w:ascii="Times New Roman" w:eastAsiaTheme="minorEastAsia" w:hAnsi="Times New Roman"/>
          <w:bCs/>
          <w:sz w:val="28"/>
          <w:szCs w:val="28"/>
          <w:lang w:val="uk-UA" w:eastAsia="ja-JP"/>
        </w:rPr>
        <w:t xml:space="preserve"> </w:t>
      </w:r>
      <w:r w:rsidR="003540F8">
        <w:rPr>
          <w:rFonts w:ascii="Times New Roman" w:eastAsiaTheme="minorEastAsia" w:hAnsi="Times New Roman"/>
          <w:bCs/>
          <w:sz w:val="28"/>
          <w:szCs w:val="28"/>
          <w:lang w:val="uk-UA" w:eastAsia="ja-JP"/>
        </w:rPr>
        <w:t xml:space="preserve">конгломерати. </w:t>
      </w:r>
    </w:p>
    <w:p w14:paraId="562971B6" w14:textId="32F37C5D" w:rsidR="00A67ADE" w:rsidRDefault="0049161D" w:rsidP="00482FBA">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ab/>
      </w:r>
      <w:r w:rsidR="00C122BA">
        <w:rPr>
          <w:rFonts w:ascii="Times New Roman" w:eastAsiaTheme="minorEastAsia" w:hAnsi="Times New Roman"/>
          <w:bCs/>
          <w:sz w:val="28"/>
          <w:szCs w:val="28"/>
          <w:lang w:val="uk-UA" w:eastAsia="ja-JP"/>
        </w:rPr>
        <w:t>На цьому і будується система Японського фондового ринку. Висока ступінь взаємодії між суб’єктами ринку є одночасно причиною його як заплутаності так і ефективності. Можна зробити висновок що ступінь розвитку та обсяги яких досяг на сьогодні досяг фондовий ринок Японії це саме наслідок діяльності суб’єктів цього ринку. Авжеж не можна говорити що суб’єкти могли би існувати окремо від ринку, все ж таки їх розвиток відбувався паралельно. Це наводить до наступного висновку, високо-розвинений ринок не може існувати без високо-</w:t>
      </w:r>
      <w:r w:rsidR="00C03670">
        <w:rPr>
          <w:rFonts w:ascii="Times New Roman" w:eastAsiaTheme="minorEastAsia" w:hAnsi="Times New Roman"/>
          <w:bCs/>
          <w:sz w:val="28"/>
          <w:szCs w:val="28"/>
          <w:lang w:val="uk-UA" w:eastAsia="ja-JP"/>
        </w:rPr>
        <w:t>розвинених</w:t>
      </w:r>
      <w:r w:rsidR="00C122BA">
        <w:rPr>
          <w:rFonts w:ascii="Times New Roman" w:eastAsiaTheme="minorEastAsia" w:hAnsi="Times New Roman"/>
          <w:bCs/>
          <w:sz w:val="28"/>
          <w:szCs w:val="28"/>
          <w:lang w:val="uk-UA" w:eastAsia="ja-JP"/>
        </w:rPr>
        <w:t xml:space="preserve"> </w:t>
      </w:r>
      <w:r w:rsidR="00C03670">
        <w:rPr>
          <w:rFonts w:ascii="Times New Roman" w:eastAsiaTheme="minorEastAsia" w:hAnsi="Times New Roman"/>
          <w:bCs/>
          <w:sz w:val="28"/>
          <w:szCs w:val="28"/>
          <w:lang w:val="uk-UA" w:eastAsia="ja-JP"/>
        </w:rPr>
        <w:t>суб’єктів</w:t>
      </w:r>
      <w:r w:rsidR="00C122BA">
        <w:rPr>
          <w:rFonts w:ascii="Times New Roman" w:eastAsiaTheme="minorEastAsia" w:hAnsi="Times New Roman"/>
          <w:bCs/>
          <w:sz w:val="28"/>
          <w:szCs w:val="28"/>
          <w:lang w:val="uk-UA" w:eastAsia="ja-JP"/>
        </w:rPr>
        <w:t xml:space="preserve"> цього ринку. Ц</w:t>
      </w:r>
      <w:r w:rsidR="00C03670">
        <w:rPr>
          <w:rFonts w:ascii="Times New Roman" w:eastAsiaTheme="minorEastAsia" w:hAnsi="Times New Roman"/>
          <w:bCs/>
          <w:sz w:val="28"/>
          <w:szCs w:val="28"/>
          <w:lang w:val="uk-UA" w:eastAsia="ja-JP"/>
        </w:rPr>
        <w:t>ей висновок також буде подалі використовуватися у наступних підрозділах.</w:t>
      </w:r>
      <w:r>
        <w:rPr>
          <w:rFonts w:ascii="Times New Roman" w:eastAsiaTheme="minorEastAsia" w:hAnsi="Times New Roman"/>
          <w:bCs/>
          <w:sz w:val="28"/>
          <w:szCs w:val="28"/>
          <w:lang w:val="uk-UA" w:eastAsia="ja-JP"/>
        </w:rPr>
        <w:tab/>
      </w:r>
    </w:p>
    <w:p w14:paraId="331287F5" w14:textId="746340C4" w:rsidR="009C5192" w:rsidRPr="009C5192" w:rsidRDefault="009C5192" w:rsidP="009C519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Щодо фінансового сектору у загалі то тут також існують особливості які треба враховувати при розгляданні. Так наприклад Міжнародним Валютним Фондом було складено доклад щодо фінансової системи Японії та рекомендацій щодо покращення її стану. Основними проблемами в цій системі є нестача впевненості у деяких системах та збільшення населення пенсійного віку, яке </w:t>
      </w:r>
      <w:r>
        <w:rPr>
          <w:rFonts w:ascii="Times New Roman" w:eastAsiaTheme="minorEastAsia" w:hAnsi="Times New Roman"/>
          <w:bCs/>
          <w:sz w:val="28"/>
          <w:szCs w:val="28"/>
          <w:lang w:val="uk-UA" w:eastAsia="ja-JP"/>
        </w:rPr>
        <w:lastRenderedPageBreak/>
        <w:t>має тенденцію до накопичування грошей а не інвестування.</w:t>
      </w:r>
      <w:r w:rsidR="006B2C66">
        <w:rPr>
          <w:rFonts w:ascii="Times New Roman" w:eastAsiaTheme="minorEastAsia" w:hAnsi="Times New Roman"/>
          <w:bCs/>
          <w:sz w:val="28"/>
          <w:szCs w:val="28"/>
          <w:lang w:val="uk-UA" w:eastAsia="ja-JP"/>
        </w:rPr>
        <w:t xml:space="preserve"> МВФ виділяє такі проблеми щодо фінансового ринку.</w:t>
      </w:r>
    </w:p>
    <w:p w14:paraId="68F68A75" w14:textId="77777777" w:rsidR="009C5192" w:rsidRPr="00166B1B" w:rsidRDefault="009C5192" w:rsidP="009C5192">
      <w:pPr>
        <w:spacing w:after="160" w:line="360" w:lineRule="auto"/>
        <w:jc w:val="both"/>
        <w:rPr>
          <w:rFonts w:ascii="Times New Roman" w:eastAsiaTheme="minorEastAsia" w:hAnsi="Times New Roman"/>
          <w:bCs/>
          <w:sz w:val="28"/>
          <w:szCs w:val="28"/>
          <w:lang w:val="uk-UA" w:eastAsia="ja-JP"/>
        </w:rPr>
      </w:pPr>
      <w:r w:rsidRPr="00166B1B">
        <w:rPr>
          <w:rFonts w:ascii="Times New Roman" w:eastAsiaTheme="minorEastAsia" w:hAnsi="Times New Roman"/>
          <w:bCs/>
          <w:sz w:val="28"/>
          <w:szCs w:val="28"/>
          <w:lang w:val="uk-UA" w:eastAsia="ja-JP"/>
        </w:rPr>
        <w:t>Порівняно невеликі ринки прямого фінансування, такі як корпоративні облігації та синдиковане кредитування, призвели до того, що банківська система безпосередньо зазнала слабких місць у корпоративному секторі. Подальше вдосконалення корпоративного управління допоможе подальшому розвитку цих ринків та полегшить перехід від кредитування на основі відносин.</w:t>
      </w:r>
    </w:p>
    <w:p w14:paraId="6BE88117" w14:textId="77777777" w:rsidR="006B2C66" w:rsidRDefault="009C5192" w:rsidP="00482FBA">
      <w:pPr>
        <w:spacing w:after="160" w:line="360" w:lineRule="auto"/>
        <w:jc w:val="both"/>
        <w:rPr>
          <w:rFonts w:ascii="Times New Roman" w:eastAsiaTheme="minorEastAsia" w:hAnsi="Times New Roman"/>
          <w:bCs/>
          <w:sz w:val="28"/>
          <w:szCs w:val="28"/>
          <w:lang w:val="uk-UA" w:eastAsia="ja-JP"/>
        </w:rPr>
      </w:pPr>
      <w:r w:rsidRPr="00166B1B">
        <w:rPr>
          <w:rFonts w:ascii="Times New Roman" w:eastAsiaTheme="minorEastAsia" w:hAnsi="Times New Roman"/>
          <w:bCs/>
          <w:sz w:val="28"/>
          <w:szCs w:val="28"/>
          <w:lang w:val="uk-UA" w:eastAsia="ja-JP"/>
        </w:rPr>
        <w:t xml:space="preserve"> Власність на </w:t>
      </w:r>
      <w:r>
        <w:rPr>
          <w:rFonts w:ascii="Times New Roman" w:eastAsiaTheme="minorEastAsia" w:hAnsi="Times New Roman"/>
          <w:bCs/>
          <w:sz w:val="28"/>
          <w:szCs w:val="28"/>
          <w:lang w:val="uk-UA" w:eastAsia="ja-JP"/>
        </w:rPr>
        <w:t>державних облігацій</w:t>
      </w:r>
      <w:r w:rsidRPr="00166B1B">
        <w:rPr>
          <w:rFonts w:ascii="Times New Roman" w:eastAsiaTheme="minorEastAsia" w:hAnsi="Times New Roman"/>
          <w:bCs/>
          <w:sz w:val="28"/>
          <w:szCs w:val="28"/>
          <w:lang w:val="uk-UA" w:eastAsia="ja-JP"/>
        </w:rPr>
        <w:t xml:space="preserve"> є відносно зосередженою, і ринок залишається стурбованим можливим різким збільшенням доходності </w:t>
      </w:r>
      <w:r>
        <w:rPr>
          <w:rFonts w:ascii="Times New Roman" w:eastAsiaTheme="minorEastAsia" w:hAnsi="Times New Roman"/>
          <w:bCs/>
          <w:sz w:val="28"/>
          <w:szCs w:val="28"/>
          <w:lang w:val="uk-UA" w:eastAsia="ja-JP"/>
        </w:rPr>
        <w:t>державних облігацій</w:t>
      </w:r>
      <w:r w:rsidRPr="00166B1B">
        <w:rPr>
          <w:rFonts w:ascii="Times New Roman" w:eastAsiaTheme="minorEastAsia" w:hAnsi="Times New Roman"/>
          <w:bCs/>
          <w:sz w:val="28"/>
          <w:szCs w:val="28"/>
          <w:lang w:val="uk-UA" w:eastAsia="ja-JP"/>
        </w:rPr>
        <w:t>. Як результат, ринок став більше покладатися на Раду юстиції та інших великих державних власників JGB для збереження стабільності</w:t>
      </w:r>
      <w:r w:rsidR="006B2C66">
        <w:rPr>
          <w:rFonts w:ascii="Times New Roman" w:eastAsiaTheme="minorEastAsia" w:hAnsi="Times New Roman"/>
          <w:bCs/>
          <w:sz w:val="28"/>
          <w:szCs w:val="28"/>
          <w:lang w:val="uk-UA" w:eastAsia="ja-JP"/>
        </w:rPr>
        <w:t>.</w:t>
      </w:r>
    </w:p>
    <w:p w14:paraId="41F6C5E4" w14:textId="7B1179FE" w:rsidR="009C5192" w:rsidRPr="006B2C66" w:rsidRDefault="006B2C66" w:rsidP="00482FBA">
      <w:pPr>
        <w:spacing w:after="160" w:line="360" w:lineRule="auto"/>
        <w:jc w:val="both"/>
        <w:rPr>
          <w:rFonts w:ascii="Times New Roman" w:eastAsiaTheme="minorEastAsia" w:hAnsi="Times New Roman"/>
          <w:bCs/>
          <w:sz w:val="28"/>
          <w:szCs w:val="28"/>
          <w:lang w:val="uk-UA" w:eastAsia="ja-JP"/>
        </w:rPr>
      </w:pPr>
      <w:r w:rsidRPr="006B2C66">
        <w:rPr>
          <w:rFonts w:ascii="Times New Roman" w:eastAsiaTheme="minorEastAsia" w:hAnsi="Times New Roman"/>
          <w:bCs/>
          <w:sz w:val="28"/>
          <w:szCs w:val="28"/>
          <w:lang w:val="uk-UA" w:eastAsia="ja-JP"/>
        </w:rPr>
        <w:t xml:space="preserve">Розпочаті структурні зміни, ймовірно, продовжуватимуться із важливими наслідками для банківського та корпоративного секторів. Банки, швидше за все, стикатимуться з більшим тиском на стороні кредитування, оскільки корпорації більше звертаються до прямих інструментів фінансування, а на депозитах, оскільки апетит інвесторів до відновлення ризику відновлюється. Позитивним є те, що ціноутворення на кредитному ризику, ймовірно, покращиться у міру розширення ринку кредитування з високим ризиком та розвитку нових інструментів управління ризиками. </w:t>
      </w:r>
      <w:r w:rsidR="009C5192" w:rsidRPr="006B2C66">
        <w:rPr>
          <w:rFonts w:ascii="Times New Roman" w:eastAsiaTheme="minorEastAsia" w:hAnsi="Times New Roman"/>
          <w:bCs/>
          <w:sz w:val="28"/>
          <w:szCs w:val="28"/>
          <w:lang w:val="uk-UA" w:eastAsia="ja-JP"/>
        </w:rPr>
        <w:t>[33].</w:t>
      </w:r>
    </w:p>
    <w:p w14:paraId="2F5DE357" w14:textId="79A6EB58" w:rsidR="00791471" w:rsidRPr="00791471" w:rsidRDefault="00C03670" w:rsidP="00791471">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Початком розвитку фондового ринку можна вважати постанову верховної ради України «</w:t>
      </w:r>
      <w:r w:rsidRPr="00C03670">
        <w:rPr>
          <w:rFonts w:ascii="Times New Roman" w:eastAsiaTheme="minorEastAsia" w:hAnsi="Times New Roman"/>
          <w:bCs/>
          <w:sz w:val="28"/>
          <w:szCs w:val="28"/>
          <w:lang w:val="uk-UA" w:eastAsia="ja-JP"/>
        </w:rPr>
        <w:t>Про Концепцію функціонування та розвитк</w:t>
      </w:r>
      <w:r>
        <w:rPr>
          <w:rFonts w:ascii="Times New Roman" w:eastAsiaTheme="minorEastAsia" w:hAnsi="Times New Roman"/>
          <w:bCs/>
          <w:sz w:val="28"/>
          <w:szCs w:val="28"/>
          <w:lang w:val="uk-UA" w:eastAsia="ja-JP"/>
        </w:rPr>
        <w:t xml:space="preserve">у </w:t>
      </w:r>
      <w:r w:rsidRPr="00C03670">
        <w:rPr>
          <w:rFonts w:ascii="Times New Roman" w:eastAsiaTheme="minorEastAsia" w:hAnsi="Times New Roman"/>
          <w:bCs/>
          <w:sz w:val="28"/>
          <w:szCs w:val="28"/>
          <w:lang w:val="uk-UA" w:eastAsia="ja-JP"/>
        </w:rPr>
        <w:t>фондового ринку</w:t>
      </w:r>
      <w:r>
        <w:rPr>
          <w:rFonts w:ascii="Times New Roman" w:eastAsiaTheme="minorEastAsia" w:hAnsi="Times New Roman"/>
          <w:bCs/>
          <w:sz w:val="28"/>
          <w:szCs w:val="28"/>
          <w:lang w:val="uk-UA" w:eastAsia="ja-JP"/>
        </w:rPr>
        <w:t xml:space="preserve"> </w:t>
      </w:r>
      <w:r w:rsidRPr="00C03670">
        <w:rPr>
          <w:rFonts w:ascii="Times New Roman" w:eastAsiaTheme="minorEastAsia" w:hAnsi="Times New Roman"/>
          <w:bCs/>
          <w:sz w:val="28"/>
          <w:szCs w:val="28"/>
          <w:lang w:val="uk-UA" w:eastAsia="ja-JP"/>
        </w:rPr>
        <w:t>України</w:t>
      </w:r>
      <w:r>
        <w:rPr>
          <w:rFonts w:ascii="Times New Roman" w:eastAsiaTheme="minorEastAsia" w:hAnsi="Times New Roman"/>
          <w:bCs/>
          <w:sz w:val="28"/>
          <w:szCs w:val="28"/>
          <w:lang w:val="uk-UA" w:eastAsia="ja-JP"/>
        </w:rPr>
        <w:t>» 1995 року. Відповідно цією концепцією було створено ціль та особливості створення фондового ринку в Україні. «</w:t>
      </w:r>
      <w:r w:rsidRPr="00C03670">
        <w:rPr>
          <w:rFonts w:ascii="Times New Roman" w:eastAsiaTheme="minorEastAsia" w:hAnsi="Times New Roman"/>
          <w:bCs/>
          <w:sz w:val="28"/>
          <w:szCs w:val="28"/>
          <w:lang w:val="uk-UA" w:eastAsia="ja-JP"/>
        </w:rPr>
        <w:t>Головна  мета  Концепції  -</w:t>
      </w:r>
      <w:r>
        <w:rPr>
          <w:rFonts w:ascii="Times New Roman" w:eastAsiaTheme="minorEastAsia" w:hAnsi="Times New Roman"/>
          <w:bCs/>
          <w:sz w:val="28"/>
          <w:szCs w:val="28"/>
          <w:lang w:val="uk-UA" w:eastAsia="ja-JP"/>
        </w:rPr>
        <w:t xml:space="preserve"> </w:t>
      </w:r>
      <w:r w:rsidRPr="00C03670">
        <w:rPr>
          <w:rFonts w:ascii="Times New Roman" w:eastAsiaTheme="minorEastAsia" w:hAnsi="Times New Roman"/>
          <w:bCs/>
          <w:sz w:val="28"/>
          <w:szCs w:val="28"/>
          <w:lang w:val="uk-UA" w:eastAsia="ja-JP"/>
        </w:rPr>
        <w:t xml:space="preserve">це    становлення    цілісного, </w:t>
      </w:r>
      <w:r>
        <w:rPr>
          <w:rFonts w:ascii="Times New Roman" w:eastAsiaTheme="minorEastAsia" w:hAnsi="Times New Roman"/>
          <w:bCs/>
          <w:sz w:val="28"/>
          <w:szCs w:val="28"/>
          <w:lang w:val="uk-UA" w:eastAsia="ja-JP"/>
        </w:rPr>
        <w:t xml:space="preserve"> </w:t>
      </w:r>
      <w:r w:rsidRPr="00C03670">
        <w:rPr>
          <w:rFonts w:ascii="Times New Roman" w:eastAsiaTheme="minorEastAsia" w:hAnsi="Times New Roman"/>
          <w:bCs/>
          <w:sz w:val="28"/>
          <w:szCs w:val="28"/>
          <w:lang w:val="uk-UA" w:eastAsia="ja-JP"/>
        </w:rPr>
        <w:t xml:space="preserve">високоліквідного, ефективного і справедливого ринку цінних паперів </w:t>
      </w:r>
      <w:r>
        <w:rPr>
          <w:rFonts w:ascii="Times New Roman" w:eastAsiaTheme="minorEastAsia" w:hAnsi="Times New Roman"/>
          <w:bCs/>
          <w:sz w:val="28"/>
          <w:szCs w:val="28"/>
          <w:lang w:val="uk-UA" w:eastAsia="ja-JP"/>
        </w:rPr>
        <w:t xml:space="preserve"> </w:t>
      </w:r>
      <w:r w:rsidRPr="00C03670">
        <w:rPr>
          <w:rFonts w:ascii="Times New Roman" w:eastAsiaTheme="minorEastAsia" w:hAnsi="Times New Roman"/>
          <w:bCs/>
          <w:sz w:val="28"/>
          <w:szCs w:val="28"/>
          <w:lang w:val="uk-UA" w:eastAsia="ja-JP"/>
        </w:rPr>
        <w:t>в Україні,  регульованого  державою  та  інтегрованого  у  світові фондові ринки.</w:t>
      </w:r>
      <w:r>
        <w:rPr>
          <w:rFonts w:ascii="Times New Roman" w:eastAsiaTheme="minorEastAsia" w:hAnsi="Times New Roman"/>
          <w:bCs/>
          <w:sz w:val="28"/>
          <w:szCs w:val="28"/>
          <w:lang w:val="uk-UA" w:eastAsia="ja-JP"/>
        </w:rPr>
        <w:t>»</w:t>
      </w:r>
      <w:r w:rsidR="002D2762">
        <w:rPr>
          <w:rFonts w:ascii="Times New Roman" w:eastAsiaTheme="minorEastAsia" w:hAnsi="Times New Roman"/>
          <w:bCs/>
          <w:sz w:val="28"/>
          <w:szCs w:val="28"/>
          <w:lang w:val="uk-UA" w:eastAsia="ja-JP"/>
        </w:rPr>
        <w:t xml:space="preserve"> </w:t>
      </w:r>
      <w:r w:rsidR="00791471">
        <w:rPr>
          <w:rFonts w:ascii="Times New Roman" w:eastAsiaTheme="minorEastAsia" w:hAnsi="Times New Roman"/>
          <w:bCs/>
          <w:sz w:val="28"/>
          <w:szCs w:val="28"/>
          <w:lang w:val="uk-UA" w:eastAsia="ja-JP"/>
        </w:rPr>
        <w:t xml:space="preserve">Далі представлено графік обсягу торгівлі акціями </w:t>
      </w:r>
      <w:r w:rsidR="00791471">
        <w:rPr>
          <w:rFonts w:ascii="Times New Roman" w:eastAsiaTheme="minorEastAsia" w:hAnsi="Times New Roman"/>
          <w:bCs/>
          <w:sz w:val="28"/>
          <w:szCs w:val="28"/>
          <w:lang w:val="uk-UA" w:eastAsia="ja-JP"/>
        </w:rPr>
        <w:lastRenderedPageBreak/>
        <w:t xml:space="preserve">України за останні 11 років. Дані </w:t>
      </w:r>
      <w:r w:rsidR="007D6412">
        <w:rPr>
          <w:rFonts w:ascii="Times New Roman" w:eastAsiaTheme="minorEastAsia" w:hAnsi="Times New Roman"/>
          <w:bCs/>
          <w:sz w:val="28"/>
          <w:szCs w:val="28"/>
          <w:lang w:val="uk-UA" w:eastAsia="ja-JP"/>
        </w:rPr>
        <w:t>підібрані як сума торгів за певний рік.</w:t>
      </w:r>
      <w:r w:rsidR="00791471">
        <w:rPr>
          <w:rFonts w:ascii="Times New Roman" w:eastAsiaTheme="minorEastAsia" w:hAnsi="Times New Roman"/>
          <w:bCs/>
          <w:sz w:val="28"/>
          <w:szCs w:val="28"/>
          <w:lang w:val="uk-UA" w:eastAsia="ja-JP"/>
        </w:rPr>
        <w:t xml:space="preserve"> Як можна бачити торгівля досягла свого максимуму у 2011 році</w:t>
      </w:r>
      <w:r w:rsidR="00791471" w:rsidRPr="00791471">
        <w:rPr>
          <w:rFonts w:ascii="Times New Roman" w:eastAsiaTheme="minorEastAsia" w:hAnsi="Times New Roman"/>
          <w:bCs/>
          <w:sz w:val="28"/>
          <w:szCs w:val="28"/>
          <w:lang w:eastAsia="ja-JP"/>
        </w:rPr>
        <w:t xml:space="preserve"> один </w:t>
      </w:r>
      <w:r w:rsidR="00791471" w:rsidRPr="00791471">
        <w:rPr>
          <w:rFonts w:ascii="Times New Roman" w:eastAsiaTheme="minorEastAsia" w:hAnsi="Times New Roman"/>
          <w:bCs/>
          <w:sz w:val="28"/>
          <w:szCs w:val="28"/>
          <w:lang w:val="uk-UA" w:eastAsia="ja-JP"/>
        </w:rPr>
        <w:t>мільярд триста тринадцять мільйонів</w:t>
      </w:r>
      <w:r w:rsidR="00791471" w:rsidRPr="00791471">
        <w:rPr>
          <w:rFonts w:ascii="Times New Roman" w:eastAsiaTheme="minorEastAsia" w:hAnsi="Times New Roman"/>
          <w:bCs/>
          <w:sz w:val="28"/>
          <w:szCs w:val="28"/>
          <w:lang w:eastAsia="ja-JP"/>
        </w:rPr>
        <w:t xml:space="preserve">. </w:t>
      </w:r>
      <w:r w:rsidR="00791471">
        <w:rPr>
          <w:rFonts w:ascii="Times New Roman" w:eastAsiaTheme="minorEastAsia" w:hAnsi="Times New Roman"/>
          <w:bCs/>
          <w:sz w:val="28"/>
          <w:szCs w:val="28"/>
          <w:lang w:val="uk-UA" w:eastAsia="ja-JP"/>
        </w:rPr>
        <w:t xml:space="preserve">Після саме цього року торгівля акціями різко знижається та більше не показує значного зростання. </w:t>
      </w:r>
    </w:p>
    <w:p w14:paraId="28046A6B" w14:textId="76842C0A" w:rsidR="00791471" w:rsidRDefault="00DE5310" w:rsidP="002D2762">
      <w:pPr>
        <w:spacing w:after="160" w:line="360" w:lineRule="auto"/>
        <w:ind w:firstLine="720"/>
        <w:jc w:val="both"/>
        <w:rPr>
          <w:rFonts w:ascii="Times New Roman" w:eastAsiaTheme="minorEastAsia" w:hAnsi="Times New Roman"/>
          <w:bCs/>
          <w:sz w:val="28"/>
          <w:szCs w:val="28"/>
          <w:lang w:val="uk-UA" w:eastAsia="ja-JP"/>
        </w:rPr>
      </w:pPr>
      <w:r>
        <w:rPr>
          <w:noProof/>
          <w:lang w:val="uk-UA" w:eastAsia="uk-UA"/>
        </w:rPr>
        <w:drawing>
          <wp:inline distT="0" distB="0" distL="0" distR="0" wp14:anchorId="479A7AA3" wp14:editId="0C5F9490">
            <wp:extent cx="4572000" cy="2743200"/>
            <wp:effectExtent l="0" t="0" r="0" b="0"/>
            <wp:docPr id="20" name="Chart 2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94A319-7745-4845-8CAC-B7C3B486EB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700EF9" w14:textId="23E50D57" w:rsidR="00791471" w:rsidRPr="00791471" w:rsidRDefault="00791471" w:rsidP="00791471">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Рис 3.2 Обсяг торгівлі акціями України у</w:t>
      </w:r>
      <w:r w:rsidR="00DE5310">
        <w:rPr>
          <w:rFonts w:ascii="Times New Roman" w:eastAsiaTheme="minorEastAsia" w:hAnsi="Times New Roman"/>
          <w:bCs/>
          <w:sz w:val="28"/>
          <w:szCs w:val="28"/>
          <w:lang w:val="uk-UA" w:eastAsia="ja-JP"/>
        </w:rPr>
        <w:t xml:space="preserve"> міл.</w:t>
      </w:r>
      <w:r>
        <w:rPr>
          <w:rFonts w:ascii="Times New Roman" w:eastAsiaTheme="minorEastAsia" w:hAnsi="Times New Roman"/>
          <w:bCs/>
          <w:sz w:val="28"/>
          <w:szCs w:val="28"/>
          <w:lang w:val="uk-UA" w:eastAsia="ja-JP"/>
        </w:rPr>
        <w:t xml:space="preserve"> дол. США</w:t>
      </w:r>
    </w:p>
    <w:p w14:paraId="1C14DA72" w14:textId="105DA595" w:rsidR="00791471" w:rsidRPr="00791471" w:rsidRDefault="00791471" w:rsidP="00791471">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Складено автором на основі </w:t>
      </w:r>
      <w:r w:rsidRPr="00791471">
        <w:rPr>
          <w:rFonts w:ascii="Times New Roman" w:eastAsiaTheme="minorEastAsia" w:hAnsi="Times New Roman"/>
          <w:bCs/>
          <w:sz w:val="28"/>
          <w:szCs w:val="28"/>
          <w:lang w:eastAsia="ja-JP"/>
        </w:rPr>
        <w:t>[</w:t>
      </w:r>
      <w:r w:rsidR="00FD4B94">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4</w:t>
      </w:r>
      <w:r w:rsidRPr="00791471">
        <w:rPr>
          <w:rFonts w:ascii="Times New Roman" w:eastAsiaTheme="minorEastAsia" w:hAnsi="Times New Roman"/>
          <w:bCs/>
          <w:sz w:val="28"/>
          <w:szCs w:val="28"/>
          <w:lang w:eastAsia="ja-JP"/>
        </w:rPr>
        <w:t>].</w:t>
      </w:r>
    </w:p>
    <w:p w14:paraId="5CE5E799" w14:textId="51291029" w:rsidR="002D2762" w:rsidRDefault="002D2762" w:rsidP="002D276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Щодо особливостей функціонування фондового ринку то варто відмітити активи які торгуються на біржах. У більшості це о</w:t>
      </w:r>
      <w:r w:rsidRPr="002D2762">
        <w:rPr>
          <w:rFonts w:ascii="Times New Roman" w:eastAsiaTheme="minorEastAsia" w:hAnsi="Times New Roman"/>
          <w:bCs/>
          <w:sz w:val="28"/>
          <w:szCs w:val="28"/>
          <w:lang w:val="uk-UA" w:eastAsia="ja-JP"/>
        </w:rPr>
        <w:t>блігації внутрішньої державної позики України</w:t>
      </w:r>
      <w:r>
        <w:rPr>
          <w:rFonts w:ascii="Times New Roman" w:eastAsiaTheme="minorEastAsia" w:hAnsi="Times New Roman"/>
          <w:bCs/>
          <w:sz w:val="28"/>
          <w:szCs w:val="28"/>
          <w:lang w:val="uk-UA" w:eastAsia="ja-JP"/>
        </w:rPr>
        <w:t>. Головними учасниками є банки та декілька інвестиційних фондів. Одні з самих відомих це:</w:t>
      </w:r>
    </w:p>
    <w:p w14:paraId="34EE62F9" w14:textId="1C264CA0" w:rsidR="002D2762" w:rsidRPr="002D2762" w:rsidRDefault="002D2762" w:rsidP="002D276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 </w:t>
      </w:r>
      <w:r w:rsidRPr="002D2762">
        <w:rPr>
          <w:rFonts w:ascii="Times New Roman" w:eastAsiaTheme="minorEastAsia" w:hAnsi="Times New Roman"/>
          <w:bCs/>
          <w:sz w:val="28"/>
          <w:szCs w:val="28"/>
          <w:lang w:val="uk-UA" w:eastAsia="ja-JP"/>
        </w:rPr>
        <w:t>Інвестиційна Група УНІВЕР</w:t>
      </w:r>
    </w:p>
    <w:p w14:paraId="3857BBC1" w14:textId="006EA6CC" w:rsidR="002D2762" w:rsidRPr="002D2762" w:rsidRDefault="002D2762" w:rsidP="002D276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 </w:t>
      </w:r>
      <w:r w:rsidRPr="002D2762">
        <w:rPr>
          <w:rFonts w:ascii="Times New Roman" w:eastAsiaTheme="minorEastAsia" w:hAnsi="Times New Roman"/>
          <w:bCs/>
          <w:sz w:val="28"/>
          <w:szCs w:val="28"/>
          <w:lang w:val="uk-UA" w:eastAsia="ja-JP"/>
        </w:rPr>
        <w:t>Драгон Капитал</w:t>
      </w:r>
    </w:p>
    <w:p w14:paraId="18CAB807" w14:textId="48DDC3C6" w:rsidR="002D2762" w:rsidRPr="002D2762" w:rsidRDefault="002D2762" w:rsidP="002D276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 </w:t>
      </w:r>
      <w:r w:rsidRPr="002D2762">
        <w:rPr>
          <w:rFonts w:ascii="Times New Roman" w:eastAsiaTheme="minorEastAsia" w:hAnsi="Times New Roman"/>
          <w:bCs/>
          <w:sz w:val="28"/>
          <w:szCs w:val="28"/>
          <w:lang w:val="uk-UA" w:eastAsia="ja-JP"/>
        </w:rPr>
        <w:t>Конкорд Капитал</w:t>
      </w:r>
    </w:p>
    <w:p w14:paraId="39CBDA4A" w14:textId="728D58FC" w:rsidR="002D2762" w:rsidRDefault="002D2762" w:rsidP="002D2762">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 </w:t>
      </w:r>
      <w:r w:rsidRPr="002D2762">
        <w:rPr>
          <w:rFonts w:ascii="Times New Roman" w:eastAsiaTheme="minorEastAsia" w:hAnsi="Times New Roman"/>
          <w:bCs/>
          <w:sz w:val="28"/>
          <w:szCs w:val="28"/>
          <w:lang w:val="uk-UA" w:eastAsia="ja-JP"/>
        </w:rPr>
        <w:t xml:space="preserve">Інвестиційний капітал </w:t>
      </w:r>
      <w:r w:rsidR="00350DF8">
        <w:rPr>
          <w:rFonts w:ascii="Times New Roman" w:eastAsiaTheme="minorEastAsia" w:hAnsi="Times New Roman"/>
          <w:bCs/>
          <w:sz w:val="28"/>
          <w:szCs w:val="28"/>
          <w:lang w:val="uk-UA" w:eastAsia="ja-JP"/>
        </w:rPr>
        <w:t>Україна</w:t>
      </w:r>
    </w:p>
    <w:p w14:paraId="022F0A4D" w14:textId="4CA17BE6" w:rsidR="00350DF8" w:rsidRDefault="00350DF8" w:rsidP="0031655A">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lastRenderedPageBreak/>
        <w:t xml:space="preserve">Всі ці компанії виступають у ролі посередників між покупцем та продавцем акцій. Але варто виділити напрями куди на Українському фондовому ринку є можливість інвестувати. Щодо напрямів то фонди намагаються підбирати перевірені та надійні компанії які оперують на території України, але список таких компаній не дуже широкий: Раффайзен Банк, Альфабанк, </w:t>
      </w:r>
      <w:r w:rsidRPr="00350DF8">
        <w:rPr>
          <w:rFonts w:ascii="Times New Roman" w:eastAsiaTheme="minorEastAsia" w:hAnsi="Times New Roman"/>
          <w:bCs/>
          <w:sz w:val="28"/>
          <w:szCs w:val="28"/>
          <w:lang w:val="uk-UA" w:eastAsia="ja-JP"/>
        </w:rPr>
        <w:t>Центренерго</w:t>
      </w:r>
      <w:r>
        <w:rPr>
          <w:rFonts w:ascii="Times New Roman" w:eastAsiaTheme="minorEastAsia" w:hAnsi="Times New Roman"/>
          <w:bCs/>
          <w:sz w:val="28"/>
          <w:szCs w:val="28"/>
          <w:lang w:val="uk-UA" w:eastAsia="ja-JP"/>
        </w:rPr>
        <w:t>, МХП Агрохолдінг, Нова Лінія, Чумак, та ін. Як можна бачити на Українському ринку існують досить відокремлені лідери у кожній галузі</w:t>
      </w:r>
      <w:r w:rsidR="0072769A">
        <w:rPr>
          <w:rFonts w:ascii="Times New Roman" w:eastAsiaTheme="minorEastAsia" w:hAnsi="Times New Roman"/>
          <w:bCs/>
          <w:sz w:val="28"/>
          <w:szCs w:val="28"/>
          <w:lang w:val="uk-UA" w:eastAsia="ja-JP"/>
        </w:rPr>
        <w:t>. Та Українці мають можливість інвестувати у ці підприємства, варто лише відмітити, що такі інвестиції стосуються більш забезпечених громадян. Часто мінімальні розміри вкладів повинні складати від 50 тисяч гривень а деколи і 1 мільйон. Це авжеж викликає ряд недоліків, та створює штучний дефіцит капіталу на фондовому ринку України.</w:t>
      </w:r>
      <w:r>
        <w:rPr>
          <w:rFonts w:ascii="Times New Roman" w:eastAsiaTheme="minorEastAsia" w:hAnsi="Times New Roman"/>
          <w:bCs/>
          <w:sz w:val="28"/>
          <w:szCs w:val="28"/>
          <w:lang w:val="uk-UA" w:eastAsia="ja-JP"/>
        </w:rPr>
        <w:t xml:space="preserve"> Ц</w:t>
      </w:r>
      <w:r w:rsidR="0072769A">
        <w:rPr>
          <w:rFonts w:ascii="Times New Roman" w:eastAsiaTheme="minorEastAsia" w:hAnsi="Times New Roman"/>
          <w:bCs/>
          <w:sz w:val="28"/>
          <w:szCs w:val="28"/>
          <w:lang w:val="uk-UA" w:eastAsia="ja-JP"/>
        </w:rPr>
        <w:t>і</w:t>
      </w:r>
      <w:r>
        <w:rPr>
          <w:rFonts w:ascii="Times New Roman" w:eastAsiaTheme="minorEastAsia" w:hAnsi="Times New Roman"/>
          <w:bCs/>
          <w:sz w:val="28"/>
          <w:szCs w:val="28"/>
          <w:lang w:val="uk-UA" w:eastAsia="ja-JP"/>
        </w:rPr>
        <w:t xml:space="preserve"> спостереження буде подалі використано для формування подальших висновків. </w:t>
      </w:r>
      <w:r w:rsidR="00F206D6">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4</w:t>
      </w:r>
      <w:r w:rsidR="00F206D6">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5</w:t>
      </w:r>
      <w:r w:rsidR="00F206D6">
        <w:rPr>
          <w:rFonts w:ascii="Times New Roman" w:eastAsiaTheme="minorEastAsia" w:hAnsi="Times New Roman"/>
          <w:bCs/>
          <w:sz w:val="28"/>
          <w:szCs w:val="28"/>
          <w:lang w:val="uk-UA" w:eastAsia="ja-JP"/>
        </w:rPr>
        <w:t>].</w:t>
      </w:r>
    </w:p>
    <w:p w14:paraId="6F0EECEC" w14:textId="2A272624" w:rsidR="0072769A" w:rsidRDefault="0072769A" w:rsidP="0031655A">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Існують і різні площадки для торгівлі різноманітними фінансовими активами, так наприклад офіційний сайт Української біржи надає можливість спостерігати саме за діяльністю на фондовому ринку. Якщо відмітити основні моменти, то одразу треба звернути увагу саме на </w:t>
      </w:r>
      <w:r w:rsidR="008B5274">
        <w:rPr>
          <w:rFonts w:ascii="Times New Roman" w:eastAsiaTheme="minorEastAsia" w:hAnsi="Times New Roman"/>
          <w:bCs/>
          <w:sz w:val="28"/>
          <w:szCs w:val="28"/>
          <w:lang w:val="uk-UA" w:eastAsia="ja-JP"/>
        </w:rPr>
        <w:t>операції цього ринку. Операції з о</w:t>
      </w:r>
      <w:r w:rsidR="008B5274" w:rsidRPr="002D2762">
        <w:rPr>
          <w:rFonts w:ascii="Times New Roman" w:eastAsiaTheme="minorEastAsia" w:hAnsi="Times New Roman"/>
          <w:bCs/>
          <w:sz w:val="28"/>
          <w:szCs w:val="28"/>
          <w:lang w:val="uk-UA" w:eastAsia="ja-JP"/>
        </w:rPr>
        <w:t>блігаці</w:t>
      </w:r>
      <w:r w:rsidR="008B5274">
        <w:rPr>
          <w:rFonts w:ascii="Times New Roman" w:eastAsiaTheme="minorEastAsia" w:hAnsi="Times New Roman"/>
          <w:bCs/>
          <w:sz w:val="28"/>
          <w:szCs w:val="28"/>
          <w:lang w:val="uk-UA" w:eastAsia="ja-JP"/>
        </w:rPr>
        <w:t>ями</w:t>
      </w:r>
      <w:r w:rsidR="008B5274" w:rsidRPr="002D2762">
        <w:rPr>
          <w:rFonts w:ascii="Times New Roman" w:eastAsiaTheme="minorEastAsia" w:hAnsi="Times New Roman"/>
          <w:bCs/>
          <w:sz w:val="28"/>
          <w:szCs w:val="28"/>
          <w:lang w:val="uk-UA" w:eastAsia="ja-JP"/>
        </w:rPr>
        <w:t xml:space="preserve"> внутрішньої державної позики України</w:t>
      </w:r>
      <w:r w:rsidR="008B5274">
        <w:rPr>
          <w:rFonts w:ascii="Times New Roman" w:eastAsiaTheme="minorEastAsia" w:hAnsi="Times New Roman"/>
          <w:bCs/>
          <w:sz w:val="28"/>
          <w:szCs w:val="28"/>
          <w:lang w:val="uk-UA" w:eastAsia="ja-JP"/>
        </w:rPr>
        <w:t xml:space="preserve"> займають майже 80% усіх операцій. Найчастіше це саме операції по погашенню цих облігацій.</w:t>
      </w:r>
      <w:r w:rsidR="00A65FC8">
        <w:rPr>
          <w:rFonts w:ascii="Times New Roman" w:eastAsiaTheme="minorEastAsia" w:hAnsi="Times New Roman"/>
          <w:bCs/>
          <w:sz w:val="28"/>
          <w:szCs w:val="28"/>
          <w:lang w:val="uk-UA" w:eastAsia="ja-JP"/>
        </w:rPr>
        <w:t xml:space="preserve"> Це свідчить про 2 речі. По-перше, це свідчить про нестабільність більшості активів країни, </w:t>
      </w:r>
      <w:r w:rsidR="00F206D6">
        <w:rPr>
          <w:rFonts w:ascii="Times New Roman" w:eastAsiaTheme="minorEastAsia" w:hAnsi="Times New Roman"/>
          <w:bCs/>
          <w:sz w:val="28"/>
          <w:szCs w:val="28"/>
          <w:lang w:val="uk-UA" w:eastAsia="ja-JP"/>
        </w:rPr>
        <w:t xml:space="preserve">суб’єкти ринку </w:t>
      </w:r>
      <w:r w:rsidR="00A65FC8">
        <w:rPr>
          <w:rFonts w:ascii="Times New Roman" w:eastAsiaTheme="minorEastAsia" w:hAnsi="Times New Roman"/>
          <w:bCs/>
          <w:sz w:val="28"/>
          <w:szCs w:val="28"/>
          <w:lang w:val="uk-UA" w:eastAsia="ja-JP"/>
        </w:rPr>
        <w:t>обирають о</w:t>
      </w:r>
      <w:r w:rsidR="00A65FC8" w:rsidRPr="002D2762">
        <w:rPr>
          <w:rFonts w:ascii="Times New Roman" w:eastAsiaTheme="minorEastAsia" w:hAnsi="Times New Roman"/>
          <w:bCs/>
          <w:sz w:val="28"/>
          <w:szCs w:val="28"/>
          <w:lang w:val="uk-UA" w:eastAsia="ja-JP"/>
        </w:rPr>
        <w:t>блігаці</w:t>
      </w:r>
      <w:r w:rsidR="00A65FC8">
        <w:rPr>
          <w:rFonts w:ascii="Times New Roman" w:eastAsiaTheme="minorEastAsia" w:hAnsi="Times New Roman"/>
          <w:bCs/>
          <w:sz w:val="28"/>
          <w:szCs w:val="28"/>
          <w:lang w:val="uk-UA" w:eastAsia="ja-JP"/>
        </w:rPr>
        <w:t>ї</w:t>
      </w:r>
      <w:r w:rsidR="00A65FC8" w:rsidRPr="002D2762">
        <w:rPr>
          <w:rFonts w:ascii="Times New Roman" w:eastAsiaTheme="minorEastAsia" w:hAnsi="Times New Roman"/>
          <w:bCs/>
          <w:sz w:val="28"/>
          <w:szCs w:val="28"/>
          <w:lang w:val="uk-UA" w:eastAsia="ja-JP"/>
        </w:rPr>
        <w:t xml:space="preserve"> внутрішньої державної позики</w:t>
      </w:r>
      <w:r w:rsidR="00A65FC8">
        <w:rPr>
          <w:rFonts w:ascii="Times New Roman" w:eastAsiaTheme="minorEastAsia" w:hAnsi="Times New Roman"/>
          <w:bCs/>
          <w:sz w:val="28"/>
          <w:szCs w:val="28"/>
          <w:lang w:val="uk-UA" w:eastAsia="ja-JP"/>
        </w:rPr>
        <w:t xml:space="preserve"> як найбільш стабільний актив. Іноземні інвестори також віддають перевагу облігаціям в силу цих же причин. По-друге, головними учасниками обороту о</w:t>
      </w:r>
      <w:r w:rsidR="00A65FC8" w:rsidRPr="002D2762">
        <w:rPr>
          <w:rFonts w:ascii="Times New Roman" w:eastAsiaTheme="minorEastAsia" w:hAnsi="Times New Roman"/>
          <w:bCs/>
          <w:sz w:val="28"/>
          <w:szCs w:val="28"/>
          <w:lang w:val="uk-UA" w:eastAsia="ja-JP"/>
        </w:rPr>
        <w:t>блігаці</w:t>
      </w:r>
      <w:r w:rsidR="00A65FC8">
        <w:rPr>
          <w:rFonts w:ascii="Times New Roman" w:eastAsiaTheme="minorEastAsia" w:hAnsi="Times New Roman"/>
          <w:bCs/>
          <w:sz w:val="28"/>
          <w:szCs w:val="28"/>
          <w:lang w:val="uk-UA" w:eastAsia="ja-JP"/>
        </w:rPr>
        <w:t>й</w:t>
      </w:r>
      <w:r w:rsidR="00A65FC8" w:rsidRPr="002D2762">
        <w:rPr>
          <w:rFonts w:ascii="Times New Roman" w:eastAsiaTheme="minorEastAsia" w:hAnsi="Times New Roman"/>
          <w:bCs/>
          <w:sz w:val="28"/>
          <w:szCs w:val="28"/>
          <w:lang w:val="uk-UA" w:eastAsia="ja-JP"/>
        </w:rPr>
        <w:t xml:space="preserve"> внутрішньої державної позики</w:t>
      </w:r>
      <w:r w:rsidR="00A65FC8">
        <w:rPr>
          <w:rFonts w:ascii="Times New Roman" w:eastAsiaTheme="minorEastAsia" w:hAnsi="Times New Roman"/>
          <w:bCs/>
          <w:sz w:val="28"/>
          <w:szCs w:val="28"/>
          <w:lang w:val="uk-UA" w:eastAsia="ja-JP"/>
        </w:rPr>
        <w:t xml:space="preserve"> виступають саме банки. Це свідчить про достатній рівень розвитку банківської системи та наявності великої кількості капіталу у цьому секторі.</w:t>
      </w:r>
      <w:r w:rsidR="00297D89">
        <w:rPr>
          <w:rFonts w:ascii="Times New Roman" w:eastAsiaTheme="minorEastAsia" w:hAnsi="Times New Roman"/>
          <w:bCs/>
          <w:sz w:val="28"/>
          <w:szCs w:val="28"/>
          <w:lang w:val="uk-UA" w:eastAsia="ja-JP"/>
        </w:rPr>
        <w:t xml:space="preserve"> </w:t>
      </w:r>
      <w:r w:rsidR="00F206D6">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6</w:t>
      </w:r>
      <w:r w:rsidR="00F206D6">
        <w:rPr>
          <w:rFonts w:ascii="Times New Roman" w:eastAsiaTheme="minorEastAsia" w:hAnsi="Times New Roman"/>
          <w:bCs/>
          <w:sz w:val="28"/>
          <w:szCs w:val="28"/>
          <w:lang w:val="uk-UA" w:eastAsia="ja-JP"/>
        </w:rPr>
        <w:t>]</w:t>
      </w:r>
    </w:p>
    <w:p w14:paraId="62B867E0" w14:textId="7B0C9BE0" w:rsidR="00297D89" w:rsidRPr="00871333" w:rsidRDefault="00297D89" w:rsidP="00350DF8">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lastRenderedPageBreak/>
        <w:tab/>
        <w:t xml:space="preserve">Одна з головних проблем фондового ринку України це відсутність простої системи яка би допомагала звичайному населенню приймати участь в діяльності ринку. Заплутаність системи, недоступність даних, відсутність організації навіть власного сайту біржи, все це сприяє не потрібному дефіциту капіталу на ринці. Якщо приводити приклад, в Україні існує декілька бірж, далі буде виділено дві з них. Перша це «Українська </w:t>
      </w:r>
      <w:r w:rsidR="00E0500F">
        <w:rPr>
          <w:rFonts w:ascii="Times New Roman" w:eastAsiaTheme="minorEastAsia" w:hAnsi="Times New Roman"/>
          <w:bCs/>
          <w:sz w:val="28"/>
          <w:szCs w:val="28"/>
          <w:lang w:val="uk-UA" w:eastAsia="ja-JP"/>
        </w:rPr>
        <w:t>Б</w:t>
      </w:r>
      <w:r>
        <w:rPr>
          <w:rFonts w:ascii="Times New Roman" w:eastAsiaTheme="minorEastAsia" w:hAnsi="Times New Roman"/>
          <w:bCs/>
          <w:sz w:val="28"/>
          <w:szCs w:val="28"/>
          <w:lang w:val="uk-UA" w:eastAsia="ja-JP"/>
        </w:rPr>
        <w:t>іржа», друга це «ПФТС</w:t>
      </w:r>
      <w:r w:rsidR="00E0500F">
        <w:rPr>
          <w:rFonts w:ascii="Times New Roman" w:eastAsiaTheme="minorEastAsia" w:hAnsi="Times New Roman"/>
          <w:bCs/>
          <w:sz w:val="28"/>
          <w:szCs w:val="28"/>
          <w:lang w:val="uk-UA" w:eastAsia="ja-JP"/>
        </w:rPr>
        <w:t xml:space="preserve"> Фондова Біржа». Тільки на одному з сайтів біржи є детальна інформація щодо прийняття участі у торгах та становленням повноцінним учасником біржи. Але проблема продовжується, на сайті ПФТС Фондова Біржа існує список вимог та дій які потрібно здійснити для отримання статусу учасника. Треба відмітити що список складається з 12 пунктів, та потребує досить великої кількості різних документів та </w:t>
      </w:r>
      <w:r w:rsidR="006173A8">
        <w:rPr>
          <w:rFonts w:ascii="Times New Roman" w:eastAsiaTheme="minorEastAsia" w:hAnsi="Times New Roman"/>
          <w:bCs/>
          <w:sz w:val="28"/>
          <w:szCs w:val="28"/>
          <w:lang w:val="uk-UA" w:eastAsia="ja-JP"/>
        </w:rPr>
        <w:t>підтверджень</w:t>
      </w:r>
      <w:r w:rsidR="00E0500F">
        <w:rPr>
          <w:rFonts w:ascii="Times New Roman" w:eastAsiaTheme="minorEastAsia" w:hAnsi="Times New Roman"/>
          <w:bCs/>
          <w:sz w:val="28"/>
          <w:szCs w:val="28"/>
          <w:lang w:val="uk-UA" w:eastAsia="ja-JP"/>
        </w:rPr>
        <w:t xml:space="preserve">. Також треба звернути увагу на такий момент, що на сайті вказано лише </w:t>
      </w:r>
      <w:r w:rsidR="00871333">
        <w:rPr>
          <w:rFonts w:ascii="Times New Roman" w:eastAsiaTheme="minorEastAsia" w:hAnsi="Times New Roman"/>
          <w:bCs/>
          <w:sz w:val="28"/>
          <w:szCs w:val="28"/>
          <w:lang w:val="uk-UA" w:eastAsia="ja-JP"/>
        </w:rPr>
        <w:t xml:space="preserve">інформацію для юридичних лиць (обов’язковим є наявність статуту). Інформації щодо участі на біржі як фізична особа не вказана на офіційному сайті біржи. Тобто для прояснення цього моменту фізична особа потрібна </w:t>
      </w:r>
      <w:r w:rsidR="00791471">
        <w:rPr>
          <w:rFonts w:ascii="Times New Roman" w:eastAsiaTheme="minorEastAsia" w:hAnsi="Times New Roman"/>
          <w:bCs/>
          <w:sz w:val="28"/>
          <w:szCs w:val="28"/>
          <w:lang w:val="uk-UA" w:eastAsia="ja-JP"/>
        </w:rPr>
        <w:t>звертатися</w:t>
      </w:r>
      <w:r w:rsidR="00871333">
        <w:rPr>
          <w:rFonts w:ascii="Times New Roman" w:eastAsiaTheme="minorEastAsia" w:hAnsi="Times New Roman"/>
          <w:bCs/>
          <w:sz w:val="28"/>
          <w:szCs w:val="28"/>
          <w:lang w:val="uk-UA" w:eastAsia="ja-JP"/>
        </w:rPr>
        <w:t xml:space="preserve"> до інших джерел чи навіть посередників. </w:t>
      </w:r>
      <w:r w:rsidR="00396B62">
        <w:rPr>
          <w:rFonts w:ascii="Times New Roman" w:eastAsiaTheme="minorEastAsia" w:hAnsi="Times New Roman"/>
          <w:bCs/>
          <w:sz w:val="28"/>
          <w:szCs w:val="28"/>
          <w:lang w:val="uk-UA" w:eastAsia="ja-JP"/>
        </w:rPr>
        <w:t xml:space="preserve">Посередники також існують, раніше було </w:t>
      </w:r>
      <w:r w:rsidR="00791471">
        <w:rPr>
          <w:rFonts w:ascii="Times New Roman" w:eastAsiaTheme="minorEastAsia" w:hAnsi="Times New Roman"/>
          <w:bCs/>
          <w:sz w:val="28"/>
          <w:szCs w:val="28"/>
          <w:lang w:val="uk-UA" w:eastAsia="ja-JP"/>
        </w:rPr>
        <w:t>представлено</w:t>
      </w:r>
      <w:r w:rsidR="00396B62">
        <w:rPr>
          <w:rFonts w:ascii="Times New Roman" w:eastAsiaTheme="minorEastAsia" w:hAnsi="Times New Roman"/>
          <w:bCs/>
          <w:sz w:val="28"/>
          <w:szCs w:val="28"/>
          <w:lang w:val="uk-UA" w:eastAsia="ja-JP"/>
        </w:rPr>
        <w:t xml:space="preserve"> інвестиційні фонди, але є ще один досить популярний в Україні тип посередників. Пайовий інвестиційний фонд – це фонд </w:t>
      </w:r>
      <w:r w:rsidR="00396B62" w:rsidRPr="00396B62">
        <w:rPr>
          <w:rFonts w:ascii="Times New Roman" w:eastAsiaTheme="minorEastAsia" w:hAnsi="Times New Roman"/>
          <w:bCs/>
          <w:sz w:val="28"/>
          <w:szCs w:val="28"/>
          <w:lang w:val="uk-UA" w:eastAsia="ja-JP"/>
        </w:rPr>
        <w:t xml:space="preserve"> активи якого належать інвесторам на правах спільної часткової власності</w:t>
      </w:r>
      <w:r w:rsidR="00396B62">
        <w:rPr>
          <w:rFonts w:ascii="Times New Roman" w:eastAsiaTheme="minorEastAsia" w:hAnsi="Times New Roman"/>
          <w:bCs/>
          <w:sz w:val="28"/>
          <w:szCs w:val="28"/>
          <w:lang w:val="uk-UA" w:eastAsia="ja-JP"/>
        </w:rPr>
        <w:t xml:space="preserve"> та керуються компанією з управлінням активами при цьому фонді. Якщо фізична особа і вирішує придбати активи на фондовому ринку частіше за все це відбувається саме через такі пайові інвестиційні фонди. </w:t>
      </w:r>
      <w:r w:rsidR="00871333">
        <w:rPr>
          <w:rFonts w:ascii="Times New Roman" w:eastAsiaTheme="minorEastAsia" w:hAnsi="Times New Roman"/>
          <w:bCs/>
          <w:sz w:val="28"/>
          <w:szCs w:val="28"/>
          <w:lang w:val="uk-UA" w:eastAsia="ja-JP"/>
        </w:rPr>
        <w:t xml:space="preserve">Цей момент чітко вказує на недоліки сучасної системи фондового ринку України. </w:t>
      </w:r>
      <w:r w:rsidR="004A694A">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7</w:t>
      </w:r>
      <w:r w:rsidR="004A694A">
        <w:rPr>
          <w:rFonts w:ascii="Times New Roman" w:eastAsiaTheme="minorEastAsia" w:hAnsi="Times New Roman"/>
          <w:bCs/>
          <w:sz w:val="28"/>
          <w:szCs w:val="28"/>
          <w:lang w:val="uk-UA" w:eastAsia="ja-JP"/>
        </w:rPr>
        <w:t>]</w:t>
      </w:r>
    </w:p>
    <w:p w14:paraId="52FD6257" w14:textId="77777777" w:rsidR="00F2496E" w:rsidRPr="00F2496E" w:rsidRDefault="00F2496E" w:rsidP="00F2496E">
      <w:pPr>
        <w:spacing w:after="160" w:line="360" w:lineRule="auto"/>
        <w:ind w:firstLine="720"/>
        <w:jc w:val="both"/>
        <w:rPr>
          <w:rFonts w:ascii="Times New Roman" w:eastAsiaTheme="minorEastAsia" w:hAnsi="Times New Roman"/>
          <w:bCs/>
          <w:sz w:val="28"/>
          <w:szCs w:val="28"/>
          <w:lang w:val="uk-UA" w:eastAsia="ja-JP"/>
        </w:rPr>
      </w:pPr>
    </w:p>
    <w:p w14:paraId="2ADC05A9" w14:textId="55D1E222" w:rsidR="00247E92" w:rsidRPr="00247E92" w:rsidRDefault="00B455C7" w:rsidP="00505A1C">
      <w:pPr>
        <w:spacing w:after="160" w:line="360" w:lineRule="auto"/>
        <w:rPr>
          <w:rFonts w:ascii="Times New Roman" w:hAnsi="Times New Roman"/>
          <w:b/>
          <w:sz w:val="28"/>
          <w:szCs w:val="28"/>
          <w:lang w:val="uk-UA"/>
        </w:rPr>
      </w:pPr>
      <w:r>
        <w:rPr>
          <w:rFonts w:ascii="Times New Roman" w:hAnsi="Times New Roman"/>
          <w:b/>
          <w:sz w:val="28"/>
          <w:szCs w:val="28"/>
          <w:lang w:val="uk-UA"/>
        </w:rPr>
        <w:tab/>
      </w:r>
      <w:r w:rsidR="00F2496E">
        <w:rPr>
          <w:rFonts w:ascii="Times New Roman" w:hAnsi="Times New Roman"/>
          <w:b/>
          <w:sz w:val="28"/>
          <w:szCs w:val="28"/>
          <w:lang w:val="uk-UA"/>
        </w:rPr>
        <w:t>3.</w:t>
      </w:r>
      <w:r w:rsidR="00505A1C">
        <w:rPr>
          <w:rFonts w:ascii="Times New Roman" w:hAnsi="Times New Roman"/>
          <w:b/>
          <w:sz w:val="28"/>
          <w:szCs w:val="28"/>
          <w:lang w:val="uk-UA"/>
        </w:rPr>
        <w:t>2</w:t>
      </w:r>
      <w:r w:rsidR="00F2496E">
        <w:rPr>
          <w:rFonts w:ascii="Times New Roman" w:hAnsi="Times New Roman"/>
          <w:b/>
          <w:sz w:val="28"/>
          <w:szCs w:val="28"/>
          <w:lang w:val="uk-UA"/>
        </w:rPr>
        <w:t xml:space="preserve"> </w:t>
      </w:r>
      <w:r w:rsidR="00505A1C" w:rsidRPr="00505A1C">
        <w:rPr>
          <w:rFonts w:ascii="Times New Roman" w:hAnsi="Times New Roman"/>
          <w:b/>
          <w:sz w:val="28"/>
          <w:szCs w:val="28"/>
          <w:lang w:val="uk-UA"/>
        </w:rPr>
        <w:t>Аналіз динаміки основних показників розвитку фондових ринків Японії та України</w:t>
      </w:r>
    </w:p>
    <w:p w14:paraId="43F5F00A" w14:textId="39BC7A35" w:rsidR="00B455C7" w:rsidRDefault="00B455C7" w:rsidP="00EC10C4">
      <w:pPr>
        <w:spacing w:after="160" w:line="360" w:lineRule="auto"/>
        <w:rPr>
          <w:rFonts w:ascii="Times New Roman" w:hAnsi="Times New Roman"/>
          <w:bCs/>
          <w:sz w:val="28"/>
          <w:szCs w:val="28"/>
          <w:lang w:val="uk-UA"/>
        </w:rPr>
      </w:pPr>
      <w:r>
        <w:rPr>
          <w:rFonts w:ascii="Times New Roman" w:hAnsi="Times New Roman"/>
          <w:bCs/>
          <w:sz w:val="28"/>
          <w:szCs w:val="28"/>
          <w:lang w:val="uk-UA"/>
        </w:rPr>
        <w:lastRenderedPageBreak/>
        <w:tab/>
        <w:t xml:space="preserve">У попередніх розділах було представлено та проаналізовано особливості фондових ринків України та Японії. Далі, буде зіставлено ці особливості для визначення чи дійсно Україна може слідувати прикладу Японії щодо розвитку фондового ринку. </w:t>
      </w:r>
    </w:p>
    <w:p w14:paraId="0EA90724" w14:textId="6FB471D0" w:rsidR="00B455C7" w:rsidRPr="00B44217" w:rsidRDefault="00B455C7" w:rsidP="00EC10C4">
      <w:pPr>
        <w:spacing w:after="160" w:line="360" w:lineRule="auto"/>
        <w:jc w:val="both"/>
        <w:rPr>
          <w:rFonts w:ascii="Times New Roman" w:eastAsiaTheme="minorEastAsia" w:hAnsi="Times New Roman"/>
          <w:bCs/>
          <w:sz w:val="28"/>
          <w:szCs w:val="28"/>
          <w:lang w:val="uk-UA" w:eastAsia="ja-JP"/>
        </w:rPr>
      </w:pPr>
      <w:r>
        <w:rPr>
          <w:rFonts w:ascii="Times New Roman" w:hAnsi="Times New Roman"/>
          <w:bCs/>
          <w:sz w:val="28"/>
          <w:szCs w:val="28"/>
          <w:lang w:val="uk-UA"/>
        </w:rPr>
        <w:tab/>
        <w:t>По перше можна порівняти обсяг торгівлі та його динаміку за усі доступні роки</w:t>
      </w:r>
      <w:r w:rsidR="00F2496E">
        <w:rPr>
          <w:rFonts w:ascii="Times New Roman" w:hAnsi="Times New Roman"/>
          <w:bCs/>
          <w:sz w:val="28"/>
          <w:szCs w:val="28"/>
          <w:lang w:val="uk-UA"/>
        </w:rPr>
        <w:t xml:space="preserve"> (2009-2020). Треба зазначити, що для України було взято торгівлю усіма акціями, у той час коли для Японії було взято лише </w:t>
      </w:r>
      <w:r w:rsidR="00F2496E">
        <w:rPr>
          <w:rFonts w:ascii="Times New Roman" w:eastAsiaTheme="minorEastAsia" w:hAnsi="Times New Roman"/>
          <w:bCs/>
          <w:sz w:val="28"/>
          <w:szCs w:val="28"/>
          <w:lang w:val="en-US" w:eastAsia="ja-JP"/>
        </w:rPr>
        <w:t>Nikkei</w:t>
      </w:r>
      <w:r w:rsidR="00F2496E" w:rsidRPr="00F2496E">
        <w:rPr>
          <w:rFonts w:ascii="Times New Roman" w:eastAsiaTheme="minorEastAsia" w:hAnsi="Times New Roman"/>
          <w:bCs/>
          <w:sz w:val="28"/>
          <w:szCs w:val="28"/>
          <w:lang w:eastAsia="ja-JP"/>
        </w:rPr>
        <w:t xml:space="preserve"> 225</w:t>
      </w:r>
      <w:r w:rsidR="00F2496E">
        <w:rPr>
          <w:rFonts w:ascii="Times New Roman" w:eastAsiaTheme="minorEastAsia" w:hAnsi="Times New Roman"/>
          <w:bCs/>
          <w:sz w:val="28"/>
          <w:szCs w:val="28"/>
          <w:lang w:val="uk-UA" w:eastAsia="ja-JP"/>
        </w:rPr>
        <w:t xml:space="preserve">. Це було зроблено з декількох причин. 1 – В Україні у більшості попитом користуються саме акції великих компаній. 2 – Україна не має схожого індексу як </w:t>
      </w:r>
      <w:r w:rsidR="00F2496E">
        <w:rPr>
          <w:rFonts w:ascii="Times New Roman" w:eastAsiaTheme="minorEastAsia" w:hAnsi="Times New Roman"/>
          <w:bCs/>
          <w:sz w:val="28"/>
          <w:szCs w:val="28"/>
          <w:lang w:val="en-US" w:eastAsia="ja-JP"/>
        </w:rPr>
        <w:t>Nikkei</w:t>
      </w:r>
      <w:r w:rsidR="00F2496E" w:rsidRPr="00F2496E">
        <w:rPr>
          <w:rFonts w:ascii="Times New Roman" w:eastAsiaTheme="minorEastAsia" w:hAnsi="Times New Roman"/>
          <w:bCs/>
          <w:sz w:val="28"/>
          <w:szCs w:val="28"/>
          <w:lang w:val="uk-UA" w:eastAsia="ja-JP"/>
        </w:rPr>
        <w:t xml:space="preserve"> 225</w:t>
      </w:r>
      <w:r w:rsidR="00F2496E">
        <w:rPr>
          <w:rFonts w:ascii="Times New Roman" w:eastAsiaTheme="minorEastAsia" w:hAnsi="Times New Roman"/>
          <w:bCs/>
          <w:sz w:val="28"/>
          <w:szCs w:val="28"/>
          <w:lang w:val="uk-UA" w:eastAsia="ja-JP"/>
        </w:rPr>
        <w:t xml:space="preserve"> який би мав би дані по найбільшим компаніям, дані доступні лише по всім акціям. 3 – це не заважатиме аналізу так як важливо відстежити саме тенденцію яку має Українська торгівля та Японська.</w:t>
      </w:r>
      <w:r w:rsidR="00F2496E">
        <w:rPr>
          <w:rFonts w:ascii="Times New Roman" w:hAnsi="Times New Roman"/>
          <w:bCs/>
          <w:sz w:val="28"/>
          <w:szCs w:val="28"/>
          <w:lang w:val="uk-UA"/>
        </w:rPr>
        <w:t xml:space="preserve"> Одразу можна помітити різницю в абсолютних значеннях обсягу торгівлі. Якщо Українські акції не перевищують відмітку в 1</w:t>
      </w:r>
      <w:r w:rsidR="00F2496E" w:rsidRPr="000019C7">
        <w:rPr>
          <w:rFonts w:ascii="Times New Roman" w:hAnsi="Times New Roman"/>
          <w:bCs/>
          <w:sz w:val="28"/>
          <w:szCs w:val="28"/>
          <w:lang w:val="uk-UA"/>
        </w:rPr>
        <w:t xml:space="preserve">,3 </w:t>
      </w:r>
      <w:r w:rsidR="00F2496E">
        <w:rPr>
          <w:rFonts w:ascii="Times New Roman" w:hAnsi="Times New Roman"/>
          <w:bCs/>
          <w:sz w:val="28"/>
          <w:szCs w:val="28"/>
          <w:lang w:val="uk-UA"/>
        </w:rPr>
        <w:t xml:space="preserve">мільярди, то Японські аналоги не падали нижче 1,6 трильйонів доларів за рік. </w:t>
      </w:r>
      <w:r w:rsidR="00B44217">
        <w:rPr>
          <w:rFonts w:ascii="Times New Roman" w:hAnsi="Times New Roman"/>
          <w:bCs/>
          <w:sz w:val="28"/>
          <w:szCs w:val="28"/>
          <w:lang w:val="uk-UA"/>
        </w:rPr>
        <w:t xml:space="preserve">Другий важливий аспект цього графіку це динаміка, як можна бачити Японські акції продовжують користуватися попитом, та навіть показують позитивну динаміку у останні 7 років. У разі України обсяг торгівлі продовжує падіння ще з 2011 року коли він досяг піку. На графіку також можна помітити результати політичних та економічних подій у 2014 році, коли акції почали знижатися та вже не показують позитивну динаміку. Такий стан торгівлі акціями </w:t>
      </w:r>
      <w:r w:rsidR="00F42C30">
        <w:rPr>
          <w:rFonts w:ascii="Times New Roman" w:hAnsi="Times New Roman"/>
          <w:bCs/>
          <w:sz w:val="28"/>
          <w:szCs w:val="28"/>
          <w:lang w:val="uk-UA"/>
        </w:rPr>
        <w:t>пов</w:t>
      </w:r>
      <w:r w:rsidR="00F42C30">
        <w:rPr>
          <w:rFonts w:ascii="Times New Roman" w:eastAsiaTheme="minorEastAsia" w:hAnsi="Times New Roman"/>
          <w:bCs/>
          <w:sz w:val="28"/>
          <w:szCs w:val="28"/>
          <w:lang w:val="uk-UA" w:eastAsia="ja-JP"/>
        </w:rPr>
        <w:t>’язана</w:t>
      </w:r>
      <w:r w:rsidR="00B44217">
        <w:rPr>
          <w:rFonts w:ascii="Times New Roman" w:eastAsiaTheme="minorEastAsia" w:hAnsi="Times New Roman"/>
          <w:bCs/>
          <w:sz w:val="28"/>
          <w:szCs w:val="28"/>
          <w:lang w:val="uk-UA" w:eastAsia="ja-JP"/>
        </w:rPr>
        <w:t xml:space="preserve"> з </w:t>
      </w:r>
      <w:r w:rsidR="00F42C30">
        <w:rPr>
          <w:rFonts w:ascii="Times New Roman" w:eastAsiaTheme="minorEastAsia" w:hAnsi="Times New Roman"/>
          <w:bCs/>
          <w:sz w:val="28"/>
          <w:szCs w:val="28"/>
          <w:lang w:val="uk-UA" w:eastAsia="ja-JP"/>
        </w:rPr>
        <w:t xml:space="preserve">погіршенням економічного стану в Україні. </w:t>
      </w:r>
      <w:r w:rsidR="00247E92">
        <w:rPr>
          <w:rFonts w:ascii="Times New Roman" w:eastAsiaTheme="minorEastAsia" w:hAnsi="Times New Roman"/>
          <w:bCs/>
          <w:sz w:val="28"/>
          <w:szCs w:val="28"/>
          <w:lang w:val="uk-UA" w:eastAsia="ja-JP"/>
        </w:rPr>
        <w:t>Динаміка падіння в Україні продовжується і до сучасного часу. Глобальна пандемія</w:t>
      </w:r>
      <w:r w:rsidR="00EC10C4">
        <w:rPr>
          <w:rFonts w:ascii="Times New Roman" w:eastAsiaTheme="minorEastAsia" w:hAnsi="Times New Roman"/>
          <w:bCs/>
          <w:sz w:val="28"/>
          <w:szCs w:val="28"/>
          <w:lang w:val="uk-UA" w:eastAsia="ja-JP"/>
        </w:rPr>
        <w:t xml:space="preserve"> та пов’язана з нею криза</w:t>
      </w:r>
      <w:r w:rsidR="00247E92">
        <w:rPr>
          <w:rFonts w:ascii="Times New Roman" w:eastAsiaTheme="minorEastAsia" w:hAnsi="Times New Roman"/>
          <w:bCs/>
          <w:sz w:val="28"/>
          <w:szCs w:val="28"/>
          <w:lang w:val="uk-UA" w:eastAsia="ja-JP"/>
        </w:rPr>
        <w:t xml:space="preserve"> також не приносить </w:t>
      </w:r>
      <w:r w:rsidR="00EC10C4">
        <w:rPr>
          <w:rFonts w:ascii="Times New Roman" w:eastAsiaTheme="minorEastAsia" w:hAnsi="Times New Roman"/>
          <w:bCs/>
          <w:sz w:val="28"/>
          <w:szCs w:val="28"/>
          <w:lang w:val="uk-UA" w:eastAsia="ja-JP"/>
        </w:rPr>
        <w:t>нічого</w:t>
      </w:r>
      <w:r w:rsidR="00247E92">
        <w:rPr>
          <w:rFonts w:ascii="Times New Roman" w:eastAsiaTheme="minorEastAsia" w:hAnsi="Times New Roman"/>
          <w:bCs/>
          <w:sz w:val="28"/>
          <w:szCs w:val="28"/>
          <w:lang w:val="uk-UA" w:eastAsia="ja-JP"/>
        </w:rPr>
        <w:t xml:space="preserve"> доброго Україні, яка дуже </w:t>
      </w:r>
      <w:r w:rsidR="00EC10C4">
        <w:rPr>
          <w:rFonts w:ascii="Times New Roman" w:eastAsiaTheme="minorEastAsia" w:hAnsi="Times New Roman"/>
          <w:bCs/>
          <w:sz w:val="28"/>
          <w:szCs w:val="28"/>
          <w:lang w:val="uk-UA" w:eastAsia="ja-JP"/>
        </w:rPr>
        <w:t>потребує іноземних інвестицій.</w:t>
      </w:r>
    </w:p>
    <w:p w14:paraId="48DF22F3" w14:textId="14F15750" w:rsidR="00B455C7" w:rsidRDefault="001F02E3" w:rsidP="00B455C7">
      <w:pPr>
        <w:spacing w:after="160" w:line="360" w:lineRule="auto"/>
        <w:jc w:val="center"/>
        <w:rPr>
          <w:rFonts w:ascii="Times New Roman" w:hAnsi="Times New Roman"/>
          <w:bCs/>
          <w:sz w:val="28"/>
          <w:szCs w:val="28"/>
          <w:lang w:val="uk-UA"/>
        </w:rPr>
      </w:pPr>
      <w:r>
        <w:rPr>
          <w:noProof/>
          <w:lang w:val="uk-UA" w:eastAsia="uk-UA"/>
        </w:rPr>
        <w:lastRenderedPageBreak/>
        <w:drawing>
          <wp:inline distT="0" distB="0" distL="0" distR="0" wp14:anchorId="09AF4326" wp14:editId="23AFCD4B">
            <wp:extent cx="4572000" cy="2743200"/>
            <wp:effectExtent l="0" t="0" r="0" b="0"/>
            <wp:docPr id="17" name="Chart 1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DBFF2C-E5A7-46F5-9FB2-2F3066E89B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71705B2" w14:textId="19B9CA50" w:rsidR="00B455C7" w:rsidRPr="00791471" w:rsidRDefault="00B455C7" w:rsidP="00F2496E">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Рис 3.2 Обсяг торгівлі акціями України</w:t>
      </w:r>
      <w:r w:rsidR="00F2496E">
        <w:rPr>
          <w:rFonts w:ascii="Times New Roman" w:eastAsiaTheme="minorEastAsia" w:hAnsi="Times New Roman"/>
          <w:bCs/>
          <w:sz w:val="28"/>
          <w:szCs w:val="28"/>
          <w:lang w:val="uk-UA" w:eastAsia="ja-JP"/>
        </w:rPr>
        <w:t xml:space="preserve"> та Японії</w:t>
      </w:r>
      <w:r>
        <w:rPr>
          <w:rFonts w:ascii="Times New Roman" w:eastAsiaTheme="minorEastAsia" w:hAnsi="Times New Roman"/>
          <w:bCs/>
          <w:sz w:val="28"/>
          <w:szCs w:val="28"/>
          <w:lang w:val="uk-UA" w:eastAsia="ja-JP"/>
        </w:rPr>
        <w:t xml:space="preserve"> у </w:t>
      </w:r>
      <w:r w:rsidR="00DE5310">
        <w:rPr>
          <w:rFonts w:ascii="Times New Roman" w:eastAsiaTheme="minorEastAsia" w:hAnsi="Times New Roman"/>
          <w:bCs/>
          <w:sz w:val="28"/>
          <w:szCs w:val="28"/>
          <w:lang w:val="uk-UA" w:eastAsia="ja-JP"/>
        </w:rPr>
        <w:t xml:space="preserve">міл. </w:t>
      </w:r>
      <w:r>
        <w:rPr>
          <w:rFonts w:ascii="Times New Roman" w:eastAsiaTheme="minorEastAsia" w:hAnsi="Times New Roman"/>
          <w:bCs/>
          <w:sz w:val="28"/>
          <w:szCs w:val="28"/>
          <w:lang w:val="uk-UA" w:eastAsia="ja-JP"/>
        </w:rPr>
        <w:t>дол. США</w:t>
      </w:r>
    </w:p>
    <w:p w14:paraId="57F64317" w14:textId="71C9181F" w:rsidR="00B455C7" w:rsidRPr="00B455C7" w:rsidRDefault="00B455C7" w:rsidP="00B455C7">
      <w:pPr>
        <w:spacing w:after="160" w:line="360" w:lineRule="auto"/>
        <w:rPr>
          <w:rFonts w:ascii="Times New Roman" w:hAnsi="Times New Roman"/>
          <w:bCs/>
          <w:sz w:val="28"/>
          <w:szCs w:val="28"/>
          <w:lang w:val="uk-UA"/>
        </w:rPr>
      </w:pPr>
      <w:r>
        <w:rPr>
          <w:rFonts w:ascii="Times New Roman" w:eastAsiaTheme="minorEastAsia" w:hAnsi="Times New Roman"/>
          <w:bCs/>
          <w:sz w:val="28"/>
          <w:szCs w:val="28"/>
          <w:lang w:val="uk-UA" w:eastAsia="ja-JP"/>
        </w:rPr>
        <w:t xml:space="preserve">Складено автором на основі </w:t>
      </w:r>
      <w:r w:rsidRPr="00791471">
        <w:rPr>
          <w:rFonts w:ascii="Times New Roman" w:eastAsiaTheme="minorEastAsia" w:hAnsi="Times New Roman"/>
          <w:bCs/>
          <w:sz w:val="28"/>
          <w:szCs w:val="28"/>
          <w:lang w:eastAsia="ja-JP"/>
        </w:rPr>
        <w:t>[</w:t>
      </w:r>
      <w:r w:rsidR="00FD4B94">
        <w:rPr>
          <w:rFonts w:ascii="Times New Roman" w:eastAsiaTheme="minorEastAsia" w:hAnsi="Times New Roman"/>
          <w:bCs/>
          <w:sz w:val="28"/>
          <w:szCs w:val="28"/>
          <w:lang w:val="uk-UA" w:eastAsia="ja-JP"/>
        </w:rPr>
        <w:t>2</w:t>
      </w:r>
      <w:r w:rsidR="009E3064">
        <w:rPr>
          <w:rFonts w:ascii="Times New Roman" w:eastAsiaTheme="minorEastAsia" w:hAnsi="Times New Roman"/>
          <w:bCs/>
          <w:sz w:val="28"/>
          <w:szCs w:val="28"/>
          <w:lang w:val="uk-UA" w:eastAsia="ja-JP"/>
        </w:rPr>
        <w:t>6</w:t>
      </w:r>
      <w:r w:rsidRPr="00791471">
        <w:rPr>
          <w:rFonts w:ascii="Times New Roman" w:eastAsiaTheme="minorEastAsia" w:hAnsi="Times New Roman"/>
          <w:bCs/>
          <w:sz w:val="28"/>
          <w:szCs w:val="28"/>
          <w:lang w:eastAsia="ja-JP"/>
        </w:rPr>
        <w:t>]</w:t>
      </w:r>
      <w:r w:rsidR="00FD4B94">
        <w:rPr>
          <w:rFonts w:ascii="Times New Roman" w:eastAsiaTheme="minorEastAsia" w:hAnsi="Times New Roman"/>
          <w:bCs/>
          <w:sz w:val="28"/>
          <w:szCs w:val="28"/>
          <w:lang w:val="uk-UA" w:eastAsia="ja-JP"/>
        </w:rPr>
        <w:t>,</w:t>
      </w:r>
      <w:r w:rsidR="00FD4B94" w:rsidRPr="005D701A">
        <w:rPr>
          <w:rFonts w:ascii="Times New Roman" w:eastAsiaTheme="minorEastAsia" w:hAnsi="Times New Roman"/>
          <w:bCs/>
          <w:sz w:val="28"/>
          <w:szCs w:val="28"/>
          <w:lang w:eastAsia="ja-JP"/>
        </w:rPr>
        <w:t>[2</w:t>
      </w:r>
      <w:r w:rsidR="009E3064">
        <w:rPr>
          <w:rFonts w:ascii="Times New Roman" w:eastAsiaTheme="minorEastAsia" w:hAnsi="Times New Roman"/>
          <w:bCs/>
          <w:sz w:val="28"/>
          <w:szCs w:val="28"/>
          <w:lang w:eastAsia="ja-JP"/>
        </w:rPr>
        <w:t>7</w:t>
      </w:r>
      <w:r w:rsidR="00FD4B94" w:rsidRPr="005D701A">
        <w:rPr>
          <w:rFonts w:ascii="Times New Roman" w:eastAsiaTheme="minorEastAsia" w:hAnsi="Times New Roman"/>
          <w:bCs/>
          <w:sz w:val="28"/>
          <w:szCs w:val="28"/>
          <w:lang w:eastAsia="ja-JP"/>
        </w:rPr>
        <w:t>]</w:t>
      </w:r>
      <w:r w:rsidRPr="00791471">
        <w:rPr>
          <w:rFonts w:ascii="Times New Roman" w:eastAsiaTheme="minorEastAsia" w:hAnsi="Times New Roman"/>
          <w:bCs/>
          <w:sz w:val="28"/>
          <w:szCs w:val="28"/>
          <w:lang w:eastAsia="ja-JP"/>
        </w:rPr>
        <w:t>.</w:t>
      </w:r>
    </w:p>
    <w:p w14:paraId="2AC6E169" w14:textId="0DD04A8F" w:rsidR="00140820" w:rsidRPr="00926139" w:rsidRDefault="00F42C30" w:rsidP="00F42C30">
      <w:pPr>
        <w:spacing w:after="160" w:line="360" w:lineRule="auto"/>
        <w:ind w:firstLine="720"/>
        <w:jc w:val="both"/>
        <w:rPr>
          <w:rFonts w:ascii="Times New Roman" w:hAnsi="Times New Roman"/>
          <w:b/>
          <w:sz w:val="28"/>
          <w:szCs w:val="28"/>
          <w:lang w:val="uk-UA"/>
        </w:rPr>
      </w:pPr>
      <w:r>
        <w:rPr>
          <w:rFonts w:ascii="Times New Roman" w:eastAsiaTheme="minorEastAsia" w:hAnsi="Times New Roman"/>
          <w:bCs/>
          <w:sz w:val="28"/>
          <w:szCs w:val="28"/>
          <w:lang w:val="uk-UA" w:eastAsia="ja-JP"/>
        </w:rPr>
        <w:t>Продовжуючи пошук причин падіння обсягів торгівлі акціями, треба звернутися до інших економічних показників. Важливу роль у ціноутворенні фондових активів відіграють іноземні інвестори. Тому далі буде розглянуто обсяг та динаміка прямих іноземних інвестицій в Україну та Японію</w:t>
      </w:r>
      <w:r w:rsidR="000019C7">
        <w:rPr>
          <w:rFonts w:ascii="Times New Roman" w:eastAsiaTheme="minorEastAsia" w:hAnsi="Times New Roman"/>
          <w:bCs/>
          <w:sz w:val="28"/>
          <w:szCs w:val="28"/>
          <w:lang w:val="uk-UA" w:eastAsia="ja-JP"/>
        </w:rPr>
        <w:t xml:space="preserve"> (див. рис 3.3) </w:t>
      </w:r>
      <w:r>
        <w:rPr>
          <w:rFonts w:ascii="Times New Roman" w:eastAsiaTheme="minorEastAsia" w:hAnsi="Times New Roman"/>
          <w:bCs/>
          <w:sz w:val="28"/>
          <w:szCs w:val="28"/>
          <w:lang w:val="uk-UA" w:eastAsia="ja-JP"/>
        </w:rPr>
        <w:t>.</w:t>
      </w:r>
      <w:r w:rsidR="000019C7">
        <w:rPr>
          <w:rFonts w:ascii="Times New Roman" w:eastAsiaTheme="minorEastAsia" w:hAnsi="Times New Roman"/>
          <w:bCs/>
          <w:sz w:val="28"/>
          <w:szCs w:val="28"/>
          <w:lang w:val="uk-UA" w:eastAsia="ja-JP"/>
        </w:rPr>
        <w:t xml:space="preserve"> Як можна бачити на графіку світові тенденції приблизно однаково відображаються на обох країнах. Особливо це помітно у період кризи 2008 року, де кількість прямих іноземних інвестицій до України склала 10 мільярдів а до Японії 24 мільярда. </w:t>
      </w:r>
      <w:r w:rsidR="00926139">
        <w:rPr>
          <w:rFonts w:ascii="Times New Roman" w:eastAsiaTheme="minorEastAsia" w:hAnsi="Times New Roman"/>
          <w:bCs/>
          <w:sz w:val="28"/>
          <w:szCs w:val="28"/>
          <w:lang w:val="uk-UA" w:eastAsia="ja-JP"/>
        </w:rPr>
        <w:t xml:space="preserve">У 2012-2015 роках обидві країни показують схожу динаміку, але з різних причин. Для України це початок подій на майдані, окупація Кримського півострова та бойові дії на Донбасі. Для Японії це політична та економічна невпевненість у новому прем’єр міністрові. Але все ж таки обидві країни показали динаміку зростання у останні роки. Остання деталь на яку треба зосередити увагу це обсяг інвестицій. У разі цього показника, абсолютні значення не так сильно відрізняються у цілому в Японію інвестують приблизно у 10 разів більше ніж в Україну. Але такий показник не є поганим, навіть </w:t>
      </w:r>
      <w:r w:rsidR="00926139">
        <w:rPr>
          <w:rFonts w:ascii="Times New Roman" w:eastAsiaTheme="minorEastAsia" w:hAnsi="Times New Roman"/>
          <w:bCs/>
          <w:sz w:val="28"/>
          <w:szCs w:val="28"/>
          <w:lang w:val="uk-UA" w:eastAsia="ja-JP"/>
        </w:rPr>
        <w:lastRenderedPageBreak/>
        <w:t xml:space="preserve">навпаки, якщо враховувати те що Японія це третя економіка світу, то Україна у порівнянні показує непогані результати.  </w:t>
      </w:r>
    </w:p>
    <w:p w14:paraId="77CBEF32" w14:textId="65A44B4C" w:rsidR="00140820" w:rsidRPr="000019C7" w:rsidRDefault="00140820" w:rsidP="00D56508">
      <w:pPr>
        <w:spacing w:after="160" w:line="259" w:lineRule="auto"/>
        <w:rPr>
          <w:rFonts w:ascii="Times New Roman" w:hAnsi="Times New Roman"/>
          <w:b/>
          <w:sz w:val="28"/>
          <w:szCs w:val="28"/>
          <w:lang w:val="uk-UA"/>
        </w:rPr>
      </w:pPr>
    </w:p>
    <w:p w14:paraId="6AE97F71" w14:textId="025F711E" w:rsidR="00140820" w:rsidRPr="00807D9E" w:rsidRDefault="00860781" w:rsidP="00D56508">
      <w:pPr>
        <w:spacing w:after="160" w:line="259" w:lineRule="auto"/>
        <w:rPr>
          <w:rFonts w:ascii="Times New Roman" w:hAnsi="Times New Roman"/>
          <w:b/>
          <w:sz w:val="28"/>
          <w:szCs w:val="28"/>
        </w:rPr>
      </w:pPr>
      <w:r>
        <w:rPr>
          <w:noProof/>
          <w:lang w:val="uk-UA" w:eastAsia="uk-UA"/>
        </w:rPr>
        <w:drawing>
          <wp:inline distT="0" distB="0" distL="0" distR="0" wp14:anchorId="22834CDD" wp14:editId="4B568862">
            <wp:extent cx="5029200" cy="2887980"/>
            <wp:effectExtent l="0" t="0" r="0" b="7620"/>
            <wp:docPr id="19" name="Chart 1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8E879B1-AC62-4080-859C-1472AD5932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25B62D4" w14:textId="5C322C42" w:rsidR="00926139" w:rsidRPr="00791471" w:rsidRDefault="00926139" w:rsidP="00926139">
      <w:pPr>
        <w:spacing w:after="160" w:line="360" w:lineRule="auto"/>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Рис 3.</w:t>
      </w:r>
      <w:r w:rsidR="00FD11F2">
        <w:rPr>
          <w:rFonts w:ascii="Times New Roman" w:eastAsiaTheme="minorEastAsia" w:hAnsi="Times New Roman"/>
          <w:bCs/>
          <w:sz w:val="28"/>
          <w:szCs w:val="28"/>
          <w:lang w:val="uk-UA" w:eastAsia="ja-JP"/>
        </w:rPr>
        <w:t>3</w:t>
      </w:r>
      <w:r>
        <w:rPr>
          <w:rFonts w:ascii="Times New Roman" w:eastAsiaTheme="minorEastAsia" w:hAnsi="Times New Roman"/>
          <w:bCs/>
          <w:sz w:val="28"/>
          <w:szCs w:val="28"/>
          <w:lang w:val="uk-UA" w:eastAsia="ja-JP"/>
        </w:rPr>
        <w:t xml:space="preserve"> </w:t>
      </w:r>
      <w:r w:rsidR="00FD11F2">
        <w:rPr>
          <w:rFonts w:ascii="Times New Roman" w:eastAsiaTheme="minorEastAsia" w:hAnsi="Times New Roman"/>
          <w:bCs/>
          <w:sz w:val="28"/>
          <w:szCs w:val="28"/>
          <w:lang w:val="uk-UA" w:eastAsia="ja-JP"/>
        </w:rPr>
        <w:t xml:space="preserve">Прямі іноземні інвестиції </w:t>
      </w:r>
      <w:r>
        <w:rPr>
          <w:rFonts w:ascii="Times New Roman" w:eastAsiaTheme="minorEastAsia" w:hAnsi="Times New Roman"/>
          <w:bCs/>
          <w:sz w:val="28"/>
          <w:szCs w:val="28"/>
          <w:lang w:val="uk-UA" w:eastAsia="ja-JP"/>
        </w:rPr>
        <w:t xml:space="preserve">України та Японії у </w:t>
      </w:r>
      <w:r w:rsidR="00807D9E">
        <w:rPr>
          <w:rFonts w:ascii="Times New Roman" w:eastAsiaTheme="minorEastAsia" w:hAnsi="Times New Roman"/>
          <w:bCs/>
          <w:sz w:val="28"/>
          <w:szCs w:val="28"/>
          <w:lang w:val="uk-UA" w:eastAsia="ja-JP"/>
        </w:rPr>
        <w:t xml:space="preserve">міл. </w:t>
      </w:r>
      <w:r>
        <w:rPr>
          <w:rFonts w:ascii="Times New Roman" w:eastAsiaTheme="minorEastAsia" w:hAnsi="Times New Roman"/>
          <w:bCs/>
          <w:sz w:val="28"/>
          <w:szCs w:val="28"/>
          <w:lang w:val="uk-UA" w:eastAsia="ja-JP"/>
        </w:rPr>
        <w:t>дол. США</w:t>
      </w:r>
    </w:p>
    <w:p w14:paraId="7BD5B5F1" w14:textId="4EE74F74" w:rsidR="00140820" w:rsidRDefault="00926139" w:rsidP="00926139">
      <w:pPr>
        <w:spacing w:after="160" w:line="360" w:lineRule="auto"/>
        <w:rPr>
          <w:rFonts w:ascii="Times New Roman" w:hAnsi="Times New Roman"/>
          <w:bCs/>
          <w:sz w:val="28"/>
          <w:szCs w:val="28"/>
          <w:lang w:val="uk-UA"/>
        </w:rPr>
      </w:pPr>
      <w:r>
        <w:rPr>
          <w:rFonts w:ascii="Times New Roman" w:eastAsiaTheme="minorEastAsia" w:hAnsi="Times New Roman"/>
          <w:bCs/>
          <w:sz w:val="28"/>
          <w:szCs w:val="28"/>
          <w:lang w:val="uk-UA" w:eastAsia="ja-JP"/>
        </w:rPr>
        <w:t xml:space="preserve">Складено автором на основі </w:t>
      </w:r>
      <w:r w:rsidRPr="00791471">
        <w:rPr>
          <w:rFonts w:ascii="Times New Roman" w:eastAsiaTheme="minorEastAsia" w:hAnsi="Times New Roman"/>
          <w:bCs/>
          <w:sz w:val="28"/>
          <w:szCs w:val="28"/>
          <w:lang w:eastAsia="ja-JP"/>
        </w:rPr>
        <w:t>[</w:t>
      </w:r>
      <w:r w:rsidR="00F206D6">
        <w:rPr>
          <w:rFonts w:ascii="Times New Roman" w:eastAsiaTheme="minorEastAsia" w:hAnsi="Times New Roman"/>
          <w:bCs/>
          <w:sz w:val="28"/>
          <w:szCs w:val="28"/>
          <w:lang w:eastAsia="ja-JP"/>
        </w:rPr>
        <w:t>14</w:t>
      </w:r>
      <w:r w:rsidRPr="00791471">
        <w:rPr>
          <w:rFonts w:ascii="Times New Roman" w:eastAsiaTheme="minorEastAsia" w:hAnsi="Times New Roman"/>
          <w:bCs/>
          <w:sz w:val="28"/>
          <w:szCs w:val="28"/>
          <w:lang w:eastAsia="ja-JP"/>
        </w:rPr>
        <w:t>].</w:t>
      </w:r>
    </w:p>
    <w:p w14:paraId="520D3E3F" w14:textId="47935D8B" w:rsidR="00CE01EE" w:rsidRPr="00926139" w:rsidRDefault="002F1A40" w:rsidP="0052458A">
      <w:pPr>
        <w:spacing w:after="160" w:line="360" w:lineRule="auto"/>
        <w:jc w:val="both"/>
        <w:rPr>
          <w:rFonts w:ascii="Times New Roman" w:hAnsi="Times New Roman"/>
          <w:bCs/>
          <w:sz w:val="28"/>
          <w:szCs w:val="28"/>
          <w:lang w:val="uk-UA"/>
        </w:rPr>
      </w:pPr>
      <w:r>
        <w:rPr>
          <w:rFonts w:ascii="Times New Roman" w:hAnsi="Times New Roman"/>
          <w:bCs/>
          <w:sz w:val="28"/>
          <w:szCs w:val="28"/>
          <w:lang w:val="uk-UA"/>
        </w:rPr>
        <w:tab/>
        <w:t>У України та Японії набагато більше схожих особливостей ніж може показатися перший погляд. Як було з’ясовано раніше Японія має декілька конгломератів які виступають у ролі найбільших гравців на ринці. Україна також має декілька схожих структур, але на відміну від кейрецу, Українські компанії намагаються залишатися у одній галузі. Обидві країни показують високий рівень розвитку банківського сектору, авжеж зі специфікою своєї країни та відповідно масштабам своєї країни. Проблеми з якими зустрілися обидві країни мають різні  передумови, але мета одна – «запустити» економіку.</w:t>
      </w:r>
      <w:r w:rsidR="00CE01EE">
        <w:rPr>
          <w:rFonts w:ascii="Times New Roman" w:hAnsi="Times New Roman"/>
          <w:bCs/>
          <w:sz w:val="28"/>
          <w:szCs w:val="28"/>
          <w:lang w:val="uk-UA"/>
        </w:rPr>
        <w:t xml:space="preserve"> У разі України, є набагато більше можливостей, країна ще не знаходиться на стадії сформованої системи, тому структурні зміни можуть бути зроблені у будь який момент, без серйозних наслідків. </w:t>
      </w:r>
    </w:p>
    <w:p w14:paraId="424D3D22" w14:textId="663F5E0B" w:rsidR="00767630" w:rsidRDefault="0052458A"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lastRenderedPageBreak/>
        <w:t>Згідно статті</w:t>
      </w:r>
      <w:r w:rsidR="00FD11F2" w:rsidRPr="00FD11F2">
        <w:rPr>
          <w:lang w:val="uk-UA"/>
        </w:rPr>
        <w:t xml:space="preserve"> </w:t>
      </w:r>
      <w:r w:rsidR="00FD11F2" w:rsidRPr="00FD11F2">
        <w:rPr>
          <w:rFonts w:ascii="Times New Roman" w:hAnsi="Times New Roman"/>
          <w:bCs/>
          <w:sz w:val="28"/>
          <w:szCs w:val="28"/>
          <w:lang w:val="uk-UA"/>
        </w:rPr>
        <w:t>Назаркін</w:t>
      </w:r>
      <w:r w:rsidR="00FD11F2">
        <w:rPr>
          <w:rFonts w:ascii="Times New Roman" w:hAnsi="Times New Roman"/>
          <w:bCs/>
          <w:sz w:val="28"/>
          <w:szCs w:val="28"/>
          <w:lang w:val="uk-UA"/>
        </w:rPr>
        <w:t>ої</w:t>
      </w:r>
      <w:r w:rsidR="00FD11F2" w:rsidRPr="00FD11F2">
        <w:rPr>
          <w:rFonts w:ascii="Times New Roman" w:hAnsi="Times New Roman"/>
          <w:bCs/>
          <w:sz w:val="28"/>
          <w:szCs w:val="28"/>
          <w:lang w:val="uk-UA"/>
        </w:rPr>
        <w:t xml:space="preserve"> Л.І</w:t>
      </w:r>
      <w:r>
        <w:rPr>
          <w:rFonts w:ascii="Times New Roman" w:hAnsi="Times New Roman"/>
          <w:bCs/>
          <w:sz w:val="28"/>
          <w:szCs w:val="28"/>
          <w:lang w:val="uk-UA"/>
        </w:rPr>
        <w:t xml:space="preserve"> </w:t>
      </w:r>
      <w:r w:rsidR="00FD11F2">
        <w:rPr>
          <w:rFonts w:ascii="Times New Roman" w:hAnsi="Times New Roman"/>
          <w:bCs/>
          <w:sz w:val="28"/>
          <w:szCs w:val="28"/>
          <w:lang w:val="uk-UA"/>
        </w:rPr>
        <w:t xml:space="preserve">та </w:t>
      </w:r>
      <w:r w:rsidR="00FD11F2" w:rsidRPr="00FD11F2">
        <w:rPr>
          <w:rFonts w:ascii="Times New Roman" w:hAnsi="Times New Roman"/>
          <w:bCs/>
          <w:sz w:val="28"/>
          <w:szCs w:val="28"/>
          <w:lang w:val="uk-UA"/>
        </w:rPr>
        <w:t>Вознюк Ю.О.</w:t>
      </w:r>
      <w:r w:rsidR="00AA4BB9">
        <w:rPr>
          <w:rFonts w:ascii="Times New Roman" w:hAnsi="Times New Roman"/>
          <w:bCs/>
          <w:sz w:val="28"/>
          <w:szCs w:val="28"/>
          <w:lang w:val="uk-UA"/>
        </w:rPr>
        <w:t xml:space="preserve"> (2014)</w:t>
      </w:r>
      <w:r w:rsidR="00FD11F2" w:rsidRPr="00FD11F2">
        <w:rPr>
          <w:rFonts w:ascii="Times New Roman" w:hAnsi="Times New Roman"/>
          <w:bCs/>
          <w:sz w:val="28"/>
          <w:szCs w:val="28"/>
          <w:lang w:val="uk-UA"/>
        </w:rPr>
        <w:t xml:space="preserve"> </w:t>
      </w:r>
      <w:r>
        <w:rPr>
          <w:rFonts w:ascii="Times New Roman" w:hAnsi="Times New Roman"/>
          <w:bCs/>
          <w:sz w:val="28"/>
          <w:szCs w:val="28"/>
          <w:lang w:val="uk-UA"/>
        </w:rPr>
        <w:t xml:space="preserve">міжнародні конгломерати в Україні мають контроль над такими представниками банківського сектору як: </w:t>
      </w:r>
      <w:r w:rsidRPr="0052458A">
        <w:rPr>
          <w:rFonts w:ascii="Times New Roman" w:hAnsi="Times New Roman"/>
          <w:bCs/>
          <w:sz w:val="28"/>
          <w:szCs w:val="28"/>
          <w:lang w:val="uk-UA"/>
        </w:rPr>
        <w:t>Райффайзен банк Аваль, Укрсиббанк, ІНГ банк Україна, Правекс банк, Каліон банк Україна,</w:t>
      </w:r>
      <w:r>
        <w:rPr>
          <w:rFonts w:ascii="Times New Roman" w:hAnsi="Times New Roman"/>
          <w:bCs/>
          <w:sz w:val="28"/>
          <w:szCs w:val="28"/>
          <w:lang w:val="uk-UA"/>
        </w:rPr>
        <w:t xml:space="preserve"> </w:t>
      </w:r>
      <w:r w:rsidRPr="0052458A">
        <w:rPr>
          <w:rFonts w:ascii="Times New Roman" w:hAnsi="Times New Roman"/>
          <w:bCs/>
          <w:sz w:val="28"/>
          <w:szCs w:val="28"/>
          <w:lang w:val="uk-UA"/>
        </w:rPr>
        <w:t>Сітібанк Україна,</w:t>
      </w:r>
      <w:r>
        <w:rPr>
          <w:rFonts w:ascii="Times New Roman" w:hAnsi="Times New Roman"/>
          <w:bCs/>
          <w:sz w:val="28"/>
          <w:szCs w:val="28"/>
          <w:lang w:val="uk-UA"/>
        </w:rPr>
        <w:t xml:space="preserve"> </w:t>
      </w:r>
      <w:r w:rsidRPr="0052458A">
        <w:rPr>
          <w:rFonts w:ascii="Times New Roman" w:hAnsi="Times New Roman"/>
          <w:bCs/>
          <w:sz w:val="28"/>
          <w:szCs w:val="28"/>
          <w:lang w:val="uk-UA"/>
        </w:rPr>
        <w:t>Індустріально-Експортний банк, CЕБ банк, Факторіал банк, Профінбанк,</w:t>
      </w:r>
      <w:r>
        <w:rPr>
          <w:rFonts w:ascii="Times New Roman" w:hAnsi="Times New Roman"/>
          <w:bCs/>
          <w:sz w:val="28"/>
          <w:szCs w:val="28"/>
          <w:lang w:val="uk-UA"/>
        </w:rPr>
        <w:t xml:space="preserve"> </w:t>
      </w:r>
      <w:r w:rsidRPr="0052458A">
        <w:rPr>
          <w:rFonts w:ascii="Times New Roman" w:hAnsi="Times New Roman"/>
          <w:bCs/>
          <w:sz w:val="28"/>
          <w:szCs w:val="28"/>
          <w:lang w:val="uk-UA"/>
        </w:rPr>
        <w:t>Ікар-банк</w:t>
      </w:r>
      <w:r>
        <w:rPr>
          <w:rFonts w:ascii="Times New Roman" w:hAnsi="Times New Roman"/>
          <w:bCs/>
          <w:sz w:val="28"/>
          <w:szCs w:val="28"/>
          <w:lang w:val="uk-UA"/>
        </w:rPr>
        <w:t xml:space="preserve">. Але таке явище відмічається автором статті не як негативний, а як </w:t>
      </w:r>
      <w:r w:rsidR="00767630">
        <w:rPr>
          <w:rFonts w:ascii="Times New Roman" w:hAnsi="Times New Roman"/>
          <w:bCs/>
          <w:sz w:val="28"/>
          <w:szCs w:val="28"/>
          <w:lang w:val="uk-UA"/>
        </w:rPr>
        <w:t xml:space="preserve">явище з позитивними та негативними </w:t>
      </w:r>
      <w:r w:rsidR="00FD11F2">
        <w:rPr>
          <w:rFonts w:ascii="Times New Roman" w:hAnsi="Times New Roman"/>
          <w:bCs/>
          <w:sz w:val="28"/>
          <w:szCs w:val="28"/>
          <w:lang w:val="uk-UA"/>
        </w:rPr>
        <w:t>аспектами</w:t>
      </w:r>
      <w:r w:rsidR="00767630">
        <w:rPr>
          <w:rFonts w:ascii="Times New Roman" w:hAnsi="Times New Roman"/>
          <w:bCs/>
          <w:sz w:val="28"/>
          <w:szCs w:val="28"/>
          <w:lang w:val="uk-UA"/>
        </w:rPr>
        <w:t xml:space="preserve">. </w:t>
      </w:r>
    </w:p>
    <w:p w14:paraId="428CF712" w14:textId="68720ED5" w:rsidR="00767630" w:rsidRPr="00767630" w:rsidRDefault="00767630" w:rsidP="00FD11F2">
      <w:pPr>
        <w:spacing w:after="160" w:line="360" w:lineRule="auto"/>
        <w:jc w:val="both"/>
        <w:rPr>
          <w:rFonts w:ascii="Times New Roman" w:hAnsi="Times New Roman"/>
          <w:bCs/>
          <w:sz w:val="28"/>
          <w:szCs w:val="28"/>
          <w:lang w:val="uk-UA"/>
        </w:rPr>
      </w:pPr>
      <w:r>
        <w:rPr>
          <w:rFonts w:ascii="Times New Roman" w:hAnsi="Times New Roman"/>
          <w:bCs/>
          <w:sz w:val="28"/>
          <w:szCs w:val="28"/>
          <w:lang w:val="uk-UA"/>
        </w:rPr>
        <w:t>Автор</w:t>
      </w:r>
      <w:r w:rsidR="00FD11F2">
        <w:rPr>
          <w:rFonts w:ascii="Times New Roman" w:hAnsi="Times New Roman"/>
          <w:bCs/>
          <w:sz w:val="28"/>
          <w:szCs w:val="28"/>
          <w:lang w:val="uk-UA"/>
        </w:rPr>
        <w:t>и</w:t>
      </w:r>
      <w:r>
        <w:rPr>
          <w:rFonts w:ascii="Times New Roman" w:hAnsi="Times New Roman"/>
          <w:bCs/>
          <w:sz w:val="28"/>
          <w:szCs w:val="28"/>
          <w:lang w:val="uk-UA"/>
        </w:rPr>
        <w:t xml:space="preserve"> </w:t>
      </w:r>
      <w:r w:rsidR="00183DFC">
        <w:rPr>
          <w:rFonts w:ascii="Times New Roman" w:hAnsi="Times New Roman"/>
          <w:bCs/>
          <w:sz w:val="28"/>
          <w:szCs w:val="28"/>
          <w:lang w:val="uk-UA"/>
        </w:rPr>
        <w:t xml:space="preserve">статті </w:t>
      </w:r>
      <w:r>
        <w:rPr>
          <w:rFonts w:ascii="Times New Roman" w:hAnsi="Times New Roman"/>
          <w:bCs/>
          <w:sz w:val="28"/>
          <w:szCs w:val="28"/>
          <w:lang w:val="uk-UA"/>
        </w:rPr>
        <w:t>виділя</w:t>
      </w:r>
      <w:r w:rsidR="00FD11F2">
        <w:rPr>
          <w:rFonts w:ascii="Times New Roman" w:hAnsi="Times New Roman"/>
          <w:bCs/>
          <w:sz w:val="28"/>
          <w:szCs w:val="28"/>
          <w:lang w:val="uk-UA"/>
        </w:rPr>
        <w:t>ють</w:t>
      </w:r>
      <w:r>
        <w:rPr>
          <w:rFonts w:ascii="Times New Roman" w:hAnsi="Times New Roman"/>
          <w:bCs/>
          <w:sz w:val="28"/>
          <w:szCs w:val="28"/>
          <w:lang w:val="uk-UA"/>
        </w:rPr>
        <w:t xml:space="preserve"> такі позитивні сторони діяльності конгломератів</w:t>
      </w:r>
      <w:r w:rsidRPr="00767630">
        <w:rPr>
          <w:rFonts w:ascii="Times New Roman" w:hAnsi="Times New Roman"/>
          <w:bCs/>
          <w:sz w:val="28"/>
          <w:szCs w:val="28"/>
          <w:lang w:val="uk-UA"/>
        </w:rPr>
        <w:t>:</w:t>
      </w:r>
    </w:p>
    <w:p w14:paraId="34EF419C" w14:textId="213A6A8C" w:rsidR="00767630" w:rsidRPr="00767630" w:rsidRDefault="00767630"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Pr="00767630">
        <w:rPr>
          <w:rFonts w:ascii="Times New Roman" w:hAnsi="Times New Roman"/>
          <w:bCs/>
          <w:sz w:val="28"/>
          <w:szCs w:val="28"/>
          <w:lang w:val="uk-UA"/>
        </w:rPr>
        <w:t xml:space="preserve"> сприяння залученню іноземних інвестицій;</w:t>
      </w:r>
    </w:p>
    <w:p w14:paraId="59B4CFDE" w14:textId="48370C24" w:rsidR="00767630" w:rsidRPr="00767630" w:rsidRDefault="00767630"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Pr="00767630">
        <w:rPr>
          <w:rFonts w:ascii="Times New Roman" w:hAnsi="Times New Roman"/>
          <w:bCs/>
          <w:sz w:val="28"/>
          <w:szCs w:val="28"/>
          <w:lang w:val="uk-UA"/>
        </w:rPr>
        <w:t xml:space="preserve"> запровадження сучасних технологій;</w:t>
      </w:r>
    </w:p>
    <w:p w14:paraId="08975B75" w14:textId="12D78C9D" w:rsidR="00767630" w:rsidRPr="00767630" w:rsidRDefault="00183DFC"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00767630" w:rsidRPr="00767630">
        <w:rPr>
          <w:rFonts w:ascii="Times New Roman" w:hAnsi="Times New Roman"/>
          <w:bCs/>
          <w:sz w:val="28"/>
          <w:szCs w:val="28"/>
          <w:lang w:val="uk-UA"/>
        </w:rPr>
        <w:t xml:space="preserve"> складання консолідованої фінансової звітності;</w:t>
      </w:r>
    </w:p>
    <w:p w14:paraId="319C48E2" w14:textId="38A3FB17" w:rsidR="00767630" w:rsidRPr="00767630" w:rsidRDefault="00183DFC"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00767630" w:rsidRPr="00767630">
        <w:rPr>
          <w:rFonts w:ascii="Times New Roman" w:hAnsi="Times New Roman"/>
          <w:bCs/>
          <w:sz w:val="28"/>
          <w:szCs w:val="28"/>
          <w:lang w:val="uk-UA"/>
        </w:rPr>
        <w:t xml:space="preserve"> розширення бази соціально – економічного розвитку.</w:t>
      </w:r>
    </w:p>
    <w:p w14:paraId="53A4D47A" w14:textId="5975D1C7" w:rsidR="00767630" w:rsidRPr="00767630" w:rsidRDefault="00767630"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Автор</w:t>
      </w:r>
      <w:r w:rsidR="00183DFC">
        <w:rPr>
          <w:rFonts w:ascii="Times New Roman" w:hAnsi="Times New Roman"/>
          <w:bCs/>
          <w:sz w:val="28"/>
          <w:szCs w:val="28"/>
          <w:lang w:val="uk-UA"/>
        </w:rPr>
        <w:t xml:space="preserve"> статті</w:t>
      </w:r>
      <w:r>
        <w:rPr>
          <w:rFonts w:ascii="Times New Roman" w:hAnsi="Times New Roman"/>
          <w:bCs/>
          <w:sz w:val="28"/>
          <w:szCs w:val="28"/>
          <w:lang w:val="uk-UA"/>
        </w:rPr>
        <w:t xml:space="preserve"> виділя</w:t>
      </w:r>
      <w:r w:rsidR="00FD11F2">
        <w:rPr>
          <w:rFonts w:ascii="Times New Roman" w:hAnsi="Times New Roman"/>
          <w:bCs/>
          <w:sz w:val="28"/>
          <w:szCs w:val="28"/>
          <w:lang w:val="uk-UA"/>
        </w:rPr>
        <w:t>ють</w:t>
      </w:r>
      <w:r>
        <w:rPr>
          <w:rFonts w:ascii="Times New Roman" w:hAnsi="Times New Roman"/>
          <w:bCs/>
          <w:sz w:val="28"/>
          <w:szCs w:val="28"/>
          <w:lang w:val="uk-UA"/>
        </w:rPr>
        <w:t xml:space="preserve"> такі негативні сторони діяльності конгломератів</w:t>
      </w:r>
      <w:r w:rsidRPr="00767630">
        <w:rPr>
          <w:rFonts w:ascii="Times New Roman" w:hAnsi="Times New Roman"/>
          <w:bCs/>
          <w:sz w:val="28"/>
          <w:szCs w:val="28"/>
          <w:lang w:val="uk-UA"/>
        </w:rPr>
        <w:t>:</w:t>
      </w:r>
    </w:p>
    <w:p w14:paraId="75782602" w14:textId="2C8575C9" w:rsidR="00767630" w:rsidRPr="00767630" w:rsidRDefault="00767630"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Pr="00767630">
        <w:rPr>
          <w:rFonts w:ascii="Times New Roman" w:hAnsi="Times New Roman"/>
          <w:bCs/>
          <w:sz w:val="28"/>
          <w:szCs w:val="28"/>
          <w:lang w:val="uk-UA"/>
        </w:rPr>
        <w:t xml:space="preserve"> неконтрольований відплив капіталу;</w:t>
      </w:r>
    </w:p>
    <w:p w14:paraId="1D5704D4" w14:textId="1F9EB74C" w:rsidR="00767630" w:rsidRPr="00767630" w:rsidRDefault="00767630" w:rsidP="00FD11F2">
      <w:pPr>
        <w:spacing w:after="160" w:line="360" w:lineRule="auto"/>
        <w:ind w:firstLine="720"/>
        <w:jc w:val="both"/>
        <w:rPr>
          <w:rFonts w:ascii="Times New Roman" w:hAnsi="Times New Roman"/>
          <w:bCs/>
          <w:sz w:val="28"/>
          <w:szCs w:val="28"/>
          <w:lang w:val="uk-UA"/>
        </w:rPr>
      </w:pPr>
      <w:r>
        <w:rPr>
          <w:rFonts w:ascii="Times New Roman" w:hAnsi="Times New Roman"/>
          <w:bCs/>
          <w:sz w:val="28"/>
          <w:szCs w:val="28"/>
          <w:lang w:val="uk-UA"/>
        </w:rPr>
        <w:t>-</w:t>
      </w:r>
      <w:r w:rsidRPr="00767630">
        <w:rPr>
          <w:rFonts w:ascii="Times New Roman" w:hAnsi="Times New Roman"/>
          <w:bCs/>
          <w:sz w:val="28"/>
          <w:szCs w:val="28"/>
          <w:lang w:val="uk-UA"/>
        </w:rPr>
        <w:t xml:space="preserve"> виникнення додаткових ризиків;</w:t>
      </w:r>
    </w:p>
    <w:p w14:paraId="4F93A846" w14:textId="41B331CE" w:rsidR="00140820" w:rsidRPr="00C65105" w:rsidRDefault="00767630" w:rsidP="00FD11F2">
      <w:pPr>
        <w:spacing w:after="160" w:line="360" w:lineRule="auto"/>
        <w:ind w:firstLine="720"/>
        <w:jc w:val="both"/>
        <w:rPr>
          <w:rFonts w:ascii="Times New Roman" w:hAnsi="Times New Roman"/>
          <w:bCs/>
          <w:sz w:val="28"/>
          <w:szCs w:val="28"/>
        </w:rPr>
      </w:pPr>
      <w:r>
        <w:rPr>
          <w:rFonts w:ascii="Times New Roman" w:hAnsi="Times New Roman"/>
          <w:bCs/>
          <w:sz w:val="28"/>
          <w:szCs w:val="28"/>
          <w:lang w:val="uk-UA"/>
        </w:rPr>
        <w:t>-</w:t>
      </w:r>
      <w:r w:rsidRPr="00767630">
        <w:rPr>
          <w:rFonts w:ascii="Times New Roman" w:hAnsi="Times New Roman"/>
          <w:bCs/>
          <w:sz w:val="28"/>
          <w:szCs w:val="28"/>
          <w:lang w:val="uk-UA"/>
        </w:rPr>
        <w:t xml:space="preserve"> негативний вплив на фінансову глобалізацію.</w:t>
      </w:r>
      <w:r w:rsidR="00FD4B94" w:rsidRPr="00FD4B94">
        <w:rPr>
          <w:rFonts w:ascii="Times New Roman" w:hAnsi="Times New Roman"/>
          <w:bCs/>
          <w:sz w:val="28"/>
          <w:szCs w:val="28"/>
        </w:rPr>
        <w:t xml:space="preserve"> </w:t>
      </w:r>
      <w:r w:rsidR="00FD4B94" w:rsidRPr="00C65105">
        <w:rPr>
          <w:rFonts w:ascii="Times New Roman" w:hAnsi="Times New Roman"/>
          <w:bCs/>
          <w:sz w:val="28"/>
          <w:szCs w:val="28"/>
        </w:rPr>
        <w:t>[2</w:t>
      </w:r>
      <w:r w:rsidR="009E3064">
        <w:rPr>
          <w:rFonts w:ascii="Times New Roman" w:hAnsi="Times New Roman"/>
          <w:bCs/>
          <w:sz w:val="28"/>
          <w:szCs w:val="28"/>
        </w:rPr>
        <w:t>8</w:t>
      </w:r>
      <w:r w:rsidR="00FD4B94" w:rsidRPr="00C65105">
        <w:rPr>
          <w:rFonts w:ascii="Times New Roman" w:hAnsi="Times New Roman"/>
          <w:bCs/>
          <w:sz w:val="28"/>
          <w:szCs w:val="28"/>
        </w:rPr>
        <w:t>]</w:t>
      </w:r>
    </w:p>
    <w:p w14:paraId="4289282C" w14:textId="3281C722" w:rsidR="00140820" w:rsidRPr="00936006" w:rsidRDefault="00FD11F2" w:rsidP="00936006">
      <w:pPr>
        <w:spacing w:after="160" w:line="360" w:lineRule="auto"/>
        <w:jc w:val="both"/>
        <w:rPr>
          <w:rFonts w:ascii="Times New Roman" w:hAnsi="Times New Roman"/>
          <w:bCs/>
          <w:sz w:val="28"/>
          <w:szCs w:val="28"/>
          <w:lang w:val="uk-UA"/>
        </w:rPr>
      </w:pPr>
      <w:r>
        <w:rPr>
          <w:rFonts w:ascii="Times New Roman" w:hAnsi="Times New Roman"/>
          <w:bCs/>
          <w:sz w:val="28"/>
          <w:szCs w:val="28"/>
          <w:lang w:val="uk-UA"/>
        </w:rPr>
        <w:t>Якщо брати до уваги дані по біржі, то можна прийти до висновку що саме ці конгломерати придбають більшу кількість облігацій внутрішнього займу, які і є найбільш популярним фінансовим активом для придбання в Україні.</w:t>
      </w:r>
      <w:r w:rsidR="00C65105">
        <w:rPr>
          <w:rFonts w:ascii="Times New Roman" w:hAnsi="Times New Roman"/>
          <w:bCs/>
          <w:sz w:val="28"/>
          <w:szCs w:val="28"/>
          <w:lang w:val="uk-UA"/>
        </w:rPr>
        <w:t xml:space="preserve"> Це робить ці конгломерати одними з найбільших суб’єктів на фондовому ринку України.</w:t>
      </w:r>
      <w:r>
        <w:rPr>
          <w:rFonts w:ascii="Times New Roman" w:hAnsi="Times New Roman"/>
          <w:bCs/>
          <w:sz w:val="28"/>
          <w:szCs w:val="28"/>
          <w:lang w:val="uk-UA"/>
        </w:rPr>
        <w:t xml:space="preserve"> </w:t>
      </w:r>
      <w:r w:rsidR="00183DFC">
        <w:rPr>
          <w:rFonts w:ascii="Times New Roman" w:hAnsi="Times New Roman"/>
          <w:bCs/>
          <w:sz w:val="28"/>
          <w:szCs w:val="28"/>
          <w:lang w:val="uk-UA"/>
        </w:rPr>
        <w:t xml:space="preserve">Ця стаття </w:t>
      </w:r>
      <w:r>
        <w:rPr>
          <w:rFonts w:ascii="Times New Roman" w:hAnsi="Times New Roman"/>
          <w:bCs/>
          <w:sz w:val="28"/>
          <w:szCs w:val="28"/>
          <w:lang w:val="uk-UA"/>
        </w:rPr>
        <w:t xml:space="preserve">також </w:t>
      </w:r>
      <w:r w:rsidR="00183DFC">
        <w:rPr>
          <w:rFonts w:ascii="Times New Roman" w:hAnsi="Times New Roman"/>
          <w:bCs/>
          <w:sz w:val="28"/>
          <w:szCs w:val="28"/>
          <w:lang w:val="uk-UA"/>
        </w:rPr>
        <w:t xml:space="preserve">підводить ближче до висновку – Україна та Японія мають набагато більше спільних особливостей ніж може показатися на перший погляд. </w:t>
      </w:r>
      <w:r w:rsidR="00936006">
        <w:rPr>
          <w:rFonts w:ascii="Times New Roman" w:hAnsi="Times New Roman"/>
          <w:bCs/>
          <w:sz w:val="28"/>
          <w:szCs w:val="28"/>
          <w:lang w:val="uk-UA"/>
        </w:rPr>
        <w:t xml:space="preserve">Не можна казати що </w:t>
      </w:r>
      <w:r w:rsidR="00F1372D">
        <w:rPr>
          <w:rFonts w:ascii="Times New Roman" w:hAnsi="Times New Roman"/>
          <w:bCs/>
          <w:sz w:val="28"/>
          <w:szCs w:val="28"/>
          <w:lang w:val="uk-UA"/>
        </w:rPr>
        <w:t>суб’єкти</w:t>
      </w:r>
      <w:r w:rsidR="00936006">
        <w:rPr>
          <w:rFonts w:ascii="Times New Roman" w:hAnsi="Times New Roman"/>
          <w:bCs/>
          <w:sz w:val="28"/>
          <w:szCs w:val="28"/>
          <w:lang w:val="uk-UA"/>
        </w:rPr>
        <w:t xml:space="preserve"> країн однакові, кейрецу Японії це дуже складні </w:t>
      </w:r>
      <w:r w:rsidR="00936006">
        <w:rPr>
          <w:rFonts w:ascii="Times New Roman" w:hAnsi="Times New Roman"/>
          <w:bCs/>
          <w:sz w:val="28"/>
          <w:szCs w:val="28"/>
          <w:lang w:val="uk-UA"/>
        </w:rPr>
        <w:lastRenderedPageBreak/>
        <w:t>структури які функціонують вже декілька століть. Але загальн</w:t>
      </w:r>
      <w:r w:rsidR="003C3BF5">
        <w:rPr>
          <w:rFonts w:ascii="Times New Roman" w:hAnsi="Times New Roman"/>
          <w:bCs/>
          <w:sz w:val="28"/>
          <w:szCs w:val="28"/>
          <w:lang w:val="uk-UA"/>
        </w:rPr>
        <w:t xml:space="preserve">а ідея </w:t>
      </w:r>
      <w:r>
        <w:rPr>
          <w:rFonts w:ascii="Times New Roman" w:hAnsi="Times New Roman"/>
          <w:bCs/>
          <w:sz w:val="28"/>
          <w:szCs w:val="28"/>
          <w:lang w:val="uk-UA"/>
        </w:rPr>
        <w:t>досить схож</w:t>
      </w:r>
      <w:r w:rsidR="003C3BF5">
        <w:rPr>
          <w:rFonts w:ascii="Times New Roman" w:hAnsi="Times New Roman"/>
          <w:bCs/>
          <w:sz w:val="28"/>
          <w:szCs w:val="28"/>
          <w:lang w:val="uk-UA"/>
        </w:rPr>
        <w:t>а</w:t>
      </w:r>
      <w:r>
        <w:rPr>
          <w:rFonts w:ascii="Times New Roman" w:hAnsi="Times New Roman"/>
          <w:bCs/>
          <w:sz w:val="28"/>
          <w:szCs w:val="28"/>
          <w:lang w:val="uk-UA"/>
        </w:rPr>
        <w:t xml:space="preserve">. </w:t>
      </w:r>
    </w:p>
    <w:p w14:paraId="7EA0B8CD" w14:textId="18D3A6A9" w:rsidR="00183DFC" w:rsidRPr="0066343A" w:rsidRDefault="00505A1C" w:rsidP="00936006">
      <w:pPr>
        <w:spacing w:after="160" w:line="360" w:lineRule="auto"/>
        <w:ind w:firstLine="720"/>
        <w:jc w:val="both"/>
        <w:rPr>
          <w:rFonts w:ascii="Times New Roman" w:hAnsi="Times New Roman"/>
          <w:bCs/>
          <w:sz w:val="28"/>
          <w:szCs w:val="28"/>
        </w:rPr>
      </w:pPr>
      <w:r>
        <w:rPr>
          <w:rFonts w:ascii="Times New Roman" w:hAnsi="Times New Roman"/>
          <w:bCs/>
          <w:sz w:val="28"/>
          <w:szCs w:val="28"/>
          <w:lang w:val="uk-UA"/>
        </w:rPr>
        <w:t>П</w:t>
      </w:r>
      <w:r w:rsidR="00183DFC">
        <w:rPr>
          <w:rFonts w:ascii="Times New Roman" w:hAnsi="Times New Roman"/>
          <w:bCs/>
          <w:sz w:val="28"/>
          <w:szCs w:val="28"/>
          <w:lang w:val="uk-UA"/>
        </w:rPr>
        <w:t xml:space="preserve">ідводячи підсумки, можна сказати, що Україна може брати приклад з фондового ринку Японії та використовувати її модель для будування свого ринку. </w:t>
      </w:r>
      <w:r w:rsidR="00936006">
        <w:rPr>
          <w:rFonts w:ascii="Times New Roman" w:hAnsi="Times New Roman"/>
          <w:bCs/>
          <w:sz w:val="28"/>
          <w:szCs w:val="28"/>
          <w:lang w:val="uk-UA"/>
        </w:rPr>
        <w:t>Суб’єкти ринку досить схожі</w:t>
      </w:r>
      <w:r w:rsidR="009B16D0">
        <w:rPr>
          <w:rFonts w:ascii="Times New Roman" w:hAnsi="Times New Roman"/>
          <w:bCs/>
          <w:sz w:val="28"/>
          <w:szCs w:val="28"/>
          <w:lang w:val="uk-UA"/>
        </w:rPr>
        <w:t xml:space="preserve"> як і</w:t>
      </w:r>
      <w:r w:rsidR="00936006">
        <w:rPr>
          <w:rFonts w:ascii="Times New Roman" w:hAnsi="Times New Roman"/>
          <w:bCs/>
          <w:sz w:val="28"/>
          <w:szCs w:val="28"/>
          <w:lang w:val="uk-UA"/>
        </w:rPr>
        <w:t xml:space="preserve"> проблеми з якими зіткнулися обидві країни. Авжеж до всього цього країни прийшли по різному, але теперішні ситуації схожі. Україна хоче розвивати свою економіку та вийти на більший рівень розвитку, Японія же хоче повернути свій минулий рівень росту. Україна може використовувати схожу стратегію яку використовувала сама Японія ще у часи індустріалізації, брати найкраще у найкращих. І деякий період часу, саме Японія була у числі найкращих. </w:t>
      </w:r>
    </w:p>
    <w:p w14:paraId="2ED00795" w14:textId="7DBF9D64" w:rsidR="00140820" w:rsidRDefault="00140820" w:rsidP="00D56508">
      <w:pPr>
        <w:spacing w:after="160" w:line="259" w:lineRule="auto"/>
        <w:rPr>
          <w:rFonts w:ascii="Times New Roman" w:hAnsi="Times New Roman"/>
          <w:b/>
          <w:sz w:val="28"/>
          <w:szCs w:val="28"/>
          <w:lang w:val="uk-UA"/>
        </w:rPr>
      </w:pPr>
    </w:p>
    <w:p w14:paraId="3B06035C" w14:textId="70BBA7FA" w:rsidR="00140820" w:rsidRPr="00863D57" w:rsidRDefault="00140820" w:rsidP="00D56508">
      <w:pPr>
        <w:spacing w:after="160" w:line="259" w:lineRule="auto"/>
        <w:rPr>
          <w:rFonts w:ascii="Times New Roman" w:hAnsi="Times New Roman"/>
          <w:b/>
          <w:sz w:val="28"/>
          <w:szCs w:val="28"/>
          <w:lang w:val="uk-UA"/>
        </w:rPr>
      </w:pPr>
    </w:p>
    <w:p w14:paraId="6A280D91" w14:textId="1D9D554F" w:rsidR="00140820" w:rsidRDefault="00140820" w:rsidP="00D56508">
      <w:pPr>
        <w:spacing w:after="160" w:line="259" w:lineRule="auto"/>
        <w:rPr>
          <w:rFonts w:ascii="Times New Roman" w:hAnsi="Times New Roman"/>
          <w:b/>
          <w:sz w:val="28"/>
          <w:szCs w:val="28"/>
          <w:lang w:val="uk-UA"/>
        </w:rPr>
      </w:pPr>
    </w:p>
    <w:p w14:paraId="37DE852D" w14:textId="6EA7E224" w:rsidR="00140820" w:rsidRDefault="00140820" w:rsidP="00D56508">
      <w:pPr>
        <w:spacing w:after="160" w:line="259" w:lineRule="auto"/>
        <w:rPr>
          <w:rFonts w:ascii="Times New Roman" w:hAnsi="Times New Roman"/>
          <w:b/>
          <w:sz w:val="28"/>
          <w:szCs w:val="28"/>
          <w:lang w:val="uk-UA"/>
        </w:rPr>
      </w:pPr>
    </w:p>
    <w:p w14:paraId="399B7444" w14:textId="1BC831D7" w:rsidR="00140820" w:rsidRDefault="00140820" w:rsidP="00D56508">
      <w:pPr>
        <w:spacing w:after="160" w:line="259" w:lineRule="auto"/>
        <w:rPr>
          <w:rFonts w:ascii="Times New Roman" w:hAnsi="Times New Roman"/>
          <w:b/>
          <w:sz w:val="28"/>
          <w:szCs w:val="28"/>
          <w:lang w:val="uk-UA"/>
        </w:rPr>
      </w:pPr>
    </w:p>
    <w:p w14:paraId="6A2CD67A" w14:textId="552CEA33" w:rsidR="00140820" w:rsidRDefault="00140820" w:rsidP="00D56508">
      <w:pPr>
        <w:spacing w:after="160" w:line="259" w:lineRule="auto"/>
        <w:rPr>
          <w:rFonts w:ascii="Times New Roman" w:hAnsi="Times New Roman"/>
          <w:b/>
          <w:sz w:val="28"/>
          <w:szCs w:val="28"/>
          <w:lang w:val="uk-UA"/>
        </w:rPr>
      </w:pPr>
    </w:p>
    <w:p w14:paraId="3721853D" w14:textId="1C013F6B" w:rsidR="00140820" w:rsidRDefault="00140820" w:rsidP="00D56508">
      <w:pPr>
        <w:spacing w:after="160" w:line="259" w:lineRule="auto"/>
        <w:rPr>
          <w:rFonts w:ascii="Times New Roman" w:hAnsi="Times New Roman"/>
          <w:b/>
          <w:sz w:val="28"/>
          <w:szCs w:val="28"/>
          <w:lang w:val="uk-UA"/>
        </w:rPr>
      </w:pPr>
    </w:p>
    <w:p w14:paraId="76EA9F92" w14:textId="21F88A9E" w:rsidR="00140820" w:rsidRDefault="00140820" w:rsidP="00D56508">
      <w:pPr>
        <w:spacing w:after="160" w:line="259" w:lineRule="auto"/>
        <w:rPr>
          <w:rFonts w:ascii="Times New Roman" w:hAnsi="Times New Roman"/>
          <w:b/>
          <w:sz w:val="28"/>
          <w:szCs w:val="28"/>
          <w:lang w:val="uk-UA"/>
        </w:rPr>
      </w:pPr>
    </w:p>
    <w:p w14:paraId="56EA9C80" w14:textId="0182B0D2" w:rsidR="00140820" w:rsidRDefault="00140820" w:rsidP="00D56508">
      <w:pPr>
        <w:spacing w:after="160" w:line="259" w:lineRule="auto"/>
        <w:rPr>
          <w:rFonts w:ascii="Times New Roman" w:hAnsi="Times New Roman"/>
          <w:b/>
          <w:sz w:val="28"/>
          <w:szCs w:val="28"/>
          <w:lang w:val="uk-UA"/>
        </w:rPr>
      </w:pPr>
    </w:p>
    <w:p w14:paraId="0DC6255C" w14:textId="0593EF54" w:rsidR="00140820" w:rsidRDefault="00140820" w:rsidP="00D56508">
      <w:pPr>
        <w:spacing w:after="160" w:line="259" w:lineRule="auto"/>
        <w:rPr>
          <w:rFonts w:ascii="Times New Roman" w:hAnsi="Times New Roman"/>
          <w:b/>
          <w:sz w:val="28"/>
          <w:szCs w:val="28"/>
          <w:lang w:val="uk-UA"/>
        </w:rPr>
      </w:pPr>
    </w:p>
    <w:p w14:paraId="17510B46" w14:textId="1B2A3C89" w:rsidR="00140820" w:rsidRDefault="00140820" w:rsidP="00D56508">
      <w:pPr>
        <w:spacing w:after="160" w:line="259" w:lineRule="auto"/>
        <w:rPr>
          <w:rFonts w:ascii="Times New Roman" w:hAnsi="Times New Roman"/>
          <w:b/>
          <w:sz w:val="28"/>
          <w:szCs w:val="28"/>
          <w:lang w:val="uk-UA"/>
        </w:rPr>
      </w:pPr>
    </w:p>
    <w:p w14:paraId="3E610329" w14:textId="2AC3249C" w:rsidR="00140820" w:rsidRDefault="00140820" w:rsidP="00D56508">
      <w:pPr>
        <w:spacing w:after="160" w:line="259" w:lineRule="auto"/>
        <w:rPr>
          <w:rFonts w:ascii="Times New Roman" w:hAnsi="Times New Roman"/>
          <w:b/>
          <w:sz w:val="28"/>
          <w:szCs w:val="28"/>
          <w:lang w:val="uk-UA"/>
        </w:rPr>
      </w:pPr>
    </w:p>
    <w:p w14:paraId="1B603543" w14:textId="54E814D8" w:rsidR="00140820" w:rsidRDefault="00140820" w:rsidP="00D56508">
      <w:pPr>
        <w:spacing w:after="160" w:line="259" w:lineRule="auto"/>
        <w:rPr>
          <w:rFonts w:ascii="Times New Roman" w:hAnsi="Times New Roman"/>
          <w:b/>
          <w:sz w:val="28"/>
          <w:szCs w:val="28"/>
          <w:lang w:val="uk-UA"/>
        </w:rPr>
      </w:pPr>
    </w:p>
    <w:p w14:paraId="66748393" w14:textId="0200D211" w:rsidR="00140820" w:rsidRDefault="00140820" w:rsidP="00D56508">
      <w:pPr>
        <w:spacing w:after="160" w:line="259" w:lineRule="auto"/>
        <w:rPr>
          <w:rFonts w:ascii="Times New Roman" w:hAnsi="Times New Roman"/>
          <w:b/>
          <w:sz w:val="28"/>
          <w:szCs w:val="28"/>
          <w:lang w:val="uk-UA"/>
        </w:rPr>
      </w:pPr>
    </w:p>
    <w:p w14:paraId="74877C50" w14:textId="0CB8F45E" w:rsidR="00505A1C" w:rsidRDefault="00505A1C" w:rsidP="00D56508">
      <w:pPr>
        <w:spacing w:after="160" w:line="259" w:lineRule="auto"/>
        <w:rPr>
          <w:rFonts w:ascii="Times New Roman" w:hAnsi="Times New Roman"/>
          <w:b/>
          <w:sz w:val="28"/>
          <w:szCs w:val="28"/>
          <w:lang w:val="uk-UA"/>
        </w:rPr>
      </w:pPr>
    </w:p>
    <w:p w14:paraId="2E836289" w14:textId="77777777" w:rsidR="00505A1C" w:rsidRDefault="00505A1C" w:rsidP="00D56508">
      <w:pPr>
        <w:spacing w:after="160" w:line="259" w:lineRule="auto"/>
        <w:rPr>
          <w:rFonts w:ascii="Times New Roman" w:hAnsi="Times New Roman"/>
          <w:b/>
          <w:sz w:val="28"/>
          <w:szCs w:val="28"/>
          <w:lang w:val="uk-UA"/>
        </w:rPr>
      </w:pPr>
    </w:p>
    <w:p w14:paraId="29D9AC93" w14:textId="390E8E82" w:rsidR="00140820" w:rsidRDefault="00140820" w:rsidP="00D56508">
      <w:pPr>
        <w:spacing w:after="160" w:line="259" w:lineRule="auto"/>
        <w:rPr>
          <w:rFonts w:ascii="Times New Roman" w:hAnsi="Times New Roman"/>
          <w:b/>
          <w:sz w:val="28"/>
          <w:szCs w:val="28"/>
          <w:lang w:val="uk-UA"/>
        </w:rPr>
      </w:pPr>
    </w:p>
    <w:p w14:paraId="20CC20E8" w14:textId="77777777" w:rsidR="00863D57" w:rsidRPr="004B6514" w:rsidRDefault="00863D57" w:rsidP="00863D57">
      <w:pPr>
        <w:spacing w:after="160" w:line="480" w:lineRule="auto"/>
        <w:ind w:left="142" w:right="332"/>
        <w:jc w:val="center"/>
        <w:rPr>
          <w:rFonts w:ascii="Times New Roman" w:hAnsi="Times New Roman"/>
          <w:b/>
          <w:bCs/>
          <w:sz w:val="28"/>
          <w:szCs w:val="28"/>
          <w:lang w:val="uk-UA"/>
        </w:rPr>
      </w:pPr>
      <w:r>
        <w:rPr>
          <w:rFonts w:ascii="Times New Roman" w:hAnsi="Times New Roman"/>
          <w:b/>
          <w:sz w:val="28"/>
          <w:szCs w:val="28"/>
          <w:lang w:val="uk-UA"/>
        </w:rPr>
        <w:br w:type="page"/>
      </w:r>
      <w:r w:rsidRPr="004B6514">
        <w:rPr>
          <w:rFonts w:ascii="Times New Roman" w:hAnsi="Times New Roman"/>
          <w:b/>
          <w:bCs/>
          <w:sz w:val="28"/>
          <w:szCs w:val="28"/>
          <w:lang w:val="uk-UA"/>
        </w:rPr>
        <w:lastRenderedPageBreak/>
        <w:t>ВИСНОВКИ</w:t>
      </w:r>
    </w:p>
    <w:p w14:paraId="470309B6" w14:textId="1B67A683" w:rsidR="000E6FC9" w:rsidRDefault="00863D57" w:rsidP="008D03FB">
      <w:pPr>
        <w:spacing w:after="160" w:line="360" w:lineRule="auto"/>
        <w:ind w:firstLine="720"/>
        <w:jc w:val="both"/>
        <w:rPr>
          <w:rFonts w:ascii="Times New Roman" w:hAnsi="Times New Roman"/>
          <w:sz w:val="28"/>
          <w:szCs w:val="28"/>
          <w:lang w:val="uk-UA"/>
        </w:rPr>
      </w:pPr>
      <w:r w:rsidRPr="004B6514">
        <w:rPr>
          <w:rFonts w:ascii="Times New Roman" w:hAnsi="Times New Roman"/>
          <w:sz w:val="28"/>
          <w:szCs w:val="28"/>
          <w:lang w:val="uk-UA"/>
        </w:rPr>
        <w:t>П</w:t>
      </w:r>
      <w:r w:rsidR="009D4F4A">
        <w:rPr>
          <w:rFonts w:ascii="Times New Roman" w:eastAsiaTheme="minorEastAsia" w:hAnsi="Times New Roman"/>
          <w:sz w:val="28"/>
          <w:szCs w:val="28"/>
          <w:lang w:val="uk-UA" w:eastAsia="ja-JP"/>
        </w:rPr>
        <w:t>ідбиваючи</w:t>
      </w:r>
      <w:r w:rsidRPr="004B6514">
        <w:rPr>
          <w:rFonts w:ascii="Times New Roman" w:hAnsi="Times New Roman"/>
          <w:sz w:val="28"/>
          <w:szCs w:val="28"/>
          <w:lang w:val="uk-UA"/>
        </w:rPr>
        <w:t xml:space="preserve"> </w:t>
      </w:r>
      <w:r>
        <w:rPr>
          <w:rFonts w:ascii="Times New Roman" w:hAnsi="Times New Roman"/>
          <w:sz w:val="28"/>
          <w:szCs w:val="28"/>
          <w:lang w:val="uk-UA"/>
        </w:rPr>
        <w:t xml:space="preserve">підсумки </w:t>
      </w:r>
      <w:r w:rsidRPr="004B6514">
        <w:rPr>
          <w:rFonts w:ascii="Times New Roman" w:hAnsi="Times New Roman"/>
          <w:sz w:val="28"/>
          <w:szCs w:val="28"/>
          <w:lang w:val="uk-UA"/>
        </w:rPr>
        <w:t xml:space="preserve">до виконаної роботи можна </w:t>
      </w:r>
      <w:r w:rsidR="009D4F4A">
        <w:rPr>
          <w:rFonts w:ascii="Times New Roman" w:hAnsi="Times New Roman"/>
          <w:sz w:val="28"/>
          <w:szCs w:val="28"/>
          <w:lang w:val="uk-UA"/>
        </w:rPr>
        <w:t xml:space="preserve">дійти </w:t>
      </w:r>
      <w:r w:rsidRPr="004B6514">
        <w:rPr>
          <w:rFonts w:ascii="Times New Roman" w:hAnsi="Times New Roman"/>
          <w:sz w:val="28"/>
          <w:szCs w:val="28"/>
          <w:lang w:val="uk-UA"/>
        </w:rPr>
        <w:t xml:space="preserve">до серії висновків. Кожен з трьох розділів допомагає освітити свої аспекти </w:t>
      </w:r>
      <w:r w:rsidR="000E6FC9">
        <w:rPr>
          <w:rFonts w:ascii="Times New Roman" w:hAnsi="Times New Roman"/>
          <w:sz w:val="28"/>
          <w:szCs w:val="28"/>
          <w:lang w:val="uk-UA"/>
        </w:rPr>
        <w:t>щодо особливостей фондового ринку Японії</w:t>
      </w:r>
      <w:r w:rsidRPr="004B6514">
        <w:rPr>
          <w:rFonts w:ascii="Times New Roman" w:hAnsi="Times New Roman"/>
          <w:sz w:val="28"/>
          <w:szCs w:val="28"/>
          <w:lang w:val="uk-UA"/>
        </w:rPr>
        <w:t xml:space="preserve">. </w:t>
      </w:r>
    </w:p>
    <w:p w14:paraId="0320B695" w14:textId="6EB8EA57" w:rsidR="00475554" w:rsidRDefault="00863D57" w:rsidP="00E36D91">
      <w:pPr>
        <w:spacing w:after="160" w:line="360" w:lineRule="auto"/>
        <w:ind w:firstLine="720"/>
        <w:jc w:val="both"/>
        <w:rPr>
          <w:rFonts w:ascii="Times New Roman" w:eastAsiaTheme="minorEastAsia" w:hAnsi="Times New Roman"/>
          <w:bCs/>
          <w:sz w:val="28"/>
          <w:szCs w:val="28"/>
          <w:lang w:val="uk-UA" w:eastAsia="ja-JP"/>
        </w:rPr>
      </w:pPr>
      <w:r w:rsidRPr="004B6514">
        <w:rPr>
          <w:rFonts w:ascii="Times New Roman" w:hAnsi="Times New Roman"/>
          <w:sz w:val="28"/>
          <w:szCs w:val="28"/>
          <w:lang w:val="uk-UA"/>
        </w:rPr>
        <w:t>Аналізуючи статті в першому розділі можна зробити висновок що в даний момент</w:t>
      </w:r>
      <w:r w:rsidR="005B7AA8">
        <w:rPr>
          <w:rFonts w:ascii="Times New Roman" w:hAnsi="Times New Roman"/>
          <w:sz w:val="28"/>
          <w:szCs w:val="28"/>
          <w:lang w:val="uk-UA"/>
        </w:rPr>
        <w:t xml:space="preserve"> як Японський фондовий ринок так і уся економіка у цілому переживає не найкращі часи. Сьогодні в системі існують проблеми, а саме проблема стагнації економіки у цілому. Криза дев’яностих років сильно вплинула на сучасний стан Японського фінансового ринку. Ця криза у багатьох аспектах визначає подальший план розвитку, чи у разі Японії повернення до минулого успіху. Відомі приклади нової політики Японії це </w:t>
      </w:r>
      <w:r w:rsidR="005B7AA8" w:rsidRPr="00880718">
        <w:rPr>
          <w:rFonts w:ascii="Times New Roman" w:hAnsi="Times New Roman"/>
          <w:bCs/>
          <w:sz w:val="28"/>
          <w:szCs w:val="28"/>
          <w:lang w:val="uk-UA"/>
        </w:rPr>
        <w:t>використовування політики кількісного пом</w:t>
      </w:r>
      <w:r w:rsidR="005B7AA8" w:rsidRPr="00880718">
        <w:rPr>
          <w:rFonts w:ascii="Times New Roman" w:eastAsiaTheme="minorEastAsia" w:hAnsi="Times New Roman"/>
          <w:bCs/>
          <w:sz w:val="28"/>
          <w:szCs w:val="28"/>
          <w:lang w:val="uk-UA" w:eastAsia="ja-JP"/>
        </w:rPr>
        <w:t>’якшення</w:t>
      </w:r>
      <w:r w:rsidR="005B7AA8">
        <w:rPr>
          <w:rFonts w:ascii="Times New Roman" w:eastAsiaTheme="minorEastAsia" w:hAnsi="Times New Roman"/>
          <w:bCs/>
          <w:sz w:val="28"/>
          <w:szCs w:val="28"/>
          <w:lang w:val="uk-UA" w:eastAsia="ja-JP"/>
        </w:rPr>
        <w:t xml:space="preserve"> та Абеноміка. Абеноміка це </w:t>
      </w:r>
      <w:r w:rsidR="008D03FB">
        <w:rPr>
          <w:rFonts w:ascii="Times New Roman" w:eastAsiaTheme="minorEastAsia" w:hAnsi="Times New Roman"/>
          <w:bCs/>
          <w:sz w:val="28"/>
          <w:szCs w:val="28"/>
          <w:lang w:val="uk-UA" w:eastAsia="ja-JP"/>
        </w:rPr>
        <w:t xml:space="preserve">програма колишнього прем’єр міністра Японії щодо відновлення економіки Японії саме завдяки впровадженню нестандартної монетарної та фіскальної політики. Як зазначають автори статей, ця політика дала свій ефект, але він був досить далеко від того чого очікували при її впровадженні. Також проводиться впровадження практики </w:t>
      </w:r>
      <w:r w:rsidR="008D03FB">
        <w:rPr>
          <w:rFonts w:ascii="Times New Roman" w:eastAsiaTheme="minorEastAsia" w:hAnsi="Times New Roman"/>
          <w:bCs/>
          <w:sz w:val="28"/>
          <w:szCs w:val="28"/>
          <w:lang w:val="en-US" w:eastAsia="ja-JP"/>
        </w:rPr>
        <w:t>ESG</w:t>
      </w:r>
      <w:r w:rsidR="008D03FB">
        <w:rPr>
          <w:rFonts w:ascii="Times New Roman" w:eastAsiaTheme="minorEastAsia" w:hAnsi="Times New Roman"/>
          <w:bCs/>
          <w:sz w:val="28"/>
          <w:szCs w:val="28"/>
          <w:lang w:val="uk-UA" w:eastAsia="ja-JP"/>
        </w:rPr>
        <w:t xml:space="preserve"> як засіб сприяння зміни у корпоративній структурі, яка вже досить довго не змінювалася. Результати всіх цих дій помітні і зараз, але тільки час покаже наскільки результативними виявилися всі ці заходи. </w:t>
      </w:r>
    </w:p>
    <w:p w14:paraId="20ADBACE" w14:textId="14365E7C" w:rsidR="008D03FB" w:rsidRDefault="008D03FB" w:rsidP="008D03FB">
      <w:pPr>
        <w:spacing w:after="160" w:line="360" w:lineRule="auto"/>
        <w:ind w:firstLine="720"/>
        <w:jc w:val="both"/>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 xml:space="preserve">У другому розділі роботи було представлено основні макроекономічні показники, було проведено аналіз на кореляційну залежність цих показників від </w:t>
      </w:r>
      <w:r w:rsidR="00BC0172">
        <w:rPr>
          <w:rFonts w:ascii="Times New Roman" w:eastAsiaTheme="minorEastAsia" w:hAnsi="Times New Roman"/>
          <w:bCs/>
          <w:sz w:val="28"/>
          <w:szCs w:val="28"/>
          <w:lang w:val="uk-UA" w:eastAsia="ja-JP"/>
        </w:rPr>
        <w:t xml:space="preserve">індексу </w:t>
      </w:r>
      <w:r w:rsidR="00BC0172">
        <w:rPr>
          <w:rFonts w:ascii="Times New Roman" w:eastAsiaTheme="minorEastAsia" w:hAnsi="Times New Roman"/>
          <w:bCs/>
          <w:sz w:val="28"/>
          <w:szCs w:val="28"/>
          <w:lang w:val="en-US" w:eastAsia="ja-JP"/>
        </w:rPr>
        <w:t>Nikkei</w:t>
      </w:r>
      <w:r w:rsidR="00BC0172" w:rsidRPr="00BC0172">
        <w:rPr>
          <w:rFonts w:ascii="Times New Roman" w:eastAsiaTheme="minorEastAsia" w:hAnsi="Times New Roman"/>
          <w:bCs/>
          <w:sz w:val="28"/>
          <w:szCs w:val="28"/>
          <w:lang w:eastAsia="ja-JP"/>
        </w:rPr>
        <w:t xml:space="preserve"> 225</w:t>
      </w:r>
      <w:r w:rsidR="00BC0172">
        <w:rPr>
          <w:rFonts w:ascii="Times New Roman" w:eastAsiaTheme="minorEastAsia" w:hAnsi="Times New Roman"/>
          <w:bCs/>
          <w:sz w:val="28"/>
          <w:szCs w:val="28"/>
          <w:lang w:val="uk-UA" w:eastAsia="ja-JP"/>
        </w:rPr>
        <w:t>. З показників які мали дуже великий рівень кореляції було виділено ВВП, відсоткова ставка, інфляція, прямі іноземні інвестиції</w:t>
      </w:r>
      <w:r w:rsidR="00BC0172" w:rsidRPr="00BC0172">
        <w:rPr>
          <w:rFonts w:ascii="Times New Roman" w:eastAsiaTheme="minorEastAsia" w:hAnsi="Times New Roman"/>
          <w:bCs/>
          <w:sz w:val="28"/>
          <w:szCs w:val="28"/>
          <w:lang w:val="uk-UA" w:eastAsia="ja-JP"/>
        </w:rPr>
        <w:t>.</w:t>
      </w:r>
      <w:r w:rsidR="009C68C8">
        <w:rPr>
          <w:rFonts w:ascii="Times New Roman" w:eastAsiaTheme="minorEastAsia" w:hAnsi="Times New Roman"/>
          <w:bCs/>
          <w:sz w:val="28"/>
          <w:szCs w:val="28"/>
          <w:lang w:val="uk-UA" w:eastAsia="ja-JP"/>
        </w:rPr>
        <w:t xml:space="preserve"> Далі було проведено регресійний аналіз факторів впливу на </w:t>
      </w:r>
      <w:r w:rsidR="009C68C8">
        <w:rPr>
          <w:rFonts w:ascii="Times New Roman" w:eastAsiaTheme="minorEastAsia" w:hAnsi="Times New Roman"/>
          <w:bCs/>
          <w:sz w:val="28"/>
          <w:szCs w:val="28"/>
          <w:lang w:val="en-US" w:eastAsia="ja-JP"/>
        </w:rPr>
        <w:t>Nikkei</w:t>
      </w:r>
      <w:r w:rsidR="009C68C8" w:rsidRPr="009C68C8">
        <w:rPr>
          <w:rFonts w:ascii="Times New Roman" w:eastAsiaTheme="minorEastAsia" w:hAnsi="Times New Roman"/>
          <w:bCs/>
          <w:sz w:val="28"/>
          <w:szCs w:val="28"/>
          <w:lang w:eastAsia="ja-JP"/>
        </w:rPr>
        <w:t xml:space="preserve"> 225</w:t>
      </w:r>
      <w:r w:rsidR="009C68C8">
        <w:rPr>
          <w:rFonts w:ascii="Times New Roman" w:eastAsiaTheme="minorEastAsia" w:hAnsi="Times New Roman"/>
          <w:bCs/>
          <w:sz w:val="28"/>
          <w:szCs w:val="28"/>
          <w:lang w:val="uk-UA" w:eastAsia="ja-JP"/>
        </w:rPr>
        <w:t xml:space="preserve">. Було побудовано дві моделі, результати моделей показали що тільки три показники мають суттєвий вплив на фондовий індекс. Три показника які мали суттєвий вплив – </w:t>
      </w:r>
      <w:r w:rsidR="009C68C8">
        <w:rPr>
          <w:rFonts w:ascii="Times New Roman" w:eastAsiaTheme="minorEastAsia" w:hAnsi="Times New Roman"/>
          <w:bCs/>
          <w:sz w:val="28"/>
          <w:szCs w:val="28"/>
          <w:lang w:val="uk-UA" w:eastAsia="ja-JP"/>
        </w:rPr>
        <w:lastRenderedPageBreak/>
        <w:t xml:space="preserve">відсоткова ставка, борг до ВВП, та прямі іноземні інвестиції. Такий результат є логічним, але не показує повної картини. Тому для більш </w:t>
      </w:r>
      <w:r w:rsidR="00475554">
        <w:rPr>
          <w:rFonts w:ascii="Times New Roman" w:eastAsiaTheme="minorEastAsia" w:hAnsi="Times New Roman"/>
          <w:bCs/>
          <w:sz w:val="28"/>
          <w:szCs w:val="28"/>
          <w:lang w:val="uk-UA" w:eastAsia="ja-JP"/>
        </w:rPr>
        <w:t xml:space="preserve">детального вивчення було проведено спеціального аналізу. Аналіз впливу інформації на ціноутворення </w:t>
      </w:r>
      <w:r w:rsidR="00475554">
        <w:rPr>
          <w:rFonts w:ascii="Times New Roman" w:eastAsiaTheme="minorEastAsia" w:hAnsi="Times New Roman"/>
          <w:bCs/>
          <w:sz w:val="28"/>
          <w:szCs w:val="28"/>
          <w:lang w:val="en-US" w:eastAsia="ja-JP"/>
        </w:rPr>
        <w:t>Nikkei</w:t>
      </w:r>
      <w:r w:rsidR="00475554" w:rsidRPr="009D4F4A">
        <w:rPr>
          <w:rFonts w:ascii="Times New Roman" w:eastAsiaTheme="minorEastAsia" w:hAnsi="Times New Roman"/>
          <w:bCs/>
          <w:sz w:val="28"/>
          <w:szCs w:val="28"/>
          <w:lang w:val="uk-UA" w:eastAsia="ja-JP"/>
        </w:rPr>
        <w:t xml:space="preserve"> 225</w:t>
      </w:r>
      <w:r w:rsidR="00475554">
        <w:rPr>
          <w:rFonts w:ascii="Times New Roman" w:eastAsiaTheme="minorEastAsia" w:hAnsi="Times New Roman"/>
          <w:bCs/>
          <w:sz w:val="28"/>
          <w:szCs w:val="28"/>
          <w:lang w:val="uk-UA" w:eastAsia="ja-JP"/>
        </w:rPr>
        <w:t xml:space="preserve">. Для проведення аналізу було побудовано графік індексу </w:t>
      </w:r>
      <w:r w:rsidR="00475554">
        <w:rPr>
          <w:rFonts w:ascii="Times New Roman" w:eastAsiaTheme="minorEastAsia" w:hAnsi="Times New Roman"/>
          <w:bCs/>
          <w:sz w:val="28"/>
          <w:szCs w:val="28"/>
          <w:lang w:val="en-US" w:eastAsia="ja-JP"/>
        </w:rPr>
        <w:t>Nikkei</w:t>
      </w:r>
      <w:r w:rsidR="00475554" w:rsidRPr="009D4F4A">
        <w:rPr>
          <w:rFonts w:ascii="Times New Roman" w:eastAsiaTheme="minorEastAsia" w:hAnsi="Times New Roman"/>
          <w:bCs/>
          <w:sz w:val="28"/>
          <w:szCs w:val="28"/>
          <w:lang w:val="uk-UA" w:eastAsia="ja-JP"/>
        </w:rPr>
        <w:t xml:space="preserve"> 225</w:t>
      </w:r>
      <w:r w:rsidR="00475554">
        <w:rPr>
          <w:rFonts w:ascii="Times New Roman" w:eastAsiaTheme="minorEastAsia" w:hAnsi="Times New Roman"/>
          <w:bCs/>
          <w:sz w:val="28"/>
          <w:szCs w:val="28"/>
          <w:lang w:val="uk-UA" w:eastAsia="ja-JP"/>
        </w:rPr>
        <w:t xml:space="preserve"> за 2020 рік. Цей рік було обрано як найбільш насичений значними подіями рік. 2020 рік це початок пандемії </w:t>
      </w:r>
      <w:r w:rsidR="00475554">
        <w:rPr>
          <w:rFonts w:ascii="Times New Roman" w:eastAsiaTheme="minorEastAsia" w:hAnsi="Times New Roman"/>
          <w:bCs/>
          <w:sz w:val="28"/>
          <w:szCs w:val="28"/>
          <w:lang w:val="en-US" w:eastAsia="ja-JP"/>
        </w:rPr>
        <w:t>COVID</w:t>
      </w:r>
      <w:r w:rsidR="00475554" w:rsidRPr="00475554">
        <w:rPr>
          <w:rFonts w:ascii="Times New Roman" w:eastAsiaTheme="minorEastAsia" w:hAnsi="Times New Roman"/>
          <w:bCs/>
          <w:sz w:val="28"/>
          <w:szCs w:val="28"/>
          <w:lang w:val="uk-UA" w:eastAsia="ja-JP"/>
        </w:rPr>
        <w:t>-19,</w:t>
      </w:r>
      <w:r w:rsidR="00475554">
        <w:rPr>
          <w:rFonts w:ascii="Times New Roman" w:eastAsiaTheme="minorEastAsia" w:hAnsi="Times New Roman"/>
          <w:bCs/>
          <w:sz w:val="28"/>
          <w:szCs w:val="28"/>
          <w:lang w:val="uk-UA" w:eastAsia="ja-JP"/>
        </w:rPr>
        <w:t xml:space="preserve"> закриття кордонів багатьох країн, значне падіння туристичного сектору, та вибори новий лідерів на головні пости у США та Японії. Аналіз показав, що інформація має величезний вплив на ціноутворення фондового індексу. У разі якщо інвестори почуваються оптимістично завдяки будь якої інформації, ціна індексу починає зростати. Та навпаки, у разі появлення негативної інформації, інвестори намагаються позбавитися активів які, як вони вважають, досягли самого високого значення. Такий аналіз дозволяє розширити розуміння механізму функціонування фондового ринку.</w:t>
      </w:r>
      <w:r w:rsidR="000E6FC9">
        <w:rPr>
          <w:rFonts w:ascii="Times New Roman" w:eastAsiaTheme="minorEastAsia" w:hAnsi="Times New Roman"/>
          <w:bCs/>
          <w:sz w:val="28"/>
          <w:szCs w:val="28"/>
          <w:lang w:val="uk-UA" w:eastAsia="ja-JP"/>
        </w:rPr>
        <w:t xml:space="preserve"> Розглядаючи різні фактори впливу навіть такі як інформація, можна будувати більш детальну стратегію розвитку фондового ринку державою. Це також може допомогти суб’єктам ринку обрати оптимальну стратегію та покращити свою діяльність на ринку. </w:t>
      </w:r>
    </w:p>
    <w:p w14:paraId="2AD7DAD3" w14:textId="2251402A" w:rsidR="000E6FC9" w:rsidRDefault="000E6FC9" w:rsidP="00E36D91">
      <w:pPr>
        <w:tabs>
          <w:tab w:val="left" w:pos="5193"/>
        </w:tabs>
        <w:spacing w:after="160" w:line="360" w:lineRule="auto"/>
        <w:ind w:firstLine="720"/>
        <w:jc w:val="both"/>
        <w:rPr>
          <w:rFonts w:ascii="Times New Roman" w:hAnsi="Times New Roman"/>
          <w:bCs/>
          <w:sz w:val="28"/>
          <w:szCs w:val="28"/>
          <w:lang w:val="uk-UA"/>
        </w:rPr>
      </w:pPr>
      <w:r>
        <w:rPr>
          <w:rFonts w:ascii="Times New Roman" w:eastAsiaTheme="minorEastAsia" w:hAnsi="Times New Roman"/>
          <w:bCs/>
          <w:sz w:val="28"/>
          <w:szCs w:val="28"/>
          <w:lang w:val="uk-UA" w:eastAsia="ja-JP"/>
        </w:rPr>
        <w:t xml:space="preserve">У третьому розділі </w:t>
      </w:r>
      <w:r>
        <w:rPr>
          <w:rFonts w:ascii="Times New Roman" w:hAnsi="Times New Roman"/>
          <w:bCs/>
          <w:sz w:val="28"/>
          <w:szCs w:val="28"/>
          <w:lang w:val="uk-UA"/>
        </w:rPr>
        <w:t>було представлено та проаналізовано особливості фондових ринків України та Японії. Ці особливості було також зіставлено для визначення чи дійсно Україна може слідувати прикладу Японії щодо розвитку фондового ринку.</w:t>
      </w:r>
      <w:r w:rsidR="009B16D0">
        <w:rPr>
          <w:rFonts w:ascii="Times New Roman" w:hAnsi="Times New Roman"/>
          <w:bCs/>
          <w:sz w:val="28"/>
          <w:szCs w:val="28"/>
          <w:lang w:val="uk-UA"/>
        </w:rPr>
        <w:t xml:space="preserve"> </w:t>
      </w:r>
      <w:r w:rsidR="00E36D91">
        <w:rPr>
          <w:rFonts w:ascii="Times New Roman" w:hAnsi="Times New Roman"/>
          <w:bCs/>
          <w:sz w:val="28"/>
          <w:szCs w:val="28"/>
          <w:lang w:val="uk-UA"/>
        </w:rPr>
        <w:t>Особливості</w:t>
      </w:r>
      <w:r w:rsidR="009B16D0">
        <w:rPr>
          <w:rFonts w:ascii="Times New Roman" w:hAnsi="Times New Roman"/>
          <w:bCs/>
          <w:sz w:val="28"/>
          <w:szCs w:val="28"/>
          <w:lang w:val="uk-UA"/>
        </w:rPr>
        <w:t xml:space="preserve"> </w:t>
      </w:r>
      <w:r w:rsidR="00E36D91">
        <w:rPr>
          <w:rFonts w:ascii="Times New Roman" w:hAnsi="Times New Roman"/>
          <w:bCs/>
          <w:sz w:val="28"/>
          <w:szCs w:val="28"/>
          <w:lang w:val="uk-UA"/>
        </w:rPr>
        <w:t xml:space="preserve">фондового ринку </w:t>
      </w:r>
      <w:r w:rsidR="009B16D0">
        <w:rPr>
          <w:rFonts w:ascii="Times New Roman" w:hAnsi="Times New Roman"/>
          <w:bCs/>
          <w:sz w:val="28"/>
          <w:szCs w:val="28"/>
          <w:lang w:val="uk-UA"/>
        </w:rPr>
        <w:t xml:space="preserve">Японії це </w:t>
      </w:r>
      <w:r w:rsidR="00E36D91">
        <w:rPr>
          <w:rFonts w:ascii="Times New Roman" w:hAnsi="Times New Roman"/>
          <w:bCs/>
          <w:sz w:val="28"/>
          <w:szCs w:val="28"/>
          <w:lang w:val="uk-UA"/>
        </w:rPr>
        <w:t>суб’єкти</w:t>
      </w:r>
      <w:r w:rsidR="009B16D0">
        <w:rPr>
          <w:rFonts w:ascii="Times New Roman" w:hAnsi="Times New Roman"/>
          <w:bCs/>
          <w:sz w:val="28"/>
          <w:szCs w:val="28"/>
          <w:lang w:val="uk-UA"/>
        </w:rPr>
        <w:t xml:space="preserve"> ринку та унікальна ситуація у якій опинився як фондовий ринок так і вся країна. Саме навколо цих особливостей, країна і намагається будувати фондовий ринок. Особливостями Українського фондового ринку також є </w:t>
      </w:r>
      <w:r w:rsidR="00D52A06">
        <w:rPr>
          <w:rFonts w:ascii="Times New Roman" w:hAnsi="Times New Roman"/>
          <w:bCs/>
          <w:sz w:val="28"/>
          <w:szCs w:val="28"/>
          <w:lang w:val="uk-UA"/>
        </w:rPr>
        <w:t>суб’єкти</w:t>
      </w:r>
      <w:r w:rsidR="009B16D0">
        <w:rPr>
          <w:rFonts w:ascii="Times New Roman" w:hAnsi="Times New Roman"/>
          <w:bCs/>
          <w:sz w:val="28"/>
          <w:szCs w:val="28"/>
          <w:lang w:val="uk-UA"/>
        </w:rPr>
        <w:t xml:space="preserve">, але на відміну від Японський конгломератів, структура Українських великих компаній не така комплексна. </w:t>
      </w:r>
      <w:r w:rsidR="00D52A06">
        <w:rPr>
          <w:rFonts w:ascii="Times New Roman" w:hAnsi="Times New Roman"/>
          <w:bCs/>
          <w:sz w:val="28"/>
          <w:szCs w:val="28"/>
          <w:lang w:val="uk-UA"/>
        </w:rPr>
        <w:t xml:space="preserve">Головна проблема фондового ринку України на даний момент це падіння обсягу торгівлі саме акціями. Проблеми  також є у високому рівні </w:t>
      </w:r>
      <w:r w:rsidR="00D52A06">
        <w:rPr>
          <w:rFonts w:ascii="Times New Roman" w:hAnsi="Times New Roman"/>
          <w:bCs/>
          <w:sz w:val="28"/>
          <w:szCs w:val="28"/>
          <w:lang w:val="uk-UA"/>
        </w:rPr>
        <w:lastRenderedPageBreak/>
        <w:t xml:space="preserve">бюрократії та у відсутності бажання заохочувати звичайних громадян до інвестування у фінансові активи. </w:t>
      </w:r>
      <w:r w:rsidR="009B16D0">
        <w:rPr>
          <w:rFonts w:ascii="Times New Roman" w:hAnsi="Times New Roman"/>
          <w:bCs/>
          <w:sz w:val="28"/>
          <w:szCs w:val="28"/>
          <w:lang w:val="uk-UA"/>
        </w:rPr>
        <w:t>Країни показують досить схожі особливості. Суб’єкти ринку досить схожі як і проблеми з якими зіткнулися обидві країни. Авжеж до всього цього країни прийшли по різному, але теперішні ситуації схожі. Україна хоче розвивати свою економіку та вийти на більший рівень розвитку, Японія же хоче повернути свій минулий рівень росту. Україна може використовувати схожу стратегію яку використовувала сама Японія ще у часи індустріалізації, брати найкраще у найкращих.</w:t>
      </w:r>
    </w:p>
    <w:p w14:paraId="04D3830F" w14:textId="35F28A20" w:rsidR="000E6FC9" w:rsidRPr="00475554" w:rsidRDefault="000E6FC9" w:rsidP="008D03FB">
      <w:pPr>
        <w:spacing w:after="160" w:line="360" w:lineRule="auto"/>
        <w:ind w:firstLine="720"/>
        <w:jc w:val="both"/>
        <w:rPr>
          <w:rFonts w:ascii="Times New Roman" w:eastAsiaTheme="minorEastAsia" w:hAnsi="Times New Roman"/>
          <w:bCs/>
          <w:sz w:val="28"/>
          <w:szCs w:val="28"/>
          <w:lang w:val="uk-UA" w:eastAsia="ja-JP"/>
        </w:rPr>
      </w:pPr>
    </w:p>
    <w:p w14:paraId="5C1D8A62" w14:textId="7452B075" w:rsidR="00863D57" w:rsidRDefault="00863D57" w:rsidP="005B7AA8">
      <w:pPr>
        <w:spacing w:after="160" w:line="360" w:lineRule="auto"/>
        <w:rPr>
          <w:rFonts w:ascii="Times New Roman" w:hAnsi="Times New Roman"/>
          <w:sz w:val="28"/>
          <w:szCs w:val="28"/>
          <w:lang w:val="uk-UA"/>
        </w:rPr>
      </w:pPr>
    </w:p>
    <w:p w14:paraId="47E7C061" w14:textId="6E5766D3" w:rsidR="00863D57" w:rsidRPr="00863D57" w:rsidRDefault="00863D57" w:rsidP="00D56508">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3B56D36C" w14:textId="7D86713D" w:rsidR="00D6766E" w:rsidRPr="0033186A" w:rsidRDefault="00D6766E" w:rsidP="0033186A">
      <w:pPr>
        <w:spacing w:after="0" w:line="360" w:lineRule="auto"/>
        <w:jc w:val="center"/>
        <w:rPr>
          <w:rFonts w:ascii="Times New Roman" w:hAnsi="Times New Roman"/>
          <w:color w:val="000000" w:themeColor="text1"/>
          <w:sz w:val="28"/>
          <w:szCs w:val="28"/>
          <w:lang w:val="uk-UA"/>
        </w:rPr>
      </w:pPr>
      <w:r w:rsidRPr="0033186A">
        <w:rPr>
          <w:rFonts w:ascii="Times New Roman" w:hAnsi="Times New Roman"/>
          <w:b/>
          <w:bCs/>
          <w:color w:val="000000" w:themeColor="text1"/>
          <w:sz w:val="28"/>
          <w:szCs w:val="28"/>
          <w:lang w:val="uk-UA"/>
        </w:rPr>
        <w:lastRenderedPageBreak/>
        <w:t>СПИСОК ВИКОРИСТАНИХ ДЖЕРЕЛ</w:t>
      </w:r>
    </w:p>
    <w:p w14:paraId="0CF9ACB4" w14:textId="77777777" w:rsidR="00D6766E" w:rsidRPr="0033186A" w:rsidRDefault="00D6766E" w:rsidP="0033186A">
      <w:pPr>
        <w:spacing w:after="0" w:line="360" w:lineRule="auto"/>
        <w:jc w:val="both"/>
        <w:rPr>
          <w:rFonts w:ascii="Times New Roman" w:hAnsi="Times New Roman"/>
          <w:color w:val="000000" w:themeColor="text1"/>
          <w:sz w:val="28"/>
          <w:szCs w:val="28"/>
          <w:lang w:val="uk-UA"/>
        </w:rPr>
      </w:pPr>
    </w:p>
    <w:p w14:paraId="37AA35B6" w14:textId="3615A576" w:rsidR="00D6766E" w:rsidRPr="0033186A" w:rsidRDefault="00D6766E" w:rsidP="0033186A">
      <w:pPr>
        <w:spacing w:after="0" w:line="360" w:lineRule="auto"/>
        <w:jc w:val="both"/>
        <w:rPr>
          <w:rFonts w:ascii="Times New Roman" w:hAnsi="Times New Roman"/>
          <w:color w:val="000000" w:themeColor="text1"/>
          <w:sz w:val="28"/>
          <w:szCs w:val="28"/>
          <w:lang w:val="uk-UA"/>
        </w:rPr>
      </w:pPr>
      <w:r w:rsidRPr="0033186A">
        <w:rPr>
          <w:rFonts w:ascii="Times New Roman" w:hAnsi="Times New Roman"/>
          <w:color w:val="000000" w:themeColor="text1"/>
          <w:sz w:val="28"/>
          <w:szCs w:val="28"/>
          <w:lang w:val="uk-UA"/>
        </w:rPr>
        <w:t xml:space="preserve">1. Статистична інформації щодо частки фондових ринків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r w:rsidRPr="0033186A">
        <w:rPr>
          <w:rStyle w:val="a5"/>
          <w:rFonts w:ascii="Times New Roman" w:eastAsiaTheme="majorEastAsia" w:hAnsi="Times New Roman"/>
          <w:color w:val="000000" w:themeColor="text1"/>
          <w:sz w:val="28"/>
          <w:szCs w:val="28"/>
          <w:lang w:val="uk-UA"/>
        </w:rPr>
        <w:t>https://www.statista.com/statistics/710680/global-stock-markets-by-country/</w:t>
      </w:r>
    </w:p>
    <w:p w14:paraId="17DB6AD9" w14:textId="77777777" w:rsidR="00D6766E" w:rsidRPr="0033186A" w:rsidRDefault="00D6766E" w:rsidP="0033186A">
      <w:pPr>
        <w:spacing w:after="0" w:line="360" w:lineRule="auto"/>
        <w:jc w:val="both"/>
        <w:rPr>
          <w:rStyle w:val="a5"/>
          <w:rFonts w:ascii="Times New Roman" w:eastAsiaTheme="majorEastAsia" w:hAnsi="Times New Roman"/>
          <w:color w:val="000000" w:themeColor="text1"/>
          <w:sz w:val="28"/>
          <w:szCs w:val="28"/>
          <w:lang w:val="uk-UA"/>
        </w:rPr>
      </w:pPr>
      <w:r w:rsidRPr="0033186A">
        <w:rPr>
          <w:rFonts w:ascii="Times New Roman" w:hAnsi="Times New Roman"/>
          <w:color w:val="000000" w:themeColor="text1"/>
          <w:sz w:val="28"/>
          <w:szCs w:val="28"/>
          <w:lang w:val="uk-UA"/>
        </w:rPr>
        <w:t xml:space="preserve">2. Japanese Financial system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https://www.britannica.com/place/Japan/Finance</w:t>
      </w:r>
    </w:p>
    <w:p w14:paraId="579ED79B" w14:textId="77777777" w:rsidR="00D6766E" w:rsidRPr="0033186A" w:rsidRDefault="00D6766E" w:rsidP="0033186A">
      <w:pPr>
        <w:spacing w:after="0" w:line="360" w:lineRule="auto"/>
        <w:jc w:val="both"/>
        <w:rPr>
          <w:rFonts w:ascii="Times New Roman" w:hAnsi="Times New Roman"/>
          <w:color w:val="000000" w:themeColor="text1"/>
          <w:sz w:val="28"/>
          <w:szCs w:val="28"/>
          <w:lang w:val="uk-UA"/>
        </w:rPr>
      </w:pPr>
      <w:r w:rsidRPr="0033186A">
        <w:rPr>
          <w:rStyle w:val="a5"/>
          <w:rFonts w:ascii="Times New Roman" w:eastAsiaTheme="majorEastAsia" w:hAnsi="Times New Roman"/>
          <w:color w:val="000000" w:themeColor="text1"/>
          <w:sz w:val="28"/>
          <w:szCs w:val="28"/>
          <w:lang w:val="uk-UA"/>
        </w:rPr>
        <w:t>3.Japan financial system report:</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0" w:history="1">
        <w:r w:rsidRPr="0033186A">
          <w:rPr>
            <w:rStyle w:val="a5"/>
            <w:rFonts w:ascii="Times New Roman" w:hAnsi="Times New Roman"/>
            <w:color w:val="000000" w:themeColor="text1"/>
            <w:sz w:val="28"/>
            <w:szCs w:val="28"/>
            <w:lang w:val="uk-UA"/>
          </w:rPr>
          <w:t>https://www.boj.or.jp/en/research/brp/fsr/index.htm/</w:t>
        </w:r>
      </w:hyperlink>
    </w:p>
    <w:p w14:paraId="03C227CF" w14:textId="61B3ADA9" w:rsidR="00D6766E" w:rsidRPr="0033186A" w:rsidRDefault="00D6766E" w:rsidP="0033186A">
      <w:pPr>
        <w:spacing w:after="0" w:line="360" w:lineRule="auto"/>
        <w:jc w:val="both"/>
        <w:rPr>
          <w:rFonts w:ascii="Times New Roman" w:hAnsi="Times New Roman"/>
          <w:color w:val="000000" w:themeColor="text1"/>
          <w:sz w:val="28"/>
          <w:szCs w:val="28"/>
          <w:lang w:val="uk-UA"/>
        </w:rPr>
      </w:pPr>
      <w:r w:rsidRPr="0033186A">
        <w:rPr>
          <w:rFonts w:ascii="Times New Roman" w:hAnsi="Times New Roman"/>
          <w:color w:val="000000" w:themeColor="text1"/>
          <w:sz w:val="28"/>
          <w:szCs w:val="28"/>
          <w:lang w:val="uk-UA"/>
        </w:rPr>
        <w:t>4.</w:t>
      </w:r>
      <w:r w:rsidRPr="0033186A">
        <w:rPr>
          <w:color w:val="000000" w:themeColor="text1"/>
          <w:lang w:val="uk-UA"/>
        </w:rPr>
        <w:t xml:space="preserve"> </w:t>
      </w:r>
      <w:r w:rsidRPr="0033186A">
        <w:rPr>
          <w:rFonts w:ascii="Times New Roman" w:hAnsi="Times New Roman"/>
          <w:color w:val="000000" w:themeColor="text1"/>
          <w:sz w:val="28"/>
          <w:szCs w:val="28"/>
          <w:lang w:val="uk-UA"/>
        </w:rPr>
        <w:t>AMd. Mahmudul Alam</w:t>
      </w:r>
      <w:r w:rsidRPr="0033186A">
        <w:rPr>
          <w:rFonts w:ascii="Times New Roman" w:eastAsiaTheme="minorEastAsia" w:hAnsi="Times New Roman"/>
          <w:color w:val="000000" w:themeColor="text1"/>
          <w:sz w:val="28"/>
          <w:szCs w:val="28"/>
          <w:lang w:val="en-US" w:eastAsia="ja-JP"/>
        </w:rPr>
        <w:t xml:space="preserve"> and Gazi Uddin</w:t>
      </w:r>
      <w:r w:rsidR="00BC19AD" w:rsidRPr="0033186A">
        <w:rPr>
          <w:rFonts w:ascii="Times New Roman" w:eastAsiaTheme="minorEastAsia" w:hAnsi="Times New Roman"/>
          <w:color w:val="000000" w:themeColor="text1"/>
          <w:sz w:val="28"/>
          <w:szCs w:val="28"/>
          <w:lang w:val="en-US" w:eastAsia="ja-JP"/>
        </w:rPr>
        <w:t xml:space="preserve"> (2009)</w:t>
      </w:r>
      <w:r w:rsidRPr="0033186A">
        <w:rPr>
          <w:rFonts w:ascii="Times New Roman" w:hAnsi="Times New Roman"/>
          <w:color w:val="000000" w:themeColor="text1"/>
          <w:sz w:val="28"/>
          <w:szCs w:val="28"/>
          <w:lang w:val="uk-UA"/>
        </w:rPr>
        <w:t xml:space="preserve">, Relationship between Interest Rate and Stock Price: Empirical Evidence from Developed and Developing Countries </w:t>
      </w:r>
      <w:r w:rsidR="00BC19AD" w:rsidRPr="0033186A">
        <w:rPr>
          <w:rFonts w:ascii="Times New Roman" w:hAnsi="Times New Roman"/>
          <w:color w:val="000000" w:themeColor="text1"/>
          <w:sz w:val="28"/>
          <w:szCs w:val="28"/>
          <w:lang w:val="en-US"/>
        </w:rPr>
        <w:t xml:space="preserve">// International Journal of Business and Management (ISSN 1833-3850), Vol. 4(3), pp. 43-51, </w:t>
      </w:r>
      <w:proofErr w:type="gramStart"/>
      <w:r w:rsidR="00BC19AD" w:rsidRPr="0033186A">
        <w:rPr>
          <w:rFonts w:ascii="Times New Roman" w:hAnsi="Times New Roman"/>
          <w:color w:val="000000" w:themeColor="text1"/>
          <w:sz w:val="28"/>
          <w:szCs w:val="28"/>
          <w:lang w:val="en-US"/>
        </w:rPr>
        <w:t>2009 ,</w:t>
      </w:r>
      <w:proofErr w:type="gramEnd"/>
      <w:r w:rsidR="00BC19AD" w:rsidRPr="0033186A">
        <w:rPr>
          <w:rFonts w:ascii="Times New Roman" w:hAnsi="Times New Roman"/>
          <w:color w:val="000000" w:themeColor="text1"/>
          <w:sz w:val="28"/>
          <w:szCs w:val="28"/>
          <w:lang w:val="en-US"/>
        </w:rPr>
        <w:t xml:space="preserve"> Available at SSRN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1" w:history="1">
        <w:r w:rsidRPr="0033186A">
          <w:rPr>
            <w:rStyle w:val="a5"/>
            <w:rFonts w:ascii="Times New Roman" w:hAnsi="Times New Roman"/>
            <w:bCs/>
            <w:color w:val="000000" w:themeColor="text1"/>
            <w:sz w:val="28"/>
            <w:szCs w:val="28"/>
            <w:lang w:val="uk-UA"/>
          </w:rPr>
          <w:t>https://papers.ssrn.com/sol3/papers.cfm?abstract_id=2941281</w:t>
        </w:r>
      </w:hyperlink>
    </w:p>
    <w:p w14:paraId="4A7DE326" w14:textId="2CF243EE" w:rsidR="00D6766E" w:rsidRPr="0033186A" w:rsidRDefault="00D6766E" w:rsidP="0033186A">
      <w:pPr>
        <w:spacing w:after="0" w:line="360" w:lineRule="auto"/>
        <w:jc w:val="both"/>
        <w:rPr>
          <w:rFonts w:ascii="Times New Roman" w:hAnsi="Times New Roman"/>
          <w:color w:val="000000" w:themeColor="text1"/>
          <w:sz w:val="28"/>
          <w:szCs w:val="28"/>
          <w:lang w:val="en-US"/>
        </w:rPr>
      </w:pPr>
      <w:r w:rsidRPr="0033186A">
        <w:rPr>
          <w:rFonts w:ascii="Times New Roman" w:hAnsi="Times New Roman"/>
          <w:color w:val="000000" w:themeColor="text1"/>
          <w:sz w:val="28"/>
          <w:szCs w:val="28"/>
          <w:lang w:val="uk-UA"/>
        </w:rPr>
        <w:t>5. Andrea Barbon</w:t>
      </w:r>
      <w:r w:rsidRPr="0033186A">
        <w:rPr>
          <w:rFonts w:ascii="Times New Roman" w:hAnsi="Times New Roman"/>
          <w:color w:val="000000" w:themeColor="text1"/>
          <w:sz w:val="28"/>
          <w:szCs w:val="28"/>
          <w:lang w:val="en-US"/>
        </w:rPr>
        <w:t xml:space="preserve"> </w:t>
      </w:r>
      <w:r w:rsidRPr="0033186A">
        <w:rPr>
          <w:rFonts w:ascii="Times New Roman" w:hAnsi="Times New Roman"/>
          <w:color w:val="000000" w:themeColor="text1"/>
          <w:sz w:val="28"/>
          <w:szCs w:val="28"/>
          <w:lang w:val="uk-UA"/>
        </w:rPr>
        <w:t>and Virginia Gianinazzi</w:t>
      </w:r>
      <w:r w:rsidR="00BC19AD" w:rsidRPr="0033186A">
        <w:rPr>
          <w:rFonts w:ascii="Times New Roman" w:hAnsi="Times New Roman"/>
          <w:color w:val="000000" w:themeColor="text1"/>
          <w:sz w:val="28"/>
          <w:szCs w:val="28"/>
          <w:lang w:val="en-US"/>
        </w:rPr>
        <w:t xml:space="preserve"> (2019)</w:t>
      </w:r>
      <w:r w:rsidRPr="0033186A">
        <w:rPr>
          <w:rFonts w:ascii="Times New Roman" w:hAnsi="Times New Roman"/>
          <w:color w:val="000000" w:themeColor="text1"/>
          <w:sz w:val="28"/>
          <w:szCs w:val="28"/>
          <w:lang w:val="uk-UA"/>
        </w:rPr>
        <w:t>, Quantitative Easing and Equity Prices: Evidence from the ETF Program of the Bank of Japan</w:t>
      </w:r>
      <w:r w:rsidR="00BC19AD" w:rsidRPr="0033186A">
        <w:rPr>
          <w:rFonts w:ascii="Times New Roman" w:hAnsi="Times New Roman"/>
          <w:color w:val="000000" w:themeColor="text1"/>
          <w:sz w:val="28"/>
          <w:szCs w:val="28"/>
          <w:lang w:val="en-US"/>
        </w:rPr>
        <w:t xml:space="preserve"> // Swiss Finance Institute Research Paper No. 19-55, Forthcoming in The Review of Asset Pricing Studies, Available at SSRN</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2" w:history="1">
        <w:r w:rsidRPr="0033186A">
          <w:rPr>
            <w:rStyle w:val="a5"/>
            <w:rFonts w:ascii="Times New Roman" w:hAnsi="Times New Roman"/>
            <w:color w:val="000000" w:themeColor="text1"/>
            <w:sz w:val="28"/>
            <w:szCs w:val="28"/>
            <w:lang w:val="en-US"/>
          </w:rPr>
          <w:t>https://papers.ssrn.com/sol3/papers.cfm?abstract_id=2925198</w:t>
        </w:r>
      </w:hyperlink>
    </w:p>
    <w:p w14:paraId="5A80166C" w14:textId="77777777" w:rsidR="00D6766E" w:rsidRPr="0033186A" w:rsidRDefault="00D6766E" w:rsidP="0033186A">
      <w:pPr>
        <w:spacing w:after="0" w:line="360" w:lineRule="auto"/>
        <w:jc w:val="both"/>
        <w:rPr>
          <w:rFonts w:ascii="Times New Roman" w:hAnsi="Times New Roman"/>
          <w:color w:val="000000" w:themeColor="text1"/>
          <w:sz w:val="28"/>
          <w:szCs w:val="28"/>
          <w:lang w:val="uk-UA"/>
        </w:rPr>
      </w:pPr>
      <w:r w:rsidRPr="0033186A">
        <w:rPr>
          <w:rFonts w:ascii="Times New Roman" w:hAnsi="Times New Roman"/>
          <w:color w:val="000000" w:themeColor="text1"/>
          <w:sz w:val="28"/>
          <w:szCs w:val="28"/>
          <w:lang w:val="uk-UA"/>
        </w:rPr>
        <w:t xml:space="preserve">6. </w:t>
      </w:r>
      <w:r w:rsidRPr="0033186A">
        <w:rPr>
          <w:rFonts w:ascii="Times New Roman" w:hAnsi="Times New Roman"/>
          <w:color w:val="000000" w:themeColor="text1"/>
          <w:sz w:val="28"/>
          <w:szCs w:val="28"/>
          <w:lang w:val="en-US"/>
        </w:rPr>
        <w:t xml:space="preserve">Japan long term interest rate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w:t>
      </w:r>
      <w:r w:rsidRPr="0033186A">
        <w:rPr>
          <w:color w:val="000000" w:themeColor="text1"/>
          <w:lang w:val="en-US"/>
        </w:rPr>
        <w:t xml:space="preserve"> </w:t>
      </w:r>
      <w:hyperlink r:id="rId23" w:anchor=":~:text=Japan%20Long%20Term%20Interest%20Rate%20data%20is%20updated%20monthly%2C%20available,reported%20by%20Bank%20of%20Japan" w:history="1">
        <w:r w:rsidRPr="0033186A">
          <w:rPr>
            <w:rStyle w:val="a5"/>
            <w:rFonts w:ascii="Times New Roman" w:hAnsi="Times New Roman"/>
            <w:bCs/>
            <w:color w:val="000000" w:themeColor="text1"/>
            <w:sz w:val="28"/>
            <w:szCs w:val="28"/>
            <w:lang w:val="uk-UA"/>
          </w:rPr>
          <w:t>https://www.ceicdata.com/en/indicator/japan/long-term-interest-rate#:~:text=Japan%20Long%20Term%20Interest%20Rate%20data%20is%20updated%20monthly%2C%20available,reported%20by%20Bank%20of%20Japan</w:t>
        </w:r>
      </w:hyperlink>
      <w:r w:rsidRPr="0033186A">
        <w:rPr>
          <w:rFonts w:ascii="Times New Roman" w:hAnsi="Times New Roman"/>
          <w:bCs/>
          <w:color w:val="000000" w:themeColor="text1"/>
          <w:sz w:val="28"/>
          <w:szCs w:val="28"/>
          <w:lang w:val="uk-UA"/>
        </w:rPr>
        <w:t>.</w:t>
      </w:r>
    </w:p>
    <w:p w14:paraId="7EE92378" w14:textId="15FC68C7" w:rsidR="00D6766E" w:rsidRPr="0033186A" w:rsidRDefault="00D6766E" w:rsidP="0033186A">
      <w:pPr>
        <w:spacing w:after="0" w:line="360" w:lineRule="auto"/>
        <w:jc w:val="both"/>
        <w:rPr>
          <w:rFonts w:ascii="Times New Roman" w:hAnsi="Times New Roman"/>
          <w:color w:val="000000" w:themeColor="text1"/>
          <w:sz w:val="28"/>
          <w:szCs w:val="28"/>
          <w:lang w:val="uk-UA"/>
        </w:rPr>
      </w:pPr>
      <w:r w:rsidRPr="0033186A">
        <w:rPr>
          <w:rFonts w:ascii="Times New Roman" w:hAnsi="Times New Roman"/>
          <w:color w:val="000000" w:themeColor="text1"/>
          <w:sz w:val="28"/>
          <w:szCs w:val="28"/>
          <w:lang w:val="en-US"/>
        </w:rPr>
        <w:t>7</w:t>
      </w:r>
      <w:r w:rsidRPr="0033186A">
        <w:rPr>
          <w:rFonts w:ascii="Times New Roman" w:hAnsi="Times New Roman"/>
          <w:color w:val="000000" w:themeColor="text1"/>
          <w:sz w:val="28"/>
          <w:szCs w:val="28"/>
          <w:lang w:val="uk-UA"/>
        </w:rPr>
        <w:t>. Takahiro Hattori</w:t>
      </w:r>
      <w:r w:rsidRPr="0033186A">
        <w:rPr>
          <w:rFonts w:ascii="Times New Roman" w:hAnsi="Times New Roman"/>
          <w:color w:val="000000" w:themeColor="text1"/>
          <w:sz w:val="28"/>
          <w:szCs w:val="28"/>
          <w:lang w:val="en-US"/>
        </w:rPr>
        <w:t xml:space="preserve"> </w:t>
      </w:r>
      <w:r w:rsidRPr="0033186A">
        <w:rPr>
          <w:rFonts w:ascii="Times New Roman" w:hAnsi="Times New Roman"/>
          <w:color w:val="000000" w:themeColor="text1"/>
          <w:sz w:val="28"/>
          <w:szCs w:val="28"/>
          <w:lang w:val="uk-UA"/>
        </w:rPr>
        <w:t>and Jiro Yoshida</w:t>
      </w:r>
      <w:r w:rsidR="00BC19AD" w:rsidRPr="0033186A">
        <w:rPr>
          <w:rFonts w:ascii="Times New Roman" w:hAnsi="Times New Roman"/>
          <w:color w:val="000000" w:themeColor="text1"/>
          <w:sz w:val="28"/>
          <w:szCs w:val="28"/>
          <w:lang w:val="en-US"/>
        </w:rPr>
        <w:t xml:space="preserve"> (2020)</w:t>
      </w:r>
      <w:r w:rsidRPr="0033186A">
        <w:rPr>
          <w:rFonts w:ascii="Times New Roman" w:hAnsi="Times New Roman"/>
          <w:color w:val="000000" w:themeColor="text1"/>
          <w:sz w:val="28"/>
          <w:szCs w:val="28"/>
          <w:lang w:val="uk-UA"/>
        </w:rPr>
        <w:t>, Bank of Japan as a Contrarian Stock Investor: Large-Scale ETF Purchases</w:t>
      </w:r>
      <w:r w:rsidR="00BC19AD" w:rsidRPr="0033186A">
        <w:rPr>
          <w:rFonts w:ascii="Times New Roman" w:hAnsi="Times New Roman"/>
          <w:color w:val="000000" w:themeColor="text1"/>
          <w:sz w:val="28"/>
          <w:szCs w:val="28"/>
          <w:lang w:val="en-US"/>
        </w:rPr>
        <w:t xml:space="preserve"> //</w:t>
      </w:r>
      <w:r w:rsidR="00BC19AD" w:rsidRPr="0033186A">
        <w:rPr>
          <w:color w:val="000000" w:themeColor="text1"/>
          <w:lang w:val="en-US"/>
        </w:rPr>
        <w:t xml:space="preserve"> </w:t>
      </w:r>
      <w:r w:rsidR="00BC19AD" w:rsidRPr="0033186A">
        <w:rPr>
          <w:rFonts w:ascii="Times New Roman" w:hAnsi="Times New Roman"/>
          <w:color w:val="000000" w:themeColor="text1"/>
          <w:sz w:val="28"/>
          <w:szCs w:val="28"/>
          <w:lang w:val="en-US"/>
        </w:rPr>
        <w:t>Available at SSRN</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4" w:history="1">
        <w:r w:rsidRPr="0033186A">
          <w:rPr>
            <w:rStyle w:val="a5"/>
            <w:rFonts w:ascii="Times New Roman" w:hAnsi="Times New Roman"/>
            <w:bCs/>
            <w:color w:val="000000" w:themeColor="text1"/>
            <w:sz w:val="28"/>
            <w:szCs w:val="28"/>
            <w:lang w:val="uk-UA"/>
          </w:rPr>
          <w:t>https://papers.ssrn.com/sol3/papers.cfm?abstract_id=3575835</w:t>
        </w:r>
      </w:hyperlink>
    </w:p>
    <w:p w14:paraId="5102A48F" w14:textId="567B1F36" w:rsidR="00D6766E" w:rsidRPr="0033186A" w:rsidRDefault="00D6766E" w:rsidP="0033186A">
      <w:pPr>
        <w:spacing w:after="0" w:line="360" w:lineRule="auto"/>
        <w:jc w:val="both"/>
        <w:rPr>
          <w:rFonts w:ascii="Times New Roman" w:hAnsi="Times New Roman"/>
          <w:color w:val="000000" w:themeColor="text1"/>
          <w:sz w:val="28"/>
          <w:szCs w:val="28"/>
          <w:lang w:val="en-US"/>
        </w:rPr>
      </w:pPr>
      <w:r w:rsidRPr="0033186A">
        <w:rPr>
          <w:rFonts w:ascii="Times New Roman" w:hAnsi="Times New Roman"/>
          <w:color w:val="000000" w:themeColor="text1"/>
          <w:sz w:val="28"/>
          <w:szCs w:val="28"/>
          <w:lang w:val="uk-UA"/>
        </w:rPr>
        <w:t>8.</w:t>
      </w:r>
      <w:r w:rsidRPr="0033186A">
        <w:rPr>
          <w:rFonts w:ascii="Times New Roman" w:hAnsi="Times New Roman"/>
          <w:color w:val="000000" w:themeColor="text1"/>
          <w:sz w:val="28"/>
          <w:szCs w:val="28"/>
          <w:lang w:val="en-US"/>
        </w:rPr>
        <w:t xml:space="preserve"> Masahiro Kawai</w:t>
      </w:r>
      <w:r w:rsidR="00BC19AD" w:rsidRPr="0033186A">
        <w:rPr>
          <w:rFonts w:ascii="Times New Roman" w:hAnsi="Times New Roman"/>
          <w:color w:val="000000" w:themeColor="text1"/>
          <w:sz w:val="28"/>
          <w:szCs w:val="28"/>
          <w:lang w:val="en-US"/>
        </w:rPr>
        <w:t xml:space="preserve"> (2015)</w:t>
      </w:r>
      <w:r w:rsidRPr="0033186A">
        <w:rPr>
          <w:rFonts w:ascii="Times New Roman" w:hAnsi="Times New Roman"/>
          <w:color w:val="000000" w:themeColor="text1"/>
          <w:sz w:val="28"/>
          <w:szCs w:val="28"/>
          <w:lang w:val="en-US"/>
        </w:rPr>
        <w:t>,</w:t>
      </w:r>
      <w:r w:rsidRPr="0033186A">
        <w:rPr>
          <w:rFonts w:ascii="Times New Roman" w:hAnsi="Times New Roman"/>
          <w:color w:val="000000" w:themeColor="text1"/>
          <w:sz w:val="28"/>
          <w:szCs w:val="28"/>
          <w:lang w:val="uk-UA"/>
        </w:rPr>
        <w:t xml:space="preserve"> International Spillovers of Monetary Policy: US Federal Reserve's Quantitative Easing and Bank of Japan's Quantitative and Qualitative </w:t>
      </w:r>
      <w:r w:rsidRPr="0033186A">
        <w:rPr>
          <w:rFonts w:ascii="Times New Roman" w:hAnsi="Times New Roman"/>
          <w:color w:val="000000" w:themeColor="text1"/>
          <w:sz w:val="28"/>
          <w:szCs w:val="28"/>
          <w:lang w:val="uk-UA"/>
        </w:rPr>
        <w:lastRenderedPageBreak/>
        <w:t>Easing</w:t>
      </w:r>
      <w:r w:rsidR="00BC19AD" w:rsidRPr="0033186A">
        <w:rPr>
          <w:rFonts w:ascii="Times New Roman" w:hAnsi="Times New Roman"/>
          <w:color w:val="000000" w:themeColor="text1"/>
          <w:sz w:val="28"/>
          <w:szCs w:val="28"/>
          <w:lang w:val="en-US"/>
        </w:rPr>
        <w:t xml:space="preserve"> //ADBI Working Paper 512, Available at SSRN:</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5" w:history="1">
        <w:r w:rsidRPr="0033186A">
          <w:rPr>
            <w:rStyle w:val="a5"/>
            <w:rFonts w:ascii="Times New Roman" w:hAnsi="Times New Roman"/>
            <w:color w:val="000000" w:themeColor="text1"/>
            <w:sz w:val="28"/>
            <w:szCs w:val="28"/>
            <w:lang w:val="en-US"/>
          </w:rPr>
          <w:t>https://papers.ssrn.com/sol3/papers.cfm?abstract_id=2554284</w:t>
        </w:r>
      </w:hyperlink>
    </w:p>
    <w:p w14:paraId="6D6FE66D" w14:textId="4D00BB59" w:rsidR="00D6766E" w:rsidRPr="0033186A" w:rsidRDefault="00D6766E" w:rsidP="0033186A">
      <w:pPr>
        <w:spacing w:after="0" w:line="360" w:lineRule="auto"/>
        <w:jc w:val="both"/>
        <w:rPr>
          <w:rStyle w:val="a5"/>
          <w:rFonts w:ascii="Times New Roman" w:hAnsi="Times New Roman"/>
          <w:color w:val="000000" w:themeColor="text1"/>
          <w:sz w:val="28"/>
          <w:szCs w:val="28"/>
          <w:lang w:val="uk-UA"/>
        </w:rPr>
      </w:pPr>
      <w:r w:rsidRPr="0033186A">
        <w:rPr>
          <w:rFonts w:ascii="Times New Roman" w:hAnsi="Times New Roman"/>
          <w:color w:val="000000" w:themeColor="text1"/>
          <w:sz w:val="28"/>
          <w:szCs w:val="28"/>
          <w:lang w:val="uk-UA"/>
        </w:rPr>
        <w:t>9. Hidenori Takahashi</w:t>
      </w:r>
      <w:r w:rsidRPr="0033186A">
        <w:rPr>
          <w:rFonts w:ascii="Times New Roman" w:hAnsi="Times New Roman"/>
          <w:color w:val="000000" w:themeColor="text1"/>
          <w:sz w:val="28"/>
          <w:szCs w:val="28"/>
          <w:lang w:val="en-US"/>
        </w:rPr>
        <w:t xml:space="preserve"> </w:t>
      </w:r>
      <w:r w:rsidRPr="0033186A">
        <w:rPr>
          <w:rFonts w:ascii="Times New Roman" w:hAnsi="Times New Roman"/>
          <w:color w:val="000000" w:themeColor="text1"/>
          <w:sz w:val="28"/>
          <w:szCs w:val="28"/>
          <w:lang w:val="uk-UA"/>
        </w:rPr>
        <w:t>and</w:t>
      </w:r>
      <w:r w:rsidRPr="0033186A">
        <w:rPr>
          <w:rFonts w:ascii="Times New Roman" w:hAnsi="Times New Roman"/>
          <w:color w:val="000000" w:themeColor="text1"/>
          <w:sz w:val="28"/>
          <w:szCs w:val="28"/>
          <w:lang w:val="en-US"/>
        </w:rPr>
        <w:t xml:space="preserve"> Kazuo Yamada</w:t>
      </w:r>
      <w:r w:rsidR="00BC19AD" w:rsidRPr="0033186A">
        <w:rPr>
          <w:rFonts w:ascii="Times New Roman" w:hAnsi="Times New Roman"/>
          <w:color w:val="000000" w:themeColor="text1"/>
          <w:sz w:val="28"/>
          <w:szCs w:val="28"/>
          <w:lang w:val="en-US"/>
        </w:rPr>
        <w:t xml:space="preserve"> (2017),</w:t>
      </w:r>
      <w:r w:rsidRPr="0033186A">
        <w:rPr>
          <w:rFonts w:ascii="Times New Roman" w:hAnsi="Times New Roman"/>
          <w:color w:val="000000" w:themeColor="text1"/>
          <w:sz w:val="28"/>
          <w:szCs w:val="28"/>
          <w:lang w:val="uk-UA"/>
        </w:rPr>
        <w:t xml:space="preserve"> When the Japanese Stock Market Meets COVID-19: Impact of Ownership, China and US Exposure, and ESG Channels </w:t>
      </w:r>
      <w:r w:rsidR="00BC19AD" w:rsidRPr="0033186A">
        <w:rPr>
          <w:rFonts w:ascii="Times New Roman" w:hAnsi="Times New Roman"/>
          <w:color w:val="000000" w:themeColor="text1"/>
          <w:sz w:val="28"/>
          <w:szCs w:val="28"/>
          <w:lang w:val="en-US"/>
        </w:rPr>
        <w:t>//</w:t>
      </w:r>
      <w:r w:rsidR="00BC19AD" w:rsidRPr="0033186A">
        <w:rPr>
          <w:color w:val="000000" w:themeColor="text1"/>
          <w:lang w:val="en-US"/>
        </w:rPr>
        <w:t xml:space="preserve"> </w:t>
      </w:r>
      <w:r w:rsidR="00BC19AD" w:rsidRPr="0033186A">
        <w:rPr>
          <w:rFonts w:ascii="Times New Roman" w:hAnsi="Times New Roman"/>
          <w:color w:val="000000" w:themeColor="text1"/>
          <w:sz w:val="28"/>
          <w:szCs w:val="28"/>
          <w:lang w:val="en-US"/>
        </w:rPr>
        <w:t xml:space="preserve">Lee Kuan Yew School of Public Policy Research Paper No. 17-20, Available at SSRN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6" w:history="1">
        <w:r w:rsidRPr="0033186A">
          <w:rPr>
            <w:rStyle w:val="a5"/>
            <w:rFonts w:ascii="Times New Roman" w:hAnsi="Times New Roman"/>
            <w:color w:val="000000" w:themeColor="text1"/>
            <w:sz w:val="28"/>
            <w:szCs w:val="28"/>
            <w:lang w:val="uk-UA"/>
          </w:rPr>
          <w:t>https://papers.ssrn.com/sol3/papers.cfm?abstract_id=3021684</w:t>
        </w:r>
      </w:hyperlink>
    </w:p>
    <w:p w14:paraId="78E7D3B0" w14:textId="77777777" w:rsidR="00D6766E" w:rsidRPr="0033186A" w:rsidRDefault="00D6766E" w:rsidP="0033186A">
      <w:pPr>
        <w:spacing w:after="0" w:line="360" w:lineRule="auto"/>
        <w:jc w:val="both"/>
        <w:rPr>
          <w:rFonts w:ascii="Times New Roman" w:hAnsi="Times New Roman"/>
          <w:color w:val="000000" w:themeColor="text1"/>
          <w:sz w:val="28"/>
          <w:szCs w:val="28"/>
        </w:rPr>
      </w:pPr>
      <w:r w:rsidRPr="0033186A">
        <w:rPr>
          <w:rFonts w:ascii="Times New Roman" w:hAnsi="Times New Roman"/>
          <w:color w:val="000000" w:themeColor="text1"/>
          <w:sz w:val="28"/>
          <w:szCs w:val="28"/>
        </w:rPr>
        <w:t>10</w:t>
      </w:r>
      <w:r w:rsidRPr="0033186A">
        <w:rPr>
          <w:rFonts w:ascii="Times New Roman" w:hAnsi="Times New Roman"/>
          <w:color w:val="000000" w:themeColor="text1"/>
          <w:sz w:val="28"/>
          <w:szCs w:val="28"/>
          <w:lang w:val="uk-UA"/>
        </w:rPr>
        <w:t xml:space="preserve">. </w:t>
      </w:r>
      <w:r w:rsidRPr="0033186A">
        <w:rPr>
          <w:rFonts w:ascii="Times New Roman" w:hAnsi="Times New Roman"/>
          <w:color w:val="000000" w:themeColor="text1"/>
          <w:sz w:val="28"/>
          <w:szCs w:val="28"/>
          <w:lang w:val="en-US"/>
        </w:rPr>
        <w:t>ESG</w:t>
      </w:r>
      <w:r w:rsidRPr="0033186A">
        <w:rPr>
          <w:rFonts w:ascii="Times New Roman" w:hAnsi="Times New Roman"/>
          <w:color w:val="000000" w:themeColor="text1"/>
          <w:sz w:val="28"/>
          <w:szCs w:val="28"/>
        </w:rPr>
        <w:t xml:space="preserve"> </w:t>
      </w:r>
      <w:r w:rsidRPr="0033186A">
        <w:rPr>
          <w:rFonts w:ascii="Times New Roman" w:hAnsi="Times New Roman"/>
          <w:color w:val="000000" w:themeColor="text1"/>
          <w:sz w:val="28"/>
          <w:szCs w:val="28"/>
          <w:lang w:val="en-US"/>
        </w:rPr>
        <w:t>Investing</w:t>
      </w:r>
      <w:r w:rsidRPr="0033186A">
        <w:rPr>
          <w:rFonts w:ascii="Times New Roman" w:hAnsi="Times New Roman"/>
          <w:color w:val="000000" w:themeColor="text1"/>
          <w:sz w:val="28"/>
          <w:szCs w:val="28"/>
        </w:rPr>
        <w:t xml:space="preserve">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27" w:anchor=":~:text=ESG%20(Environmental%2C%20Social%20and%20Governance,the%20performance%20of%20the%20business" w:history="1">
        <w:r w:rsidRPr="0033186A">
          <w:rPr>
            <w:rStyle w:val="a5"/>
            <w:rFonts w:ascii="Times New Roman" w:hAnsi="Times New Roman"/>
            <w:color w:val="000000" w:themeColor="text1"/>
            <w:sz w:val="28"/>
            <w:szCs w:val="28"/>
            <w:lang w:val="en-US"/>
          </w:rPr>
          <w:t>https</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www</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esg</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adec</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innovations</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com</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about</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us</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faqs</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what</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is</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esg</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investing</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text</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ESG</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Environmental</w:t>
        </w:r>
        <w:r w:rsidRPr="0033186A">
          <w:rPr>
            <w:rStyle w:val="a5"/>
            <w:rFonts w:ascii="Times New Roman" w:hAnsi="Times New Roman"/>
            <w:color w:val="000000" w:themeColor="text1"/>
            <w:sz w:val="28"/>
            <w:szCs w:val="28"/>
          </w:rPr>
          <w:t>%2</w:t>
        </w:r>
        <w:r w:rsidRPr="0033186A">
          <w:rPr>
            <w:rStyle w:val="a5"/>
            <w:rFonts w:ascii="Times New Roman" w:hAnsi="Times New Roman"/>
            <w:color w:val="000000" w:themeColor="text1"/>
            <w:sz w:val="28"/>
            <w:szCs w:val="28"/>
            <w:lang w:val="en-US"/>
          </w:rPr>
          <w:t>C</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Social</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and</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Governance</w:t>
        </w:r>
        <w:r w:rsidRPr="0033186A">
          <w:rPr>
            <w:rStyle w:val="a5"/>
            <w:rFonts w:ascii="Times New Roman" w:hAnsi="Times New Roman"/>
            <w:color w:val="000000" w:themeColor="text1"/>
            <w:sz w:val="28"/>
            <w:szCs w:val="28"/>
          </w:rPr>
          <w:t>,</w:t>
        </w:r>
        <w:r w:rsidRPr="0033186A">
          <w:rPr>
            <w:rStyle w:val="a5"/>
            <w:rFonts w:ascii="Times New Roman" w:hAnsi="Times New Roman"/>
            <w:color w:val="000000" w:themeColor="text1"/>
            <w:sz w:val="28"/>
            <w:szCs w:val="28"/>
            <w:lang w:val="en-US"/>
          </w:rPr>
          <w:t>the</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performance</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of</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the</w:t>
        </w:r>
        <w:r w:rsidRPr="0033186A">
          <w:rPr>
            <w:rStyle w:val="a5"/>
            <w:rFonts w:ascii="Times New Roman" w:hAnsi="Times New Roman"/>
            <w:color w:val="000000" w:themeColor="text1"/>
            <w:sz w:val="28"/>
            <w:szCs w:val="28"/>
          </w:rPr>
          <w:t>%20</w:t>
        </w:r>
        <w:r w:rsidRPr="0033186A">
          <w:rPr>
            <w:rStyle w:val="a5"/>
            <w:rFonts w:ascii="Times New Roman" w:hAnsi="Times New Roman"/>
            <w:color w:val="000000" w:themeColor="text1"/>
            <w:sz w:val="28"/>
            <w:szCs w:val="28"/>
            <w:lang w:val="en-US"/>
          </w:rPr>
          <w:t>business</w:t>
        </w:r>
      </w:hyperlink>
    </w:p>
    <w:p w14:paraId="70B0FCF2" w14:textId="24B18AC3" w:rsidR="00D6766E" w:rsidRPr="0033186A" w:rsidRDefault="00D6766E" w:rsidP="0033186A">
      <w:pPr>
        <w:spacing w:after="0" w:line="360" w:lineRule="auto"/>
        <w:jc w:val="both"/>
        <w:rPr>
          <w:rFonts w:ascii="Times New Roman" w:hAnsi="Times New Roman"/>
          <w:color w:val="000000" w:themeColor="text1"/>
          <w:sz w:val="28"/>
          <w:szCs w:val="28"/>
          <w:lang w:val="en-US"/>
        </w:rPr>
      </w:pPr>
      <w:r w:rsidRPr="0033186A">
        <w:rPr>
          <w:rFonts w:ascii="Times New Roman" w:hAnsi="Times New Roman"/>
          <w:color w:val="000000" w:themeColor="text1"/>
          <w:sz w:val="28"/>
          <w:szCs w:val="28"/>
          <w:lang w:val="en-US"/>
        </w:rPr>
        <w:t>11.</w:t>
      </w:r>
      <w:r w:rsidRPr="0033186A">
        <w:rPr>
          <w:rFonts w:ascii="Times New Roman" w:hAnsi="Times New Roman"/>
          <w:color w:val="000000" w:themeColor="text1"/>
          <w:sz w:val="28"/>
          <w:szCs w:val="28"/>
          <w:lang w:val="uk-UA"/>
        </w:rPr>
        <w:t xml:space="preserve"> Mario Arturo Ruiz Estrada</w:t>
      </w:r>
      <w:r w:rsidRPr="0033186A">
        <w:rPr>
          <w:rFonts w:ascii="Times New Roman" w:hAnsi="Times New Roman"/>
          <w:color w:val="000000" w:themeColor="text1"/>
          <w:sz w:val="28"/>
          <w:szCs w:val="28"/>
          <w:lang w:val="en-US"/>
        </w:rPr>
        <w:t>, Evangelos Koutronas and Minsoo Lee</w:t>
      </w:r>
      <w:r w:rsidR="00BC19AD" w:rsidRPr="0033186A">
        <w:rPr>
          <w:rFonts w:ascii="Times New Roman" w:hAnsi="Times New Roman"/>
          <w:color w:val="000000" w:themeColor="text1"/>
          <w:sz w:val="28"/>
          <w:szCs w:val="28"/>
          <w:lang w:val="en-US"/>
        </w:rPr>
        <w:t xml:space="preserve"> (2020),</w:t>
      </w:r>
      <w:r w:rsidRPr="0033186A">
        <w:rPr>
          <w:rFonts w:ascii="Times New Roman" w:hAnsi="Times New Roman"/>
          <w:color w:val="000000" w:themeColor="text1"/>
          <w:sz w:val="28"/>
          <w:szCs w:val="28"/>
          <w:lang w:val="en-US"/>
        </w:rPr>
        <w:t xml:space="preserve"> Stagpression: The Economic and Financial Impact of COVID-19 Pandemic</w:t>
      </w:r>
      <w:r w:rsidR="00BC19AD" w:rsidRPr="0033186A">
        <w:rPr>
          <w:rFonts w:ascii="Times New Roman" w:hAnsi="Times New Roman"/>
          <w:color w:val="000000" w:themeColor="text1"/>
          <w:sz w:val="28"/>
          <w:szCs w:val="28"/>
          <w:lang w:val="en-US"/>
        </w:rPr>
        <w:t>// Available at SSRN</w:t>
      </w:r>
      <w:r w:rsidR="00BC19AD" w:rsidRPr="0033186A">
        <w:rPr>
          <w:rFonts w:ascii="Times New Roman" w:hAnsi="Times New Roman"/>
          <w:color w:val="000000" w:themeColor="text1"/>
          <w:sz w:val="28"/>
          <w:szCs w:val="28"/>
          <w:lang w:val="uk-UA"/>
        </w:rPr>
        <w:t xml:space="preserve">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r w:rsidRPr="0033186A">
        <w:rPr>
          <w:rFonts w:ascii="Times New Roman" w:hAnsi="Times New Roman"/>
          <w:color w:val="000000" w:themeColor="text1"/>
          <w:sz w:val="28"/>
          <w:szCs w:val="28"/>
          <w:lang w:val="en-US"/>
        </w:rPr>
        <w:t xml:space="preserve"> </w:t>
      </w:r>
      <w:hyperlink r:id="rId28" w:history="1">
        <w:r w:rsidRPr="0033186A">
          <w:rPr>
            <w:rStyle w:val="a5"/>
            <w:rFonts w:ascii="Times New Roman" w:hAnsi="Times New Roman"/>
            <w:color w:val="000000" w:themeColor="text1"/>
            <w:sz w:val="28"/>
            <w:szCs w:val="28"/>
            <w:lang w:val="en-US"/>
          </w:rPr>
          <w:t>https://papers.ssrn.com/sol3/papers.cfm?abstract_id=3593144</w:t>
        </w:r>
      </w:hyperlink>
    </w:p>
    <w:p w14:paraId="15E6D87F" w14:textId="1EEC2EBC" w:rsidR="00C05741" w:rsidRPr="0033186A" w:rsidRDefault="00D6766E" w:rsidP="0033186A">
      <w:pPr>
        <w:spacing w:after="0" w:line="360" w:lineRule="auto"/>
        <w:jc w:val="both"/>
        <w:rPr>
          <w:rFonts w:ascii="Times New Roman" w:hAnsi="Times New Roman"/>
          <w:color w:val="000000" w:themeColor="text1"/>
          <w:sz w:val="28"/>
          <w:szCs w:val="28"/>
          <w:lang w:val="en-US"/>
        </w:rPr>
      </w:pPr>
      <w:r w:rsidRPr="0033186A">
        <w:rPr>
          <w:rFonts w:ascii="Times New Roman" w:hAnsi="Times New Roman"/>
          <w:color w:val="000000" w:themeColor="text1"/>
          <w:sz w:val="28"/>
          <w:szCs w:val="28"/>
          <w:lang w:val="en-US"/>
        </w:rPr>
        <w:t>12.</w:t>
      </w:r>
      <w:r w:rsidRPr="0033186A">
        <w:rPr>
          <w:rFonts w:ascii="Times New Roman" w:hAnsi="Times New Roman"/>
          <w:color w:val="000000" w:themeColor="text1"/>
          <w:sz w:val="28"/>
          <w:szCs w:val="28"/>
          <w:lang w:val="uk-UA"/>
        </w:rPr>
        <w:t xml:space="preserve"> Kevin B. Hendricks</w:t>
      </w:r>
      <w:r w:rsidRPr="0033186A">
        <w:rPr>
          <w:rFonts w:ascii="Times New Roman" w:hAnsi="Times New Roman"/>
          <w:color w:val="000000" w:themeColor="text1"/>
          <w:sz w:val="28"/>
          <w:szCs w:val="28"/>
          <w:lang w:val="en-US"/>
        </w:rPr>
        <w:t>, Brian Jacobs and Vinod R.</w:t>
      </w:r>
      <w:r w:rsidR="00C05741" w:rsidRPr="0033186A">
        <w:rPr>
          <w:rFonts w:ascii="Times New Roman" w:hAnsi="Times New Roman"/>
          <w:color w:val="000000" w:themeColor="text1"/>
          <w:sz w:val="28"/>
          <w:szCs w:val="28"/>
          <w:lang w:val="en-US"/>
        </w:rPr>
        <w:t xml:space="preserve"> (2017)</w:t>
      </w:r>
      <w:r w:rsidR="00BC19AD" w:rsidRPr="0033186A">
        <w:rPr>
          <w:rFonts w:ascii="Times New Roman" w:hAnsi="Times New Roman"/>
          <w:color w:val="000000" w:themeColor="text1"/>
          <w:sz w:val="28"/>
          <w:szCs w:val="28"/>
          <w:lang w:val="en-US"/>
        </w:rPr>
        <w:t>,</w:t>
      </w:r>
      <w:r w:rsidRPr="0033186A">
        <w:rPr>
          <w:rFonts w:ascii="Times New Roman" w:hAnsi="Times New Roman"/>
          <w:color w:val="000000" w:themeColor="text1"/>
          <w:sz w:val="28"/>
          <w:szCs w:val="28"/>
          <w:lang w:val="en-US"/>
        </w:rPr>
        <w:t xml:space="preserve"> Singhal Stock Market Reaction to Supply Chain Disruptions from the 2011 Great East Japan Earthquake</w:t>
      </w:r>
      <w:r w:rsidR="00BC19AD" w:rsidRPr="0033186A">
        <w:rPr>
          <w:rFonts w:ascii="Times New Roman" w:hAnsi="Times New Roman"/>
          <w:color w:val="000000" w:themeColor="text1"/>
          <w:sz w:val="28"/>
          <w:szCs w:val="28"/>
          <w:lang w:val="en-US"/>
        </w:rPr>
        <w:t>//</w:t>
      </w:r>
      <w:r w:rsidR="00BC19AD" w:rsidRPr="0033186A">
        <w:rPr>
          <w:color w:val="000000" w:themeColor="text1"/>
          <w:lang w:val="en-US"/>
        </w:rPr>
        <w:t xml:space="preserve"> </w:t>
      </w:r>
      <w:r w:rsidR="00BC19AD" w:rsidRPr="0033186A">
        <w:rPr>
          <w:rFonts w:ascii="Times New Roman" w:hAnsi="Times New Roman"/>
          <w:color w:val="000000" w:themeColor="text1"/>
          <w:sz w:val="28"/>
          <w:szCs w:val="28"/>
          <w:lang w:val="en-US"/>
        </w:rPr>
        <w:t>Scheller College of Business Research Paper No. 17-18, Available at SSRN</w:t>
      </w:r>
      <w:r w:rsidRPr="0033186A">
        <w:rPr>
          <w:rFonts w:ascii="Times New Roman" w:hAnsi="Times New Roman"/>
          <w:color w:val="000000" w:themeColor="text1"/>
          <w:sz w:val="28"/>
          <w:szCs w:val="28"/>
          <w:lang w:val="en-US"/>
        </w:rPr>
        <w:t xml:space="preserve"> </w:t>
      </w:r>
      <w:r w:rsidRPr="0033186A">
        <w:rPr>
          <w:rFonts w:ascii="Times New Roman" w:hAnsi="Times New Roman"/>
          <w:color w:val="000000" w:themeColor="text1"/>
          <w:sz w:val="28"/>
          <w:szCs w:val="28"/>
          <w:lang w:val="uk-UA"/>
        </w:rPr>
        <w:t xml:space="preserve">[Електронний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r w:rsidRPr="0033186A">
        <w:rPr>
          <w:rFonts w:ascii="Times New Roman" w:hAnsi="Times New Roman"/>
          <w:color w:val="000000" w:themeColor="text1"/>
          <w:sz w:val="28"/>
          <w:szCs w:val="28"/>
          <w:lang w:val="en-US"/>
        </w:rPr>
        <w:t xml:space="preserve"> </w:t>
      </w:r>
      <w:hyperlink r:id="rId29" w:history="1">
        <w:r w:rsidR="00C05741" w:rsidRPr="0033186A">
          <w:rPr>
            <w:rStyle w:val="a5"/>
            <w:rFonts w:ascii="Times New Roman" w:hAnsi="Times New Roman"/>
            <w:color w:val="000000" w:themeColor="text1"/>
            <w:sz w:val="28"/>
            <w:szCs w:val="28"/>
            <w:lang w:val="en-US"/>
          </w:rPr>
          <w:t>https://papers.ssrn.com/sol3/papers.cfm?abstract_id=2959681</w:t>
        </w:r>
      </w:hyperlink>
    </w:p>
    <w:p w14:paraId="758F5AF4" w14:textId="34314ADE" w:rsidR="00D6766E" w:rsidRPr="0033186A" w:rsidRDefault="00D6766E" w:rsidP="0033186A">
      <w:pPr>
        <w:spacing w:after="0" w:line="360" w:lineRule="auto"/>
        <w:jc w:val="both"/>
        <w:rPr>
          <w:rStyle w:val="a5"/>
          <w:rFonts w:ascii="Times New Roman" w:hAnsi="Times New Roman"/>
          <w:color w:val="000000" w:themeColor="text1"/>
          <w:sz w:val="28"/>
          <w:szCs w:val="28"/>
          <w:lang w:val="uk-UA"/>
        </w:rPr>
      </w:pPr>
      <w:r w:rsidRPr="0033186A">
        <w:rPr>
          <w:rFonts w:ascii="Times New Roman" w:eastAsiaTheme="minorEastAsia" w:hAnsi="Times New Roman"/>
          <w:color w:val="000000" w:themeColor="text1"/>
          <w:sz w:val="28"/>
          <w:szCs w:val="28"/>
          <w:lang w:val="en-US" w:eastAsia="ja-JP"/>
        </w:rPr>
        <w:t>13.</w:t>
      </w:r>
      <w:r w:rsidR="00C05741" w:rsidRPr="0033186A">
        <w:rPr>
          <w:rFonts w:ascii="Times New Roman" w:eastAsiaTheme="minorEastAsia" w:hAnsi="Times New Roman"/>
          <w:color w:val="000000" w:themeColor="text1"/>
          <w:sz w:val="28"/>
          <w:szCs w:val="28"/>
          <w:lang w:val="uk-UA" w:eastAsia="ja-JP"/>
        </w:rPr>
        <w:t xml:space="preserve"> Kanaya, Akihiro and Woo, David (2000)</w:t>
      </w:r>
      <w:r w:rsidR="00BC19AD" w:rsidRPr="0033186A">
        <w:rPr>
          <w:rFonts w:ascii="Times New Roman" w:eastAsiaTheme="minorEastAsia" w:hAnsi="Times New Roman"/>
          <w:color w:val="000000" w:themeColor="text1"/>
          <w:sz w:val="28"/>
          <w:szCs w:val="28"/>
          <w:lang w:val="en-US" w:eastAsia="ja-JP"/>
        </w:rPr>
        <w:t>,</w:t>
      </w:r>
      <w:r w:rsidRPr="0033186A">
        <w:rPr>
          <w:rFonts w:ascii="Times New Roman" w:eastAsiaTheme="minorEastAsia" w:hAnsi="Times New Roman"/>
          <w:color w:val="000000" w:themeColor="text1"/>
          <w:sz w:val="28"/>
          <w:szCs w:val="28"/>
          <w:lang w:val="en-US" w:eastAsia="ja-JP"/>
        </w:rPr>
        <w:t xml:space="preserve"> Japanese banking crisis of the 1990</w:t>
      </w:r>
      <w:r w:rsidR="00C05741" w:rsidRPr="0033186A">
        <w:rPr>
          <w:rFonts w:ascii="Times New Roman" w:eastAsiaTheme="minorEastAsia" w:hAnsi="Times New Roman"/>
          <w:color w:val="000000" w:themeColor="text1"/>
          <w:sz w:val="28"/>
          <w:szCs w:val="28"/>
          <w:lang w:val="uk-UA" w:eastAsia="ja-JP"/>
        </w:rPr>
        <w:t xml:space="preserve"> </w:t>
      </w:r>
      <w:r w:rsidR="00C05741" w:rsidRPr="0033186A">
        <w:rPr>
          <w:rFonts w:ascii="Times New Roman" w:eastAsiaTheme="minorEastAsia" w:hAnsi="Times New Roman"/>
          <w:color w:val="000000" w:themeColor="text1"/>
          <w:sz w:val="28"/>
          <w:szCs w:val="28"/>
          <w:lang w:val="en-US" w:eastAsia="ja-JP"/>
        </w:rPr>
        <w:t>sources and lessons</w:t>
      </w:r>
      <w:r w:rsidR="00BC19AD" w:rsidRPr="0033186A">
        <w:rPr>
          <w:color w:val="000000" w:themeColor="text1"/>
          <w:lang w:val="en-US"/>
        </w:rPr>
        <w:t xml:space="preserve"> </w:t>
      </w:r>
      <w:r w:rsidR="00BC19AD" w:rsidRPr="0033186A">
        <w:rPr>
          <w:rFonts w:ascii="Times New Roman" w:eastAsiaTheme="minorEastAsia" w:hAnsi="Times New Roman"/>
          <w:color w:val="000000" w:themeColor="text1"/>
          <w:sz w:val="28"/>
          <w:szCs w:val="28"/>
          <w:lang w:val="en-US" w:eastAsia="ja-JP"/>
        </w:rPr>
        <w:t>// IMF Working Paper</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hyperlink r:id="rId30" w:history="1">
        <w:r w:rsidRPr="0033186A">
          <w:rPr>
            <w:rStyle w:val="a5"/>
            <w:rFonts w:ascii="Times New Roman" w:hAnsi="Times New Roman"/>
            <w:color w:val="000000" w:themeColor="text1"/>
            <w:sz w:val="28"/>
            <w:szCs w:val="28"/>
            <w:lang w:val="uk-UA"/>
          </w:rPr>
          <w:t>https://www.imf.org/external/pubs/ft/wp/2000/wp0007.pdf</w:t>
        </w:r>
      </w:hyperlink>
    </w:p>
    <w:p w14:paraId="272904D8" w14:textId="4E27619B" w:rsidR="0081762D" w:rsidRPr="0033186A" w:rsidRDefault="0081762D" w:rsidP="0033186A">
      <w:pPr>
        <w:spacing w:after="0" w:line="360" w:lineRule="auto"/>
        <w:jc w:val="both"/>
        <w:rPr>
          <w:rFonts w:ascii="Times New Roman" w:hAnsi="Times New Roman"/>
          <w:bCs/>
          <w:color w:val="000000" w:themeColor="text1"/>
          <w:sz w:val="28"/>
          <w:szCs w:val="28"/>
        </w:rPr>
      </w:pPr>
      <w:r w:rsidRPr="0033186A">
        <w:rPr>
          <w:rFonts w:ascii="Times New Roman" w:hAnsi="Times New Roman"/>
          <w:bCs/>
          <w:color w:val="000000" w:themeColor="text1"/>
          <w:sz w:val="28"/>
          <w:szCs w:val="28"/>
          <w:lang w:val="uk-UA"/>
        </w:rPr>
        <w:t xml:space="preserve">14. </w:t>
      </w:r>
      <w:r w:rsidRPr="0033186A">
        <w:rPr>
          <w:rFonts w:ascii="Times New Roman" w:eastAsiaTheme="minorEastAsia" w:hAnsi="Times New Roman"/>
          <w:bCs/>
          <w:color w:val="000000" w:themeColor="text1"/>
          <w:sz w:val="28"/>
          <w:szCs w:val="28"/>
          <w:lang w:val="en-US" w:eastAsia="ja-JP"/>
        </w:rPr>
        <w:t xml:space="preserve">World Bank Open Data. The World Bank. </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r w:rsidRPr="0033186A">
        <w:rPr>
          <w:rFonts w:ascii="Times New Roman" w:eastAsiaTheme="minorEastAsia" w:hAnsi="Times New Roman"/>
          <w:bCs/>
          <w:color w:val="000000" w:themeColor="text1"/>
          <w:sz w:val="28"/>
          <w:szCs w:val="28"/>
          <w:lang w:val="en-US" w:eastAsia="ja-JP"/>
        </w:rPr>
        <w:t>https</w:t>
      </w:r>
      <w:r w:rsidRPr="0033186A">
        <w:rPr>
          <w:rFonts w:ascii="Times New Roman" w:eastAsiaTheme="minorEastAsia" w:hAnsi="Times New Roman"/>
          <w:bCs/>
          <w:color w:val="000000" w:themeColor="text1"/>
          <w:sz w:val="28"/>
          <w:szCs w:val="28"/>
          <w:lang w:eastAsia="ja-JP"/>
        </w:rPr>
        <w:t>://</w:t>
      </w:r>
      <w:r w:rsidRPr="0033186A">
        <w:rPr>
          <w:rFonts w:ascii="Times New Roman" w:eastAsiaTheme="minorEastAsia" w:hAnsi="Times New Roman"/>
          <w:bCs/>
          <w:color w:val="000000" w:themeColor="text1"/>
          <w:sz w:val="28"/>
          <w:szCs w:val="28"/>
          <w:lang w:val="en-US" w:eastAsia="ja-JP"/>
        </w:rPr>
        <w:t>data</w:t>
      </w:r>
      <w:r w:rsidRPr="0033186A">
        <w:rPr>
          <w:rFonts w:ascii="Times New Roman" w:eastAsiaTheme="minorEastAsia" w:hAnsi="Times New Roman"/>
          <w:bCs/>
          <w:color w:val="000000" w:themeColor="text1"/>
          <w:sz w:val="28"/>
          <w:szCs w:val="28"/>
          <w:lang w:eastAsia="ja-JP"/>
        </w:rPr>
        <w:t>.</w:t>
      </w:r>
      <w:r w:rsidRPr="0033186A">
        <w:rPr>
          <w:rFonts w:ascii="Times New Roman" w:eastAsiaTheme="minorEastAsia" w:hAnsi="Times New Roman"/>
          <w:bCs/>
          <w:color w:val="000000" w:themeColor="text1"/>
          <w:sz w:val="28"/>
          <w:szCs w:val="28"/>
          <w:lang w:val="en-US" w:eastAsia="ja-JP"/>
        </w:rPr>
        <w:t>worldbank</w:t>
      </w:r>
      <w:r w:rsidRPr="0033186A">
        <w:rPr>
          <w:rFonts w:ascii="Times New Roman" w:eastAsiaTheme="minorEastAsia" w:hAnsi="Times New Roman"/>
          <w:bCs/>
          <w:color w:val="000000" w:themeColor="text1"/>
          <w:sz w:val="28"/>
          <w:szCs w:val="28"/>
          <w:lang w:eastAsia="ja-JP"/>
        </w:rPr>
        <w:t>.</w:t>
      </w:r>
      <w:r w:rsidRPr="0033186A">
        <w:rPr>
          <w:rFonts w:ascii="Times New Roman" w:eastAsiaTheme="minorEastAsia" w:hAnsi="Times New Roman"/>
          <w:bCs/>
          <w:color w:val="000000" w:themeColor="text1"/>
          <w:sz w:val="28"/>
          <w:szCs w:val="28"/>
          <w:lang w:val="en-US" w:eastAsia="ja-JP"/>
        </w:rPr>
        <w:t>org</w:t>
      </w:r>
      <w:r w:rsidRPr="0033186A">
        <w:rPr>
          <w:rFonts w:ascii="Times New Roman" w:eastAsiaTheme="minorEastAsia" w:hAnsi="Times New Roman"/>
          <w:bCs/>
          <w:color w:val="000000" w:themeColor="text1"/>
          <w:sz w:val="28"/>
          <w:szCs w:val="28"/>
          <w:lang w:eastAsia="ja-JP"/>
        </w:rPr>
        <w:t>/.</w:t>
      </w:r>
    </w:p>
    <w:p w14:paraId="1172A4B2" w14:textId="3502939A" w:rsidR="0081762D" w:rsidRPr="0033186A" w:rsidRDefault="0081762D" w:rsidP="0033186A">
      <w:pPr>
        <w:spacing w:after="0" w:line="360" w:lineRule="auto"/>
        <w:jc w:val="both"/>
        <w:rPr>
          <w:rFonts w:ascii="Times New Roman" w:hAnsi="Times New Roman"/>
          <w:bCs/>
          <w:color w:val="000000" w:themeColor="text1"/>
          <w:sz w:val="28"/>
          <w:szCs w:val="28"/>
        </w:rPr>
      </w:pPr>
      <w:r w:rsidRPr="0033186A">
        <w:rPr>
          <w:rFonts w:ascii="Times New Roman" w:hAnsi="Times New Roman"/>
          <w:bCs/>
          <w:color w:val="000000" w:themeColor="text1"/>
          <w:sz w:val="28"/>
          <w:szCs w:val="28"/>
          <w:lang w:val="uk-UA"/>
        </w:rPr>
        <w:t>15.</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Yahoo</w:t>
      </w:r>
      <w:r w:rsidRPr="0033186A">
        <w:rPr>
          <w:rFonts w:ascii="Times New Roman" w:hAnsi="Times New Roman"/>
          <w:bCs/>
          <w:color w:val="000000" w:themeColor="text1"/>
          <w:sz w:val="28"/>
          <w:szCs w:val="28"/>
        </w:rPr>
        <w:t xml:space="preserve"> </w:t>
      </w:r>
      <w:r w:rsidRPr="0033186A">
        <w:rPr>
          <w:rFonts w:ascii="Times New Roman" w:hAnsi="Times New Roman"/>
          <w:bCs/>
          <w:color w:val="000000" w:themeColor="text1"/>
          <w:sz w:val="28"/>
          <w:szCs w:val="28"/>
          <w:lang w:val="en-US"/>
        </w:rPr>
        <w:t>Finance</w:t>
      </w:r>
      <w:r w:rsidRPr="0033186A">
        <w:rPr>
          <w:rFonts w:ascii="Times New Roman" w:hAnsi="Times New Roman"/>
          <w:bCs/>
          <w:color w:val="000000" w:themeColor="text1"/>
          <w:sz w:val="28"/>
          <w:szCs w:val="28"/>
        </w:rPr>
        <w:t xml:space="preserve"> </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r w:rsidRPr="0033186A">
        <w:rPr>
          <w:rFonts w:ascii="Times New Roman" w:hAnsi="Times New Roman"/>
          <w:bCs/>
          <w:color w:val="000000" w:themeColor="text1"/>
          <w:sz w:val="28"/>
          <w:szCs w:val="28"/>
          <w:lang w:val="en-US"/>
        </w:rPr>
        <w:t>https</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finance</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yahoo</w:t>
      </w:r>
      <w:r w:rsidRPr="0033186A">
        <w:rPr>
          <w:rFonts w:ascii="Times New Roman" w:hAnsi="Times New Roman"/>
          <w:bCs/>
          <w:color w:val="000000" w:themeColor="text1"/>
          <w:sz w:val="28"/>
          <w:szCs w:val="28"/>
        </w:rPr>
        <w:t>.</w:t>
      </w:r>
      <w:r w:rsidRPr="0033186A">
        <w:rPr>
          <w:rFonts w:ascii="Times New Roman" w:hAnsi="Times New Roman"/>
          <w:bCs/>
          <w:color w:val="000000" w:themeColor="text1"/>
          <w:sz w:val="28"/>
          <w:szCs w:val="28"/>
          <w:lang w:val="en-US"/>
        </w:rPr>
        <w:t>com</w:t>
      </w:r>
      <w:r w:rsidRPr="0033186A">
        <w:rPr>
          <w:rFonts w:ascii="Times New Roman" w:hAnsi="Times New Roman"/>
          <w:bCs/>
          <w:color w:val="000000" w:themeColor="text1"/>
          <w:sz w:val="28"/>
          <w:szCs w:val="28"/>
        </w:rPr>
        <w:t>/</w:t>
      </w:r>
    </w:p>
    <w:p w14:paraId="46772813" w14:textId="08691337" w:rsidR="0081762D" w:rsidRPr="0033186A" w:rsidRDefault="0081762D" w:rsidP="0033186A">
      <w:pPr>
        <w:spacing w:after="0" w:line="360" w:lineRule="auto"/>
        <w:jc w:val="both"/>
        <w:rPr>
          <w:rFonts w:ascii="Times New Roman" w:hAnsi="Times New Roman"/>
          <w:bCs/>
          <w:color w:val="000000" w:themeColor="text1"/>
          <w:sz w:val="28"/>
          <w:szCs w:val="28"/>
          <w:lang w:val="uk-UA"/>
        </w:rPr>
      </w:pPr>
      <w:r w:rsidRPr="0033186A">
        <w:rPr>
          <w:rFonts w:ascii="Times New Roman" w:hAnsi="Times New Roman"/>
          <w:bCs/>
          <w:color w:val="000000" w:themeColor="text1"/>
          <w:sz w:val="28"/>
          <w:szCs w:val="28"/>
          <w:lang w:val="uk-UA"/>
        </w:rPr>
        <w:lastRenderedPageBreak/>
        <w:t>16.</w:t>
      </w:r>
      <w:r w:rsidRPr="0033186A">
        <w:rPr>
          <w:rFonts w:ascii="Times New Roman" w:hAnsi="Times New Roman"/>
          <w:bCs/>
          <w:color w:val="000000" w:themeColor="text1"/>
          <w:sz w:val="28"/>
          <w:szCs w:val="28"/>
          <w:lang w:val="en-US"/>
        </w:rPr>
        <w:t>Trading Economics Financial Statistics</w:t>
      </w:r>
      <w:r w:rsidRPr="0033186A">
        <w:rPr>
          <w:rFonts w:ascii="Times New Roman" w:hAnsi="Times New Roman"/>
          <w:bCs/>
          <w:color w:val="000000" w:themeColor="text1"/>
          <w:sz w:val="28"/>
          <w:szCs w:val="28"/>
          <w:lang w:val="uk-UA"/>
        </w:rPr>
        <w:t xml:space="preserve"> </w:t>
      </w:r>
      <w:r w:rsidRPr="0033186A">
        <w:rPr>
          <w:rFonts w:ascii="Times New Roman" w:eastAsiaTheme="minorEastAsia" w:hAnsi="Times New Roman"/>
          <w:bCs/>
          <w:color w:val="000000" w:themeColor="text1"/>
          <w:sz w:val="28"/>
          <w:szCs w:val="28"/>
          <w:lang w:val="en-US" w:eastAsia="ja-JP"/>
        </w:rPr>
        <w:t>[</w:t>
      </w:r>
      <w:r w:rsidRPr="0033186A">
        <w:rPr>
          <w:rFonts w:ascii="Times New Roman" w:eastAsiaTheme="minorEastAsia" w:hAnsi="Times New Roman"/>
          <w:bCs/>
          <w:color w:val="000000" w:themeColor="text1"/>
          <w:sz w:val="28"/>
          <w:szCs w:val="28"/>
          <w:lang w:eastAsia="ja-JP"/>
        </w:rPr>
        <w:t>Електронний</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ресурс</w:t>
      </w:r>
      <w:r w:rsidRPr="0033186A">
        <w:rPr>
          <w:rFonts w:ascii="Times New Roman" w:eastAsiaTheme="minorEastAsia" w:hAnsi="Times New Roman"/>
          <w:bCs/>
          <w:color w:val="000000" w:themeColor="text1"/>
          <w:sz w:val="28"/>
          <w:szCs w:val="28"/>
          <w:lang w:val="en-US" w:eastAsia="ja-JP"/>
        </w:rPr>
        <w:t xml:space="preserve">]. – </w:t>
      </w:r>
      <w:r w:rsidRPr="0033186A">
        <w:rPr>
          <w:rFonts w:ascii="Times New Roman" w:eastAsiaTheme="minorEastAsia" w:hAnsi="Times New Roman"/>
          <w:bCs/>
          <w:color w:val="000000" w:themeColor="text1"/>
          <w:sz w:val="28"/>
          <w:szCs w:val="28"/>
          <w:lang w:eastAsia="ja-JP"/>
        </w:rPr>
        <w:t>Режим</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доступу</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hAnsi="Times New Roman"/>
          <w:bCs/>
          <w:color w:val="000000" w:themeColor="text1"/>
          <w:sz w:val="28"/>
          <w:szCs w:val="28"/>
          <w:lang w:val="en-US"/>
        </w:rPr>
        <w:t xml:space="preserve"> </w:t>
      </w:r>
      <w:hyperlink r:id="rId31" w:history="1">
        <w:r w:rsidR="005052F9" w:rsidRPr="0033186A">
          <w:rPr>
            <w:rStyle w:val="a5"/>
            <w:rFonts w:ascii="Times New Roman" w:hAnsi="Times New Roman"/>
            <w:bCs/>
            <w:color w:val="000000" w:themeColor="text1"/>
            <w:sz w:val="28"/>
            <w:szCs w:val="28"/>
            <w:lang w:val="uk-UA"/>
          </w:rPr>
          <w:t>https://tradingeconomics.com/</w:t>
        </w:r>
      </w:hyperlink>
    </w:p>
    <w:p w14:paraId="4CE37110" w14:textId="2B901195" w:rsidR="005052F9" w:rsidRPr="0033186A" w:rsidRDefault="005052F9" w:rsidP="0033186A">
      <w:pPr>
        <w:spacing w:after="0" w:line="360" w:lineRule="auto"/>
        <w:jc w:val="both"/>
        <w:rPr>
          <w:rFonts w:ascii="Times New Roman" w:hAnsi="Times New Roman"/>
          <w:bCs/>
          <w:color w:val="000000" w:themeColor="text1"/>
          <w:sz w:val="28"/>
          <w:szCs w:val="28"/>
          <w:lang w:val="en-US"/>
        </w:rPr>
      </w:pPr>
      <w:r w:rsidRPr="0033186A">
        <w:rPr>
          <w:rFonts w:ascii="Times New Roman" w:hAnsi="Times New Roman"/>
          <w:bCs/>
          <w:color w:val="000000" w:themeColor="text1"/>
          <w:sz w:val="28"/>
          <w:szCs w:val="28"/>
          <w:lang w:val="en-US"/>
        </w:rPr>
        <w:t>1</w:t>
      </w:r>
      <w:r w:rsidR="00161AB7" w:rsidRPr="0033186A">
        <w:rPr>
          <w:rFonts w:ascii="Times New Roman" w:hAnsi="Times New Roman"/>
          <w:bCs/>
          <w:color w:val="000000" w:themeColor="text1"/>
          <w:sz w:val="28"/>
          <w:szCs w:val="28"/>
          <w:lang w:val="en-US"/>
        </w:rPr>
        <w:t>7</w:t>
      </w:r>
      <w:r w:rsidRPr="0033186A">
        <w:rPr>
          <w:rFonts w:ascii="Times New Roman" w:hAnsi="Times New Roman"/>
          <w:bCs/>
          <w:color w:val="000000" w:themeColor="text1"/>
          <w:sz w:val="28"/>
          <w:szCs w:val="28"/>
          <w:lang w:val="en-US"/>
        </w:rPr>
        <w:t xml:space="preserve">. Ceicdata Accurate macro and micro economic data </w:t>
      </w:r>
      <w:r w:rsidRPr="0033186A">
        <w:rPr>
          <w:rFonts w:ascii="Times New Roman" w:eastAsiaTheme="minorEastAsia" w:hAnsi="Times New Roman"/>
          <w:bCs/>
          <w:color w:val="000000" w:themeColor="text1"/>
          <w:sz w:val="28"/>
          <w:szCs w:val="28"/>
          <w:lang w:val="en-US" w:eastAsia="ja-JP"/>
        </w:rPr>
        <w:t>[</w:t>
      </w:r>
      <w:r w:rsidRPr="0033186A">
        <w:rPr>
          <w:rFonts w:ascii="Times New Roman" w:eastAsiaTheme="minorEastAsia" w:hAnsi="Times New Roman"/>
          <w:bCs/>
          <w:color w:val="000000" w:themeColor="text1"/>
          <w:sz w:val="28"/>
          <w:szCs w:val="28"/>
          <w:lang w:eastAsia="ja-JP"/>
        </w:rPr>
        <w:t>Електронний</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ресурс</w:t>
      </w:r>
      <w:r w:rsidRPr="0033186A">
        <w:rPr>
          <w:rFonts w:ascii="Times New Roman" w:eastAsiaTheme="minorEastAsia" w:hAnsi="Times New Roman"/>
          <w:bCs/>
          <w:color w:val="000000" w:themeColor="text1"/>
          <w:sz w:val="28"/>
          <w:szCs w:val="28"/>
          <w:lang w:val="en-US" w:eastAsia="ja-JP"/>
        </w:rPr>
        <w:t xml:space="preserve">]. – </w:t>
      </w:r>
      <w:r w:rsidRPr="0033186A">
        <w:rPr>
          <w:rFonts w:ascii="Times New Roman" w:eastAsiaTheme="minorEastAsia" w:hAnsi="Times New Roman"/>
          <w:bCs/>
          <w:color w:val="000000" w:themeColor="text1"/>
          <w:sz w:val="28"/>
          <w:szCs w:val="28"/>
          <w:lang w:eastAsia="ja-JP"/>
        </w:rPr>
        <w:t>Режим</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доступу</w:t>
      </w:r>
      <w:r w:rsidRPr="0033186A">
        <w:rPr>
          <w:rFonts w:ascii="Times New Roman" w:eastAsiaTheme="minorEastAsia" w:hAnsi="Times New Roman"/>
          <w:bCs/>
          <w:color w:val="000000" w:themeColor="text1"/>
          <w:sz w:val="28"/>
          <w:szCs w:val="28"/>
          <w:lang w:val="en-US" w:eastAsia="ja-JP"/>
        </w:rPr>
        <w:t>:</w:t>
      </w:r>
      <w:r w:rsidRPr="0033186A">
        <w:rPr>
          <w:rFonts w:ascii="Times New Roman" w:hAnsi="Times New Roman"/>
          <w:bCs/>
          <w:color w:val="000000" w:themeColor="text1"/>
          <w:sz w:val="28"/>
          <w:szCs w:val="28"/>
          <w:lang w:val="en-US"/>
        </w:rPr>
        <w:t xml:space="preserve"> https://www.ceicdata.com/</w:t>
      </w:r>
    </w:p>
    <w:p w14:paraId="4A88FEDA" w14:textId="5F9A5572" w:rsidR="0081762D" w:rsidRPr="0033186A" w:rsidRDefault="0081762D" w:rsidP="0033186A">
      <w:pPr>
        <w:spacing w:after="0" w:line="360" w:lineRule="auto"/>
        <w:jc w:val="both"/>
        <w:rPr>
          <w:rFonts w:ascii="Times New Roman" w:hAnsi="Times New Roman"/>
          <w:bCs/>
          <w:color w:val="000000" w:themeColor="text1"/>
          <w:sz w:val="28"/>
          <w:szCs w:val="28"/>
          <w:lang w:val="en-US"/>
        </w:rPr>
      </w:pPr>
      <w:r w:rsidRPr="0033186A">
        <w:rPr>
          <w:rFonts w:ascii="Times New Roman" w:hAnsi="Times New Roman"/>
          <w:bCs/>
          <w:color w:val="000000" w:themeColor="text1"/>
          <w:sz w:val="28"/>
          <w:szCs w:val="28"/>
          <w:lang w:val="uk-UA"/>
        </w:rPr>
        <w:t>1</w:t>
      </w:r>
      <w:r w:rsidR="00161AB7" w:rsidRPr="0033186A">
        <w:rPr>
          <w:rFonts w:ascii="Times New Roman" w:hAnsi="Times New Roman"/>
          <w:bCs/>
          <w:color w:val="000000" w:themeColor="text1"/>
          <w:sz w:val="28"/>
          <w:szCs w:val="28"/>
        </w:rPr>
        <w:t>8</w:t>
      </w:r>
      <w:r w:rsidRPr="0033186A">
        <w:rPr>
          <w:rFonts w:ascii="Times New Roman" w:hAnsi="Times New Roman"/>
          <w:bCs/>
          <w:color w:val="000000" w:themeColor="text1"/>
          <w:sz w:val="28"/>
          <w:szCs w:val="28"/>
          <w:lang w:val="uk-UA"/>
        </w:rPr>
        <w:t>. Б. Ноздрева Державний борг Японії</w:t>
      </w:r>
      <w:r w:rsidR="00161AB7" w:rsidRPr="0033186A">
        <w:rPr>
          <w:rFonts w:ascii="Times New Roman" w:hAnsi="Times New Roman"/>
          <w:bCs/>
          <w:color w:val="000000" w:themeColor="text1"/>
          <w:sz w:val="28"/>
          <w:szCs w:val="28"/>
        </w:rPr>
        <w:t xml:space="preserve"> (2019)</w:t>
      </w:r>
      <w:r w:rsidRPr="0033186A">
        <w:rPr>
          <w:rFonts w:ascii="Times New Roman" w:hAnsi="Times New Roman"/>
          <w:bCs/>
          <w:color w:val="000000" w:themeColor="text1"/>
          <w:sz w:val="28"/>
          <w:szCs w:val="28"/>
          <w:lang w:val="uk-UA"/>
        </w:rPr>
        <w:t>: аналіз особливостей і оцінка перспектив</w:t>
      </w:r>
      <w:r w:rsidR="00161AB7" w:rsidRPr="0033186A">
        <w:rPr>
          <w:rFonts w:ascii="Times New Roman" w:hAnsi="Times New Roman"/>
          <w:bCs/>
          <w:color w:val="000000" w:themeColor="text1"/>
          <w:sz w:val="28"/>
          <w:szCs w:val="28"/>
        </w:rPr>
        <w:t xml:space="preserve"> “</w:t>
      </w:r>
      <w:r w:rsidR="00161AB7" w:rsidRPr="0033186A">
        <w:rPr>
          <w:color w:val="000000" w:themeColor="text1"/>
        </w:rPr>
        <w:t xml:space="preserve"> </w:t>
      </w:r>
      <w:r w:rsidR="00161AB7" w:rsidRPr="0033186A">
        <w:rPr>
          <w:rFonts w:ascii="Times New Roman" w:hAnsi="Times New Roman"/>
          <w:bCs/>
          <w:color w:val="000000" w:themeColor="text1"/>
          <w:sz w:val="28"/>
          <w:szCs w:val="28"/>
        </w:rPr>
        <w:t xml:space="preserve">Вестник МГИМО-Университета. </w:t>
      </w:r>
      <w:r w:rsidR="00161AB7" w:rsidRPr="0033186A">
        <w:rPr>
          <w:rFonts w:ascii="Times New Roman" w:hAnsi="Times New Roman"/>
          <w:bCs/>
          <w:color w:val="000000" w:themeColor="text1"/>
          <w:sz w:val="28"/>
          <w:szCs w:val="28"/>
          <w:lang w:val="en-US"/>
        </w:rPr>
        <w:t xml:space="preserve">2019. 12(5). </w:t>
      </w:r>
      <w:r w:rsidR="00161AB7" w:rsidRPr="0033186A">
        <w:rPr>
          <w:rFonts w:ascii="Times New Roman" w:hAnsi="Times New Roman"/>
          <w:bCs/>
          <w:color w:val="000000" w:themeColor="text1"/>
          <w:sz w:val="28"/>
          <w:szCs w:val="28"/>
        </w:rPr>
        <w:t>С</w:t>
      </w:r>
      <w:r w:rsidR="00161AB7" w:rsidRPr="0033186A">
        <w:rPr>
          <w:rFonts w:ascii="Times New Roman" w:hAnsi="Times New Roman"/>
          <w:bCs/>
          <w:color w:val="000000" w:themeColor="text1"/>
          <w:sz w:val="28"/>
          <w:szCs w:val="28"/>
          <w:lang w:val="en-US"/>
        </w:rPr>
        <w:t>. 114-133DOI 10.24833/2071-8160-2019-5-68-114-133”</w:t>
      </w:r>
    </w:p>
    <w:p w14:paraId="50B5B899" w14:textId="3A06BF76" w:rsidR="00161AB7" w:rsidRPr="0033186A" w:rsidRDefault="00161AB7" w:rsidP="0033186A">
      <w:pPr>
        <w:spacing w:after="0" w:line="360" w:lineRule="auto"/>
        <w:jc w:val="both"/>
        <w:rPr>
          <w:rFonts w:ascii="Times New Roman" w:eastAsiaTheme="minorEastAsia" w:hAnsi="Times New Roman"/>
          <w:bCs/>
          <w:color w:val="000000" w:themeColor="text1"/>
          <w:sz w:val="28"/>
          <w:szCs w:val="28"/>
          <w:lang w:val="en-US" w:eastAsia="ja-JP"/>
        </w:rPr>
      </w:pPr>
      <w:r w:rsidRPr="0033186A">
        <w:rPr>
          <w:rFonts w:ascii="Times New Roman" w:hAnsi="Times New Roman"/>
          <w:bCs/>
          <w:color w:val="000000" w:themeColor="text1"/>
          <w:sz w:val="28"/>
          <w:szCs w:val="28"/>
          <w:lang w:val="en-US"/>
        </w:rPr>
        <w:t xml:space="preserve">19. </w:t>
      </w:r>
      <w:r w:rsidRPr="0033186A">
        <w:rPr>
          <w:rFonts w:ascii="Times New Roman" w:eastAsiaTheme="minorEastAsia" w:hAnsi="Times New Roman"/>
          <w:bCs/>
          <w:color w:val="000000" w:themeColor="text1"/>
          <w:sz w:val="28"/>
          <w:szCs w:val="28"/>
          <w:lang w:val="en-US" w:eastAsia="ja-JP"/>
        </w:rPr>
        <w:t xml:space="preserve">NHK news chronology COVID-19 in Japan </w:t>
      </w:r>
      <w:r w:rsidR="00B21619" w:rsidRPr="0033186A">
        <w:rPr>
          <w:rFonts w:ascii="Times New Roman" w:eastAsiaTheme="minorEastAsia" w:hAnsi="Times New Roman"/>
          <w:bCs/>
          <w:color w:val="000000" w:themeColor="text1"/>
          <w:sz w:val="28"/>
          <w:szCs w:val="28"/>
          <w:lang w:val="en-US" w:eastAsia="ja-JP"/>
        </w:rPr>
        <w:t>[</w:t>
      </w:r>
      <w:r w:rsidRPr="0033186A">
        <w:rPr>
          <w:rFonts w:ascii="Times New Roman" w:eastAsiaTheme="minorEastAsia" w:hAnsi="Times New Roman"/>
          <w:bCs/>
          <w:color w:val="000000" w:themeColor="text1"/>
          <w:sz w:val="28"/>
          <w:szCs w:val="28"/>
          <w:lang w:eastAsia="ja-JP"/>
        </w:rPr>
        <w:t>Електронний</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ресурс</w:t>
      </w:r>
      <w:r w:rsidRPr="0033186A">
        <w:rPr>
          <w:rFonts w:ascii="Times New Roman" w:eastAsiaTheme="minorEastAsia" w:hAnsi="Times New Roman"/>
          <w:bCs/>
          <w:color w:val="000000" w:themeColor="text1"/>
          <w:sz w:val="28"/>
          <w:szCs w:val="28"/>
          <w:lang w:val="en-US" w:eastAsia="ja-JP"/>
        </w:rPr>
        <w:t xml:space="preserve">]. – </w:t>
      </w:r>
      <w:r w:rsidRPr="0033186A">
        <w:rPr>
          <w:rFonts w:ascii="Times New Roman" w:eastAsiaTheme="minorEastAsia" w:hAnsi="Times New Roman"/>
          <w:bCs/>
          <w:color w:val="000000" w:themeColor="text1"/>
          <w:sz w:val="28"/>
          <w:szCs w:val="28"/>
          <w:lang w:eastAsia="ja-JP"/>
        </w:rPr>
        <w:t>Режим</w:t>
      </w:r>
      <w:r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eastAsia="ja-JP"/>
        </w:rPr>
        <w:t>доступу</w:t>
      </w:r>
      <w:r w:rsidRPr="0033186A">
        <w:rPr>
          <w:rFonts w:ascii="Times New Roman" w:eastAsiaTheme="minorEastAsia" w:hAnsi="Times New Roman"/>
          <w:bCs/>
          <w:color w:val="000000" w:themeColor="text1"/>
          <w:sz w:val="28"/>
          <w:szCs w:val="28"/>
          <w:lang w:val="en-US" w:eastAsia="ja-JP"/>
        </w:rPr>
        <w:t>:https://www3.nhk.or.jp/news/special/coronavirus/chronology/?mode=all&amp;target=202011</w:t>
      </w:r>
    </w:p>
    <w:p w14:paraId="181BB445" w14:textId="61F83148" w:rsidR="00161AB7" w:rsidRPr="0033186A" w:rsidRDefault="00161AB7" w:rsidP="0033186A">
      <w:pPr>
        <w:spacing w:after="0" w:line="360" w:lineRule="auto"/>
        <w:jc w:val="both"/>
        <w:rPr>
          <w:rFonts w:ascii="Times New Roman" w:eastAsiaTheme="minorEastAsia" w:hAnsi="Times New Roman"/>
          <w:bCs/>
          <w:color w:val="000000" w:themeColor="text1"/>
          <w:sz w:val="28"/>
          <w:szCs w:val="28"/>
          <w:lang w:val="en-US" w:eastAsia="ja-JP"/>
        </w:rPr>
      </w:pPr>
      <w:r w:rsidRPr="0033186A">
        <w:rPr>
          <w:rFonts w:ascii="Times New Roman" w:eastAsiaTheme="minorEastAsia" w:hAnsi="Times New Roman"/>
          <w:bCs/>
          <w:color w:val="000000" w:themeColor="text1"/>
          <w:sz w:val="28"/>
          <w:szCs w:val="28"/>
          <w:lang w:val="en-US" w:eastAsia="ja-JP"/>
        </w:rPr>
        <w:t xml:space="preserve">20. </w:t>
      </w:r>
      <w:r w:rsidR="00B21619" w:rsidRPr="0033186A">
        <w:rPr>
          <w:rFonts w:ascii="Times New Roman" w:eastAsiaTheme="minorEastAsia" w:hAnsi="Times New Roman"/>
          <w:bCs/>
          <w:color w:val="000000" w:themeColor="text1"/>
          <w:sz w:val="28"/>
          <w:szCs w:val="28"/>
          <w:lang w:val="en-US" w:eastAsia="ja-JP"/>
        </w:rPr>
        <w:t>Japanese Institution’s response to COVID-19 [</w:t>
      </w:r>
      <w:r w:rsidR="00B21619" w:rsidRPr="0033186A">
        <w:rPr>
          <w:rFonts w:ascii="Times New Roman" w:eastAsiaTheme="minorEastAsia" w:hAnsi="Times New Roman"/>
          <w:bCs/>
          <w:color w:val="000000" w:themeColor="text1"/>
          <w:sz w:val="28"/>
          <w:szCs w:val="28"/>
          <w:lang w:eastAsia="ja-JP"/>
        </w:rPr>
        <w:t>Електронний</w:t>
      </w:r>
      <w:r w:rsidR="00B21619" w:rsidRPr="0033186A">
        <w:rPr>
          <w:rFonts w:ascii="Times New Roman" w:eastAsiaTheme="minorEastAsia" w:hAnsi="Times New Roman"/>
          <w:bCs/>
          <w:color w:val="000000" w:themeColor="text1"/>
          <w:sz w:val="28"/>
          <w:szCs w:val="28"/>
          <w:lang w:val="en-US" w:eastAsia="ja-JP"/>
        </w:rPr>
        <w:t xml:space="preserve"> </w:t>
      </w:r>
      <w:r w:rsidR="00B21619" w:rsidRPr="0033186A">
        <w:rPr>
          <w:rFonts w:ascii="Times New Roman" w:eastAsiaTheme="minorEastAsia" w:hAnsi="Times New Roman"/>
          <w:bCs/>
          <w:color w:val="000000" w:themeColor="text1"/>
          <w:sz w:val="28"/>
          <w:szCs w:val="28"/>
          <w:lang w:eastAsia="ja-JP"/>
        </w:rPr>
        <w:t>ресурс</w:t>
      </w:r>
      <w:r w:rsidR="00B21619" w:rsidRPr="0033186A">
        <w:rPr>
          <w:rFonts w:ascii="Times New Roman" w:eastAsiaTheme="minorEastAsia" w:hAnsi="Times New Roman"/>
          <w:bCs/>
          <w:color w:val="000000" w:themeColor="text1"/>
          <w:sz w:val="28"/>
          <w:szCs w:val="28"/>
          <w:lang w:val="en-US" w:eastAsia="ja-JP"/>
        </w:rPr>
        <w:t xml:space="preserve">]. – </w:t>
      </w:r>
      <w:r w:rsidR="00B21619" w:rsidRPr="0033186A">
        <w:rPr>
          <w:rFonts w:ascii="Times New Roman" w:eastAsiaTheme="minorEastAsia" w:hAnsi="Times New Roman"/>
          <w:bCs/>
          <w:color w:val="000000" w:themeColor="text1"/>
          <w:sz w:val="28"/>
          <w:szCs w:val="28"/>
          <w:lang w:eastAsia="ja-JP"/>
        </w:rPr>
        <w:t>Режим</w:t>
      </w:r>
      <w:r w:rsidR="00B21619" w:rsidRPr="0033186A">
        <w:rPr>
          <w:rFonts w:ascii="Times New Roman" w:eastAsiaTheme="minorEastAsia" w:hAnsi="Times New Roman"/>
          <w:bCs/>
          <w:color w:val="000000" w:themeColor="text1"/>
          <w:sz w:val="28"/>
          <w:szCs w:val="28"/>
          <w:lang w:val="en-US" w:eastAsia="ja-JP"/>
        </w:rPr>
        <w:t xml:space="preserve"> </w:t>
      </w:r>
      <w:r w:rsidR="00B21619" w:rsidRPr="0033186A">
        <w:rPr>
          <w:rFonts w:ascii="Times New Roman" w:eastAsiaTheme="minorEastAsia" w:hAnsi="Times New Roman"/>
          <w:bCs/>
          <w:color w:val="000000" w:themeColor="text1"/>
          <w:sz w:val="28"/>
          <w:szCs w:val="28"/>
          <w:lang w:eastAsia="ja-JP"/>
        </w:rPr>
        <w:t>доступу</w:t>
      </w:r>
      <w:r w:rsidR="00B21619" w:rsidRPr="0033186A">
        <w:rPr>
          <w:rFonts w:ascii="Times New Roman" w:eastAsiaTheme="minorEastAsia" w:hAnsi="Times New Roman"/>
          <w:bCs/>
          <w:color w:val="000000" w:themeColor="text1"/>
          <w:sz w:val="28"/>
          <w:szCs w:val="28"/>
          <w:lang w:val="en-US" w:eastAsia="ja-JP"/>
        </w:rPr>
        <w:t xml:space="preserve">: </w:t>
      </w:r>
      <w:hyperlink r:id="rId32" w:history="1">
        <w:r w:rsidR="008C20C9" w:rsidRPr="0033186A">
          <w:rPr>
            <w:rStyle w:val="a5"/>
            <w:rFonts w:ascii="Times New Roman" w:eastAsiaTheme="minorEastAsia" w:hAnsi="Times New Roman"/>
            <w:bCs/>
            <w:color w:val="000000" w:themeColor="text1"/>
            <w:sz w:val="28"/>
            <w:szCs w:val="28"/>
            <w:lang w:val="en-US" w:eastAsia="ja-JP"/>
          </w:rPr>
          <w:t>https://home.kpmg/xx/en/home/insights/2020/04/japan-government-and-institution-measures-in-response-to-covid.html</w:t>
        </w:r>
      </w:hyperlink>
    </w:p>
    <w:p w14:paraId="75712864" w14:textId="24C00AD8" w:rsidR="008C20C9" w:rsidRPr="0033186A" w:rsidRDefault="008C20C9" w:rsidP="0033186A">
      <w:pPr>
        <w:spacing w:after="0" w:line="360" w:lineRule="auto"/>
        <w:jc w:val="both"/>
        <w:rPr>
          <w:rFonts w:ascii="Times New Roman" w:eastAsiaTheme="minorEastAsia" w:hAnsi="Times New Roman"/>
          <w:bCs/>
          <w:color w:val="000000" w:themeColor="text1"/>
          <w:sz w:val="28"/>
          <w:szCs w:val="28"/>
          <w:lang w:val="en-US" w:eastAsia="ja-JP"/>
        </w:rPr>
      </w:pPr>
      <w:r w:rsidRPr="0033186A">
        <w:rPr>
          <w:rFonts w:ascii="Times New Roman" w:eastAsiaTheme="minorEastAsia" w:hAnsi="Times New Roman"/>
          <w:bCs/>
          <w:color w:val="000000" w:themeColor="text1"/>
          <w:sz w:val="28"/>
          <w:szCs w:val="28"/>
          <w:lang w:val="uk-UA" w:eastAsia="ja-JP"/>
        </w:rPr>
        <w:t xml:space="preserve">21. </w:t>
      </w:r>
      <w:r w:rsidR="005D701A" w:rsidRPr="0033186A">
        <w:rPr>
          <w:rFonts w:ascii="Times New Roman" w:eastAsiaTheme="minorEastAsia" w:hAnsi="Times New Roman"/>
          <w:bCs/>
          <w:color w:val="000000" w:themeColor="text1"/>
          <w:sz w:val="28"/>
          <w:szCs w:val="28"/>
          <w:lang w:val="uk-UA" w:eastAsia="ja-JP"/>
        </w:rPr>
        <w:t xml:space="preserve">Yasushi Hamao, Takeo Hoshi, Tetsuji Okazaki (2005)  The Genesis and the Development of the Pre-war Japanese Stock Market, Published in "Economic Review (Keizai Kenkyu)" </w:t>
      </w:r>
      <w:r w:rsidR="005D701A" w:rsidRPr="0033186A">
        <w:rPr>
          <w:rFonts w:ascii="Times New Roman" w:eastAsiaTheme="minorEastAsia" w:hAnsi="Times New Roman"/>
          <w:bCs/>
          <w:color w:val="000000" w:themeColor="text1"/>
          <w:sz w:val="28"/>
          <w:szCs w:val="28"/>
          <w:lang w:val="en-US" w:eastAsia="ja-JP"/>
        </w:rPr>
        <w:t>[</w:t>
      </w:r>
      <w:r w:rsidR="005D701A" w:rsidRPr="0033186A">
        <w:rPr>
          <w:rFonts w:ascii="Times New Roman" w:eastAsiaTheme="minorEastAsia" w:hAnsi="Times New Roman"/>
          <w:bCs/>
          <w:color w:val="000000" w:themeColor="text1"/>
          <w:sz w:val="28"/>
          <w:szCs w:val="28"/>
          <w:lang w:eastAsia="ja-JP"/>
        </w:rPr>
        <w:t>Електронний</w:t>
      </w:r>
      <w:r w:rsidR="005D701A" w:rsidRPr="0033186A">
        <w:rPr>
          <w:rFonts w:ascii="Times New Roman" w:eastAsiaTheme="minorEastAsia" w:hAnsi="Times New Roman"/>
          <w:bCs/>
          <w:color w:val="000000" w:themeColor="text1"/>
          <w:sz w:val="28"/>
          <w:szCs w:val="28"/>
          <w:lang w:val="en-US" w:eastAsia="ja-JP"/>
        </w:rPr>
        <w:t xml:space="preserve"> </w:t>
      </w:r>
      <w:r w:rsidR="005D701A" w:rsidRPr="0033186A">
        <w:rPr>
          <w:rFonts w:ascii="Times New Roman" w:eastAsiaTheme="minorEastAsia" w:hAnsi="Times New Roman"/>
          <w:bCs/>
          <w:color w:val="000000" w:themeColor="text1"/>
          <w:sz w:val="28"/>
          <w:szCs w:val="28"/>
          <w:lang w:eastAsia="ja-JP"/>
        </w:rPr>
        <w:t>ресурс</w:t>
      </w:r>
      <w:r w:rsidR="005D701A" w:rsidRPr="0033186A">
        <w:rPr>
          <w:rFonts w:ascii="Times New Roman" w:eastAsiaTheme="minorEastAsia" w:hAnsi="Times New Roman"/>
          <w:bCs/>
          <w:color w:val="000000" w:themeColor="text1"/>
          <w:sz w:val="28"/>
          <w:szCs w:val="28"/>
          <w:lang w:val="en-US" w:eastAsia="ja-JP"/>
        </w:rPr>
        <w:t xml:space="preserve">]. – </w:t>
      </w:r>
      <w:r w:rsidR="005D701A" w:rsidRPr="0033186A">
        <w:rPr>
          <w:rFonts w:ascii="Times New Roman" w:eastAsiaTheme="minorEastAsia" w:hAnsi="Times New Roman"/>
          <w:bCs/>
          <w:color w:val="000000" w:themeColor="text1"/>
          <w:sz w:val="28"/>
          <w:szCs w:val="28"/>
          <w:lang w:eastAsia="ja-JP"/>
        </w:rPr>
        <w:t>Режим</w:t>
      </w:r>
      <w:r w:rsidR="005D701A" w:rsidRPr="0033186A">
        <w:rPr>
          <w:rFonts w:ascii="Times New Roman" w:eastAsiaTheme="minorEastAsia" w:hAnsi="Times New Roman"/>
          <w:bCs/>
          <w:color w:val="000000" w:themeColor="text1"/>
          <w:sz w:val="28"/>
          <w:szCs w:val="28"/>
          <w:lang w:val="en-US" w:eastAsia="ja-JP"/>
        </w:rPr>
        <w:t xml:space="preserve"> </w:t>
      </w:r>
      <w:r w:rsidR="005D701A" w:rsidRPr="0033186A">
        <w:rPr>
          <w:rFonts w:ascii="Times New Roman" w:eastAsiaTheme="minorEastAsia" w:hAnsi="Times New Roman"/>
          <w:bCs/>
          <w:color w:val="000000" w:themeColor="text1"/>
          <w:sz w:val="28"/>
          <w:szCs w:val="28"/>
          <w:lang w:eastAsia="ja-JP"/>
        </w:rPr>
        <w:t>доступу</w:t>
      </w:r>
      <w:r w:rsidR="005D701A" w:rsidRPr="0033186A">
        <w:rPr>
          <w:rFonts w:ascii="Times New Roman" w:eastAsiaTheme="minorEastAsia" w:hAnsi="Times New Roman"/>
          <w:bCs/>
          <w:color w:val="000000" w:themeColor="text1"/>
          <w:sz w:val="28"/>
          <w:szCs w:val="28"/>
          <w:lang w:val="en-US" w:eastAsia="ja-JP"/>
        </w:rPr>
        <w:t>:</w:t>
      </w:r>
      <w:r w:rsidR="005D701A" w:rsidRPr="0033186A">
        <w:rPr>
          <w:rFonts w:ascii="Times New Roman" w:eastAsiaTheme="minorEastAsia" w:hAnsi="Times New Roman"/>
          <w:bCs/>
          <w:color w:val="000000" w:themeColor="text1"/>
          <w:sz w:val="28"/>
          <w:szCs w:val="28"/>
          <w:lang w:val="uk-UA" w:eastAsia="ja-JP"/>
        </w:rPr>
        <w:t xml:space="preserve"> </w:t>
      </w:r>
      <w:hyperlink r:id="rId33" w:history="1">
        <w:r w:rsidR="005D701A" w:rsidRPr="0033186A">
          <w:rPr>
            <w:rStyle w:val="a5"/>
            <w:rFonts w:ascii="Times New Roman" w:eastAsiaTheme="minorEastAsia" w:hAnsi="Times New Roman"/>
            <w:bCs/>
            <w:color w:val="000000" w:themeColor="text1"/>
            <w:sz w:val="28"/>
            <w:szCs w:val="28"/>
            <w:lang w:val="en-US" w:eastAsia="ja-JP"/>
          </w:rPr>
          <w:t>https://www.researchgate.net/publication/46444495_The_Genesis_and_the_Development_of_the_Pre-war_Japanese_Stock_Market_Published_in_Economic_Review_Keizai_Kenkyu_January_2005_v_56_iss_1_pp_15-29</w:t>
        </w:r>
      </w:hyperlink>
    </w:p>
    <w:p w14:paraId="0AC09EAF" w14:textId="53586F8B" w:rsidR="009E3064" w:rsidRPr="0033186A" w:rsidRDefault="009E3064" w:rsidP="0033186A">
      <w:pPr>
        <w:spacing w:after="0" w:line="360" w:lineRule="auto"/>
        <w:jc w:val="both"/>
        <w:rPr>
          <w:rFonts w:ascii="Times New Roman" w:eastAsiaTheme="minorEastAsia" w:hAnsi="Times New Roman"/>
          <w:bCs/>
          <w:color w:val="000000" w:themeColor="text1"/>
          <w:sz w:val="28"/>
          <w:szCs w:val="28"/>
          <w:lang w:eastAsia="ja-JP"/>
        </w:rPr>
      </w:pPr>
      <w:r w:rsidRPr="0033186A">
        <w:rPr>
          <w:rFonts w:ascii="Times New Roman" w:eastAsiaTheme="minorEastAsia" w:hAnsi="Times New Roman"/>
          <w:bCs/>
          <w:color w:val="000000" w:themeColor="text1"/>
          <w:sz w:val="28"/>
          <w:szCs w:val="28"/>
          <w:lang w:eastAsia="ja-JP"/>
        </w:rPr>
        <w:t xml:space="preserve">22. </w:t>
      </w:r>
      <w:r w:rsidRPr="0033186A">
        <w:rPr>
          <w:rFonts w:ascii="Times New Roman" w:eastAsiaTheme="minorEastAsia" w:hAnsi="Times New Roman"/>
          <w:bCs/>
          <w:color w:val="000000" w:themeColor="text1"/>
          <w:sz w:val="28"/>
          <w:szCs w:val="28"/>
          <w:lang w:val="en-US" w:eastAsia="ja-JP"/>
        </w:rPr>
        <w:t>Keiretsu</w:t>
      </w:r>
      <w:r w:rsidRPr="0033186A">
        <w:rPr>
          <w:rFonts w:ascii="Times New Roman" w:eastAsiaTheme="minorEastAsia" w:hAnsi="Times New Roman"/>
          <w:bCs/>
          <w:color w:val="000000" w:themeColor="text1"/>
          <w:sz w:val="28"/>
          <w:szCs w:val="28"/>
          <w:lang w:eastAsia="ja-JP"/>
        </w:rPr>
        <w:t xml:space="preserve"> </w:t>
      </w:r>
      <w:r w:rsidRPr="0033186A">
        <w:rPr>
          <w:rFonts w:ascii="Times New Roman" w:eastAsiaTheme="minorEastAsia" w:hAnsi="Times New Roman"/>
          <w:bCs/>
          <w:color w:val="000000" w:themeColor="text1"/>
          <w:sz w:val="28"/>
          <w:szCs w:val="28"/>
          <w:lang w:val="en-US" w:eastAsia="ja-JP"/>
        </w:rPr>
        <w:t>structure</w:t>
      </w:r>
      <w:r w:rsidRPr="0033186A">
        <w:rPr>
          <w:rFonts w:ascii="Times New Roman" w:eastAsiaTheme="minorEastAsia" w:hAnsi="Times New Roman"/>
          <w:bCs/>
          <w:color w:val="000000" w:themeColor="text1"/>
          <w:sz w:val="28"/>
          <w:szCs w:val="28"/>
          <w:lang w:eastAsia="ja-JP"/>
        </w:rPr>
        <w:t xml:space="preserve"> [Електронний ресурс]. – Режим доступу:  </w:t>
      </w:r>
      <w:hyperlink r:id="rId34" w:history="1">
        <w:r w:rsidRPr="0033186A">
          <w:rPr>
            <w:rStyle w:val="a5"/>
            <w:rFonts w:ascii="Times New Roman" w:eastAsiaTheme="minorEastAsia" w:hAnsi="Times New Roman"/>
            <w:bCs/>
            <w:color w:val="000000" w:themeColor="text1"/>
            <w:sz w:val="28"/>
            <w:szCs w:val="28"/>
            <w:lang w:val="en-US" w:eastAsia="ja-JP"/>
          </w:rPr>
          <w:t>https</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www</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researchgate</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net</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figure</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Simplified</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structure</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of</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horizontal</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banking</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keiretsu</w:t>
        </w:r>
        <w:r w:rsidRPr="0033186A">
          <w:rPr>
            <w:rStyle w:val="a5"/>
            <w:rFonts w:ascii="Times New Roman" w:eastAsiaTheme="minorEastAsia" w:hAnsi="Times New Roman"/>
            <w:bCs/>
            <w:color w:val="000000" w:themeColor="text1"/>
            <w:sz w:val="28"/>
            <w:szCs w:val="28"/>
            <w:lang w:eastAsia="ja-JP"/>
          </w:rPr>
          <w:t>_</w:t>
        </w:r>
        <w:r w:rsidRPr="0033186A">
          <w:rPr>
            <w:rStyle w:val="a5"/>
            <w:rFonts w:ascii="Times New Roman" w:eastAsiaTheme="minorEastAsia" w:hAnsi="Times New Roman"/>
            <w:bCs/>
            <w:color w:val="000000" w:themeColor="text1"/>
            <w:sz w:val="28"/>
            <w:szCs w:val="28"/>
            <w:lang w:val="en-US" w:eastAsia="ja-JP"/>
          </w:rPr>
          <w:t>fig</w:t>
        </w:r>
        <w:r w:rsidRPr="0033186A">
          <w:rPr>
            <w:rStyle w:val="a5"/>
            <w:rFonts w:ascii="Times New Roman" w:eastAsiaTheme="minorEastAsia" w:hAnsi="Times New Roman"/>
            <w:bCs/>
            <w:color w:val="000000" w:themeColor="text1"/>
            <w:sz w:val="28"/>
            <w:szCs w:val="28"/>
            <w:lang w:eastAsia="ja-JP"/>
          </w:rPr>
          <w:t>1_216070886</w:t>
        </w:r>
      </w:hyperlink>
    </w:p>
    <w:p w14:paraId="5E6F99BD" w14:textId="02BCC436" w:rsidR="008C20C9" w:rsidRPr="0033186A" w:rsidRDefault="00F30959" w:rsidP="0033186A">
      <w:pPr>
        <w:spacing w:after="0" w:line="360" w:lineRule="auto"/>
        <w:jc w:val="both"/>
        <w:rPr>
          <w:rFonts w:ascii="Times New Roman" w:eastAsiaTheme="minorEastAsia" w:hAnsi="Times New Roman"/>
          <w:bCs/>
          <w:color w:val="000000" w:themeColor="text1"/>
          <w:sz w:val="28"/>
          <w:szCs w:val="28"/>
          <w:lang w:val="en-US" w:eastAsia="ja-JP"/>
        </w:rPr>
      </w:pPr>
      <w:r w:rsidRPr="0033186A">
        <w:rPr>
          <w:rFonts w:ascii="Times New Roman" w:eastAsiaTheme="minorEastAsia" w:hAnsi="Times New Roman"/>
          <w:bCs/>
          <w:color w:val="000000" w:themeColor="text1"/>
          <w:sz w:val="28"/>
          <w:szCs w:val="28"/>
          <w:lang w:val="uk-UA" w:eastAsia="ja-JP"/>
        </w:rPr>
        <w:t>2</w:t>
      </w:r>
      <w:r w:rsidR="009E3064" w:rsidRPr="0033186A">
        <w:rPr>
          <w:rFonts w:ascii="Times New Roman" w:eastAsiaTheme="minorEastAsia" w:hAnsi="Times New Roman"/>
          <w:bCs/>
          <w:color w:val="000000" w:themeColor="text1"/>
          <w:sz w:val="28"/>
          <w:szCs w:val="28"/>
          <w:lang w:val="uk-UA" w:eastAsia="ja-JP"/>
        </w:rPr>
        <w:t>3</w:t>
      </w:r>
      <w:r w:rsidRPr="0033186A">
        <w:rPr>
          <w:rFonts w:ascii="Times New Roman" w:eastAsiaTheme="minorEastAsia" w:hAnsi="Times New Roman"/>
          <w:bCs/>
          <w:color w:val="000000" w:themeColor="text1"/>
          <w:sz w:val="28"/>
          <w:szCs w:val="28"/>
          <w:lang w:val="uk-UA" w:eastAsia="ja-JP"/>
        </w:rPr>
        <w:t xml:space="preserve">. </w:t>
      </w:r>
      <w:r w:rsidR="003C3BF5" w:rsidRPr="0033186A">
        <w:rPr>
          <w:rFonts w:ascii="Times New Roman" w:eastAsiaTheme="minorEastAsia" w:hAnsi="Times New Roman"/>
          <w:bCs/>
          <w:color w:val="000000" w:themeColor="text1"/>
          <w:sz w:val="28"/>
          <w:szCs w:val="28"/>
          <w:lang w:val="en-US" w:eastAsia="ja-JP"/>
        </w:rPr>
        <w:t>Mitsubishi Share-related Information [</w:t>
      </w:r>
      <w:r w:rsidR="003C3BF5" w:rsidRPr="0033186A">
        <w:rPr>
          <w:rFonts w:ascii="Times New Roman" w:eastAsiaTheme="minorEastAsia" w:hAnsi="Times New Roman"/>
          <w:bCs/>
          <w:color w:val="000000" w:themeColor="text1"/>
          <w:sz w:val="28"/>
          <w:szCs w:val="28"/>
          <w:lang w:eastAsia="ja-JP"/>
        </w:rPr>
        <w:t>Електронний</w:t>
      </w:r>
      <w:r w:rsidR="003C3BF5" w:rsidRPr="0033186A">
        <w:rPr>
          <w:rFonts w:ascii="Times New Roman" w:eastAsiaTheme="minorEastAsia" w:hAnsi="Times New Roman"/>
          <w:bCs/>
          <w:color w:val="000000" w:themeColor="text1"/>
          <w:sz w:val="28"/>
          <w:szCs w:val="28"/>
          <w:lang w:val="en-US" w:eastAsia="ja-JP"/>
        </w:rPr>
        <w:t xml:space="preserve"> </w:t>
      </w:r>
      <w:r w:rsidR="003C3BF5" w:rsidRPr="0033186A">
        <w:rPr>
          <w:rFonts w:ascii="Times New Roman" w:eastAsiaTheme="minorEastAsia" w:hAnsi="Times New Roman"/>
          <w:bCs/>
          <w:color w:val="000000" w:themeColor="text1"/>
          <w:sz w:val="28"/>
          <w:szCs w:val="28"/>
          <w:lang w:eastAsia="ja-JP"/>
        </w:rPr>
        <w:t>ресурс</w:t>
      </w:r>
      <w:r w:rsidR="003C3BF5" w:rsidRPr="0033186A">
        <w:rPr>
          <w:rFonts w:ascii="Times New Roman" w:eastAsiaTheme="minorEastAsia" w:hAnsi="Times New Roman"/>
          <w:bCs/>
          <w:color w:val="000000" w:themeColor="text1"/>
          <w:sz w:val="28"/>
          <w:szCs w:val="28"/>
          <w:lang w:val="en-US" w:eastAsia="ja-JP"/>
        </w:rPr>
        <w:t xml:space="preserve">]. – </w:t>
      </w:r>
      <w:r w:rsidR="003C3BF5" w:rsidRPr="0033186A">
        <w:rPr>
          <w:rFonts w:ascii="Times New Roman" w:eastAsiaTheme="minorEastAsia" w:hAnsi="Times New Roman"/>
          <w:bCs/>
          <w:color w:val="000000" w:themeColor="text1"/>
          <w:sz w:val="28"/>
          <w:szCs w:val="28"/>
          <w:lang w:eastAsia="ja-JP"/>
        </w:rPr>
        <w:t>Режим</w:t>
      </w:r>
      <w:r w:rsidR="003C3BF5" w:rsidRPr="0033186A">
        <w:rPr>
          <w:rFonts w:ascii="Times New Roman" w:eastAsiaTheme="minorEastAsia" w:hAnsi="Times New Roman"/>
          <w:bCs/>
          <w:color w:val="000000" w:themeColor="text1"/>
          <w:sz w:val="28"/>
          <w:szCs w:val="28"/>
          <w:lang w:val="en-US" w:eastAsia="ja-JP"/>
        </w:rPr>
        <w:t xml:space="preserve"> </w:t>
      </w:r>
      <w:r w:rsidR="003C3BF5" w:rsidRPr="0033186A">
        <w:rPr>
          <w:rFonts w:ascii="Times New Roman" w:eastAsiaTheme="minorEastAsia" w:hAnsi="Times New Roman"/>
          <w:bCs/>
          <w:color w:val="000000" w:themeColor="text1"/>
          <w:sz w:val="28"/>
          <w:szCs w:val="28"/>
          <w:lang w:eastAsia="ja-JP"/>
        </w:rPr>
        <w:t>доступу</w:t>
      </w:r>
      <w:r w:rsidR="003C3BF5" w:rsidRPr="0033186A">
        <w:rPr>
          <w:rFonts w:ascii="Times New Roman" w:eastAsiaTheme="minorEastAsia" w:hAnsi="Times New Roman"/>
          <w:bCs/>
          <w:color w:val="000000" w:themeColor="text1"/>
          <w:sz w:val="28"/>
          <w:szCs w:val="28"/>
          <w:lang w:val="en-US" w:eastAsia="ja-JP"/>
        </w:rPr>
        <w:t xml:space="preserve">: </w:t>
      </w:r>
      <w:hyperlink r:id="rId35" w:history="1">
        <w:r w:rsidR="003C3BF5" w:rsidRPr="0033186A">
          <w:rPr>
            <w:rStyle w:val="a5"/>
            <w:rFonts w:ascii="Times New Roman" w:eastAsiaTheme="minorEastAsia" w:hAnsi="Times New Roman"/>
            <w:bCs/>
            <w:color w:val="000000" w:themeColor="text1"/>
            <w:sz w:val="28"/>
            <w:szCs w:val="28"/>
            <w:lang w:val="en-US" w:eastAsia="ja-JP"/>
          </w:rPr>
          <w:t>https://www.mitsubishicorp.com/jp/en/ir/adr/stock/</w:t>
        </w:r>
      </w:hyperlink>
    </w:p>
    <w:p w14:paraId="3472AD69" w14:textId="445FBEC5" w:rsidR="00F206D6" w:rsidRPr="0033186A" w:rsidRDefault="00F206D6"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2</w:t>
      </w:r>
      <w:r w:rsidR="009E3064" w:rsidRPr="0033186A">
        <w:rPr>
          <w:rFonts w:ascii="Times New Roman" w:eastAsiaTheme="minorEastAsia" w:hAnsi="Times New Roman"/>
          <w:bCs/>
          <w:color w:val="000000" w:themeColor="text1"/>
          <w:sz w:val="28"/>
          <w:szCs w:val="28"/>
          <w:lang w:val="uk-UA" w:eastAsia="ja-JP"/>
        </w:rPr>
        <w:t>4</w:t>
      </w:r>
      <w:r w:rsidRPr="0033186A">
        <w:rPr>
          <w:rFonts w:ascii="Times New Roman" w:eastAsiaTheme="minorEastAsia" w:hAnsi="Times New Roman"/>
          <w:bCs/>
          <w:color w:val="000000" w:themeColor="text1"/>
          <w:sz w:val="28"/>
          <w:szCs w:val="28"/>
          <w:lang w:val="uk-UA" w:eastAsia="ja-JP"/>
        </w:rPr>
        <w:t xml:space="preserve">. </w:t>
      </w:r>
      <w:r w:rsidRPr="0033186A">
        <w:rPr>
          <w:rFonts w:ascii="Times New Roman" w:hAnsi="Times New Roman"/>
          <w:color w:val="000000" w:themeColor="text1"/>
          <w:sz w:val="28"/>
          <w:szCs w:val="28"/>
          <w:lang w:val="uk-UA"/>
        </w:rPr>
        <w:t xml:space="preserve">Інвестиційний фонд </w:t>
      </w:r>
      <w:r w:rsidRPr="0033186A">
        <w:rPr>
          <w:rFonts w:ascii="Times New Roman" w:eastAsiaTheme="minorEastAsia" w:hAnsi="Times New Roman" w:hint="eastAsia"/>
          <w:color w:val="000000" w:themeColor="text1"/>
          <w:sz w:val="28"/>
          <w:szCs w:val="28"/>
          <w:lang w:val="uk-UA" w:eastAsia="ja-JP"/>
        </w:rPr>
        <w:t>U</w:t>
      </w:r>
      <w:r w:rsidRPr="0033186A">
        <w:rPr>
          <w:rFonts w:ascii="Times New Roman" w:eastAsiaTheme="minorEastAsia" w:hAnsi="Times New Roman"/>
          <w:color w:val="000000" w:themeColor="text1"/>
          <w:sz w:val="28"/>
          <w:szCs w:val="28"/>
          <w:lang w:val="uk-UA" w:eastAsia="ja-JP"/>
        </w:rPr>
        <w:t xml:space="preserve">niver </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r w:rsidRPr="0033186A">
        <w:rPr>
          <w:rFonts w:ascii="Times New Roman" w:eastAsiaTheme="minorEastAsia" w:hAnsi="Times New Roman"/>
          <w:color w:val="000000" w:themeColor="text1"/>
          <w:sz w:val="28"/>
          <w:szCs w:val="28"/>
          <w:lang w:val="uk-UA" w:eastAsia="ja-JP"/>
        </w:rPr>
        <w:t xml:space="preserve"> </w:t>
      </w:r>
      <w:hyperlink r:id="rId36" w:history="1">
        <w:r w:rsidRPr="0033186A">
          <w:rPr>
            <w:rStyle w:val="a5"/>
            <w:rFonts w:ascii="Times New Roman" w:eastAsiaTheme="minorEastAsia" w:hAnsi="Times New Roman"/>
            <w:bCs/>
            <w:color w:val="000000" w:themeColor="text1"/>
            <w:sz w:val="28"/>
            <w:szCs w:val="28"/>
            <w:lang w:val="uk-UA" w:eastAsia="ja-JP"/>
          </w:rPr>
          <w:t>https://www.univer.ua/</w:t>
        </w:r>
      </w:hyperlink>
    </w:p>
    <w:p w14:paraId="40DB9374" w14:textId="592CCF66" w:rsidR="00F206D6" w:rsidRPr="0033186A" w:rsidRDefault="00F206D6"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lastRenderedPageBreak/>
        <w:t>2</w:t>
      </w:r>
      <w:r w:rsidR="009E3064" w:rsidRPr="0033186A">
        <w:rPr>
          <w:rFonts w:ascii="Times New Roman" w:eastAsiaTheme="minorEastAsia" w:hAnsi="Times New Roman"/>
          <w:bCs/>
          <w:color w:val="000000" w:themeColor="text1"/>
          <w:sz w:val="28"/>
          <w:szCs w:val="28"/>
          <w:lang w:val="uk-UA" w:eastAsia="ja-JP"/>
        </w:rPr>
        <w:t>5.</w:t>
      </w:r>
      <w:r w:rsidRPr="0033186A">
        <w:rPr>
          <w:color w:val="000000" w:themeColor="text1"/>
          <w:lang w:val="uk-UA"/>
        </w:rPr>
        <w:t xml:space="preserve"> </w:t>
      </w:r>
      <w:r w:rsidRPr="0033186A">
        <w:rPr>
          <w:rFonts w:ascii="Times New Roman" w:hAnsi="Times New Roman"/>
          <w:color w:val="000000" w:themeColor="text1"/>
          <w:sz w:val="28"/>
          <w:szCs w:val="28"/>
          <w:lang w:val="uk-UA"/>
        </w:rPr>
        <w:t xml:space="preserve">Інвестиційний фонд </w:t>
      </w:r>
      <w:r w:rsidRPr="0033186A">
        <w:rPr>
          <w:rFonts w:ascii="Times New Roman" w:eastAsiaTheme="minorEastAsia" w:hAnsi="Times New Roman" w:hint="eastAsia"/>
          <w:color w:val="000000" w:themeColor="text1"/>
          <w:sz w:val="28"/>
          <w:szCs w:val="28"/>
          <w:lang w:val="uk-UA" w:eastAsia="ja-JP"/>
        </w:rPr>
        <w:t>D</w:t>
      </w:r>
      <w:r w:rsidRPr="0033186A">
        <w:rPr>
          <w:rFonts w:ascii="Times New Roman" w:eastAsiaTheme="minorEastAsia" w:hAnsi="Times New Roman"/>
          <w:color w:val="000000" w:themeColor="text1"/>
          <w:sz w:val="28"/>
          <w:szCs w:val="28"/>
          <w:lang w:val="uk-UA" w:eastAsia="ja-JP"/>
        </w:rPr>
        <w:t>ragon Capital</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r w:rsidRPr="0033186A">
        <w:rPr>
          <w:rFonts w:ascii="Times New Roman" w:hAnsi="Times New Roman"/>
          <w:color w:val="000000" w:themeColor="text1"/>
          <w:sz w:val="28"/>
          <w:szCs w:val="28"/>
          <w:lang w:val="uk-UA"/>
        </w:rPr>
        <w:t xml:space="preserve"> </w:t>
      </w:r>
      <w:hyperlink r:id="rId37" w:history="1">
        <w:r w:rsidRPr="0033186A">
          <w:rPr>
            <w:rStyle w:val="a5"/>
            <w:rFonts w:ascii="Times New Roman" w:eastAsiaTheme="minorEastAsia" w:hAnsi="Times New Roman"/>
            <w:bCs/>
            <w:color w:val="000000" w:themeColor="text1"/>
            <w:sz w:val="28"/>
            <w:szCs w:val="28"/>
            <w:lang w:val="uk-UA" w:eastAsia="ja-JP"/>
          </w:rPr>
          <w:t>https://dragon-capital.com/ua/</w:t>
        </w:r>
      </w:hyperlink>
    </w:p>
    <w:p w14:paraId="2BBDCD40" w14:textId="77777777" w:rsidR="00F206D6" w:rsidRPr="0033186A" w:rsidRDefault="00F206D6" w:rsidP="0033186A">
      <w:pPr>
        <w:spacing w:after="0" w:line="360" w:lineRule="auto"/>
        <w:jc w:val="both"/>
        <w:rPr>
          <w:rFonts w:ascii="Times New Roman" w:eastAsiaTheme="minorEastAsia" w:hAnsi="Times New Roman"/>
          <w:bCs/>
          <w:color w:val="000000" w:themeColor="text1"/>
          <w:sz w:val="28"/>
          <w:szCs w:val="28"/>
          <w:lang w:val="uk-UA" w:eastAsia="ja-JP"/>
        </w:rPr>
      </w:pPr>
    </w:p>
    <w:p w14:paraId="6FE10FF1" w14:textId="2BA301CC" w:rsidR="00407F1A" w:rsidRPr="0033186A" w:rsidRDefault="00407F1A" w:rsidP="0033186A">
      <w:pPr>
        <w:spacing w:after="0" w:line="360" w:lineRule="auto"/>
        <w:jc w:val="both"/>
        <w:rPr>
          <w:rStyle w:val="a5"/>
          <w:rFonts w:ascii="Times New Roman" w:eastAsiaTheme="minorEastAsia" w:hAnsi="Times New Roman"/>
          <w:bCs/>
          <w:color w:val="000000" w:themeColor="text1"/>
          <w:sz w:val="28"/>
          <w:szCs w:val="28"/>
          <w:u w:val="none"/>
          <w:lang w:val="uk-UA" w:eastAsia="ja-JP"/>
        </w:rPr>
      </w:pPr>
      <w:r w:rsidRPr="0033186A">
        <w:rPr>
          <w:rFonts w:ascii="Times New Roman" w:eastAsiaTheme="minorEastAsia" w:hAnsi="Times New Roman"/>
          <w:bCs/>
          <w:color w:val="000000" w:themeColor="text1"/>
          <w:sz w:val="28"/>
          <w:szCs w:val="28"/>
          <w:lang w:val="uk-UA" w:eastAsia="ja-JP"/>
        </w:rPr>
        <w:t>2</w:t>
      </w:r>
      <w:r w:rsidR="009E3064" w:rsidRPr="0033186A">
        <w:rPr>
          <w:rFonts w:ascii="Times New Roman" w:eastAsiaTheme="minorEastAsia" w:hAnsi="Times New Roman"/>
          <w:bCs/>
          <w:color w:val="000000" w:themeColor="text1"/>
          <w:sz w:val="28"/>
          <w:szCs w:val="28"/>
          <w:lang w:val="uk-UA" w:eastAsia="ja-JP"/>
        </w:rPr>
        <w:t>6</w:t>
      </w:r>
      <w:r w:rsidRPr="0033186A">
        <w:rPr>
          <w:rFonts w:ascii="Times New Roman" w:eastAsiaTheme="minorEastAsia" w:hAnsi="Times New Roman"/>
          <w:bCs/>
          <w:color w:val="000000" w:themeColor="text1"/>
          <w:sz w:val="28"/>
          <w:szCs w:val="28"/>
          <w:lang w:val="uk-UA" w:eastAsia="ja-JP"/>
        </w:rPr>
        <w:t>.</w:t>
      </w:r>
      <w:r w:rsidRPr="0033186A">
        <w:rPr>
          <w:rFonts w:ascii="Times New Roman" w:eastAsiaTheme="minorEastAsia" w:hAnsi="Times New Roman"/>
          <w:bCs/>
          <w:color w:val="000000" w:themeColor="text1"/>
          <w:sz w:val="28"/>
          <w:szCs w:val="28"/>
          <w:lang w:eastAsia="ja-JP"/>
        </w:rPr>
        <w:t xml:space="preserve"> </w:t>
      </w:r>
      <w:r w:rsidRPr="0033186A">
        <w:rPr>
          <w:rFonts w:ascii="Times New Roman" w:eastAsiaTheme="minorEastAsia" w:hAnsi="Times New Roman"/>
          <w:bCs/>
          <w:color w:val="000000" w:themeColor="text1"/>
          <w:sz w:val="28"/>
          <w:szCs w:val="28"/>
          <w:lang w:val="uk-UA" w:eastAsia="ja-JP"/>
        </w:rPr>
        <w:t xml:space="preserve">Українська біржа статистична інформація </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r w:rsidRPr="0033186A">
        <w:rPr>
          <w:rFonts w:ascii="Times New Roman" w:eastAsiaTheme="minorEastAsia" w:hAnsi="Times New Roman"/>
          <w:bCs/>
          <w:color w:val="000000" w:themeColor="text1"/>
          <w:sz w:val="28"/>
          <w:szCs w:val="28"/>
          <w:lang w:val="uk-UA" w:eastAsia="ja-JP"/>
        </w:rPr>
        <w:t xml:space="preserve"> </w:t>
      </w:r>
      <w:hyperlink r:id="rId38" w:history="1">
        <w:r w:rsidRPr="0033186A">
          <w:rPr>
            <w:rStyle w:val="a5"/>
            <w:rFonts w:ascii="Times New Roman" w:eastAsiaTheme="minorEastAsia" w:hAnsi="Times New Roman"/>
            <w:bCs/>
            <w:color w:val="000000" w:themeColor="text1"/>
            <w:sz w:val="28"/>
            <w:szCs w:val="28"/>
            <w:lang w:val="uk-UA" w:eastAsia="ja-JP"/>
          </w:rPr>
          <w:t>http://www.ux.ua/</w:t>
        </w:r>
      </w:hyperlink>
    </w:p>
    <w:p w14:paraId="16A6E5B9" w14:textId="415ED451" w:rsidR="00407F1A" w:rsidRPr="0033186A" w:rsidRDefault="00791471" w:rsidP="0033186A">
      <w:pPr>
        <w:spacing w:after="0" w:line="360" w:lineRule="auto"/>
        <w:jc w:val="both"/>
        <w:rPr>
          <w:rFonts w:ascii="Times New Roman" w:eastAsiaTheme="minorEastAsia" w:hAnsi="Times New Roman"/>
          <w:bCs/>
          <w:color w:val="000000" w:themeColor="text1"/>
          <w:sz w:val="28"/>
          <w:szCs w:val="28"/>
          <w:u w:val="single"/>
          <w:lang w:val="en-US" w:eastAsia="ja-JP"/>
        </w:rPr>
      </w:pPr>
      <w:r w:rsidRPr="0033186A">
        <w:rPr>
          <w:rFonts w:ascii="Times New Roman" w:eastAsiaTheme="minorEastAsia" w:hAnsi="Times New Roman"/>
          <w:bCs/>
          <w:color w:val="000000" w:themeColor="text1"/>
          <w:sz w:val="28"/>
          <w:szCs w:val="28"/>
          <w:lang w:val="uk-UA" w:eastAsia="ja-JP"/>
        </w:rPr>
        <w:t>2</w:t>
      </w:r>
      <w:r w:rsidR="009E3064" w:rsidRPr="0033186A">
        <w:rPr>
          <w:rFonts w:ascii="Times New Roman" w:eastAsiaTheme="minorEastAsia" w:hAnsi="Times New Roman"/>
          <w:bCs/>
          <w:color w:val="000000" w:themeColor="text1"/>
          <w:sz w:val="28"/>
          <w:szCs w:val="28"/>
          <w:lang w:val="uk-UA" w:eastAsia="ja-JP"/>
        </w:rPr>
        <w:t>7</w:t>
      </w:r>
      <w:r w:rsidRPr="0033186A">
        <w:rPr>
          <w:rFonts w:ascii="Times New Roman" w:eastAsiaTheme="minorEastAsia" w:hAnsi="Times New Roman"/>
          <w:bCs/>
          <w:color w:val="000000" w:themeColor="text1"/>
          <w:sz w:val="28"/>
          <w:szCs w:val="28"/>
          <w:lang w:val="uk-UA" w:eastAsia="ja-JP"/>
        </w:rPr>
        <w:t>.</w:t>
      </w:r>
      <w:r w:rsidR="003C3BF5" w:rsidRPr="0033186A">
        <w:rPr>
          <w:rFonts w:ascii="Times New Roman" w:eastAsiaTheme="minorEastAsia" w:hAnsi="Times New Roman" w:hint="eastAsia"/>
          <w:bCs/>
          <w:color w:val="000000" w:themeColor="text1"/>
          <w:sz w:val="28"/>
          <w:szCs w:val="28"/>
          <w:lang w:val="uk-UA" w:eastAsia="ja-JP"/>
        </w:rPr>
        <w:t>J</w:t>
      </w:r>
      <w:r w:rsidR="003C3BF5" w:rsidRPr="0033186A">
        <w:rPr>
          <w:rFonts w:ascii="Times New Roman" w:eastAsiaTheme="minorEastAsia" w:hAnsi="Times New Roman"/>
          <w:bCs/>
          <w:color w:val="000000" w:themeColor="text1"/>
          <w:sz w:val="28"/>
          <w:szCs w:val="28"/>
          <w:lang w:val="uk-UA" w:eastAsia="ja-JP"/>
        </w:rPr>
        <w:t xml:space="preserve">apanese </w:t>
      </w:r>
      <w:r w:rsidR="003C3BF5" w:rsidRPr="0033186A">
        <w:rPr>
          <w:rFonts w:ascii="Times New Roman" w:eastAsiaTheme="minorEastAsia" w:hAnsi="Times New Roman"/>
          <w:bCs/>
          <w:color w:val="000000" w:themeColor="text1"/>
          <w:sz w:val="28"/>
          <w:szCs w:val="28"/>
          <w:lang w:val="en-US" w:eastAsia="ja-JP"/>
        </w:rPr>
        <w:t>exchange group</w:t>
      </w:r>
      <w:r w:rsidR="003C3BF5" w:rsidRPr="0033186A">
        <w:rPr>
          <w:rFonts w:ascii="Times New Roman" w:eastAsiaTheme="minorEastAsia" w:hAnsi="Times New Roman" w:hint="eastAsia"/>
          <w:bCs/>
          <w:color w:val="000000" w:themeColor="text1"/>
          <w:sz w:val="28"/>
          <w:szCs w:val="28"/>
          <w:lang w:val="uk-UA" w:eastAsia="ja-JP"/>
        </w:rPr>
        <w:t xml:space="preserve"> </w:t>
      </w:r>
      <w:r w:rsidR="003C3BF5" w:rsidRPr="0033186A">
        <w:rPr>
          <w:rFonts w:ascii="Times New Roman" w:eastAsiaTheme="minorEastAsia" w:hAnsi="Times New Roman"/>
          <w:bCs/>
          <w:color w:val="000000" w:themeColor="text1"/>
          <w:sz w:val="28"/>
          <w:szCs w:val="28"/>
          <w:lang w:val="uk-UA" w:eastAsia="ja-JP"/>
        </w:rPr>
        <w:t xml:space="preserve">statistics </w:t>
      </w:r>
      <w:r w:rsidR="003C3BF5" w:rsidRPr="0033186A">
        <w:rPr>
          <w:rFonts w:ascii="Times New Roman" w:eastAsiaTheme="minorEastAsia" w:hAnsi="Times New Roman"/>
          <w:bCs/>
          <w:color w:val="000000" w:themeColor="text1"/>
          <w:sz w:val="28"/>
          <w:szCs w:val="28"/>
          <w:lang w:val="en-US" w:eastAsia="ja-JP"/>
        </w:rPr>
        <w:t>[</w:t>
      </w:r>
      <w:r w:rsidR="003C3BF5" w:rsidRPr="0033186A">
        <w:rPr>
          <w:rFonts w:ascii="Times New Roman" w:eastAsiaTheme="minorEastAsia" w:hAnsi="Times New Roman"/>
          <w:bCs/>
          <w:color w:val="000000" w:themeColor="text1"/>
          <w:sz w:val="28"/>
          <w:szCs w:val="28"/>
          <w:lang w:eastAsia="ja-JP"/>
        </w:rPr>
        <w:t>Електронний</w:t>
      </w:r>
      <w:r w:rsidR="003C3BF5" w:rsidRPr="0033186A">
        <w:rPr>
          <w:rFonts w:ascii="Times New Roman" w:eastAsiaTheme="minorEastAsia" w:hAnsi="Times New Roman"/>
          <w:bCs/>
          <w:color w:val="000000" w:themeColor="text1"/>
          <w:sz w:val="28"/>
          <w:szCs w:val="28"/>
          <w:lang w:val="en-US" w:eastAsia="ja-JP"/>
        </w:rPr>
        <w:t xml:space="preserve"> </w:t>
      </w:r>
      <w:r w:rsidR="003C3BF5" w:rsidRPr="0033186A">
        <w:rPr>
          <w:rFonts w:ascii="Times New Roman" w:eastAsiaTheme="minorEastAsia" w:hAnsi="Times New Roman"/>
          <w:bCs/>
          <w:color w:val="000000" w:themeColor="text1"/>
          <w:sz w:val="28"/>
          <w:szCs w:val="28"/>
          <w:lang w:eastAsia="ja-JP"/>
        </w:rPr>
        <w:t>ресурс</w:t>
      </w:r>
      <w:r w:rsidR="003C3BF5" w:rsidRPr="0033186A">
        <w:rPr>
          <w:rFonts w:ascii="Times New Roman" w:eastAsiaTheme="minorEastAsia" w:hAnsi="Times New Roman"/>
          <w:bCs/>
          <w:color w:val="000000" w:themeColor="text1"/>
          <w:sz w:val="28"/>
          <w:szCs w:val="28"/>
          <w:lang w:val="en-US" w:eastAsia="ja-JP"/>
        </w:rPr>
        <w:t xml:space="preserve">]. – </w:t>
      </w:r>
      <w:r w:rsidR="003C3BF5" w:rsidRPr="0033186A">
        <w:rPr>
          <w:rFonts w:ascii="Times New Roman" w:eastAsiaTheme="minorEastAsia" w:hAnsi="Times New Roman"/>
          <w:bCs/>
          <w:color w:val="000000" w:themeColor="text1"/>
          <w:sz w:val="28"/>
          <w:szCs w:val="28"/>
          <w:lang w:eastAsia="ja-JP"/>
        </w:rPr>
        <w:t>Режим</w:t>
      </w:r>
      <w:r w:rsidR="003C3BF5" w:rsidRPr="0033186A">
        <w:rPr>
          <w:rFonts w:ascii="Times New Roman" w:eastAsiaTheme="minorEastAsia" w:hAnsi="Times New Roman"/>
          <w:bCs/>
          <w:color w:val="000000" w:themeColor="text1"/>
          <w:sz w:val="28"/>
          <w:szCs w:val="28"/>
          <w:lang w:val="en-US" w:eastAsia="ja-JP"/>
        </w:rPr>
        <w:t xml:space="preserve"> </w:t>
      </w:r>
      <w:r w:rsidR="003C3BF5" w:rsidRPr="0033186A">
        <w:rPr>
          <w:rFonts w:ascii="Times New Roman" w:eastAsiaTheme="minorEastAsia" w:hAnsi="Times New Roman"/>
          <w:bCs/>
          <w:color w:val="000000" w:themeColor="text1"/>
          <w:sz w:val="28"/>
          <w:szCs w:val="28"/>
          <w:lang w:eastAsia="ja-JP"/>
        </w:rPr>
        <w:t>доступу</w:t>
      </w:r>
      <w:r w:rsidR="003C3BF5" w:rsidRPr="0033186A">
        <w:rPr>
          <w:rFonts w:ascii="Times New Roman" w:eastAsiaTheme="minorEastAsia" w:hAnsi="Times New Roman"/>
          <w:bCs/>
          <w:color w:val="000000" w:themeColor="text1"/>
          <w:sz w:val="28"/>
          <w:szCs w:val="28"/>
          <w:lang w:val="en-US" w:eastAsia="ja-JP"/>
        </w:rPr>
        <w:t xml:space="preserve">: </w:t>
      </w:r>
      <w:r w:rsidRPr="0033186A">
        <w:rPr>
          <w:rFonts w:ascii="Times New Roman" w:eastAsiaTheme="minorEastAsia" w:hAnsi="Times New Roman"/>
          <w:bCs/>
          <w:color w:val="000000" w:themeColor="text1"/>
          <w:sz w:val="28"/>
          <w:szCs w:val="28"/>
          <w:lang w:val="uk-UA" w:eastAsia="ja-JP"/>
        </w:rPr>
        <w:t xml:space="preserve"> </w:t>
      </w:r>
      <w:hyperlink r:id="rId39" w:history="1">
        <w:r w:rsidRPr="0033186A">
          <w:rPr>
            <w:rStyle w:val="a5"/>
            <w:rFonts w:ascii="Times New Roman" w:eastAsiaTheme="minorEastAsia" w:hAnsi="Times New Roman"/>
            <w:bCs/>
            <w:color w:val="000000" w:themeColor="text1"/>
            <w:sz w:val="28"/>
            <w:szCs w:val="28"/>
            <w:lang w:val="en-US" w:eastAsia="ja-JP"/>
          </w:rPr>
          <w:t>https://www.jpx.co.jp/</w:t>
        </w:r>
      </w:hyperlink>
    </w:p>
    <w:p w14:paraId="2682DCCB" w14:textId="2BA2D483" w:rsidR="003C3BF5" w:rsidRPr="0033186A" w:rsidRDefault="00407F1A"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2</w:t>
      </w:r>
      <w:r w:rsidR="009E3064" w:rsidRPr="0033186A">
        <w:rPr>
          <w:rFonts w:ascii="Times New Roman" w:eastAsiaTheme="minorEastAsia" w:hAnsi="Times New Roman"/>
          <w:bCs/>
          <w:color w:val="000000" w:themeColor="text1"/>
          <w:sz w:val="28"/>
          <w:szCs w:val="28"/>
          <w:lang w:val="uk-UA" w:eastAsia="ja-JP"/>
        </w:rPr>
        <w:t>8</w:t>
      </w:r>
      <w:r w:rsidRPr="0033186A">
        <w:rPr>
          <w:rFonts w:ascii="Times New Roman" w:eastAsiaTheme="minorEastAsia" w:hAnsi="Times New Roman"/>
          <w:bCs/>
          <w:color w:val="000000" w:themeColor="text1"/>
          <w:sz w:val="28"/>
          <w:szCs w:val="28"/>
          <w:lang w:val="uk-UA" w:eastAsia="ja-JP"/>
        </w:rPr>
        <w:t xml:space="preserve">. Назаркіна Л.І., Вознюк Ю.О. (2014) V Міжнародна науково-практична інтернет-конференція «Проблеми ринку та розвитку регіонів України в XXI столітті» </w:t>
      </w:r>
      <w:r w:rsidRPr="0033186A">
        <w:rPr>
          <w:rFonts w:ascii="Times New Roman" w:eastAsiaTheme="minorEastAsia" w:hAnsi="Times New Roman"/>
          <w:bCs/>
          <w:color w:val="000000" w:themeColor="text1"/>
          <w:sz w:val="28"/>
          <w:szCs w:val="28"/>
          <w:lang w:eastAsia="ja-JP"/>
        </w:rPr>
        <w:t xml:space="preserve">[Електронний ресурс]. – Режим доступу: </w:t>
      </w:r>
      <w:hyperlink r:id="rId40" w:history="1">
        <w:r w:rsidRPr="0033186A">
          <w:rPr>
            <w:rStyle w:val="a5"/>
            <w:rFonts w:ascii="Times New Roman" w:eastAsiaTheme="minorEastAsia" w:hAnsi="Times New Roman"/>
            <w:bCs/>
            <w:color w:val="000000" w:themeColor="text1"/>
            <w:sz w:val="28"/>
            <w:szCs w:val="28"/>
            <w:lang w:val="uk-UA" w:eastAsia="ja-JP"/>
          </w:rPr>
          <w:t>https://economics.opu.ua/files/science/ipreed/2014/86.pdf</w:t>
        </w:r>
      </w:hyperlink>
    </w:p>
    <w:p w14:paraId="5D774975" w14:textId="0C390685" w:rsidR="00407F1A"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 xml:space="preserve">29. </w:t>
      </w:r>
      <w:r w:rsidR="00DC7D19" w:rsidRPr="0033186A">
        <w:rPr>
          <w:rFonts w:ascii="Times New Roman" w:eastAsiaTheme="minorEastAsia" w:hAnsi="Times New Roman"/>
          <w:bCs/>
          <w:color w:val="000000" w:themeColor="text1"/>
          <w:sz w:val="28"/>
          <w:szCs w:val="28"/>
          <w:lang w:val="uk-UA" w:eastAsia="ja-JP"/>
        </w:rPr>
        <w:t>Yoshiro Miwa, J. Mark Ramseyer “</w:t>
      </w:r>
      <w:r w:rsidR="00DC7D19" w:rsidRPr="0033186A">
        <w:rPr>
          <w:rFonts w:ascii="Times New Roman" w:eastAsiaTheme="minorEastAsia" w:hAnsi="Times New Roman"/>
          <w:bCs/>
          <w:color w:val="000000" w:themeColor="text1"/>
          <w:sz w:val="28"/>
          <w:szCs w:val="28"/>
          <w:lang w:val="en-US" w:eastAsia="ja-JP"/>
        </w:rPr>
        <w:t>The</w:t>
      </w:r>
      <w:r w:rsidR="00DC7D19" w:rsidRPr="0033186A">
        <w:rPr>
          <w:rFonts w:ascii="Times New Roman" w:eastAsiaTheme="minorEastAsia" w:hAnsi="Times New Roman"/>
          <w:bCs/>
          <w:color w:val="000000" w:themeColor="text1"/>
          <w:sz w:val="28"/>
          <w:szCs w:val="28"/>
          <w:lang w:val="uk-UA" w:eastAsia="ja-JP"/>
        </w:rPr>
        <w:t xml:space="preserve"> </w:t>
      </w:r>
      <w:r w:rsidR="00DC7D19" w:rsidRPr="0033186A">
        <w:rPr>
          <w:rFonts w:ascii="Times New Roman" w:eastAsiaTheme="minorEastAsia" w:hAnsi="Times New Roman"/>
          <w:bCs/>
          <w:color w:val="000000" w:themeColor="text1"/>
          <w:sz w:val="28"/>
          <w:szCs w:val="28"/>
          <w:lang w:val="en-US" w:eastAsia="ja-JP"/>
        </w:rPr>
        <w:t>Fable</w:t>
      </w:r>
      <w:r w:rsidR="00DC7D19" w:rsidRPr="0033186A">
        <w:rPr>
          <w:rFonts w:ascii="Times New Roman" w:eastAsiaTheme="minorEastAsia" w:hAnsi="Times New Roman"/>
          <w:bCs/>
          <w:color w:val="000000" w:themeColor="text1"/>
          <w:sz w:val="28"/>
          <w:szCs w:val="28"/>
          <w:lang w:val="uk-UA" w:eastAsia="ja-JP"/>
        </w:rPr>
        <w:t xml:space="preserve"> </w:t>
      </w:r>
      <w:r w:rsidR="00DC7D19" w:rsidRPr="0033186A">
        <w:rPr>
          <w:rFonts w:ascii="Times New Roman" w:eastAsiaTheme="minorEastAsia" w:hAnsi="Times New Roman"/>
          <w:bCs/>
          <w:color w:val="000000" w:themeColor="text1"/>
          <w:sz w:val="28"/>
          <w:szCs w:val="28"/>
          <w:lang w:val="en-US" w:eastAsia="ja-JP"/>
        </w:rPr>
        <w:t>of</w:t>
      </w:r>
      <w:r w:rsidR="00DC7D19" w:rsidRPr="0033186A">
        <w:rPr>
          <w:rFonts w:ascii="Times New Roman" w:eastAsiaTheme="minorEastAsia" w:hAnsi="Times New Roman"/>
          <w:bCs/>
          <w:color w:val="000000" w:themeColor="text1"/>
          <w:sz w:val="28"/>
          <w:szCs w:val="28"/>
          <w:lang w:val="uk-UA" w:eastAsia="ja-JP"/>
        </w:rPr>
        <w:t xml:space="preserve"> </w:t>
      </w:r>
      <w:r w:rsidR="00DC7D19" w:rsidRPr="0033186A">
        <w:rPr>
          <w:rFonts w:ascii="Times New Roman" w:eastAsiaTheme="minorEastAsia" w:hAnsi="Times New Roman"/>
          <w:bCs/>
          <w:color w:val="000000" w:themeColor="text1"/>
          <w:sz w:val="28"/>
          <w:szCs w:val="28"/>
          <w:lang w:val="en-US" w:eastAsia="ja-JP"/>
        </w:rPr>
        <w:t>Keiretsu</w:t>
      </w:r>
      <w:r w:rsidR="00DC7D19" w:rsidRPr="0033186A">
        <w:rPr>
          <w:rFonts w:ascii="Times New Roman" w:eastAsiaTheme="minorEastAsia" w:hAnsi="Times New Roman"/>
          <w:bCs/>
          <w:color w:val="000000" w:themeColor="text1"/>
          <w:sz w:val="28"/>
          <w:szCs w:val="28"/>
          <w:lang w:val="uk-UA" w:eastAsia="ja-JP"/>
        </w:rPr>
        <w:t xml:space="preserve">” (2001) </w:t>
      </w:r>
      <w:r w:rsidR="00E273FD"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hyperlink r:id="rId41" w:history="1">
        <w:r w:rsidR="00DC7D19" w:rsidRPr="0033186A">
          <w:rPr>
            <w:rStyle w:val="a5"/>
            <w:rFonts w:ascii="Times New Roman" w:eastAsiaTheme="minorEastAsia" w:hAnsi="Times New Roman"/>
            <w:bCs/>
            <w:color w:val="000000" w:themeColor="text1"/>
            <w:sz w:val="28"/>
            <w:szCs w:val="28"/>
            <w:lang w:val="en-US" w:eastAsia="ja-JP"/>
          </w:rPr>
          <w:t>https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papers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ssrn</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com</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sol</w:t>
        </w:r>
        <w:r w:rsidR="00DC7D19" w:rsidRPr="0033186A">
          <w:rPr>
            <w:rStyle w:val="a5"/>
            <w:rFonts w:ascii="Times New Roman" w:eastAsiaTheme="minorEastAsia" w:hAnsi="Times New Roman"/>
            <w:bCs/>
            <w:color w:val="000000" w:themeColor="text1"/>
            <w:sz w:val="28"/>
            <w:szCs w:val="28"/>
            <w:lang w:val="uk-UA" w:eastAsia="ja-JP"/>
          </w:rPr>
          <w:t>3/</w:t>
        </w:r>
        <w:r w:rsidR="00DC7D19" w:rsidRPr="0033186A">
          <w:rPr>
            <w:rStyle w:val="a5"/>
            <w:rFonts w:ascii="Times New Roman" w:eastAsiaTheme="minorEastAsia" w:hAnsi="Times New Roman"/>
            <w:bCs/>
            <w:color w:val="000000" w:themeColor="text1"/>
            <w:sz w:val="28"/>
            <w:szCs w:val="28"/>
            <w:lang w:val="en-US" w:eastAsia="ja-JP"/>
          </w:rPr>
          <w:t>papers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cfm</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abstract</w:t>
        </w:r>
        <w:r w:rsidR="00DC7D19" w:rsidRPr="0033186A">
          <w:rPr>
            <w:rStyle w:val="a5"/>
            <w:rFonts w:ascii="Times New Roman" w:eastAsiaTheme="minorEastAsia" w:hAnsi="Times New Roman"/>
            <w:bCs/>
            <w:color w:val="000000" w:themeColor="text1"/>
            <w:sz w:val="28"/>
            <w:szCs w:val="28"/>
            <w:lang w:val="uk-UA" w:eastAsia="ja-JP"/>
          </w:rPr>
          <w:t>_</w:t>
        </w:r>
        <w:r w:rsidR="00DC7D19" w:rsidRPr="0033186A">
          <w:rPr>
            <w:rStyle w:val="a5"/>
            <w:rFonts w:ascii="Times New Roman" w:eastAsiaTheme="minorEastAsia" w:hAnsi="Times New Roman"/>
            <w:bCs/>
            <w:color w:val="000000" w:themeColor="text1"/>
            <w:sz w:val="28"/>
            <w:szCs w:val="28"/>
            <w:lang w:val="en-US" w:eastAsia="ja-JP"/>
          </w:rPr>
          <w:t>id</w:t>
        </w:r>
        <w:r w:rsidR="00DC7D19" w:rsidRPr="0033186A">
          <w:rPr>
            <w:rStyle w:val="a5"/>
            <w:rFonts w:ascii="Times New Roman" w:eastAsiaTheme="minorEastAsia" w:hAnsi="Times New Roman"/>
            <w:bCs/>
            <w:color w:val="000000" w:themeColor="text1"/>
            <w:sz w:val="28"/>
            <w:szCs w:val="28"/>
            <w:lang w:val="uk-UA" w:eastAsia="ja-JP"/>
          </w:rPr>
          <w:t>=263979</w:t>
        </w:r>
      </w:hyperlink>
    </w:p>
    <w:p w14:paraId="54AE5A0C" w14:textId="1E85C090" w:rsidR="00A22DA9"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 xml:space="preserve">30. </w:t>
      </w:r>
      <w:r w:rsidR="00DC7D19" w:rsidRPr="0033186A">
        <w:rPr>
          <w:rFonts w:ascii="Times New Roman" w:eastAsiaTheme="minorEastAsia" w:hAnsi="Times New Roman"/>
          <w:bCs/>
          <w:color w:val="000000" w:themeColor="text1"/>
          <w:sz w:val="28"/>
          <w:szCs w:val="28"/>
          <w:lang w:val="en-US" w:eastAsia="ja-JP"/>
        </w:rPr>
        <w:t xml:space="preserve">Arav S. Ouandlous, George C. Philippatos </w:t>
      </w:r>
      <w:proofErr w:type="gramStart"/>
      <w:r w:rsidR="00DC7D19" w:rsidRPr="0033186A">
        <w:rPr>
          <w:rFonts w:ascii="Times New Roman" w:eastAsiaTheme="minorEastAsia" w:hAnsi="Times New Roman"/>
          <w:bCs/>
          <w:color w:val="000000" w:themeColor="text1"/>
          <w:sz w:val="28"/>
          <w:szCs w:val="28"/>
          <w:lang w:val="en-US" w:eastAsia="ja-JP"/>
        </w:rPr>
        <w:t>The</w:t>
      </w:r>
      <w:proofErr w:type="gramEnd"/>
      <w:r w:rsidR="00DC7D19" w:rsidRPr="0033186A">
        <w:rPr>
          <w:rFonts w:ascii="Times New Roman" w:eastAsiaTheme="minorEastAsia" w:hAnsi="Times New Roman"/>
          <w:bCs/>
          <w:color w:val="000000" w:themeColor="text1"/>
          <w:sz w:val="28"/>
          <w:szCs w:val="28"/>
          <w:lang w:val="en-US" w:eastAsia="ja-JP"/>
        </w:rPr>
        <w:t xml:space="preserve"> Effect of Japanese Financial Liberalization on Keiretsu, the Main Bank System, and Japanese Corporate Financing: Evidence for 1972-1992 (2001) </w:t>
      </w:r>
      <w:r w:rsidR="00E273FD"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hyperlink r:id="rId42" w:history="1">
        <w:r w:rsidR="00DC7D19" w:rsidRPr="0033186A">
          <w:rPr>
            <w:rStyle w:val="a5"/>
            <w:rFonts w:ascii="Times New Roman" w:eastAsiaTheme="minorEastAsia" w:hAnsi="Times New Roman"/>
            <w:bCs/>
            <w:color w:val="000000" w:themeColor="text1"/>
            <w:sz w:val="28"/>
            <w:szCs w:val="28"/>
            <w:lang w:val="en-US" w:eastAsia="ja-JP"/>
          </w:rPr>
          <w:t>https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papers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ssrn</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com</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sol</w:t>
        </w:r>
        <w:r w:rsidR="00DC7D19" w:rsidRPr="0033186A">
          <w:rPr>
            <w:rStyle w:val="a5"/>
            <w:rFonts w:ascii="Times New Roman" w:eastAsiaTheme="minorEastAsia" w:hAnsi="Times New Roman"/>
            <w:bCs/>
            <w:color w:val="000000" w:themeColor="text1"/>
            <w:sz w:val="28"/>
            <w:szCs w:val="28"/>
            <w:lang w:val="uk-UA" w:eastAsia="ja-JP"/>
          </w:rPr>
          <w:t>3/</w:t>
        </w:r>
        <w:r w:rsidR="00DC7D19" w:rsidRPr="0033186A">
          <w:rPr>
            <w:rStyle w:val="a5"/>
            <w:rFonts w:ascii="Times New Roman" w:eastAsiaTheme="minorEastAsia" w:hAnsi="Times New Roman"/>
            <w:bCs/>
            <w:color w:val="000000" w:themeColor="text1"/>
            <w:sz w:val="28"/>
            <w:szCs w:val="28"/>
            <w:lang w:val="en-US" w:eastAsia="ja-JP"/>
          </w:rPr>
          <w:t>papers</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cfm</w:t>
        </w:r>
        <w:r w:rsidR="00DC7D19" w:rsidRPr="0033186A">
          <w:rPr>
            <w:rStyle w:val="a5"/>
            <w:rFonts w:ascii="Times New Roman" w:eastAsiaTheme="minorEastAsia" w:hAnsi="Times New Roman"/>
            <w:bCs/>
            <w:color w:val="000000" w:themeColor="text1"/>
            <w:sz w:val="28"/>
            <w:szCs w:val="28"/>
            <w:lang w:val="uk-UA" w:eastAsia="ja-JP"/>
          </w:rPr>
          <w:t>?</w:t>
        </w:r>
        <w:r w:rsidR="00DC7D19" w:rsidRPr="0033186A">
          <w:rPr>
            <w:rStyle w:val="a5"/>
            <w:rFonts w:ascii="Times New Roman" w:eastAsiaTheme="minorEastAsia" w:hAnsi="Times New Roman"/>
            <w:bCs/>
            <w:color w:val="000000" w:themeColor="text1"/>
            <w:sz w:val="28"/>
            <w:szCs w:val="28"/>
            <w:lang w:val="en-US" w:eastAsia="ja-JP"/>
          </w:rPr>
          <w:t>abstract</w:t>
        </w:r>
        <w:r w:rsidR="00DC7D19" w:rsidRPr="0033186A">
          <w:rPr>
            <w:rStyle w:val="a5"/>
            <w:rFonts w:ascii="Times New Roman" w:eastAsiaTheme="minorEastAsia" w:hAnsi="Times New Roman"/>
            <w:bCs/>
            <w:color w:val="000000" w:themeColor="text1"/>
            <w:sz w:val="28"/>
            <w:szCs w:val="28"/>
            <w:lang w:val="uk-UA" w:eastAsia="ja-JP"/>
          </w:rPr>
          <w:t>_</w:t>
        </w:r>
        <w:r w:rsidR="00DC7D19" w:rsidRPr="0033186A">
          <w:rPr>
            <w:rStyle w:val="a5"/>
            <w:rFonts w:ascii="Times New Roman" w:eastAsiaTheme="minorEastAsia" w:hAnsi="Times New Roman"/>
            <w:bCs/>
            <w:color w:val="000000" w:themeColor="text1"/>
            <w:sz w:val="28"/>
            <w:szCs w:val="28"/>
            <w:lang w:val="en-US" w:eastAsia="ja-JP"/>
          </w:rPr>
          <w:t>id</w:t>
        </w:r>
        <w:r w:rsidR="00DC7D19" w:rsidRPr="0033186A">
          <w:rPr>
            <w:rStyle w:val="a5"/>
            <w:rFonts w:ascii="Times New Roman" w:eastAsiaTheme="minorEastAsia" w:hAnsi="Times New Roman"/>
            <w:bCs/>
            <w:color w:val="000000" w:themeColor="text1"/>
            <w:sz w:val="28"/>
            <w:szCs w:val="28"/>
            <w:lang w:val="uk-UA" w:eastAsia="ja-JP"/>
          </w:rPr>
          <w:t>=250374</w:t>
        </w:r>
      </w:hyperlink>
    </w:p>
    <w:p w14:paraId="031E48A3" w14:textId="59D489E6" w:rsidR="00A22DA9" w:rsidRPr="0033186A" w:rsidRDefault="00A22DA9" w:rsidP="0033186A">
      <w:pPr>
        <w:spacing w:after="0" w:line="360" w:lineRule="auto"/>
        <w:jc w:val="both"/>
        <w:rPr>
          <w:rFonts w:ascii="Times New Roman" w:eastAsiaTheme="minorEastAsia" w:hAnsi="Times New Roman"/>
          <w:bCs/>
          <w:color w:val="000000" w:themeColor="text1"/>
          <w:sz w:val="28"/>
          <w:szCs w:val="28"/>
          <w:lang w:eastAsia="ja-JP"/>
        </w:rPr>
      </w:pPr>
      <w:r w:rsidRPr="0033186A">
        <w:rPr>
          <w:rFonts w:ascii="Times New Roman" w:eastAsiaTheme="minorEastAsia" w:hAnsi="Times New Roman"/>
          <w:bCs/>
          <w:color w:val="000000" w:themeColor="text1"/>
          <w:sz w:val="28"/>
          <w:szCs w:val="28"/>
          <w:lang w:eastAsia="ja-JP"/>
        </w:rPr>
        <w:t>31.</w:t>
      </w:r>
      <w:r w:rsidR="00E273FD" w:rsidRPr="0033186A">
        <w:rPr>
          <w:rFonts w:ascii="Times New Roman" w:eastAsiaTheme="minorEastAsia" w:hAnsi="Times New Roman"/>
          <w:bCs/>
          <w:color w:val="000000" w:themeColor="text1"/>
          <w:sz w:val="28"/>
          <w:szCs w:val="28"/>
          <w:lang w:val="uk-UA" w:eastAsia="ja-JP"/>
        </w:rPr>
        <w:t>Міжнародний валютний фонд</w:t>
      </w:r>
      <w:r w:rsidR="00E273FD" w:rsidRPr="0033186A">
        <w:rPr>
          <w:rFonts w:ascii="Times New Roman" w:eastAsiaTheme="minorEastAsia" w:hAnsi="Times New Roman"/>
          <w:bCs/>
          <w:color w:val="000000" w:themeColor="text1"/>
          <w:sz w:val="28"/>
          <w:szCs w:val="28"/>
          <w:lang w:eastAsia="ja-JP"/>
        </w:rPr>
        <w:t xml:space="preserve"> </w:t>
      </w:r>
      <w:r w:rsidR="00E273FD" w:rsidRPr="0033186A">
        <w:rPr>
          <w:rFonts w:ascii="Times New Roman" w:eastAsiaTheme="minorEastAsia" w:hAnsi="Times New Roman"/>
          <w:bCs/>
          <w:color w:val="000000" w:themeColor="text1"/>
          <w:sz w:val="28"/>
          <w:szCs w:val="28"/>
          <w:lang w:val="uk-UA" w:eastAsia="ja-JP"/>
        </w:rPr>
        <w:t xml:space="preserve">дані [Електронний ресурс]. – Режим доступу:  </w:t>
      </w:r>
      <w:r w:rsidRPr="0033186A">
        <w:rPr>
          <w:color w:val="000000" w:themeColor="text1"/>
        </w:rPr>
        <w:t xml:space="preserve"> </w:t>
      </w:r>
      <w:hyperlink r:id="rId43" w:history="1">
        <w:r w:rsidRPr="0033186A">
          <w:rPr>
            <w:rStyle w:val="a5"/>
            <w:rFonts w:ascii="Times New Roman" w:eastAsiaTheme="minorEastAsia" w:hAnsi="Times New Roman"/>
            <w:bCs/>
            <w:color w:val="000000" w:themeColor="text1"/>
            <w:sz w:val="28"/>
            <w:szCs w:val="28"/>
            <w:lang w:val="en-US" w:eastAsia="ja-JP"/>
          </w:rPr>
          <w:t>https</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data</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imf</w:t>
        </w:r>
        <w:r w:rsidRPr="0033186A">
          <w:rPr>
            <w:rStyle w:val="a5"/>
            <w:rFonts w:ascii="Times New Roman" w:eastAsiaTheme="minorEastAsia" w:hAnsi="Times New Roman"/>
            <w:bCs/>
            <w:color w:val="000000" w:themeColor="text1"/>
            <w:sz w:val="28"/>
            <w:szCs w:val="28"/>
            <w:lang w:eastAsia="ja-JP"/>
          </w:rPr>
          <w:t>.</w:t>
        </w:r>
        <w:r w:rsidRPr="0033186A">
          <w:rPr>
            <w:rStyle w:val="a5"/>
            <w:rFonts w:ascii="Times New Roman" w:eastAsiaTheme="minorEastAsia" w:hAnsi="Times New Roman"/>
            <w:bCs/>
            <w:color w:val="000000" w:themeColor="text1"/>
            <w:sz w:val="28"/>
            <w:szCs w:val="28"/>
            <w:lang w:val="en-US" w:eastAsia="ja-JP"/>
          </w:rPr>
          <w:t>org</w:t>
        </w:r>
        <w:r w:rsidRPr="0033186A">
          <w:rPr>
            <w:rStyle w:val="a5"/>
            <w:rFonts w:ascii="Times New Roman" w:eastAsiaTheme="minorEastAsia" w:hAnsi="Times New Roman"/>
            <w:bCs/>
            <w:color w:val="000000" w:themeColor="text1"/>
            <w:sz w:val="28"/>
            <w:szCs w:val="28"/>
            <w:lang w:eastAsia="ja-JP"/>
          </w:rPr>
          <w:t>/</w:t>
        </w:r>
      </w:hyperlink>
    </w:p>
    <w:p w14:paraId="36911BBC" w14:textId="20F3036C" w:rsidR="00A22DA9" w:rsidRPr="0033186A" w:rsidRDefault="00A22DA9" w:rsidP="0033186A">
      <w:pPr>
        <w:spacing w:after="0" w:line="360" w:lineRule="auto"/>
        <w:jc w:val="both"/>
        <w:rPr>
          <w:rFonts w:ascii="Times New Roman" w:eastAsiaTheme="minorEastAsia" w:hAnsi="Times New Roman"/>
          <w:bCs/>
          <w:color w:val="000000" w:themeColor="text1"/>
          <w:sz w:val="28"/>
          <w:szCs w:val="28"/>
          <w:lang w:eastAsia="ja-JP"/>
        </w:rPr>
      </w:pPr>
      <w:r w:rsidRPr="0033186A">
        <w:rPr>
          <w:rFonts w:ascii="Times New Roman" w:eastAsiaTheme="minorEastAsia" w:hAnsi="Times New Roman"/>
          <w:bCs/>
          <w:color w:val="000000" w:themeColor="text1"/>
          <w:sz w:val="28"/>
          <w:szCs w:val="28"/>
          <w:lang w:eastAsia="ja-JP"/>
        </w:rPr>
        <w:t>32.</w:t>
      </w:r>
      <w:r w:rsidR="00BD2E8F" w:rsidRPr="0033186A">
        <w:rPr>
          <w:color w:val="000000" w:themeColor="text1"/>
        </w:rPr>
        <w:t xml:space="preserve"> </w:t>
      </w:r>
      <w:r w:rsidR="00E273FD" w:rsidRPr="0033186A">
        <w:rPr>
          <w:rFonts w:ascii="Times New Roman" w:hAnsi="Times New Roman"/>
          <w:color w:val="000000" w:themeColor="text1"/>
          <w:sz w:val="28"/>
          <w:szCs w:val="28"/>
          <w:lang w:val="uk-UA"/>
        </w:rPr>
        <w:t>Японська ієна інформація щодо ризиків</w:t>
      </w:r>
      <w:r w:rsidR="00E273FD" w:rsidRPr="0033186A">
        <w:rPr>
          <w:color w:val="000000" w:themeColor="text1"/>
          <w:lang w:val="uk-UA"/>
        </w:rPr>
        <w:t xml:space="preserve"> </w:t>
      </w:r>
      <w:r w:rsidR="00E273FD"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r w:rsidR="00BD2E8F" w:rsidRPr="0033186A">
        <w:rPr>
          <w:rFonts w:ascii="Times New Roman" w:eastAsiaTheme="minorEastAsia" w:hAnsi="Times New Roman"/>
          <w:bCs/>
          <w:color w:val="000000" w:themeColor="text1"/>
          <w:sz w:val="28"/>
          <w:szCs w:val="28"/>
          <w:lang w:val="en-US" w:eastAsia="ja-JP"/>
        </w:rPr>
        <w:t>https</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www</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risk</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net</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topics</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japanese</w:t>
      </w:r>
      <w:r w:rsidR="00BD2E8F" w:rsidRPr="0033186A">
        <w:rPr>
          <w:rFonts w:ascii="Times New Roman" w:eastAsiaTheme="minorEastAsia" w:hAnsi="Times New Roman"/>
          <w:bCs/>
          <w:color w:val="000000" w:themeColor="text1"/>
          <w:sz w:val="28"/>
          <w:szCs w:val="28"/>
          <w:lang w:eastAsia="ja-JP"/>
        </w:rPr>
        <w:t>-</w:t>
      </w:r>
      <w:r w:rsidR="00BD2E8F" w:rsidRPr="0033186A">
        <w:rPr>
          <w:rFonts w:ascii="Times New Roman" w:eastAsiaTheme="minorEastAsia" w:hAnsi="Times New Roman"/>
          <w:bCs/>
          <w:color w:val="000000" w:themeColor="text1"/>
          <w:sz w:val="28"/>
          <w:szCs w:val="28"/>
          <w:lang w:val="en-US" w:eastAsia="ja-JP"/>
        </w:rPr>
        <w:t>yen</w:t>
      </w:r>
    </w:p>
    <w:p w14:paraId="62A18D35" w14:textId="77777777" w:rsidR="00E273FD" w:rsidRPr="0033186A" w:rsidRDefault="00A22DA9" w:rsidP="0033186A">
      <w:pPr>
        <w:spacing w:after="0" w:line="360" w:lineRule="auto"/>
        <w:jc w:val="both"/>
        <w:rPr>
          <w:rFonts w:ascii="Times New Roman" w:hAnsi="Times New Roman"/>
          <w:color w:val="000000" w:themeColor="text1"/>
          <w:sz w:val="28"/>
          <w:szCs w:val="28"/>
          <w:lang w:val="uk-UA"/>
        </w:rPr>
      </w:pPr>
      <w:r w:rsidRPr="0033186A">
        <w:rPr>
          <w:rFonts w:ascii="Times New Roman" w:eastAsiaTheme="minorEastAsia" w:hAnsi="Times New Roman"/>
          <w:bCs/>
          <w:color w:val="000000" w:themeColor="text1"/>
          <w:sz w:val="28"/>
          <w:szCs w:val="28"/>
          <w:lang w:val="en-US" w:eastAsia="ja-JP"/>
        </w:rPr>
        <w:t>33.</w:t>
      </w:r>
      <w:r w:rsidR="00166B1B" w:rsidRPr="0033186A">
        <w:rPr>
          <w:rFonts w:ascii="Times New Roman" w:eastAsiaTheme="minorEastAsia" w:hAnsi="Times New Roman"/>
          <w:bCs/>
          <w:color w:val="000000" w:themeColor="text1"/>
          <w:sz w:val="28"/>
          <w:szCs w:val="28"/>
          <w:lang w:val="uk-UA" w:eastAsia="ja-JP"/>
        </w:rPr>
        <w:t xml:space="preserve"> </w:t>
      </w:r>
      <w:r w:rsidR="00E273FD" w:rsidRPr="0033186A">
        <w:rPr>
          <w:rFonts w:ascii="Times New Roman" w:hAnsi="Times New Roman"/>
          <w:color w:val="000000" w:themeColor="text1"/>
          <w:sz w:val="28"/>
          <w:szCs w:val="28"/>
          <w:lang w:val="uk-UA"/>
        </w:rPr>
        <w:t>Japan: Financial System Stability Assessment</w:t>
      </w:r>
    </w:p>
    <w:p w14:paraId="0AB4FF70" w14:textId="7248DB46" w:rsidR="00A22DA9" w:rsidRPr="0033186A" w:rsidRDefault="00E273FD"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hAnsi="Times New Roman"/>
          <w:color w:val="000000" w:themeColor="text1"/>
          <w:sz w:val="28"/>
          <w:szCs w:val="28"/>
          <w:lang w:val="uk-UA"/>
        </w:rPr>
        <w:t>and Supplementary Information</w:t>
      </w:r>
      <w:r w:rsidRPr="0033186A">
        <w:rPr>
          <w:rFonts w:ascii="Times New Roman" w:eastAsiaTheme="minorEastAsia" w:hAnsi="Times New Roman"/>
          <w:color w:val="000000" w:themeColor="text1"/>
          <w:sz w:val="28"/>
          <w:szCs w:val="28"/>
          <w:lang w:val="en-US" w:eastAsia="ja-JP"/>
        </w:rPr>
        <w:t xml:space="preserve"> IMF (2003)</w:t>
      </w:r>
      <w:r w:rsidRPr="0033186A">
        <w:rPr>
          <w:rFonts w:ascii="Times New Roman" w:hAnsi="Times New Roman"/>
          <w:color w:val="000000" w:themeColor="text1"/>
          <w:sz w:val="28"/>
          <w:szCs w:val="28"/>
          <w:lang w:val="uk-UA"/>
        </w:rPr>
        <w:t xml:space="preserve"> [Електронний ресурс] </w:t>
      </w:r>
      <w:r w:rsidRPr="0033186A">
        <w:rPr>
          <w:rFonts w:ascii="Times New Roman" w:hAnsi="Times New Roman"/>
          <w:iCs/>
          <w:color w:val="000000" w:themeColor="text1"/>
          <w:sz w:val="28"/>
          <w:szCs w:val="28"/>
          <w:shd w:val="clear" w:color="auto" w:fill="FFFFFF"/>
          <w:lang w:val="uk-UA"/>
        </w:rPr>
        <w:t>—</w:t>
      </w:r>
      <w:r w:rsidRPr="0033186A">
        <w:rPr>
          <w:rFonts w:ascii="Times New Roman" w:hAnsi="Times New Roman"/>
          <w:color w:val="000000" w:themeColor="text1"/>
          <w:sz w:val="28"/>
          <w:szCs w:val="28"/>
          <w:lang w:val="uk-UA"/>
        </w:rPr>
        <w:t xml:space="preserve"> Режим доступу: </w:t>
      </w:r>
      <w:r w:rsidR="00166B1B" w:rsidRPr="0033186A">
        <w:rPr>
          <w:rFonts w:ascii="Times New Roman" w:eastAsiaTheme="minorEastAsia" w:hAnsi="Times New Roman"/>
          <w:bCs/>
          <w:color w:val="000000" w:themeColor="text1"/>
          <w:sz w:val="28"/>
          <w:szCs w:val="28"/>
          <w:lang w:val="uk-UA" w:eastAsia="ja-JP"/>
        </w:rPr>
        <w:t>https://www.imf.org/external/pubs/ft/scr/2003/cr03287.pdf</w:t>
      </w:r>
    </w:p>
    <w:p w14:paraId="1132EA6F" w14:textId="32667DC0" w:rsidR="00075EF2"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eastAsia="ja-JP"/>
        </w:rPr>
        <w:t>34.</w:t>
      </w:r>
      <w:r w:rsidR="00075EF2" w:rsidRPr="0033186A">
        <w:rPr>
          <w:rFonts w:ascii="Times New Roman" w:eastAsiaTheme="minorEastAsia" w:hAnsi="Times New Roman"/>
          <w:bCs/>
          <w:color w:val="000000" w:themeColor="text1"/>
          <w:sz w:val="28"/>
          <w:szCs w:val="28"/>
          <w:lang w:val="uk-UA" w:eastAsia="ja-JP"/>
        </w:rPr>
        <w:t xml:space="preserve"> Фондова біржа ПФТС </w:t>
      </w:r>
      <w:r w:rsidR="00E273FD"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hyperlink r:id="rId44" w:history="1">
        <w:r w:rsidR="00075EF2" w:rsidRPr="0033186A">
          <w:rPr>
            <w:rStyle w:val="a5"/>
            <w:rFonts w:ascii="Times New Roman" w:eastAsiaTheme="minorEastAsia" w:hAnsi="Times New Roman"/>
            <w:bCs/>
            <w:color w:val="000000" w:themeColor="text1"/>
            <w:sz w:val="28"/>
            <w:szCs w:val="28"/>
            <w:lang w:val="uk-UA" w:eastAsia="ja-JP"/>
          </w:rPr>
          <w:t>https://pfts.ua/</w:t>
        </w:r>
      </w:hyperlink>
    </w:p>
    <w:p w14:paraId="6D6CE720" w14:textId="4AD7E054" w:rsidR="00E71EE5" w:rsidRPr="0033186A" w:rsidRDefault="00A22DA9" w:rsidP="0033186A">
      <w:pPr>
        <w:spacing w:after="0" w:line="360" w:lineRule="auto"/>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lastRenderedPageBreak/>
        <w:t>35.</w:t>
      </w:r>
      <w:r w:rsidR="00075EF2"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Takatoshi</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Ito</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Takeo</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Hoshi</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The</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Japanese</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economy</w:t>
      </w:r>
      <w:r w:rsidR="00E71EE5" w:rsidRPr="0033186A">
        <w:rPr>
          <w:rFonts w:ascii="Times New Roman" w:eastAsiaTheme="minorEastAsia" w:hAnsi="Times New Roman"/>
          <w:bCs/>
          <w:color w:val="000000" w:themeColor="text1"/>
          <w:sz w:val="28"/>
          <w:szCs w:val="28"/>
          <w:lang w:val="uk-UA" w:eastAsia="ja-JP"/>
        </w:rPr>
        <w:t>” (2020) [Електронний ресурс].</w:t>
      </w:r>
      <w:r w:rsid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uk-UA" w:eastAsia="ja-JP"/>
        </w:rPr>
        <w:t>–Режим</w:t>
      </w:r>
      <w:r w:rsid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uk-UA" w:eastAsia="ja-JP"/>
        </w:rPr>
        <w:t xml:space="preserve">доступу: </w:t>
      </w:r>
      <w:hyperlink r:id="rId45" w:anchor="v=onepage&amp;q=japanese%20economy&amp;f=false" w:history="1">
        <w:r w:rsidR="00E71EE5" w:rsidRPr="0033186A">
          <w:rPr>
            <w:rStyle w:val="a5"/>
            <w:rFonts w:ascii="Times New Roman" w:eastAsiaTheme="minorEastAsia" w:hAnsi="Times New Roman"/>
            <w:bCs/>
            <w:color w:val="000000" w:themeColor="text1"/>
            <w:sz w:val="28"/>
            <w:szCs w:val="28"/>
            <w:lang w:val="uk-UA" w:eastAsia="ja-JP"/>
          </w:rPr>
          <w:t>https://books.google.com.ua/books?hl=en&amp;lr=&amp;id=7OfIDwAAQBAJ&amp;oi=fnd&amp;pg=PR7&amp;dq=japanese+economy&amp;ots=HD9PqHptEO&amp;sig=KWKPIojQ3GVW7uTFcBKgX0RE9G4&amp;redir_esc=y#v=onepage&amp;q=japanese%20economy&amp;f=false</w:t>
        </w:r>
      </w:hyperlink>
    </w:p>
    <w:p w14:paraId="08930387" w14:textId="48548D26" w:rsidR="00E71EE5"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36.</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David</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Flath</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Japanese</w:t>
      </w:r>
      <w:r w:rsidR="00E71EE5" w:rsidRPr="0033186A">
        <w:rPr>
          <w:rFonts w:ascii="Times New Roman" w:eastAsiaTheme="minorEastAsia" w:hAnsi="Times New Roman"/>
          <w:bCs/>
          <w:color w:val="000000" w:themeColor="text1"/>
          <w:sz w:val="28"/>
          <w:szCs w:val="28"/>
          <w:lang w:val="uk-UA" w:eastAsia="ja-JP"/>
        </w:rPr>
        <w:t xml:space="preserve"> </w:t>
      </w:r>
      <w:r w:rsidR="00E71EE5" w:rsidRPr="0033186A">
        <w:rPr>
          <w:rFonts w:ascii="Times New Roman" w:eastAsiaTheme="minorEastAsia" w:hAnsi="Times New Roman"/>
          <w:bCs/>
          <w:color w:val="000000" w:themeColor="text1"/>
          <w:sz w:val="28"/>
          <w:szCs w:val="28"/>
          <w:lang w:val="en-US" w:eastAsia="ja-JP"/>
        </w:rPr>
        <w:t>economy</w:t>
      </w:r>
      <w:r w:rsidR="00E71EE5" w:rsidRPr="0033186A">
        <w:rPr>
          <w:rFonts w:ascii="Times New Roman" w:eastAsiaTheme="minorEastAsia" w:hAnsi="Times New Roman"/>
          <w:bCs/>
          <w:color w:val="000000" w:themeColor="text1"/>
          <w:sz w:val="28"/>
          <w:szCs w:val="28"/>
          <w:lang w:val="uk-UA" w:eastAsia="ja-JP"/>
        </w:rPr>
        <w:t xml:space="preserve">” (2014) [Електронний ресурс]. – Режим доступу: </w:t>
      </w:r>
      <w:hyperlink r:id="rId46" w:anchor="v=onepage&amp;q=japanese%20economy&amp;f=false" w:history="1">
        <w:r w:rsidR="00E71EE5" w:rsidRPr="0033186A">
          <w:rPr>
            <w:rStyle w:val="a5"/>
            <w:rFonts w:ascii="Times New Roman" w:eastAsiaTheme="minorEastAsia" w:hAnsi="Times New Roman"/>
            <w:bCs/>
            <w:color w:val="000000" w:themeColor="text1"/>
            <w:sz w:val="28"/>
            <w:szCs w:val="28"/>
            <w:lang w:val="en-US" w:eastAsia="ja-JP"/>
          </w:rPr>
          <w:t>https</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books</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google</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com</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ua</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books</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hl</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en</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lr</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id</w:t>
        </w:r>
        <w:r w:rsidR="00E71EE5" w:rsidRPr="0033186A">
          <w:rPr>
            <w:rStyle w:val="a5"/>
            <w:rFonts w:ascii="Times New Roman" w:eastAsiaTheme="minorEastAsia" w:hAnsi="Times New Roman"/>
            <w:bCs/>
            <w:color w:val="000000" w:themeColor="text1"/>
            <w:sz w:val="28"/>
            <w:szCs w:val="28"/>
            <w:lang w:val="uk-UA" w:eastAsia="ja-JP"/>
          </w:rPr>
          <w:t>=9</w:t>
        </w:r>
        <w:r w:rsidR="00E71EE5" w:rsidRPr="0033186A">
          <w:rPr>
            <w:rStyle w:val="a5"/>
            <w:rFonts w:ascii="Times New Roman" w:eastAsiaTheme="minorEastAsia" w:hAnsi="Times New Roman"/>
            <w:bCs/>
            <w:color w:val="000000" w:themeColor="text1"/>
            <w:sz w:val="28"/>
            <w:szCs w:val="28"/>
            <w:lang w:val="en-US" w:eastAsia="ja-JP"/>
          </w:rPr>
          <w:t>l</w:t>
        </w:r>
        <w:r w:rsidR="00E71EE5" w:rsidRPr="0033186A">
          <w:rPr>
            <w:rStyle w:val="a5"/>
            <w:rFonts w:ascii="Times New Roman" w:eastAsiaTheme="minorEastAsia" w:hAnsi="Times New Roman"/>
            <w:bCs/>
            <w:color w:val="000000" w:themeColor="text1"/>
            <w:sz w:val="28"/>
            <w:szCs w:val="28"/>
            <w:lang w:val="uk-UA" w:eastAsia="ja-JP"/>
          </w:rPr>
          <w:t>3</w:t>
        </w:r>
        <w:r w:rsidR="00E71EE5" w:rsidRPr="0033186A">
          <w:rPr>
            <w:rStyle w:val="a5"/>
            <w:rFonts w:ascii="Times New Roman" w:eastAsiaTheme="minorEastAsia" w:hAnsi="Times New Roman"/>
            <w:bCs/>
            <w:color w:val="000000" w:themeColor="text1"/>
            <w:sz w:val="28"/>
            <w:szCs w:val="28"/>
            <w:lang w:val="en-US" w:eastAsia="ja-JP"/>
          </w:rPr>
          <w:t>wAgAAQBAJ</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oi</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fnd</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pg</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PP</w:t>
        </w:r>
        <w:r w:rsidR="00E71EE5" w:rsidRPr="0033186A">
          <w:rPr>
            <w:rStyle w:val="a5"/>
            <w:rFonts w:ascii="Times New Roman" w:eastAsiaTheme="minorEastAsia" w:hAnsi="Times New Roman"/>
            <w:bCs/>
            <w:color w:val="000000" w:themeColor="text1"/>
            <w:sz w:val="28"/>
            <w:szCs w:val="28"/>
            <w:lang w:val="uk-UA" w:eastAsia="ja-JP"/>
          </w:rPr>
          <w:t>1&amp;</w:t>
        </w:r>
        <w:r w:rsidR="00E71EE5" w:rsidRPr="0033186A">
          <w:rPr>
            <w:rStyle w:val="a5"/>
            <w:rFonts w:ascii="Times New Roman" w:eastAsiaTheme="minorEastAsia" w:hAnsi="Times New Roman"/>
            <w:bCs/>
            <w:color w:val="000000" w:themeColor="text1"/>
            <w:sz w:val="28"/>
            <w:szCs w:val="28"/>
            <w:lang w:val="en-US" w:eastAsia="ja-JP"/>
          </w:rPr>
          <w:t>dq</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japanese</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economy</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ots</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Bs</w:t>
        </w:r>
        <w:r w:rsidR="00E71EE5" w:rsidRPr="0033186A">
          <w:rPr>
            <w:rStyle w:val="a5"/>
            <w:rFonts w:ascii="Times New Roman" w:eastAsiaTheme="minorEastAsia" w:hAnsi="Times New Roman"/>
            <w:bCs/>
            <w:color w:val="000000" w:themeColor="text1"/>
            <w:sz w:val="28"/>
            <w:szCs w:val="28"/>
            <w:lang w:val="uk-UA" w:eastAsia="ja-JP"/>
          </w:rPr>
          <w:t>8</w:t>
        </w:r>
        <w:r w:rsidR="00E71EE5" w:rsidRPr="0033186A">
          <w:rPr>
            <w:rStyle w:val="a5"/>
            <w:rFonts w:ascii="Times New Roman" w:eastAsiaTheme="minorEastAsia" w:hAnsi="Times New Roman"/>
            <w:bCs/>
            <w:color w:val="000000" w:themeColor="text1"/>
            <w:sz w:val="28"/>
            <w:szCs w:val="28"/>
            <w:lang w:val="en-US" w:eastAsia="ja-JP"/>
          </w:rPr>
          <w:t>CaAA</w:t>
        </w:r>
        <w:r w:rsidR="00E71EE5" w:rsidRPr="0033186A">
          <w:rPr>
            <w:rStyle w:val="a5"/>
            <w:rFonts w:ascii="Times New Roman" w:eastAsiaTheme="minorEastAsia" w:hAnsi="Times New Roman"/>
            <w:bCs/>
            <w:color w:val="000000" w:themeColor="text1"/>
            <w:sz w:val="28"/>
            <w:szCs w:val="28"/>
            <w:lang w:val="uk-UA" w:eastAsia="ja-JP"/>
          </w:rPr>
          <w:t>8</w:t>
        </w:r>
        <w:r w:rsidR="00E71EE5" w:rsidRPr="0033186A">
          <w:rPr>
            <w:rStyle w:val="a5"/>
            <w:rFonts w:ascii="Times New Roman" w:eastAsiaTheme="minorEastAsia" w:hAnsi="Times New Roman"/>
            <w:bCs/>
            <w:color w:val="000000" w:themeColor="text1"/>
            <w:sz w:val="28"/>
            <w:szCs w:val="28"/>
            <w:lang w:val="en-US" w:eastAsia="ja-JP"/>
          </w:rPr>
          <w:t>Wd</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sig</w:t>
        </w:r>
        <w:r w:rsidR="00E71EE5" w:rsidRPr="0033186A">
          <w:rPr>
            <w:rStyle w:val="a5"/>
            <w:rFonts w:ascii="Times New Roman" w:eastAsiaTheme="minorEastAsia" w:hAnsi="Times New Roman"/>
            <w:bCs/>
            <w:color w:val="000000" w:themeColor="text1"/>
            <w:sz w:val="28"/>
            <w:szCs w:val="28"/>
            <w:lang w:val="uk-UA" w:eastAsia="ja-JP"/>
          </w:rPr>
          <w:t>=_</w:t>
        </w:r>
        <w:r w:rsidR="00E71EE5" w:rsidRPr="0033186A">
          <w:rPr>
            <w:rStyle w:val="a5"/>
            <w:rFonts w:ascii="Times New Roman" w:eastAsiaTheme="minorEastAsia" w:hAnsi="Times New Roman"/>
            <w:bCs/>
            <w:color w:val="000000" w:themeColor="text1"/>
            <w:sz w:val="28"/>
            <w:szCs w:val="28"/>
            <w:lang w:val="en-US" w:eastAsia="ja-JP"/>
          </w:rPr>
          <w:t>uKH</w:t>
        </w:r>
        <w:r w:rsidR="00E71EE5" w:rsidRPr="0033186A">
          <w:rPr>
            <w:rStyle w:val="a5"/>
            <w:rFonts w:ascii="Times New Roman" w:eastAsiaTheme="minorEastAsia" w:hAnsi="Times New Roman"/>
            <w:bCs/>
            <w:color w:val="000000" w:themeColor="text1"/>
            <w:sz w:val="28"/>
            <w:szCs w:val="28"/>
            <w:lang w:val="uk-UA" w:eastAsia="ja-JP"/>
          </w:rPr>
          <w:t>5</w:t>
        </w:r>
        <w:r w:rsidR="00E71EE5" w:rsidRPr="0033186A">
          <w:rPr>
            <w:rStyle w:val="a5"/>
            <w:rFonts w:ascii="Times New Roman" w:eastAsiaTheme="minorEastAsia" w:hAnsi="Times New Roman"/>
            <w:bCs/>
            <w:color w:val="000000" w:themeColor="text1"/>
            <w:sz w:val="28"/>
            <w:szCs w:val="28"/>
            <w:lang w:val="en-US" w:eastAsia="ja-JP"/>
          </w:rPr>
          <w:t>ANmwPX</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Y</w:t>
        </w:r>
        <w:r w:rsidR="00E71EE5" w:rsidRPr="0033186A">
          <w:rPr>
            <w:rStyle w:val="a5"/>
            <w:rFonts w:ascii="Times New Roman" w:eastAsiaTheme="minorEastAsia" w:hAnsi="Times New Roman"/>
            <w:bCs/>
            <w:color w:val="000000" w:themeColor="text1"/>
            <w:sz w:val="28"/>
            <w:szCs w:val="28"/>
            <w:lang w:val="uk-UA" w:eastAsia="ja-JP"/>
          </w:rPr>
          <w:t>51</w:t>
        </w:r>
        <w:r w:rsidR="00E71EE5" w:rsidRPr="0033186A">
          <w:rPr>
            <w:rStyle w:val="a5"/>
            <w:rFonts w:ascii="Times New Roman" w:eastAsiaTheme="minorEastAsia" w:hAnsi="Times New Roman"/>
            <w:bCs/>
            <w:color w:val="000000" w:themeColor="text1"/>
            <w:sz w:val="28"/>
            <w:szCs w:val="28"/>
            <w:lang w:val="en-US" w:eastAsia="ja-JP"/>
          </w:rPr>
          <w:t>S</w:t>
        </w:r>
        <w:r w:rsidR="00E71EE5" w:rsidRPr="0033186A">
          <w:rPr>
            <w:rStyle w:val="a5"/>
            <w:rFonts w:ascii="Times New Roman" w:eastAsiaTheme="minorEastAsia" w:hAnsi="Times New Roman"/>
            <w:bCs/>
            <w:color w:val="000000" w:themeColor="text1"/>
            <w:sz w:val="28"/>
            <w:szCs w:val="28"/>
            <w:lang w:val="uk-UA" w:eastAsia="ja-JP"/>
          </w:rPr>
          <w:t>1</w:t>
        </w:r>
        <w:r w:rsidR="00E71EE5" w:rsidRPr="0033186A">
          <w:rPr>
            <w:rStyle w:val="a5"/>
            <w:rFonts w:ascii="Times New Roman" w:eastAsiaTheme="minorEastAsia" w:hAnsi="Times New Roman"/>
            <w:bCs/>
            <w:color w:val="000000" w:themeColor="text1"/>
            <w:sz w:val="28"/>
            <w:szCs w:val="28"/>
            <w:lang w:val="en-US" w:eastAsia="ja-JP"/>
          </w:rPr>
          <w:t>Iiu</w:t>
        </w:r>
        <w:r w:rsidR="00E71EE5" w:rsidRPr="0033186A">
          <w:rPr>
            <w:rStyle w:val="a5"/>
            <w:rFonts w:ascii="Times New Roman" w:eastAsiaTheme="minorEastAsia" w:hAnsi="Times New Roman"/>
            <w:bCs/>
            <w:color w:val="000000" w:themeColor="text1"/>
            <w:sz w:val="28"/>
            <w:szCs w:val="28"/>
            <w:lang w:val="uk-UA" w:eastAsia="ja-JP"/>
          </w:rPr>
          <w:t>0</w:t>
        </w:r>
        <w:r w:rsidR="00E71EE5" w:rsidRPr="0033186A">
          <w:rPr>
            <w:rStyle w:val="a5"/>
            <w:rFonts w:ascii="Times New Roman" w:eastAsiaTheme="minorEastAsia" w:hAnsi="Times New Roman"/>
            <w:bCs/>
            <w:color w:val="000000" w:themeColor="text1"/>
            <w:sz w:val="28"/>
            <w:szCs w:val="28"/>
            <w:lang w:val="en-US" w:eastAsia="ja-JP"/>
          </w:rPr>
          <w:t>OYET</w:t>
        </w:r>
        <w:r w:rsidR="00E71EE5" w:rsidRPr="0033186A">
          <w:rPr>
            <w:rStyle w:val="a5"/>
            <w:rFonts w:ascii="Times New Roman" w:eastAsiaTheme="minorEastAsia" w:hAnsi="Times New Roman"/>
            <w:bCs/>
            <w:color w:val="000000" w:themeColor="text1"/>
            <w:sz w:val="28"/>
            <w:szCs w:val="28"/>
            <w:lang w:val="uk-UA" w:eastAsia="ja-JP"/>
          </w:rPr>
          <w:t>4</w:t>
        </w:r>
        <w:r w:rsidR="00E71EE5" w:rsidRPr="0033186A">
          <w:rPr>
            <w:rStyle w:val="a5"/>
            <w:rFonts w:ascii="Times New Roman" w:eastAsiaTheme="minorEastAsia" w:hAnsi="Times New Roman"/>
            <w:bCs/>
            <w:color w:val="000000" w:themeColor="text1"/>
            <w:sz w:val="28"/>
            <w:szCs w:val="28"/>
            <w:lang w:val="en-US" w:eastAsia="ja-JP"/>
          </w:rPr>
          <w:t>E</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redir</w:t>
        </w:r>
        <w:r w:rsidR="00E71EE5" w:rsidRPr="0033186A">
          <w:rPr>
            <w:rStyle w:val="a5"/>
            <w:rFonts w:ascii="Times New Roman" w:eastAsiaTheme="minorEastAsia" w:hAnsi="Times New Roman"/>
            <w:bCs/>
            <w:color w:val="000000" w:themeColor="text1"/>
            <w:sz w:val="28"/>
            <w:szCs w:val="28"/>
            <w:lang w:val="uk-UA" w:eastAsia="ja-JP"/>
          </w:rPr>
          <w:t>_</w:t>
        </w:r>
        <w:r w:rsidR="00E71EE5" w:rsidRPr="0033186A">
          <w:rPr>
            <w:rStyle w:val="a5"/>
            <w:rFonts w:ascii="Times New Roman" w:eastAsiaTheme="minorEastAsia" w:hAnsi="Times New Roman"/>
            <w:bCs/>
            <w:color w:val="000000" w:themeColor="text1"/>
            <w:sz w:val="28"/>
            <w:szCs w:val="28"/>
            <w:lang w:val="en-US" w:eastAsia="ja-JP"/>
          </w:rPr>
          <w:t>esc</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y</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v</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onepage</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q</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japanese</w:t>
        </w:r>
        <w:r w:rsidR="00E71EE5" w:rsidRPr="0033186A">
          <w:rPr>
            <w:rStyle w:val="a5"/>
            <w:rFonts w:ascii="Times New Roman" w:eastAsiaTheme="minorEastAsia" w:hAnsi="Times New Roman"/>
            <w:bCs/>
            <w:color w:val="000000" w:themeColor="text1"/>
            <w:sz w:val="28"/>
            <w:szCs w:val="28"/>
            <w:lang w:val="uk-UA" w:eastAsia="ja-JP"/>
          </w:rPr>
          <w:t>%20</w:t>
        </w:r>
        <w:r w:rsidR="00E71EE5" w:rsidRPr="0033186A">
          <w:rPr>
            <w:rStyle w:val="a5"/>
            <w:rFonts w:ascii="Times New Roman" w:eastAsiaTheme="minorEastAsia" w:hAnsi="Times New Roman"/>
            <w:bCs/>
            <w:color w:val="000000" w:themeColor="text1"/>
            <w:sz w:val="28"/>
            <w:szCs w:val="28"/>
            <w:lang w:val="en-US" w:eastAsia="ja-JP"/>
          </w:rPr>
          <w:t>economy</w:t>
        </w:r>
        <w:r w:rsidR="00E71EE5" w:rsidRPr="0033186A">
          <w:rPr>
            <w:rStyle w:val="a5"/>
            <w:rFonts w:ascii="Times New Roman" w:eastAsiaTheme="minorEastAsia" w:hAnsi="Times New Roman"/>
            <w:bCs/>
            <w:color w:val="000000" w:themeColor="text1"/>
            <w:sz w:val="28"/>
            <w:szCs w:val="28"/>
            <w:lang w:val="uk-UA" w:eastAsia="ja-JP"/>
          </w:rPr>
          <w:t>&amp;</w:t>
        </w:r>
        <w:r w:rsidR="00E71EE5" w:rsidRPr="0033186A">
          <w:rPr>
            <w:rStyle w:val="a5"/>
            <w:rFonts w:ascii="Times New Roman" w:eastAsiaTheme="minorEastAsia" w:hAnsi="Times New Roman"/>
            <w:bCs/>
            <w:color w:val="000000" w:themeColor="text1"/>
            <w:sz w:val="28"/>
            <w:szCs w:val="28"/>
            <w:lang w:val="en-US" w:eastAsia="ja-JP"/>
          </w:rPr>
          <w:t>f</w:t>
        </w:r>
        <w:r w:rsidR="00E71EE5" w:rsidRPr="0033186A">
          <w:rPr>
            <w:rStyle w:val="a5"/>
            <w:rFonts w:ascii="Times New Roman" w:eastAsiaTheme="minorEastAsia" w:hAnsi="Times New Roman"/>
            <w:bCs/>
            <w:color w:val="000000" w:themeColor="text1"/>
            <w:sz w:val="28"/>
            <w:szCs w:val="28"/>
            <w:lang w:val="uk-UA" w:eastAsia="ja-JP"/>
          </w:rPr>
          <w:t>=</w:t>
        </w:r>
        <w:r w:rsidR="00E71EE5" w:rsidRPr="0033186A">
          <w:rPr>
            <w:rStyle w:val="a5"/>
            <w:rFonts w:ascii="Times New Roman" w:eastAsiaTheme="minorEastAsia" w:hAnsi="Times New Roman"/>
            <w:bCs/>
            <w:color w:val="000000" w:themeColor="text1"/>
            <w:sz w:val="28"/>
            <w:szCs w:val="28"/>
            <w:lang w:val="en-US" w:eastAsia="ja-JP"/>
          </w:rPr>
          <w:t>false</w:t>
        </w:r>
      </w:hyperlink>
    </w:p>
    <w:p w14:paraId="7F999684" w14:textId="5E54486A" w:rsidR="003C5479" w:rsidRPr="0033186A" w:rsidRDefault="00A22DA9" w:rsidP="0033186A">
      <w:pPr>
        <w:spacing w:after="0" w:line="360" w:lineRule="auto"/>
        <w:jc w:val="both"/>
        <w:rPr>
          <w:rFonts w:ascii="Times New Roman" w:eastAsiaTheme="minorEastAsia" w:hAnsi="Times New Roman"/>
          <w:bCs/>
          <w:color w:val="000000" w:themeColor="text1"/>
          <w:sz w:val="28"/>
          <w:szCs w:val="28"/>
          <w:lang w:val="en-US" w:eastAsia="ja-JP"/>
        </w:rPr>
      </w:pPr>
      <w:r w:rsidRPr="0033186A">
        <w:rPr>
          <w:rFonts w:ascii="Times New Roman" w:eastAsiaTheme="minorEastAsia" w:hAnsi="Times New Roman"/>
          <w:bCs/>
          <w:color w:val="000000" w:themeColor="text1"/>
          <w:sz w:val="28"/>
          <w:szCs w:val="28"/>
          <w:lang w:val="uk-UA" w:eastAsia="ja-JP"/>
        </w:rPr>
        <w:t>37.</w:t>
      </w:r>
      <w:r w:rsidR="003743C2" w:rsidRPr="0033186A">
        <w:rPr>
          <w:rFonts w:ascii="Times New Roman" w:eastAsiaTheme="minorEastAsia" w:hAnsi="Times New Roman"/>
          <w:bCs/>
          <w:color w:val="000000" w:themeColor="text1"/>
          <w:sz w:val="28"/>
          <w:szCs w:val="28"/>
          <w:lang w:val="en-US" w:eastAsia="ja-JP"/>
        </w:rPr>
        <w:t xml:space="preserve"> </w:t>
      </w:r>
      <w:r w:rsidR="003C5479" w:rsidRPr="0033186A">
        <w:rPr>
          <w:rFonts w:ascii="Times New Roman" w:eastAsiaTheme="minorEastAsia" w:hAnsi="Times New Roman"/>
          <w:bCs/>
          <w:color w:val="000000" w:themeColor="text1"/>
          <w:sz w:val="28"/>
          <w:szCs w:val="28"/>
          <w:lang w:val="en-US" w:eastAsia="ja-JP"/>
        </w:rPr>
        <w:t xml:space="preserve">Japanese GDP in 2020 </w:t>
      </w:r>
      <w:hyperlink r:id="rId47" w:history="1">
        <w:r w:rsidR="003C5479" w:rsidRPr="0033186A">
          <w:rPr>
            <w:rStyle w:val="a5"/>
            <w:rFonts w:ascii="Times New Roman" w:eastAsiaTheme="minorEastAsia" w:hAnsi="Times New Roman"/>
            <w:bCs/>
            <w:color w:val="000000" w:themeColor="text1"/>
            <w:sz w:val="28"/>
            <w:szCs w:val="28"/>
            <w:lang w:val="en-US" w:eastAsia="ja-JP"/>
          </w:rPr>
          <w:t>https://asia.nikkei.com/Economy/Japan-GDP-shrinks-annualized-5.1-in-Q1</w:t>
        </w:r>
      </w:hyperlink>
    </w:p>
    <w:p w14:paraId="16EF9F22" w14:textId="39015B74" w:rsidR="005657AC"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38.</w:t>
      </w:r>
      <w:r w:rsidR="005657AC" w:rsidRPr="0033186A">
        <w:rPr>
          <w:rFonts w:ascii="Times New Roman" w:eastAsiaTheme="minorEastAsia" w:hAnsi="Times New Roman"/>
          <w:bCs/>
          <w:color w:val="000000" w:themeColor="text1"/>
          <w:sz w:val="28"/>
          <w:szCs w:val="28"/>
          <w:lang w:val="uk-UA" w:eastAsia="ja-JP"/>
        </w:rPr>
        <w:t xml:space="preserve"> Інвестеційний фонд  </w:t>
      </w:r>
      <w:r w:rsidR="005657AC" w:rsidRPr="0033186A">
        <w:rPr>
          <w:rFonts w:ascii="Times New Roman" w:eastAsiaTheme="minorEastAsia" w:hAnsi="Times New Roman"/>
          <w:bCs/>
          <w:color w:val="000000" w:themeColor="text1"/>
          <w:sz w:val="28"/>
          <w:szCs w:val="28"/>
          <w:lang w:eastAsia="ja-JP"/>
        </w:rPr>
        <w:t>“</w:t>
      </w:r>
      <w:r w:rsidR="005657AC" w:rsidRPr="0033186A">
        <w:rPr>
          <w:rFonts w:ascii="Times New Roman" w:eastAsiaTheme="minorEastAsia" w:hAnsi="Times New Roman"/>
          <w:bCs/>
          <w:color w:val="000000" w:themeColor="text1"/>
          <w:sz w:val="28"/>
          <w:szCs w:val="28"/>
          <w:lang w:val="en-US" w:eastAsia="ja-JP"/>
        </w:rPr>
        <w:t>Concorde</w:t>
      </w:r>
      <w:r w:rsidR="005657AC" w:rsidRPr="0033186A">
        <w:rPr>
          <w:rFonts w:ascii="Times New Roman" w:eastAsiaTheme="minorEastAsia" w:hAnsi="Times New Roman"/>
          <w:bCs/>
          <w:color w:val="000000" w:themeColor="text1"/>
          <w:sz w:val="28"/>
          <w:szCs w:val="28"/>
          <w:lang w:eastAsia="ja-JP"/>
        </w:rPr>
        <w:t xml:space="preserve"> </w:t>
      </w:r>
      <w:r w:rsidR="005657AC" w:rsidRPr="0033186A">
        <w:rPr>
          <w:rFonts w:ascii="Times New Roman" w:eastAsiaTheme="minorEastAsia" w:hAnsi="Times New Roman"/>
          <w:bCs/>
          <w:color w:val="000000" w:themeColor="text1"/>
          <w:sz w:val="28"/>
          <w:szCs w:val="28"/>
          <w:lang w:val="en-US" w:eastAsia="ja-JP"/>
        </w:rPr>
        <w:t>capital</w:t>
      </w:r>
      <w:r w:rsidR="005657AC" w:rsidRPr="0033186A">
        <w:rPr>
          <w:rFonts w:ascii="Times New Roman" w:eastAsiaTheme="minorEastAsia" w:hAnsi="Times New Roman"/>
          <w:bCs/>
          <w:color w:val="000000" w:themeColor="text1"/>
          <w:sz w:val="28"/>
          <w:szCs w:val="28"/>
          <w:lang w:eastAsia="ja-JP"/>
        </w:rPr>
        <w:t xml:space="preserve">” </w:t>
      </w:r>
      <w:r w:rsidR="005657AC"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r w:rsidR="005657AC" w:rsidRPr="0033186A">
        <w:rPr>
          <w:rFonts w:ascii="Times New Roman" w:eastAsiaTheme="minorEastAsia" w:hAnsi="Times New Roman"/>
          <w:bCs/>
          <w:color w:val="000000" w:themeColor="text1"/>
          <w:sz w:val="28"/>
          <w:szCs w:val="28"/>
          <w:lang w:eastAsia="ja-JP"/>
        </w:rPr>
        <w:t xml:space="preserve"> </w:t>
      </w:r>
      <w:hyperlink r:id="rId48" w:history="1">
        <w:r w:rsidR="005657AC" w:rsidRPr="0033186A">
          <w:rPr>
            <w:rStyle w:val="a5"/>
            <w:rFonts w:ascii="Times New Roman" w:eastAsiaTheme="minorEastAsia" w:hAnsi="Times New Roman"/>
            <w:bCs/>
            <w:color w:val="000000" w:themeColor="text1"/>
            <w:sz w:val="28"/>
            <w:szCs w:val="28"/>
            <w:lang w:val="uk-UA" w:eastAsia="ja-JP"/>
          </w:rPr>
          <w:t>https://concorde.ua/</w:t>
        </w:r>
      </w:hyperlink>
    </w:p>
    <w:p w14:paraId="0AA09451" w14:textId="1AAABFC9" w:rsidR="005657AC" w:rsidRPr="0033186A" w:rsidRDefault="00A22DA9" w:rsidP="0033186A">
      <w:pPr>
        <w:spacing w:after="0" w:line="360" w:lineRule="auto"/>
        <w:jc w:val="both"/>
        <w:rPr>
          <w:rFonts w:ascii="Times New Roman" w:eastAsiaTheme="minorEastAsia" w:hAnsi="Times New Roman"/>
          <w:bCs/>
          <w:color w:val="000000" w:themeColor="text1"/>
          <w:sz w:val="28"/>
          <w:szCs w:val="28"/>
          <w:lang w:eastAsia="ja-JP"/>
        </w:rPr>
      </w:pPr>
      <w:r w:rsidRPr="0033186A">
        <w:rPr>
          <w:rFonts w:ascii="Times New Roman" w:eastAsiaTheme="minorEastAsia" w:hAnsi="Times New Roman"/>
          <w:bCs/>
          <w:color w:val="000000" w:themeColor="text1"/>
          <w:sz w:val="28"/>
          <w:szCs w:val="28"/>
          <w:lang w:val="uk-UA" w:eastAsia="ja-JP"/>
        </w:rPr>
        <w:t>39.</w:t>
      </w:r>
      <w:r w:rsidR="005657AC" w:rsidRPr="0033186A">
        <w:rPr>
          <w:rFonts w:ascii="Times New Roman" w:eastAsiaTheme="minorEastAsia" w:hAnsi="Times New Roman"/>
          <w:bCs/>
          <w:color w:val="000000" w:themeColor="text1"/>
          <w:sz w:val="28"/>
          <w:szCs w:val="28"/>
          <w:lang w:eastAsia="ja-JP"/>
        </w:rPr>
        <w:t xml:space="preserve"> </w:t>
      </w:r>
      <w:r w:rsidR="005657AC" w:rsidRPr="0033186A">
        <w:rPr>
          <w:rFonts w:ascii="Times New Roman" w:eastAsiaTheme="minorEastAsia" w:hAnsi="Times New Roman"/>
          <w:bCs/>
          <w:color w:val="000000" w:themeColor="text1"/>
          <w:sz w:val="28"/>
          <w:szCs w:val="28"/>
          <w:lang w:val="uk-UA" w:eastAsia="ja-JP"/>
        </w:rPr>
        <w:t>Інвестиційний капітал Україна</w:t>
      </w:r>
      <w:r w:rsidR="005657AC" w:rsidRPr="0033186A">
        <w:rPr>
          <w:rFonts w:ascii="Times New Roman" w:eastAsiaTheme="minorEastAsia" w:hAnsi="Times New Roman"/>
          <w:bCs/>
          <w:color w:val="000000" w:themeColor="text1"/>
          <w:sz w:val="28"/>
          <w:szCs w:val="28"/>
          <w:lang w:eastAsia="ja-JP"/>
        </w:rPr>
        <w:t xml:space="preserve"> </w:t>
      </w:r>
      <w:r w:rsidR="005657AC" w:rsidRPr="0033186A">
        <w:rPr>
          <w:rFonts w:ascii="Times New Roman" w:eastAsiaTheme="minorEastAsia" w:hAnsi="Times New Roman"/>
          <w:bCs/>
          <w:color w:val="000000" w:themeColor="text1"/>
          <w:sz w:val="28"/>
          <w:szCs w:val="28"/>
          <w:lang w:val="uk-UA" w:eastAsia="ja-JP"/>
        </w:rPr>
        <w:t xml:space="preserve">[Електронний ресурс]. – Режим доступу: </w:t>
      </w:r>
      <w:r w:rsidR="005657AC" w:rsidRPr="0033186A">
        <w:rPr>
          <w:rFonts w:ascii="Times New Roman" w:eastAsiaTheme="minorEastAsia" w:hAnsi="Times New Roman"/>
          <w:bCs/>
          <w:color w:val="000000" w:themeColor="text1"/>
          <w:sz w:val="28"/>
          <w:szCs w:val="28"/>
          <w:lang w:eastAsia="ja-JP"/>
        </w:rPr>
        <w:t xml:space="preserve"> </w:t>
      </w:r>
      <w:hyperlink r:id="rId49" w:history="1">
        <w:r w:rsidR="005657AC" w:rsidRPr="0033186A">
          <w:rPr>
            <w:rStyle w:val="a5"/>
            <w:rFonts w:ascii="Times New Roman" w:eastAsiaTheme="minorEastAsia" w:hAnsi="Times New Roman"/>
            <w:bCs/>
            <w:color w:val="000000" w:themeColor="text1"/>
            <w:sz w:val="28"/>
            <w:szCs w:val="28"/>
            <w:lang w:val="en-US" w:eastAsia="ja-JP"/>
          </w:rPr>
          <w:t>https</w:t>
        </w:r>
        <w:r w:rsidR="005657AC" w:rsidRPr="0033186A">
          <w:rPr>
            <w:rStyle w:val="a5"/>
            <w:rFonts w:ascii="Times New Roman" w:eastAsiaTheme="minorEastAsia" w:hAnsi="Times New Roman"/>
            <w:bCs/>
            <w:color w:val="000000" w:themeColor="text1"/>
            <w:sz w:val="28"/>
            <w:szCs w:val="28"/>
            <w:lang w:eastAsia="ja-JP"/>
          </w:rPr>
          <w:t>://</w:t>
        </w:r>
        <w:r w:rsidR="005657AC" w:rsidRPr="0033186A">
          <w:rPr>
            <w:rStyle w:val="a5"/>
            <w:rFonts w:ascii="Times New Roman" w:eastAsiaTheme="minorEastAsia" w:hAnsi="Times New Roman"/>
            <w:bCs/>
            <w:color w:val="000000" w:themeColor="text1"/>
            <w:sz w:val="28"/>
            <w:szCs w:val="28"/>
            <w:lang w:val="en-US" w:eastAsia="ja-JP"/>
          </w:rPr>
          <w:t>www</w:t>
        </w:r>
        <w:r w:rsidR="005657AC" w:rsidRPr="0033186A">
          <w:rPr>
            <w:rStyle w:val="a5"/>
            <w:rFonts w:ascii="Times New Roman" w:eastAsiaTheme="minorEastAsia" w:hAnsi="Times New Roman"/>
            <w:bCs/>
            <w:color w:val="000000" w:themeColor="text1"/>
            <w:sz w:val="28"/>
            <w:szCs w:val="28"/>
            <w:lang w:eastAsia="ja-JP"/>
          </w:rPr>
          <w:t>.</w:t>
        </w:r>
        <w:r w:rsidR="005657AC" w:rsidRPr="0033186A">
          <w:rPr>
            <w:rStyle w:val="a5"/>
            <w:rFonts w:ascii="Times New Roman" w:eastAsiaTheme="minorEastAsia" w:hAnsi="Times New Roman"/>
            <w:bCs/>
            <w:color w:val="000000" w:themeColor="text1"/>
            <w:sz w:val="28"/>
            <w:szCs w:val="28"/>
            <w:lang w:val="en-US" w:eastAsia="ja-JP"/>
          </w:rPr>
          <w:t>icu</w:t>
        </w:r>
        <w:r w:rsidR="005657AC" w:rsidRPr="0033186A">
          <w:rPr>
            <w:rStyle w:val="a5"/>
            <w:rFonts w:ascii="Times New Roman" w:eastAsiaTheme="minorEastAsia" w:hAnsi="Times New Roman"/>
            <w:bCs/>
            <w:color w:val="000000" w:themeColor="text1"/>
            <w:sz w:val="28"/>
            <w:szCs w:val="28"/>
            <w:lang w:eastAsia="ja-JP"/>
          </w:rPr>
          <w:t>.</w:t>
        </w:r>
        <w:r w:rsidR="005657AC" w:rsidRPr="0033186A">
          <w:rPr>
            <w:rStyle w:val="a5"/>
            <w:rFonts w:ascii="Times New Roman" w:eastAsiaTheme="minorEastAsia" w:hAnsi="Times New Roman"/>
            <w:bCs/>
            <w:color w:val="000000" w:themeColor="text1"/>
            <w:sz w:val="28"/>
            <w:szCs w:val="28"/>
            <w:lang w:val="en-US" w:eastAsia="ja-JP"/>
          </w:rPr>
          <w:t>ua</w:t>
        </w:r>
        <w:r w:rsidR="005657AC" w:rsidRPr="0033186A">
          <w:rPr>
            <w:rStyle w:val="a5"/>
            <w:rFonts w:ascii="Times New Roman" w:eastAsiaTheme="minorEastAsia" w:hAnsi="Times New Roman"/>
            <w:bCs/>
            <w:color w:val="000000" w:themeColor="text1"/>
            <w:sz w:val="28"/>
            <w:szCs w:val="28"/>
            <w:lang w:eastAsia="ja-JP"/>
          </w:rPr>
          <w:t>/</w:t>
        </w:r>
        <w:r w:rsidR="005657AC" w:rsidRPr="0033186A">
          <w:rPr>
            <w:rStyle w:val="a5"/>
            <w:rFonts w:ascii="Times New Roman" w:eastAsiaTheme="minorEastAsia" w:hAnsi="Times New Roman"/>
            <w:bCs/>
            <w:color w:val="000000" w:themeColor="text1"/>
            <w:sz w:val="28"/>
            <w:szCs w:val="28"/>
            <w:lang w:val="en-US" w:eastAsia="ja-JP"/>
          </w:rPr>
          <w:t>uk</w:t>
        </w:r>
      </w:hyperlink>
    </w:p>
    <w:p w14:paraId="33D8D2EE" w14:textId="2FB1C69A" w:rsidR="00A22DA9" w:rsidRPr="0033186A" w:rsidRDefault="00A22DA9" w:rsidP="0033186A">
      <w:pPr>
        <w:spacing w:after="0" w:line="360" w:lineRule="auto"/>
        <w:jc w:val="both"/>
        <w:rPr>
          <w:rFonts w:ascii="Times New Roman" w:eastAsiaTheme="minorEastAsia" w:hAnsi="Times New Roman"/>
          <w:bCs/>
          <w:color w:val="000000" w:themeColor="text1"/>
          <w:sz w:val="28"/>
          <w:szCs w:val="28"/>
          <w:lang w:val="uk-UA" w:eastAsia="ja-JP"/>
        </w:rPr>
      </w:pPr>
      <w:r w:rsidRPr="0033186A">
        <w:rPr>
          <w:rFonts w:ascii="Times New Roman" w:eastAsiaTheme="minorEastAsia" w:hAnsi="Times New Roman"/>
          <w:bCs/>
          <w:color w:val="000000" w:themeColor="text1"/>
          <w:sz w:val="28"/>
          <w:szCs w:val="28"/>
          <w:lang w:val="uk-UA" w:eastAsia="ja-JP"/>
        </w:rPr>
        <w:t>40.</w:t>
      </w:r>
      <w:r w:rsidR="00812E22" w:rsidRPr="0033186A">
        <w:rPr>
          <w:rFonts w:ascii="Times New Roman" w:eastAsiaTheme="minorEastAsia" w:hAnsi="Times New Roman"/>
          <w:bCs/>
          <w:color w:val="000000" w:themeColor="text1"/>
          <w:sz w:val="28"/>
          <w:szCs w:val="28"/>
          <w:lang w:val="uk-UA" w:eastAsia="ja-JP"/>
        </w:rPr>
        <w:t xml:space="preserve"> Шатських Р.Д., Родіонова Т. А. Фактори розвитку фондового ринку Японії. Збірник наукових праць Одинадцятої міжнародної науково-практичної конференції. – Одеса: Одеський національний університет ім. І.І.Мечникова – 202</w:t>
      </w:r>
      <w:r w:rsidR="000C62AC" w:rsidRPr="0033186A">
        <w:rPr>
          <w:rFonts w:ascii="Times New Roman" w:eastAsiaTheme="minorEastAsia" w:hAnsi="Times New Roman"/>
          <w:bCs/>
          <w:color w:val="000000" w:themeColor="text1"/>
          <w:sz w:val="28"/>
          <w:szCs w:val="28"/>
          <w:lang w:val="uk-UA" w:eastAsia="ja-JP"/>
        </w:rPr>
        <w:t>1</w:t>
      </w:r>
    </w:p>
    <w:p w14:paraId="694DC4F0" w14:textId="5E6AA423" w:rsidR="00CC4186" w:rsidRDefault="00CC4186" w:rsidP="0033186A">
      <w:pPr>
        <w:spacing w:after="160" w:line="360" w:lineRule="auto"/>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br w:type="page"/>
      </w:r>
    </w:p>
    <w:p w14:paraId="3C27CA87" w14:textId="54EF584B" w:rsidR="00A22DA9" w:rsidRPr="00CC4186" w:rsidRDefault="00CC4186" w:rsidP="00CC4186">
      <w:pPr>
        <w:spacing w:line="360" w:lineRule="auto"/>
        <w:jc w:val="center"/>
        <w:rPr>
          <w:rFonts w:ascii="Times New Roman" w:eastAsiaTheme="minorEastAsia" w:hAnsi="Times New Roman"/>
          <w:b/>
          <w:sz w:val="28"/>
          <w:szCs w:val="28"/>
          <w:lang w:val="uk-UA" w:eastAsia="ja-JP"/>
        </w:rPr>
      </w:pPr>
      <w:r w:rsidRPr="00CC4186">
        <w:rPr>
          <w:rFonts w:ascii="Times New Roman" w:eastAsiaTheme="minorEastAsia" w:hAnsi="Times New Roman"/>
          <w:b/>
          <w:sz w:val="28"/>
          <w:szCs w:val="28"/>
          <w:lang w:val="uk-UA" w:eastAsia="ja-JP"/>
        </w:rPr>
        <w:lastRenderedPageBreak/>
        <w:t>ДОДАТКИ</w:t>
      </w:r>
    </w:p>
    <w:p w14:paraId="4963FDDA" w14:textId="26968B84" w:rsidR="00791471" w:rsidRDefault="00CC4186" w:rsidP="0081762D">
      <w:pPr>
        <w:spacing w:line="360" w:lineRule="auto"/>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t>Модель 1</w:t>
      </w:r>
    </w:p>
    <w:p w14:paraId="7872FED9" w14:textId="4BB58544" w:rsidR="00CC4186" w:rsidRPr="00A22DA9" w:rsidRDefault="00CC4186" w:rsidP="0081762D">
      <w:pPr>
        <w:spacing w:line="360" w:lineRule="auto"/>
        <w:rPr>
          <w:rFonts w:ascii="Times New Roman" w:eastAsiaTheme="minorEastAsia" w:hAnsi="Times New Roman"/>
          <w:bCs/>
          <w:sz w:val="28"/>
          <w:szCs w:val="28"/>
          <w:lang w:val="uk-UA" w:eastAsia="ja-JP"/>
        </w:rPr>
      </w:pPr>
      <w:r>
        <w:rPr>
          <w:noProof/>
          <w:lang w:val="uk-UA" w:eastAsia="uk-UA"/>
        </w:rPr>
        <w:drawing>
          <wp:inline distT="0" distB="0" distL="0" distR="0" wp14:anchorId="57556BA8" wp14:editId="1B98B070">
            <wp:extent cx="5593080" cy="6065520"/>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93080" cy="6065520"/>
                    </a:xfrm>
                    <a:prstGeom prst="rect">
                      <a:avLst/>
                    </a:prstGeom>
                    <a:noFill/>
                    <a:ln>
                      <a:noFill/>
                    </a:ln>
                  </pic:spPr>
                </pic:pic>
              </a:graphicData>
            </a:graphic>
          </wp:inline>
        </w:drawing>
      </w:r>
    </w:p>
    <w:p w14:paraId="1AABCE50" w14:textId="77777777" w:rsidR="00F30959" w:rsidRPr="00A22DA9" w:rsidRDefault="00F30959" w:rsidP="0081762D">
      <w:pPr>
        <w:spacing w:line="360" w:lineRule="auto"/>
        <w:rPr>
          <w:rFonts w:ascii="Times New Roman" w:eastAsiaTheme="minorEastAsia" w:hAnsi="Times New Roman"/>
          <w:bCs/>
          <w:sz w:val="28"/>
          <w:szCs w:val="28"/>
          <w:lang w:val="uk-UA" w:eastAsia="ja-JP"/>
        </w:rPr>
      </w:pPr>
    </w:p>
    <w:p w14:paraId="1F60085F" w14:textId="3AE96271" w:rsidR="00161AB7" w:rsidRDefault="00161AB7" w:rsidP="0081762D">
      <w:pPr>
        <w:spacing w:line="360" w:lineRule="auto"/>
        <w:rPr>
          <w:rFonts w:ascii="Times New Roman" w:eastAsiaTheme="minorEastAsia" w:hAnsi="Times New Roman"/>
          <w:bCs/>
          <w:sz w:val="28"/>
          <w:szCs w:val="28"/>
          <w:lang w:val="uk-UA" w:eastAsia="ja-JP"/>
        </w:rPr>
      </w:pPr>
    </w:p>
    <w:p w14:paraId="26725601" w14:textId="0B5A2CBF" w:rsidR="00CC4186" w:rsidRDefault="00CC4186" w:rsidP="0081762D">
      <w:pPr>
        <w:spacing w:line="360" w:lineRule="auto"/>
        <w:rPr>
          <w:rFonts w:ascii="Times New Roman" w:eastAsiaTheme="minorEastAsia" w:hAnsi="Times New Roman"/>
          <w:bCs/>
          <w:sz w:val="28"/>
          <w:szCs w:val="28"/>
          <w:lang w:val="uk-UA" w:eastAsia="ja-JP"/>
        </w:rPr>
      </w:pPr>
    </w:p>
    <w:p w14:paraId="1D7360B3" w14:textId="232C96A1" w:rsidR="00CC4186" w:rsidRDefault="00CC4186" w:rsidP="0081762D">
      <w:pPr>
        <w:spacing w:line="360" w:lineRule="auto"/>
        <w:rPr>
          <w:rFonts w:ascii="Times New Roman" w:eastAsiaTheme="minorEastAsia" w:hAnsi="Times New Roman"/>
          <w:bCs/>
          <w:sz w:val="28"/>
          <w:szCs w:val="28"/>
          <w:lang w:val="uk-UA" w:eastAsia="ja-JP"/>
        </w:rPr>
      </w:pPr>
      <w:r>
        <w:rPr>
          <w:rFonts w:ascii="Times New Roman" w:eastAsiaTheme="minorEastAsia" w:hAnsi="Times New Roman"/>
          <w:bCs/>
          <w:sz w:val="28"/>
          <w:szCs w:val="28"/>
          <w:lang w:val="uk-UA" w:eastAsia="ja-JP"/>
        </w:rPr>
        <w:lastRenderedPageBreak/>
        <w:t>Модель 2</w:t>
      </w:r>
    </w:p>
    <w:p w14:paraId="009B5CAF" w14:textId="5B7DCD42" w:rsidR="00CC4186" w:rsidRPr="00A22DA9" w:rsidRDefault="00CC4186" w:rsidP="0081762D">
      <w:pPr>
        <w:spacing w:line="360" w:lineRule="auto"/>
        <w:rPr>
          <w:rFonts w:ascii="Times New Roman" w:eastAsiaTheme="minorEastAsia" w:hAnsi="Times New Roman"/>
          <w:bCs/>
          <w:sz w:val="28"/>
          <w:szCs w:val="28"/>
          <w:lang w:val="uk-UA" w:eastAsia="ja-JP"/>
        </w:rPr>
      </w:pPr>
      <w:r>
        <w:rPr>
          <w:noProof/>
          <w:lang w:val="uk-UA" w:eastAsia="uk-UA"/>
        </w:rPr>
        <w:drawing>
          <wp:inline distT="0" distB="0" distL="0" distR="0" wp14:anchorId="350CB455" wp14:editId="3EEB147D">
            <wp:extent cx="5463540" cy="5074920"/>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63540" cy="5074920"/>
                    </a:xfrm>
                    <a:prstGeom prst="rect">
                      <a:avLst/>
                    </a:prstGeom>
                    <a:noFill/>
                    <a:ln>
                      <a:noFill/>
                    </a:ln>
                  </pic:spPr>
                </pic:pic>
              </a:graphicData>
            </a:graphic>
          </wp:inline>
        </w:drawing>
      </w:r>
    </w:p>
    <w:sectPr w:rsidR="00CC4186" w:rsidRPr="00A22DA9" w:rsidSect="002A29D1">
      <w:headerReference w:type="default" r:id="rId52"/>
      <w:pgSz w:w="12240" w:h="15840"/>
      <w:pgMar w:top="1134" w:right="1134" w:bottom="1134" w:left="141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61CF0D" w14:textId="77777777" w:rsidR="000C0625" w:rsidRDefault="000C0625" w:rsidP="00986E90">
      <w:pPr>
        <w:spacing w:after="0" w:line="240" w:lineRule="auto"/>
      </w:pPr>
      <w:r>
        <w:separator/>
      </w:r>
    </w:p>
  </w:endnote>
  <w:endnote w:type="continuationSeparator" w:id="0">
    <w:p w14:paraId="20C075AE" w14:textId="77777777" w:rsidR="000C0625" w:rsidRDefault="000C0625" w:rsidP="00986E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CC"/>
    <w:family w:val="swiss"/>
    <w:pitch w:val="variable"/>
    <w:sig w:usb0="A00002EF" w:usb1="4000207B" w:usb2="00000000" w:usb3="00000000" w:csb0="0000019F" w:csb1="00000000"/>
  </w:font>
  <w:font w:name="Yu Gothic Light">
    <w:altName w:val="游ゴシック Light"/>
    <w:charset w:val="80"/>
    <w:family w:val="swiss"/>
    <w:pitch w:val="variable"/>
    <w:sig w:usb0="E00002FF" w:usb1="2AC7FDFF" w:usb2="00000016" w:usb3="00000000" w:csb0="0002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E800E4" w14:textId="77777777" w:rsidR="000C0625" w:rsidRDefault="000C0625" w:rsidP="00986E90">
      <w:pPr>
        <w:spacing w:after="0" w:line="240" w:lineRule="auto"/>
      </w:pPr>
      <w:r>
        <w:separator/>
      </w:r>
    </w:p>
  </w:footnote>
  <w:footnote w:type="continuationSeparator" w:id="0">
    <w:p w14:paraId="4103BAF9" w14:textId="77777777" w:rsidR="000C0625" w:rsidRDefault="000C0625" w:rsidP="00986E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963379"/>
      <w:docPartObj>
        <w:docPartGallery w:val="Page Numbers (Top of Page)"/>
        <w:docPartUnique/>
      </w:docPartObj>
    </w:sdtPr>
    <w:sdtEndPr/>
    <w:sdtContent>
      <w:p w14:paraId="17BBEFF4" w14:textId="02B9C16A" w:rsidR="00E9201E" w:rsidRDefault="00E9201E">
        <w:pPr>
          <w:pStyle w:val="a8"/>
          <w:jc w:val="right"/>
        </w:pPr>
        <w:r>
          <w:fldChar w:fldCharType="begin"/>
        </w:r>
        <w:r>
          <w:instrText>PAGE   \* MERGEFORMAT</w:instrText>
        </w:r>
        <w:r>
          <w:fldChar w:fldCharType="separate"/>
        </w:r>
        <w:r w:rsidR="00DC327D">
          <w:rPr>
            <w:noProof/>
          </w:rPr>
          <w:t>54</w:t>
        </w:r>
        <w:r>
          <w:fldChar w:fldCharType="end"/>
        </w:r>
      </w:p>
    </w:sdtContent>
  </w:sdt>
  <w:p w14:paraId="4F9CF04D" w14:textId="77777777" w:rsidR="00E9201E" w:rsidRDefault="00E9201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314DF8"/>
    <w:multiLevelType w:val="hybridMultilevel"/>
    <w:tmpl w:val="CE808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5EB0849"/>
    <w:multiLevelType w:val="hybridMultilevel"/>
    <w:tmpl w:val="4B600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752640D"/>
    <w:multiLevelType w:val="hybridMultilevel"/>
    <w:tmpl w:val="121C3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8F3184"/>
    <w:multiLevelType w:val="hybridMultilevel"/>
    <w:tmpl w:val="9BA6DA2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4C4D76CB"/>
    <w:multiLevelType w:val="multilevel"/>
    <w:tmpl w:val="2CA0414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E652C7F"/>
    <w:multiLevelType w:val="hybridMultilevel"/>
    <w:tmpl w:val="A9FCD1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9234FB9"/>
    <w:multiLevelType w:val="hybridMultilevel"/>
    <w:tmpl w:val="629A13E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nsid w:val="66534525"/>
    <w:multiLevelType w:val="hybridMultilevel"/>
    <w:tmpl w:val="85E299E8"/>
    <w:lvl w:ilvl="0" w:tplc="5DF4D3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6EC70D35"/>
    <w:multiLevelType w:val="hybridMultilevel"/>
    <w:tmpl w:val="340AD4BA"/>
    <w:lvl w:ilvl="0" w:tplc="8E723B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00F370D"/>
    <w:multiLevelType w:val="hybridMultilevel"/>
    <w:tmpl w:val="B23E8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2254A0C"/>
    <w:multiLevelType w:val="hybridMultilevel"/>
    <w:tmpl w:val="E0A6E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FA53064"/>
    <w:multiLevelType w:val="hybridMultilevel"/>
    <w:tmpl w:val="75C8EA9A"/>
    <w:lvl w:ilvl="0" w:tplc="8B6660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9"/>
  </w:num>
  <w:num w:numId="3">
    <w:abstractNumId w:val="10"/>
  </w:num>
  <w:num w:numId="4">
    <w:abstractNumId w:val="2"/>
  </w:num>
  <w:num w:numId="5">
    <w:abstractNumId w:val="0"/>
  </w:num>
  <w:num w:numId="6">
    <w:abstractNumId w:val="3"/>
  </w:num>
  <w:num w:numId="7">
    <w:abstractNumId w:val="6"/>
  </w:num>
  <w:num w:numId="8">
    <w:abstractNumId w:val="7"/>
  </w:num>
  <w:num w:numId="9">
    <w:abstractNumId w:val="5"/>
  </w:num>
  <w:num w:numId="10">
    <w:abstractNumId w:val="11"/>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12D"/>
    <w:rsid w:val="000012BB"/>
    <w:rsid w:val="000019C7"/>
    <w:rsid w:val="000020D2"/>
    <w:rsid w:val="0000223A"/>
    <w:rsid w:val="00010184"/>
    <w:rsid w:val="00015391"/>
    <w:rsid w:val="000176DB"/>
    <w:rsid w:val="00017AE3"/>
    <w:rsid w:val="00022A33"/>
    <w:rsid w:val="00034573"/>
    <w:rsid w:val="00034B20"/>
    <w:rsid w:val="00035636"/>
    <w:rsid w:val="00040A79"/>
    <w:rsid w:val="0004687A"/>
    <w:rsid w:val="00050F12"/>
    <w:rsid w:val="00051236"/>
    <w:rsid w:val="00051878"/>
    <w:rsid w:val="00051AAA"/>
    <w:rsid w:val="00053B4C"/>
    <w:rsid w:val="00055011"/>
    <w:rsid w:val="000636A9"/>
    <w:rsid w:val="00063CFA"/>
    <w:rsid w:val="00075EF2"/>
    <w:rsid w:val="00080048"/>
    <w:rsid w:val="00080811"/>
    <w:rsid w:val="000816DB"/>
    <w:rsid w:val="0008216C"/>
    <w:rsid w:val="000913D3"/>
    <w:rsid w:val="0009166A"/>
    <w:rsid w:val="000A0B17"/>
    <w:rsid w:val="000A3AF1"/>
    <w:rsid w:val="000A5E1E"/>
    <w:rsid w:val="000C0625"/>
    <w:rsid w:val="000C51B6"/>
    <w:rsid w:val="000C62AC"/>
    <w:rsid w:val="000E6FC9"/>
    <w:rsid w:val="000E7C71"/>
    <w:rsid w:val="0010507B"/>
    <w:rsid w:val="00115F35"/>
    <w:rsid w:val="00117071"/>
    <w:rsid w:val="0012237B"/>
    <w:rsid w:val="00124AEA"/>
    <w:rsid w:val="00125C90"/>
    <w:rsid w:val="00133267"/>
    <w:rsid w:val="00133D68"/>
    <w:rsid w:val="00140820"/>
    <w:rsid w:val="00143576"/>
    <w:rsid w:val="00145126"/>
    <w:rsid w:val="001507AE"/>
    <w:rsid w:val="00152C3B"/>
    <w:rsid w:val="001564E0"/>
    <w:rsid w:val="00156E34"/>
    <w:rsid w:val="00161AB7"/>
    <w:rsid w:val="00166052"/>
    <w:rsid w:val="00166B1B"/>
    <w:rsid w:val="001671B0"/>
    <w:rsid w:val="001675FA"/>
    <w:rsid w:val="00167744"/>
    <w:rsid w:val="00171DDF"/>
    <w:rsid w:val="00177E26"/>
    <w:rsid w:val="00183DFC"/>
    <w:rsid w:val="00194021"/>
    <w:rsid w:val="00196198"/>
    <w:rsid w:val="001A1AB0"/>
    <w:rsid w:val="001A7DA1"/>
    <w:rsid w:val="001A7E7C"/>
    <w:rsid w:val="001B0D4D"/>
    <w:rsid w:val="001B1DE3"/>
    <w:rsid w:val="001B4EBB"/>
    <w:rsid w:val="001C4001"/>
    <w:rsid w:val="001C4E33"/>
    <w:rsid w:val="001D6153"/>
    <w:rsid w:val="001D7F42"/>
    <w:rsid w:val="001E295F"/>
    <w:rsid w:val="001F02E3"/>
    <w:rsid w:val="001F6EEA"/>
    <w:rsid w:val="002046F6"/>
    <w:rsid w:val="002134DC"/>
    <w:rsid w:val="002211A9"/>
    <w:rsid w:val="00223464"/>
    <w:rsid w:val="0022460E"/>
    <w:rsid w:val="0023456F"/>
    <w:rsid w:val="00236659"/>
    <w:rsid w:val="0024461E"/>
    <w:rsid w:val="0024707C"/>
    <w:rsid w:val="00247E92"/>
    <w:rsid w:val="0025117E"/>
    <w:rsid w:val="002579F5"/>
    <w:rsid w:val="002621C7"/>
    <w:rsid w:val="0026396A"/>
    <w:rsid w:val="00264D4E"/>
    <w:rsid w:val="00275760"/>
    <w:rsid w:val="00275DC9"/>
    <w:rsid w:val="002764EE"/>
    <w:rsid w:val="00276B24"/>
    <w:rsid w:val="002807A1"/>
    <w:rsid w:val="002910F0"/>
    <w:rsid w:val="00293B01"/>
    <w:rsid w:val="00294954"/>
    <w:rsid w:val="00297D89"/>
    <w:rsid w:val="002A29D1"/>
    <w:rsid w:val="002A427A"/>
    <w:rsid w:val="002A7BF8"/>
    <w:rsid w:val="002B33DD"/>
    <w:rsid w:val="002B466C"/>
    <w:rsid w:val="002B5032"/>
    <w:rsid w:val="002C17C7"/>
    <w:rsid w:val="002C28A3"/>
    <w:rsid w:val="002D2762"/>
    <w:rsid w:val="002D29EC"/>
    <w:rsid w:val="002D39B1"/>
    <w:rsid w:val="002D792A"/>
    <w:rsid w:val="002E1C27"/>
    <w:rsid w:val="002F1A40"/>
    <w:rsid w:val="002F5BE1"/>
    <w:rsid w:val="00301AB4"/>
    <w:rsid w:val="00310579"/>
    <w:rsid w:val="00312F23"/>
    <w:rsid w:val="0031655A"/>
    <w:rsid w:val="003215B4"/>
    <w:rsid w:val="003253F6"/>
    <w:rsid w:val="0033186A"/>
    <w:rsid w:val="00332147"/>
    <w:rsid w:val="0033638A"/>
    <w:rsid w:val="0034063E"/>
    <w:rsid w:val="00340993"/>
    <w:rsid w:val="0034129F"/>
    <w:rsid w:val="00342555"/>
    <w:rsid w:val="00350DF8"/>
    <w:rsid w:val="00353728"/>
    <w:rsid w:val="003540F8"/>
    <w:rsid w:val="003743C2"/>
    <w:rsid w:val="003773B9"/>
    <w:rsid w:val="0038192F"/>
    <w:rsid w:val="00381F7A"/>
    <w:rsid w:val="00387868"/>
    <w:rsid w:val="003907D6"/>
    <w:rsid w:val="00391E75"/>
    <w:rsid w:val="00396B62"/>
    <w:rsid w:val="003A02C2"/>
    <w:rsid w:val="003A2611"/>
    <w:rsid w:val="003A4D0A"/>
    <w:rsid w:val="003A50F5"/>
    <w:rsid w:val="003A7CA0"/>
    <w:rsid w:val="003B59DB"/>
    <w:rsid w:val="003B5D0A"/>
    <w:rsid w:val="003C1048"/>
    <w:rsid w:val="003C3BF5"/>
    <w:rsid w:val="003C42A8"/>
    <w:rsid w:val="003C5479"/>
    <w:rsid w:val="003D76A5"/>
    <w:rsid w:val="003E176A"/>
    <w:rsid w:val="003E35F9"/>
    <w:rsid w:val="0040154E"/>
    <w:rsid w:val="00406A48"/>
    <w:rsid w:val="00407CD6"/>
    <w:rsid w:val="00407F1A"/>
    <w:rsid w:val="00413943"/>
    <w:rsid w:val="00416159"/>
    <w:rsid w:val="00416B9A"/>
    <w:rsid w:val="00443978"/>
    <w:rsid w:val="00446F6D"/>
    <w:rsid w:val="00455633"/>
    <w:rsid w:val="0045729A"/>
    <w:rsid w:val="004617E4"/>
    <w:rsid w:val="00462478"/>
    <w:rsid w:val="00463AA5"/>
    <w:rsid w:val="00464132"/>
    <w:rsid w:val="004655EB"/>
    <w:rsid w:val="00470F27"/>
    <w:rsid w:val="0047501B"/>
    <w:rsid w:val="00475554"/>
    <w:rsid w:val="0048293E"/>
    <w:rsid w:val="00482FBA"/>
    <w:rsid w:val="004912E9"/>
    <w:rsid w:val="0049161D"/>
    <w:rsid w:val="00495A94"/>
    <w:rsid w:val="004A533E"/>
    <w:rsid w:val="004A6562"/>
    <w:rsid w:val="004A694A"/>
    <w:rsid w:val="004B2CA0"/>
    <w:rsid w:val="004B4396"/>
    <w:rsid w:val="004B566B"/>
    <w:rsid w:val="004B6514"/>
    <w:rsid w:val="004C0D3F"/>
    <w:rsid w:val="004D0693"/>
    <w:rsid w:val="004D203B"/>
    <w:rsid w:val="004F5F4B"/>
    <w:rsid w:val="004F7B45"/>
    <w:rsid w:val="005004F2"/>
    <w:rsid w:val="005005DE"/>
    <w:rsid w:val="00503DE2"/>
    <w:rsid w:val="0050417D"/>
    <w:rsid w:val="005052F9"/>
    <w:rsid w:val="00505A1C"/>
    <w:rsid w:val="005068BB"/>
    <w:rsid w:val="00513576"/>
    <w:rsid w:val="00521C09"/>
    <w:rsid w:val="0052458A"/>
    <w:rsid w:val="00524966"/>
    <w:rsid w:val="00524CC0"/>
    <w:rsid w:val="00526B1B"/>
    <w:rsid w:val="005301E3"/>
    <w:rsid w:val="00532E29"/>
    <w:rsid w:val="00541A5A"/>
    <w:rsid w:val="00544619"/>
    <w:rsid w:val="00546302"/>
    <w:rsid w:val="00546360"/>
    <w:rsid w:val="0055244F"/>
    <w:rsid w:val="005574AA"/>
    <w:rsid w:val="005626AE"/>
    <w:rsid w:val="00563E7D"/>
    <w:rsid w:val="005657AC"/>
    <w:rsid w:val="0057020D"/>
    <w:rsid w:val="00570E93"/>
    <w:rsid w:val="005742AC"/>
    <w:rsid w:val="00575D8A"/>
    <w:rsid w:val="00580B82"/>
    <w:rsid w:val="005819A2"/>
    <w:rsid w:val="0058279A"/>
    <w:rsid w:val="005858E5"/>
    <w:rsid w:val="00592E97"/>
    <w:rsid w:val="00595BFE"/>
    <w:rsid w:val="005A51DB"/>
    <w:rsid w:val="005A6D8C"/>
    <w:rsid w:val="005B12FC"/>
    <w:rsid w:val="005B2C9C"/>
    <w:rsid w:val="005B518B"/>
    <w:rsid w:val="005B5254"/>
    <w:rsid w:val="005B7AA8"/>
    <w:rsid w:val="005D5C5A"/>
    <w:rsid w:val="005D62DC"/>
    <w:rsid w:val="005D701A"/>
    <w:rsid w:val="005E01A6"/>
    <w:rsid w:val="005E13BA"/>
    <w:rsid w:val="005E3B88"/>
    <w:rsid w:val="005E43A6"/>
    <w:rsid w:val="005E6718"/>
    <w:rsid w:val="00601AB8"/>
    <w:rsid w:val="006049DE"/>
    <w:rsid w:val="006173A8"/>
    <w:rsid w:val="00620132"/>
    <w:rsid w:val="006240C0"/>
    <w:rsid w:val="00624A7F"/>
    <w:rsid w:val="00626416"/>
    <w:rsid w:val="00637544"/>
    <w:rsid w:val="0066343A"/>
    <w:rsid w:val="0066577B"/>
    <w:rsid w:val="00665D01"/>
    <w:rsid w:val="00673826"/>
    <w:rsid w:val="0067470D"/>
    <w:rsid w:val="00676A8B"/>
    <w:rsid w:val="00681CEA"/>
    <w:rsid w:val="00696643"/>
    <w:rsid w:val="00697B4D"/>
    <w:rsid w:val="006A7CC1"/>
    <w:rsid w:val="006B2C66"/>
    <w:rsid w:val="006B5BCE"/>
    <w:rsid w:val="006C3313"/>
    <w:rsid w:val="006C5C3A"/>
    <w:rsid w:val="006C6B50"/>
    <w:rsid w:val="006C79D9"/>
    <w:rsid w:val="006D75E4"/>
    <w:rsid w:val="006F16D7"/>
    <w:rsid w:val="006F4D0E"/>
    <w:rsid w:val="006F6E04"/>
    <w:rsid w:val="00705672"/>
    <w:rsid w:val="0071045D"/>
    <w:rsid w:val="0072681F"/>
    <w:rsid w:val="0072769A"/>
    <w:rsid w:val="007324BA"/>
    <w:rsid w:val="007332A9"/>
    <w:rsid w:val="00742941"/>
    <w:rsid w:val="007649C0"/>
    <w:rsid w:val="00767630"/>
    <w:rsid w:val="00780364"/>
    <w:rsid w:val="00785283"/>
    <w:rsid w:val="00791471"/>
    <w:rsid w:val="007923CC"/>
    <w:rsid w:val="00797237"/>
    <w:rsid w:val="007B4719"/>
    <w:rsid w:val="007C06A5"/>
    <w:rsid w:val="007C1261"/>
    <w:rsid w:val="007C1930"/>
    <w:rsid w:val="007C60CD"/>
    <w:rsid w:val="007D5078"/>
    <w:rsid w:val="007D6412"/>
    <w:rsid w:val="007E2179"/>
    <w:rsid w:val="007F64C3"/>
    <w:rsid w:val="007F7B89"/>
    <w:rsid w:val="00807429"/>
    <w:rsid w:val="00807D9E"/>
    <w:rsid w:val="008124DE"/>
    <w:rsid w:val="00812E22"/>
    <w:rsid w:val="00814308"/>
    <w:rsid w:val="00814D75"/>
    <w:rsid w:val="0081762D"/>
    <w:rsid w:val="00825135"/>
    <w:rsid w:val="0082693C"/>
    <w:rsid w:val="0083517E"/>
    <w:rsid w:val="00841F82"/>
    <w:rsid w:val="00844CE1"/>
    <w:rsid w:val="00847097"/>
    <w:rsid w:val="00850C6C"/>
    <w:rsid w:val="00860781"/>
    <w:rsid w:val="00861536"/>
    <w:rsid w:val="00863D30"/>
    <w:rsid w:val="00863D57"/>
    <w:rsid w:val="008646D6"/>
    <w:rsid w:val="00871333"/>
    <w:rsid w:val="00874D83"/>
    <w:rsid w:val="00880718"/>
    <w:rsid w:val="008835DE"/>
    <w:rsid w:val="00884CBB"/>
    <w:rsid w:val="008928B9"/>
    <w:rsid w:val="00894925"/>
    <w:rsid w:val="008A026C"/>
    <w:rsid w:val="008A2FF7"/>
    <w:rsid w:val="008A4080"/>
    <w:rsid w:val="008A78A6"/>
    <w:rsid w:val="008B0F89"/>
    <w:rsid w:val="008B2F46"/>
    <w:rsid w:val="008B5274"/>
    <w:rsid w:val="008C20C9"/>
    <w:rsid w:val="008C3527"/>
    <w:rsid w:val="008D03FB"/>
    <w:rsid w:val="008D0442"/>
    <w:rsid w:val="008D27FC"/>
    <w:rsid w:val="008D33B5"/>
    <w:rsid w:val="008D397B"/>
    <w:rsid w:val="008E096C"/>
    <w:rsid w:val="008E17DB"/>
    <w:rsid w:val="008E7700"/>
    <w:rsid w:val="008F2B75"/>
    <w:rsid w:val="008F41EA"/>
    <w:rsid w:val="009031C0"/>
    <w:rsid w:val="00903EDC"/>
    <w:rsid w:val="009137B2"/>
    <w:rsid w:val="009159D0"/>
    <w:rsid w:val="009178CD"/>
    <w:rsid w:val="00920E97"/>
    <w:rsid w:val="009222E7"/>
    <w:rsid w:val="00925C58"/>
    <w:rsid w:val="00926139"/>
    <w:rsid w:val="009268E8"/>
    <w:rsid w:val="009337E3"/>
    <w:rsid w:val="00936006"/>
    <w:rsid w:val="00936668"/>
    <w:rsid w:val="00936E23"/>
    <w:rsid w:val="00936F38"/>
    <w:rsid w:val="009417CA"/>
    <w:rsid w:val="00945974"/>
    <w:rsid w:val="00964670"/>
    <w:rsid w:val="00967E60"/>
    <w:rsid w:val="009721DD"/>
    <w:rsid w:val="00972E8B"/>
    <w:rsid w:val="00974F2E"/>
    <w:rsid w:val="009834D0"/>
    <w:rsid w:val="00986E90"/>
    <w:rsid w:val="009938A8"/>
    <w:rsid w:val="0099394E"/>
    <w:rsid w:val="009A4B41"/>
    <w:rsid w:val="009A5E72"/>
    <w:rsid w:val="009A7D1B"/>
    <w:rsid w:val="009B16D0"/>
    <w:rsid w:val="009B312D"/>
    <w:rsid w:val="009B4E31"/>
    <w:rsid w:val="009C5192"/>
    <w:rsid w:val="009C68C8"/>
    <w:rsid w:val="009D3797"/>
    <w:rsid w:val="009D4267"/>
    <w:rsid w:val="009D4F4A"/>
    <w:rsid w:val="009D6B15"/>
    <w:rsid w:val="009E023F"/>
    <w:rsid w:val="009E3064"/>
    <w:rsid w:val="00A00E3D"/>
    <w:rsid w:val="00A00EE0"/>
    <w:rsid w:val="00A0245A"/>
    <w:rsid w:val="00A0455A"/>
    <w:rsid w:val="00A10EBC"/>
    <w:rsid w:val="00A122FF"/>
    <w:rsid w:val="00A20BAF"/>
    <w:rsid w:val="00A21EA0"/>
    <w:rsid w:val="00A22DA9"/>
    <w:rsid w:val="00A26222"/>
    <w:rsid w:val="00A44186"/>
    <w:rsid w:val="00A50318"/>
    <w:rsid w:val="00A518BC"/>
    <w:rsid w:val="00A60A52"/>
    <w:rsid w:val="00A65FC8"/>
    <w:rsid w:val="00A6726A"/>
    <w:rsid w:val="00A67ADE"/>
    <w:rsid w:val="00A76D63"/>
    <w:rsid w:val="00A80495"/>
    <w:rsid w:val="00A90947"/>
    <w:rsid w:val="00AA4BB9"/>
    <w:rsid w:val="00AB2BF4"/>
    <w:rsid w:val="00AB30FA"/>
    <w:rsid w:val="00AB3710"/>
    <w:rsid w:val="00AC4B31"/>
    <w:rsid w:val="00AC4F27"/>
    <w:rsid w:val="00AD6802"/>
    <w:rsid w:val="00AE4251"/>
    <w:rsid w:val="00AE48AB"/>
    <w:rsid w:val="00B03EA0"/>
    <w:rsid w:val="00B051E3"/>
    <w:rsid w:val="00B11899"/>
    <w:rsid w:val="00B121F1"/>
    <w:rsid w:val="00B21619"/>
    <w:rsid w:val="00B31843"/>
    <w:rsid w:val="00B40C35"/>
    <w:rsid w:val="00B441B6"/>
    <w:rsid w:val="00B44217"/>
    <w:rsid w:val="00B44285"/>
    <w:rsid w:val="00B455C7"/>
    <w:rsid w:val="00B461E5"/>
    <w:rsid w:val="00B47828"/>
    <w:rsid w:val="00B52250"/>
    <w:rsid w:val="00B5784D"/>
    <w:rsid w:val="00B61089"/>
    <w:rsid w:val="00B643FD"/>
    <w:rsid w:val="00B75E4B"/>
    <w:rsid w:val="00B81419"/>
    <w:rsid w:val="00B92A45"/>
    <w:rsid w:val="00BA55D7"/>
    <w:rsid w:val="00BA652D"/>
    <w:rsid w:val="00BA72DC"/>
    <w:rsid w:val="00BB3426"/>
    <w:rsid w:val="00BC0172"/>
    <w:rsid w:val="00BC19AD"/>
    <w:rsid w:val="00BC5034"/>
    <w:rsid w:val="00BC7CEC"/>
    <w:rsid w:val="00BC7F5F"/>
    <w:rsid w:val="00BD2E8F"/>
    <w:rsid w:val="00BE2560"/>
    <w:rsid w:val="00BE3884"/>
    <w:rsid w:val="00BF4F54"/>
    <w:rsid w:val="00C03670"/>
    <w:rsid w:val="00C04904"/>
    <w:rsid w:val="00C05164"/>
    <w:rsid w:val="00C05741"/>
    <w:rsid w:val="00C1074D"/>
    <w:rsid w:val="00C122BA"/>
    <w:rsid w:val="00C12738"/>
    <w:rsid w:val="00C13D31"/>
    <w:rsid w:val="00C23AFF"/>
    <w:rsid w:val="00C2697F"/>
    <w:rsid w:val="00C277AA"/>
    <w:rsid w:val="00C35ACD"/>
    <w:rsid w:val="00C37660"/>
    <w:rsid w:val="00C54F04"/>
    <w:rsid w:val="00C55A43"/>
    <w:rsid w:val="00C56C00"/>
    <w:rsid w:val="00C577CA"/>
    <w:rsid w:val="00C65105"/>
    <w:rsid w:val="00C94D47"/>
    <w:rsid w:val="00C94E3D"/>
    <w:rsid w:val="00CA2FF7"/>
    <w:rsid w:val="00CA6951"/>
    <w:rsid w:val="00CC4186"/>
    <w:rsid w:val="00CC4E7F"/>
    <w:rsid w:val="00CE017C"/>
    <w:rsid w:val="00CE01EE"/>
    <w:rsid w:val="00CE1A49"/>
    <w:rsid w:val="00CE669A"/>
    <w:rsid w:val="00CF5C23"/>
    <w:rsid w:val="00D00028"/>
    <w:rsid w:val="00D02623"/>
    <w:rsid w:val="00D0381F"/>
    <w:rsid w:val="00D04FF8"/>
    <w:rsid w:val="00D05B24"/>
    <w:rsid w:val="00D20301"/>
    <w:rsid w:val="00D20B22"/>
    <w:rsid w:val="00D27CB9"/>
    <w:rsid w:val="00D34F6B"/>
    <w:rsid w:val="00D42A82"/>
    <w:rsid w:val="00D42E76"/>
    <w:rsid w:val="00D438AD"/>
    <w:rsid w:val="00D47958"/>
    <w:rsid w:val="00D50458"/>
    <w:rsid w:val="00D52A06"/>
    <w:rsid w:val="00D54297"/>
    <w:rsid w:val="00D55D41"/>
    <w:rsid w:val="00D56508"/>
    <w:rsid w:val="00D57092"/>
    <w:rsid w:val="00D61326"/>
    <w:rsid w:val="00D63F23"/>
    <w:rsid w:val="00D6766E"/>
    <w:rsid w:val="00D757B1"/>
    <w:rsid w:val="00D75A09"/>
    <w:rsid w:val="00DA1BD3"/>
    <w:rsid w:val="00DA484A"/>
    <w:rsid w:val="00DB55D3"/>
    <w:rsid w:val="00DC327D"/>
    <w:rsid w:val="00DC7D19"/>
    <w:rsid w:val="00DD10A3"/>
    <w:rsid w:val="00DD6FC6"/>
    <w:rsid w:val="00DE23C3"/>
    <w:rsid w:val="00DE240C"/>
    <w:rsid w:val="00DE3FA8"/>
    <w:rsid w:val="00DE5310"/>
    <w:rsid w:val="00DF6689"/>
    <w:rsid w:val="00DF6B88"/>
    <w:rsid w:val="00E0500F"/>
    <w:rsid w:val="00E06425"/>
    <w:rsid w:val="00E24577"/>
    <w:rsid w:val="00E273FD"/>
    <w:rsid w:val="00E32AC9"/>
    <w:rsid w:val="00E339C5"/>
    <w:rsid w:val="00E36B41"/>
    <w:rsid w:val="00E36D91"/>
    <w:rsid w:val="00E537DB"/>
    <w:rsid w:val="00E61C0A"/>
    <w:rsid w:val="00E71EE5"/>
    <w:rsid w:val="00E834D3"/>
    <w:rsid w:val="00E9201E"/>
    <w:rsid w:val="00E928DB"/>
    <w:rsid w:val="00EA2293"/>
    <w:rsid w:val="00EA2D50"/>
    <w:rsid w:val="00EA37A1"/>
    <w:rsid w:val="00EA70B8"/>
    <w:rsid w:val="00EC10C4"/>
    <w:rsid w:val="00EC43EA"/>
    <w:rsid w:val="00EE074E"/>
    <w:rsid w:val="00EE1AB6"/>
    <w:rsid w:val="00EF4A3D"/>
    <w:rsid w:val="00F00422"/>
    <w:rsid w:val="00F1372D"/>
    <w:rsid w:val="00F13A01"/>
    <w:rsid w:val="00F148FB"/>
    <w:rsid w:val="00F206D6"/>
    <w:rsid w:val="00F22756"/>
    <w:rsid w:val="00F2496E"/>
    <w:rsid w:val="00F278F7"/>
    <w:rsid w:val="00F27EC5"/>
    <w:rsid w:val="00F30959"/>
    <w:rsid w:val="00F35799"/>
    <w:rsid w:val="00F41A81"/>
    <w:rsid w:val="00F42C30"/>
    <w:rsid w:val="00F46DDB"/>
    <w:rsid w:val="00F568ED"/>
    <w:rsid w:val="00F60161"/>
    <w:rsid w:val="00F700A5"/>
    <w:rsid w:val="00F83BCE"/>
    <w:rsid w:val="00F9678A"/>
    <w:rsid w:val="00FA2BDD"/>
    <w:rsid w:val="00FA4D0A"/>
    <w:rsid w:val="00FB0009"/>
    <w:rsid w:val="00FD0CAE"/>
    <w:rsid w:val="00FD11F2"/>
    <w:rsid w:val="00FD4B94"/>
    <w:rsid w:val="00FE7330"/>
    <w:rsid w:val="00FF1744"/>
    <w:rsid w:val="00FF32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B7A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97F"/>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C577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104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579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726A"/>
    <w:pPr>
      <w:ind w:left="720"/>
      <w:contextualSpacing/>
    </w:pPr>
  </w:style>
  <w:style w:type="character" w:customStyle="1" w:styleId="10">
    <w:name w:val="Заголовок 1 Знак"/>
    <w:basedOn w:val="a0"/>
    <w:link w:val="1"/>
    <w:uiPriority w:val="9"/>
    <w:rsid w:val="00C577CA"/>
    <w:rPr>
      <w:rFonts w:asciiTheme="majorHAnsi" w:eastAsiaTheme="majorEastAsia" w:hAnsiTheme="majorHAnsi" w:cstheme="majorBidi"/>
      <w:color w:val="2F5496" w:themeColor="accent1" w:themeShade="BF"/>
      <w:sz w:val="32"/>
      <w:szCs w:val="32"/>
      <w:lang w:val="ru-RU" w:eastAsia="ru-RU"/>
    </w:rPr>
  </w:style>
  <w:style w:type="table" w:styleId="a4">
    <w:name w:val="Table Grid"/>
    <w:basedOn w:val="a1"/>
    <w:uiPriority w:val="39"/>
    <w:rsid w:val="00C577C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4B566B"/>
    <w:rPr>
      <w:color w:val="0563C1" w:themeColor="hyperlink"/>
      <w:u w:val="single"/>
    </w:rPr>
  </w:style>
  <w:style w:type="character" w:customStyle="1" w:styleId="UnresolvedMention1">
    <w:name w:val="Unresolved Mention1"/>
    <w:basedOn w:val="a0"/>
    <w:uiPriority w:val="99"/>
    <w:semiHidden/>
    <w:unhideWhenUsed/>
    <w:rsid w:val="004B566B"/>
    <w:rPr>
      <w:color w:val="605E5C"/>
      <w:shd w:val="clear" w:color="auto" w:fill="E1DFDD"/>
    </w:rPr>
  </w:style>
  <w:style w:type="paragraph" w:styleId="a6">
    <w:name w:val="Balloon Text"/>
    <w:basedOn w:val="a"/>
    <w:link w:val="a7"/>
    <w:uiPriority w:val="99"/>
    <w:semiHidden/>
    <w:unhideWhenUsed/>
    <w:rsid w:val="004B65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B6514"/>
    <w:rPr>
      <w:rFonts w:ascii="Tahoma" w:eastAsia="Times New Roman" w:hAnsi="Tahoma" w:cs="Tahoma"/>
      <w:sz w:val="16"/>
      <w:szCs w:val="16"/>
      <w:lang w:val="ru-RU" w:eastAsia="ru-RU"/>
    </w:rPr>
  </w:style>
  <w:style w:type="paragraph" w:styleId="a8">
    <w:name w:val="header"/>
    <w:basedOn w:val="a"/>
    <w:link w:val="a9"/>
    <w:uiPriority w:val="99"/>
    <w:unhideWhenUsed/>
    <w:rsid w:val="00986E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86E90"/>
    <w:rPr>
      <w:rFonts w:ascii="Calibri" w:eastAsia="Times New Roman" w:hAnsi="Calibri" w:cs="Times New Roman"/>
      <w:lang w:val="ru-RU" w:eastAsia="ru-RU"/>
    </w:rPr>
  </w:style>
  <w:style w:type="paragraph" w:styleId="aa">
    <w:name w:val="footer"/>
    <w:basedOn w:val="a"/>
    <w:link w:val="ab"/>
    <w:uiPriority w:val="99"/>
    <w:unhideWhenUsed/>
    <w:rsid w:val="00986E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86E90"/>
    <w:rPr>
      <w:rFonts w:ascii="Calibri" w:eastAsia="Times New Roman" w:hAnsi="Calibri" w:cs="Times New Roman"/>
      <w:lang w:val="ru-RU" w:eastAsia="ru-RU"/>
    </w:rPr>
  </w:style>
  <w:style w:type="character" w:customStyle="1" w:styleId="UnresolvedMention2">
    <w:name w:val="Unresolved Mention2"/>
    <w:basedOn w:val="a0"/>
    <w:uiPriority w:val="99"/>
    <w:semiHidden/>
    <w:unhideWhenUsed/>
    <w:rsid w:val="00017AE3"/>
    <w:rPr>
      <w:color w:val="605E5C"/>
      <w:shd w:val="clear" w:color="auto" w:fill="E1DFDD"/>
    </w:rPr>
  </w:style>
  <w:style w:type="character" w:customStyle="1" w:styleId="20">
    <w:name w:val="Заголовок 2 Знак"/>
    <w:basedOn w:val="a0"/>
    <w:link w:val="2"/>
    <w:uiPriority w:val="9"/>
    <w:semiHidden/>
    <w:rsid w:val="0071045D"/>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semiHidden/>
    <w:rsid w:val="002579F5"/>
    <w:rPr>
      <w:rFonts w:asciiTheme="majorHAnsi" w:eastAsiaTheme="majorEastAsia" w:hAnsiTheme="majorHAnsi" w:cstheme="majorBidi"/>
      <w:color w:val="1F3763" w:themeColor="accent1" w:themeShade="7F"/>
      <w:sz w:val="24"/>
      <w:szCs w:val="24"/>
      <w:lang w:val="ru-RU" w:eastAsia="ru-RU"/>
    </w:rPr>
  </w:style>
  <w:style w:type="character" w:styleId="ac">
    <w:name w:val="FollowedHyperlink"/>
    <w:basedOn w:val="a0"/>
    <w:uiPriority w:val="99"/>
    <w:semiHidden/>
    <w:unhideWhenUsed/>
    <w:rsid w:val="005B2C9C"/>
    <w:rPr>
      <w:color w:val="954F72" w:themeColor="followedHyperlink"/>
      <w:u w:val="single"/>
    </w:rPr>
  </w:style>
  <w:style w:type="character" w:customStyle="1" w:styleId="UnresolvedMention3">
    <w:name w:val="Unresolved Mention3"/>
    <w:basedOn w:val="a0"/>
    <w:uiPriority w:val="99"/>
    <w:semiHidden/>
    <w:unhideWhenUsed/>
    <w:rsid w:val="00925C58"/>
    <w:rPr>
      <w:color w:val="605E5C"/>
      <w:shd w:val="clear" w:color="auto" w:fill="E1DFDD"/>
    </w:rPr>
  </w:style>
  <w:style w:type="character" w:customStyle="1" w:styleId="UnresolvedMention">
    <w:name w:val="Unresolved Mention"/>
    <w:basedOn w:val="a0"/>
    <w:uiPriority w:val="99"/>
    <w:semiHidden/>
    <w:unhideWhenUsed/>
    <w:rsid w:val="00C05741"/>
    <w:rPr>
      <w:color w:val="605E5C"/>
      <w:shd w:val="clear" w:color="auto" w:fill="E1DFDD"/>
    </w:rPr>
  </w:style>
  <w:style w:type="paragraph" w:styleId="ad">
    <w:name w:val="No Spacing"/>
    <w:uiPriority w:val="1"/>
    <w:qFormat/>
    <w:rsid w:val="00EE074E"/>
    <w:pPr>
      <w:spacing w:after="0" w:line="240" w:lineRule="auto"/>
    </w:pPr>
    <w:rPr>
      <w:rFonts w:eastAsiaTheme="minorHAnsi"/>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97F"/>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
    <w:qFormat/>
    <w:rsid w:val="00C577C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104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579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726A"/>
    <w:pPr>
      <w:ind w:left="720"/>
      <w:contextualSpacing/>
    </w:pPr>
  </w:style>
  <w:style w:type="character" w:customStyle="1" w:styleId="10">
    <w:name w:val="Заголовок 1 Знак"/>
    <w:basedOn w:val="a0"/>
    <w:link w:val="1"/>
    <w:uiPriority w:val="9"/>
    <w:rsid w:val="00C577CA"/>
    <w:rPr>
      <w:rFonts w:asciiTheme="majorHAnsi" w:eastAsiaTheme="majorEastAsia" w:hAnsiTheme="majorHAnsi" w:cstheme="majorBidi"/>
      <w:color w:val="2F5496" w:themeColor="accent1" w:themeShade="BF"/>
      <w:sz w:val="32"/>
      <w:szCs w:val="32"/>
      <w:lang w:val="ru-RU" w:eastAsia="ru-RU"/>
    </w:rPr>
  </w:style>
  <w:style w:type="table" w:styleId="a4">
    <w:name w:val="Table Grid"/>
    <w:basedOn w:val="a1"/>
    <w:uiPriority w:val="39"/>
    <w:rsid w:val="00C577C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4B566B"/>
    <w:rPr>
      <w:color w:val="0563C1" w:themeColor="hyperlink"/>
      <w:u w:val="single"/>
    </w:rPr>
  </w:style>
  <w:style w:type="character" w:customStyle="1" w:styleId="UnresolvedMention1">
    <w:name w:val="Unresolved Mention1"/>
    <w:basedOn w:val="a0"/>
    <w:uiPriority w:val="99"/>
    <w:semiHidden/>
    <w:unhideWhenUsed/>
    <w:rsid w:val="004B566B"/>
    <w:rPr>
      <w:color w:val="605E5C"/>
      <w:shd w:val="clear" w:color="auto" w:fill="E1DFDD"/>
    </w:rPr>
  </w:style>
  <w:style w:type="paragraph" w:styleId="a6">
    <w:name w:val="Balloon Text"/>
    <w:basedOn w:val="a"/>
    <w:link w:val="a7"/>
    <w:uiPriority w:val="99"/>
    <w:semiHidden/>
    <w:unhideWhenUsed/>
    <w:rsid w:val="004B651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B6514"/>
    <w:rPr>
      <w:rFonts w:ascii="Tahoma" w:eastAsia="Times New Roman" w:hAnsi="Tahoma" w:cs="Tahoma"/>
      <w:sz w:val="16"/>
      <w:szCs w:val="16"/>
      <w:lang w:val="ru-RU" w:eastAsia="ru-RU"/>
    </w:rPr>
  </w:style>
  <w:style w:type="paragraph" w:styleId="a8">
    <w:name w:val="header"/>
    <w:basedOn w:val="a"/>
    <w:link w:val="a9"/>
    <w:uiPriority w:val="99"/>
    <w:unhideWhenUsed/>
    <w:rsid w:val="00986E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86E90"/>
    <w:rPr>
      <w:rFonts w:ascii="Calibri" w:eastAsia="Times New Roman" w:hAnsi="Calibri" w:cs="Times New Roman"/>
      <w:lang w:val="ru-RU" w:eastAsia="ru-RU"/>
    </w:rPr>
  </w:style>
  <w:style w:type="paragraph" w:styleId="aa">
    <w:name w:val="footer"/>
    <w:basedOn w:val="a"/>
    <w:link w:val="ab"/>
    <w:uiPriority w:val="99"/>
    <w:unhideWhenUsed/>
    <w:rsid w:val="00986E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86E90"/>
    <w:rPr>
      <w:rFonts w:ascii="Calibri" w:eastAsia="Times New Roman" w:hAnsi="Calibri" w:cs="Times New Roman"/>
      <w:lang w:val="ru-RU" w:eastAsia="ru-RU"/>
    </w:rPr>
  </w:style>
  <w:style w:type="character" w:customStyle="1" w:styleId="UnresolvedMention2">
    <w:name w:val="Unresolved Mention2"/>
    <w:basedOn w:val="a0"/>
    <w:uiPriority w:val="99"/>
    <w:semiHidden/>
    <w:unhideWhenUsed/>
    <w:rsid w:val="00017AE3"/>
    <w:rPr>
      <w:color w:val="605E5C"/>
      <w:shd w:val="clear" w:color="auto" w:fill="E1DFDD"/>
    </w:rPr>
  </w:style>
  <w:style w:type="character" w:customStyle="1" w:styleId="20">
    <w:name w:val="Заголовок 2 Знак"/>
    <w:basedOn w:val="a0"/>
    <w:link w:val="2"/>
    <w:uiPriority w:val="9"/>
    <w:semiHidden/>
    <w:rsid w:val="0071045D"/>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semiHidden/>
    <w:rsid w:val="002579F5"/>
    <w:rPr>
      <w:rFonts w:asciiTheme="majorHAnsi" w:eastAsiaTheme="majorEastAsia" w:hAnsiTheme="majorHAnsi" w:cstheme="majorBidi"/>
      <w:color w:val="1F3763" w:themeColor="accent1" w:themeShade="7F"/>
      <w:sz w:val="24"/>
      <w:szCs w:val="24"/>
      <w:lang w:val="ru-RU" w:eastAsia="ru-RU"/>
    </w:rPr>
  </w:style>
  <w:style w:type="character" w:styleId="ac">
    <w:name w:val="FollowedHyperlink"/>
    <w:basedOn w:val="a0"/>
    <w:uiPriority w:val="99"/>
    <w:semiHidden/>
    <w:unhideWhenUsed/>
    <w:rsid w:val="005B2C9C"/>
    <w:rPr>
      <w:color w:val="954F72" w:themeColor="followedHyperlink"/>
      <w:u w:val="single"/>
    </w:rPr>
  </w:style>
  <w:style w:type="character" w:customStyle="1" w:styleId="UnresolvedMention3">
    <w:name w:val="Unresolved Mention3"/>
    <w:basedOn w:val="a0"/>
    <w:uiPriority w:val="99"/>
    <w:semiHidden/>
    <w:unhideWhenUsed/>
    <w:rsid w:val="00925C58"/>
    <w:rPr>
      <w:color w:val="605E5C"/>
      <w:shd w:val="clear" w:color="auto" w:fill="E1DFDD"/>
    </w:rPr>
  </w:style>
  <w:style w:type="character" w:customStyle="1" w:styleId="UnresolvedMention">
    <w:name w:val="Unresolved Mention"/>
    <w:basedOn w:val="a0"/>
    <w:uiPriority w:val="99"/>
    <w:semiHidden/>
    <w:unhideWhenUsed/>
    <w:rsid w:val="00C05741"/>
    <w:rPr>
      <w:color w:val="605E5C"/>
      <w:shd w:val="clear" w:color="auto" w:fill="E1DFDD"/>
    </w:rPr>
  </w:style>
  <w:style w:type="paragraph" w:styleId="ad">
    <w:name w:val="No Spacing"/>
    <w:uiPriority w:val="1"/>
    <w:qFormat/>
    <w:rsid w:val="00EE074E"/>
    <w:pPr>
      <w:spacing w:after="0" w:line="240" w:lineRule="auto"/>
    </w:pPr>
    <w:rPr>
      <w:rFonts w:eastAsiaTheme="minorHAnsi"/>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26446">
      <w:bodyDiv w:val="1"/>
      <w:marLeft w:val="0"/>
      <w:marRight w:val="0"/>
      <w:marTop w:val="0"/>
      <w:marBottom w:val="0"/>
      <w:divBdr>
        <w:top w:val="none" w:sz="0" w:space="0" w:color="auto"/>
        <w:left w:val="none" w:sz="0" w:space="0" w:color="auto"/>
        <w:bottom w:val="none" w:sz="0" w:space="0" w:color="auto"/>
        <w:right w:val="none" w:sz="0" w:space="0" w:color="auto"/>
      </w:divBdr>
    </w:div>
    <w:div w:id="143008068">
      <w:bodyDiv w:val="1"/>
      <w:marLeft w:val="0"/>
      <w:marRight w:val="0"/>
      <w:marTop w:val="0"/>
      <w:marBottom w:val="0"/>
      <w:divBdr>
        <w:top w:val="none" w:sz="0" w:space="0" w:color="auto"/>
        <w:left w:val="none" w:sz="0" w:space="0" w:color="auto"/>
        <w:bottom w:val="none" w:sz="0" w:space="0" w:color="auto"/>
        <w:right w:val="none" w:sz="0" w:space="0" w:color="auto"/>
      </w:divBdr>
    </w:div>
    <w:div w:id="238365109">
      <w:bodyDiv w:val="1"/>
      <w:marLeft w:val="0"/>
      <w:marRight w:val="0"/>
      <w:marTop w:val="0"/>
      <w:marBottom w:val="0"/>
      <w:divBdr>
        <w:top w:val="none" w:sz="0" w:space="0" w:color="auto"/>
        <w:left w:val="none" w:sz="0" w:space="0" w:color="auto"/>
        <w:bottom w:val="none" w:sz="0" w:space="0" w:color="auto"/>
        <w:right w:val="none" w:sz="0" w:space="0" w:color="auto"/>
      </w:divBdr>
    </w:div>
    <w:div w:id="390739477">
      <w:bodyDiv w:val="1"/>
      <w:marLeft w:val="0"/>
      <w:marRight w:val="0"/>
      <w:marTop w:val="0"/>
      <w:marBottom w:val="0"/>
      <w:divBdr>
        <w:top w:val="none" w:sz="0" w:space="0" w:color="auto"/>
        <w:left w:val="none" w:sz="0" w:space="0" w:color="auto"/>
        <w:bottom w:val="none" w:sz="0" w:space="0" w:color="auto"/>
        <w:right w:val="none" w:sz="0" w:space="0" w:color="auto"/>
      </w:divBdr>
    </w:div>
    <w:div w:id="442849679">
      <w:bodyDiv w:val="1"/>
      <w:marLeft w:val="0"/>
      <w:marRight w:val="0"/>
      <w:marTop w:val="0"/>
      <w:marBottom w:val="0"/>
      <w:divBdr>
        <w:top w:val="none" w:sz="0" w:space="0" w:color="auto"/>
        <w:left w:val="none" w:sz="0" w:space="0" w:color="auto"/>
        <w:bottom w:val="none" w:sz="0" w:space="0" w:color="auto"/>
        <w:right w:val="none" w:sz="0" w:space="0" w:color="auto"/>
      </w:divBdr>
    </w:div>
    <w:div w:id="530344851">
      <w:bodyDiv w:val="1"/>
      <w:marLeft w:val="0"/>
      <w:marRight w:val="0"/>
      <w:marTop w:val="0"/>
      <w:marBottom w:val="0"/>
      <w:divBdr>
        <w:top w:val="none" w:sz="0" w:space="0" w:color="auto"/>
        <w:left w:val="none" w:sz="0" w:space="0" w:color="auto"/>
        <w:bottom w:val="none" w:sz="0" w:space="0" w:color="auto"/>
        <w:right w:val="none" w:sz="0" w:space="0" w:color="auto"/>
      </w:divBdr>
    </w:div>
    <w:div w:id="538277557">
      <w:bodyDiv w:val="1"/>
      <w:marLeft w:val="0"/>
      <w:marRight w:val="0"/>
      <w:marTop w:val="0"/>
      <w:marBottom w:val="0"/>
      <w:divBdr>
        <w:top w:val="none" w:sz="0" w:space="0" w:color="auto"/>
        <w:left w:val="none" w:sz="0" w:space="0" w:color="auto"/>
        <w:bottom w:val="none" w:sz="0" w:space="0" w:color="auto"/>
        <w:right w:val="none" w:sz="0" w:space="0" w:color="auto"/>
      </w:divBdr>
    </w:div>
    <w:div w:id="544148316">
      <w:bodyDiv w:val="1"/>
      <w:marLeft w:val="0"/>
      <w:marRight w:val="0"/>
      <w:marTop w:val="0"/>
      <w:marBottom w:val="0"/>
      <w:divBdr>
        <w:top w:val="none" w:sz="0" w:space="0" w:color="auto"/>
        <w:left w:val="none" w:sz="0" w:space="0" w:color="auto"/>
        <w:bottom w:val="none" w:sz="0" w:space="0" w:color="auto"/>
        <w:right w:val="none" w:sz="0" w:space="0" w:color="auto"/>
      </w:divBdr>
    </w:div>
    <w:div w:id="586042304">
      <w:bodyDiv w:val="1"/>
      <w:marLeft w:val="0"/>
      <w:marRight w:val="0"/>
      <w:marTop w:val="0"/>
      <w:marBottom w:val="0"/>
      <w:divBdr>
        <w:top w:val="none" w:sz="0" w:space="0" w:color="auto"/>
        <w:left w:val="none" w:sz="0" w:space="0" w:color="auto"/>
        <w:bottom w:val="none" w:sz="0" w:space="0" w:color="auto"/>
        <w:right w:val="none" w:sz="0" w:space="0" w:color="auto"/>
      </w:divBdr>
    </w:div>
    <w:div w:id="624972822">
      <w:bodyDiv w:val="1"/>
      <w:marLeft w:val="0"/>
      <w:marRight w:val="0"/>
      <w:marTop w:val="0"/>
      <w:marBottom w:val="0"/>
      <w:divBdr>
        <w:top w:val="none" w:sz="0" w:space="0" w:color="auto"/>
        <w:left w:val="none" w:sz="0" w:space="0" w:color="auto"/>
        <w:bottom w:val="none" w:sz="0" w:space="0" w:color="auto"/>
        <w:right w:val="none" w:sz="0" w:space="0" w:color="auto"/>
      </w:divBdr>
    </w:div>
    <w:div w:id="639120167">
      <w:bodyDiv w:val="1"/>
      <w:marLeft w:val="0"/>
      <w:marRight w:val="0"/>
      <w:marTop w:val="0"/>
      <w:marBottom w:val="0"/>
      <w:divBdr>
        <w:top w:val="none" w:sz="0" w:space="0" w:color="auto"/>
        <w:left w:val="none" w:sz="0" w:space="0" w:color="auto"/>
        <w:bottom w:val="none" w:sz="0" w:space="0" w:color="auto"/>
        <w:right w:val="none" w:sz="0" w:space="0" w:color="auto"/>
      </w:divBdr>
    </w:div>
    <w:div w:id="646664727">
      <w:bodyDiv w:val="1"/>
      <w:marLeft w:val="0"/>
      <w:marRight w:val="0"/>
      <w:marTop w:val="0"/>
      <w:marBottom w:val="0"/>
      <w:divBdr>
        <w:top w:val="none" w:sz="0" w:space="0" w:color="auto"/>
        <w:left w:val="none" w:sz="0" w:space="0" w:color="auto"/>
        <w:bottom w:val="none" w:sz="0" w:space="0" w:color="auto"/>
        <w:right w:val="none" w:sz="0" w:space="0" w:color="auto"/>
      </w:divBdr>
    </w:div>
    <w:div w:id="648098449">
      <w:bodyDiv w:val="1"/>
      <w:marLeft w:val="0"/>
      <w:marRight w:val="0"/>
      <w:marTop w:val="0"/>
      <w:marBottom w:val="0"/>
      <w:divBdr>
        <w:top w:val="none" w:sz="0" w:space="0" w:color="auto"/>
        <w:left w:val="none" w:sz="0" w:space="0" w:color="auto"/>
        <w:bottom w:val="none" w:sz="0" w:space="0" w:color="auto"/>
        <w:right w:val="none" w:sz="0" w:space="0" w:color="auto"/>
      </w:divBdr>
      <w:divsChild>
        <w:div w:id="1508135369">
          <w:marLeft w:val="0"/>
          <w:marRight w:val="0"/>
          <w:marTop w:val="0"/>
          <w:marBottom w:val="0"/>
          <w:divBdr>
            <w:top w:val="none" w:sz="0" w:space="0" w:color="auto"/>
            <w:left w:val="none" w:sz="0" w:space="0" w:color="auto"/>
            <w:bottom w:val="none" w:sz="0" w:space="0" w:color="auto"/>
            <w:right w:val="none" w:sz="0" w:space="0" w:color="auto"/>
          </w:divBdr>
        </w:div>
        <w:div w:id="942540755">
          <w:marLeft w:val="0"/>
          <w:marRight w:val="0"/>
          <w:marTop w:val="0"/>
          <w:marBottom w:val="0"/>
          <w:divBdr>
            <w:top w:val="none" w:sz="0" w:space="0" w:color="auto"/>
            <w:left w:val="none" w:sz="0" w:space="0" w:color="auto"/>
            <w:bottom w:val="none" w:sz="0" w:space="0" w:color="auto"/>
            <w:right w:val="none" w:sz="0" w:space="0" w:color="auto"/>
          </w:divBdr>
        </w:div>
      </w:divsChild>
    </w:div>
    <w:div w:id="693261989">
      <w:bodyDiv w:val="1"/>
      <w:marLeft w:val="0"/>
      <w:marRight w:val="0"/>
      <w:marTop w:val="0"/>
      <w:marBottom w:val="0"/>
      <w:divBdr>
        <w:top w:val="none" w:sz="0" w:space="0" w:color="auto"/>
        <w:left w:val="none" w:sz="0" w:space="0" w:color="auto"/>
        <w:bottom w:val="none" w:sz="0" w:space="0" w:color="auto"/>
        <w:right w:val="none" w:sz="0" w:space="0" w:color="auto"/>
      </w:divBdr>
    </w:div>
    <w:div w:id="715161575">
      <w:bodyDiv w:val="1"/>
      <w:marLeft w:val="0"/>
      <w:marRight w:val="0"/>
      <w:marTop w:val="0"/>
      <w:marBottom w:val="0"/>
      <w:divBdr>
        <w:top w:val="none" w:sz="0" w:space="0" w:color="auto"/>
        <w:left w:val="none" w:sz="0" w:space="0" w:color="auto"/>
        <w:bottom w:val="none" w:sz="0" w:space="0" w:color="auto"/>
        <w:right w:val="none" w:sz="0" w:space="0" w:color="auto"/>
      </w:divBdr>
    </w:div>
    <w:div w:id="740182073">
      <w:bodyDiv w:val="1"/>
      <w:marLeft w:val="0"/>
      <w:marRight w:val="0"/>
      <w:marTop w:val="0"/>
      <w:marBottom w:val="0"/>
      <w:divBdr>
        <w:top w:val="none" w:sz="0" w:space="0" w:color="auto"/>
        <w:left w:val="none" w:sz="0" w:space="0" w:color="auto"/>
        <w:bottom w:val="none" w:sz="0" w:space="0" w:color="auto"/>
        <w:right w:val="none" w:sz="0" w:space="0" w:color="auto"/>
      </w:divBdr>
    </w:div>
    <w:div w:id="871767709">
      <w:bodyDiv w:val="1"/>
      <w:marLeft w:val="0"/>
      <w:marRight w:val="0"/>
      <w:marTop w:val="0"/>
      <w:marBottom w:val="0"/>
      <w:divBdr>
        <w:top w:val="none" w:sz="0" w:space="0" w:color="auto"/>
        <w:left w:val="none" w:sz="0" w:space="0" w:color="auto"/>
        <w:bottom w:val="none" w:sz="0" w:space="0" w:color="auto"/>
        <w:right w:val="none" w:sz="0" w:space="0" w:color="auto"/>
      </w:divBdr>
    </w:div>
    <w:div w:id="991056011">
      <w:bodyDiv w:val="1"/>
      <w:marLeft w:val="0"/>
      <w:marRight w:val="0"/>
      <w:marTop w:val="0"/>
      <w:marBottom w:val="0"/>
      <w:divBdr>
        <w:top w:val="none" w:sz="0" w:space="0" w:color="auto"/>
        <w:left w:val="none" w:sz="0" w:space="0" w:color="auto"/>
        <w:bottom w:val="none" w:sz="0" w:space="0" w:color="auto"/>
        <w:right w:val="none" w:sz="0" w:space="0" w:color="auto"/>
      </w:divBdr>
    </w:div>
    <w:div w:id="992371737">
      <w:bodyDiv w:val="1"/>
      <w:marLeft w:val="0"/>
      <w:marRight w:val="0"/>
      <w:marTop w:val="0"/>
      <w:marBottom w:val="0"/>
      <w:divBdr>
        <w:top w:val="none" w:sz="0" w:space="0" w:color="auto"/>
        <w:left w:val="none" w:sz="0" w:space="0" w:color="auto"/>
        <w:bottom w:val="none" w:sz="0" w:space="0" w:color="auto"/>
        <w:right w:val="none" w:sz="0" w:space="0" w:color="auto"/>
      </w:divBdr>
    </w:div>
    <w:div w:id="1071587735">
      <w:bodyDiv w:val="1"/>
      <w:marLeft w:val="0"/>
      <w:marRight w:val="0"/>
      <w:marTop w:val="0"/>
      <w:marBottom w:val="0"/>
      <w:divBdr>
        <w:top w:val="none" w:sz="0" w:space="0" w:color="auto"/>
        <w:left w:val="none" w:sz="0" w:space="0" w:color="auto"/>
        <w:bottom w:val="none" w:sz="0" w:space="0" w:color="auto"/>
        <w:right w:val="none" w:sz="0" w:space="0" w:color="auto"/>
      </w:divBdr>
    </w:div>
    <w:div w:id="1206986856">
      <w:bodyDiv w:val="1"/>
      <w:marLeft w:val="0"/>
      <w:marRight w:val="0"/>
      <w:marTop w:val="0"/>
      <w:marBottom w:val="0"/>
      <w:divBdr>
        <w:top w:val="none" w:sz="0" w:space="0" w:color="auto"/>
        <w:left w:val="none" w:sz="0" w:space="0" w:color="auto"/>
        <w:bottom w:val="none" w:sz="0" w:space="0" w:color="auto"/>
        <w:right w:val="none" w:sz="0" w:space="0" w:color="auto"/>
      </w:divBdr>
    </w:div>
    <w:div w:id="1429303523">
      <w:bodyDiv w:val="1"/>
      <w:marLeft w:val="0"/>
      <w:marRight w:val="0"/>
      <w:marTop w:val="0"/>
      <w:marBottom w:val="0"/>
      <w:divBdr>
        <w:top w:val="none" w:sz="0" w:space="0" w:color="auto"/>
        <w:left w:val="none" w:sz="0" w:space="0" w:color="auto"/>
        <w:bottom w:val="none" w:sz="0" w:space="0" w:color="auto"/>
        <w:right w:val="none" w:sz="0" w:space="0" w:color="auto"/>
      </w:divBdr>
    </w:div>
    <w:div w:id="1463428840">
      <w:bodyDiv w:val="1"/>
      <w:marLeft w:val="0"/>
      <w:marRight w:val="0"/>
      <w:marTop w:val="0"/>
      <w:marBottom w:val="0"/>
      <w:divBdr>
        <w:top w:val="none" w:sz="0" w:space="0" w:color="auto"/>
        <w:left w:val="none" w:sz="0" w:space="0" w:color="auto"/>
        <w:bottom w:val="none" w:sz="0" w:space="0" w:color="auto"/>
        <w:right w:val="none" w:sz="0" w:space="0" w:color="auto"/>
      </w:divBdr>
    </w:div>
    <w:div w:id="1490562778">
      <w:bodyDiv w:val="1"/>
      <w:marLeft w:val="0"/>
      <w:marRight w:val="0"/>
      <w:marTop w:val="0"/>
      <w:marBottom w:val="0"/>
      <w:divBdr>
        <w:top w:val="none" w:sz="0" w:space="0" w:color="auto"/>
        <w:left w:val="none" w:sz="0" w:space="0" w:color="auto"/>
        <w:bottom w:val="none" w:sz="0" w:space="0" w:color="auto"/>
        <w:right w:val="none" w:sz="0" w:space="0" w:color="auto"/>
      </w:divBdr>
    </w:div>
    <w:div w:id="1608660628">
      <w:bodyDiv w:val="1"/>
      <w:marLeft w:val="0"/>
      <w:marRight w:val="0"/>
      <w:marTop w:val="0"/>
      <w:marBottom w:val="0"/>
      <w:divBdr>
        <w:top w:val="none" w:sz="0" w:space="0" w:color="auto"/>
        <w:left w:val="none" w:sz="0" w:space="0" w:color="auto"/>
        <w:bottom w:val="none" w:sz="0" w:space="0" w:color="auto"/>
        <w:right w:val="none" w:sz="0" w:space="0" w:color="auto"/>
      </w:divBdr>
    </w:div>
    <w:div w:id="1698965449">
      <w:bodyDiv w:val="1"/>
      <w:marLeft w:val="0"/>
      <w:marRight w:val="0"/>
      <w:marTop w:val="0"/>
      <w:marBottom w:val="0"/>
      <w:divBdr>
        <w:top w:val="none" w:sz="0" w:space="0" w:color="auto"/>
        <w:left w:val="none" w:sz="0" w:space="0" w:color="auto"/>
        <w:bottom w:val="none" w:sz="0" w:space="0" w:color="auto"/>
        <w:right w:val="none" w:sz="0" w:space="0" w:color="auto"/>
      </w:divBdr>
    </w:div>
    <w:div w:id="1794715916">
      <w:bodyDiv w:val="1"/>
      <w:marLeft w:val="0"/>
      <w:marRight w:val="0"/>
      <w:marTop w:val="0"/>
      <w:marBottom w:val="0"/>
      <w:divBdr>
        <w:top w:val="none" w:sz="0" w:space="0" w:color="auto"/>
        <w:left w:val="none" w:sz="0" w:space="0" w:color="auto"/>
        <w:bottom w:val="none" w:sz="0" w:space="0" w:color="auto"/>
        <w:right w:val="none" w:sz="0" w:space="0" w:color="auto"/>
      </w:divBdr>
    </w:div>
    <w:div w:id="1998606996">
      <w:bodyDiv w:val="1"/>
      <w:marLeft w:val="0"/>
      <w:marRight w:val="0"/>
      <w:marTop w:val="0"/>
      <w:marBottom w:val="0"/>
      <w:divBdr>
        <w:top w:val="none" w:sz="0" w:space="0" w:color="auto"/>
        <w:left w:val="none" w:sz="0" w:space="0" w:color="auto"/>
        <w:bottom w:val="none" w:sz="0" w:space="0" w:color="auto"/>
        <w:right w:val="none" w:sz="0" w:space="0" w:color="auto"/>
      </w:divBdr>
    </w:div>
    <w:div w:id="2042633317">
      <w:bodyDiv w:val="1"/>
      <w:marLeft w:val="0"/>
      <w:marRight w:val="0"/>
      <w:marTop w:val="0"/>
      <w:marBottom w:val="0"/>
      <w:divBdr>
        <w:top w:val="none" w:sz="0" w:space="0" w:color="auto"/>
        <w:left w:val="none" w:sz="0" w:space="0" w:color="auto"/>
        <w:bottom w:val="none" w:sz="0" w:space="0" w:color="auto"/>
        <w:right w:val="none" w:sz="0" w:space="0" w:color="auto"/>
      </w:divBdr>
    </w:div>
    <w:div w:id="2083604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papers.ssrn.com/sol3/papers.cfm?abstract_id=3021684" TargetMode="External"/><Relationship Id="rId39" Type="http://schemas.openxmlformats.org/officeDocument/2006/relationships/hyperlink" Target="https://www.jpx.co.jp/" TargetMode="External"/><Relationship Id="rId3" Type="http://schemas.openxmlformats.org/officeDocument/2006/relationships/styles" Target="styles.xml"/><Relationship Id="rId21" Type="http://schemas.openxmlformats.org/officeDocument/2006/relationships/hyperlink" Target="https://papers.ssrn.com/sol3/papers.cfm?abstract_id=2941281" TargetMode="External"/><Relationship Id="rId34" Type="http://schemas.openxmlformats.org/officeDocument/2006/relationships/hyperlink" Target="https://www.researchgate.net/figure/Simplified-structure-of-horizontal-banking-keiretsu_fig1_216070886" TargetMode="External"/><Relationship Id="rId42" Type="http://schemas.openxmlformats.org/officeDocument/2006/relationships/hyperlink" Target="https://papers.ssrn.com/sol3/papers.cfm?abstract_id=250374" TargetMode="External"/><Relationship Id="rId47" Type="http://schemas.openxmlformats.org/officeDocument/2006/relationships/hyperlink" Target="https://asia.nikkei.com/Economy/Japan-GDP-shrinks-annualized-5.1-in-Q1" TargetMode="External"/><Relationship Id="rId50" Type="http://schemas.openxmlformats.org/officeDocument/2006/relationships/image" Target="media/image1.png"/><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papers.ssrn.com/sol3/papers.cfm?abstract_id=2554284" TargetMode="External"/><Relationship Id="rId33" Type="http://schemas.openxmlformats.org/officeDocument/2006/relationships/hyperlink" Target="https://www.researchgate.net/publication/46444495_The_Genesis_and_the_Development_of_the_Pre-war_Japanese_Stock_Market_Published_in_Economic_Review_Keizai_Kenkyu_January_2005_v_56_iss_1_pp_15-29" TargetMode="External"/><Relationship Id="rId38" Type="http://schemas.openxmlformats.org/officeDocument/2006/relationships/hyperlink" Target="http://www.ux.ua/" TargetMode="External"/><Relationship Id="rId46" Type="http://schemas.openxmlformats.org/officeDocument/2006/relationships/hyperlink" Target="https://books.google.com.ua/books?hl=en&amp;lr=&amp;id=9l3wAgAAQBAJ&amp;oi=fnd&amp;pg=PP1&amp;dq=japanese+economy&amp;ots=Bs8CaAA8Wd&amp;sig=_uKH5ANmwPX-Y51S1Iiu0OYET4E&amp;redir_esc=y"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www.boj.or.jp/en/research/brp/fsr/index.htm/" TargetMode="External"/><Relationship Id="rId29" Type="http://schemas.openxmlformats.org/officeDocument/2006/relationships/hyperlink" Target="https://papers.ssrn.com/sol3/papers.cfm?abstract_id=2959681" TargetMode="External"/><Relationship Id="rId41" Type="http://schemas.openxmlformats.org/officeDocument/2006/relationships/hyperlink" Target="https://papers.ssrn.com/sol3/papers.cfm?abstract_id=263979"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papers.ssrn.com/sol3/papers.cfm?abstract_id=3575835" TargetMode="External"/><Relationship Id="rId32" Type="http://schemas.openxmlformats.org/officeDocument/2006/relationships/hyperlink" Target="https://home.kpmg/xx/en/home/insights/2020/04/japan-government-and-institution-measures-in-response-to-covid.html" TargetMode="External"/><Relationship Id="rId37" Type="http://schemas.openxmlformats.org/officeDocument/2006/relationships/hyperlink" Target="https://dragon-capital.com/ua/" TargetMode="External"/><Relationship Id="rId40" Type="http://schemas.openxmlformats.org/officeDocument/2006/relationships/hyperlink" Target="https://economics.opu.ua/files/science/ipreed/2014/86.pdf" TargetMode="External"/><Relationship Id="rId45" Type="http://schemas.openxmlformats.org/officeDocument/2006/relationships/hyperlink" Target="https://books.google.com.ua/books?hl=en&amp;lr=&amp;id=7OfIDwAAQBAJ&amp;oi=fnd&amp;pg=PR7&amp;dq=japanese+economy&amp;ots=HD9PqHptEO&amp;sig=KWKPIojQ3GVW7uTFcBKgX0RE9G4&amp;redir_esc=y"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www.ceicdata.com/en/indicator/japan/long-term-interest-rate" TargetMode="External"/><Relationship Id="rId28" Type="http://schemas.openxmlformats.org/officeDocument/2006/relationships/hyperlink" Target="https://papers.ssrn.com/sol3/papers.cfm?abstract_id=3593144" TargetMode="External"/><Relationship Id="rId36" Type="http://schemas.openxmlformats.org/officeDocument/2006/relationships/hyperlink" Target="https://www.univer.ua/" TargetMode="External"/><Relationship Id="rId49" Type="http://schemas.openxmlformats.org/officeDocument/2006/relationships/hyperlink" Target="https://www.icu.ua/uk"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tradingeconomics.com/" TargetMode="External"/><Relationship Id="rId44" Type="http://schemas.openxmlformats.org/officeDocument/2006/relationships/hyperlink" Target="https://pfts.ua/" TargetMode="External"/><Relationship Id="rId52"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papers.ssrn.com/sol3/papers.cfm?abstract_id=2925198" TargetMode="External"/><Relationship Id="rId27" Type="http://schemas.openxmlformats.org/officeDocument/2006/relationships/hyperlink" Target="https://www.esg.adec-innovations.com/about-us/faqs/what-is-esg-investing/" TargetMode="External"/><Relationship Id="rId30" Type="http://schemas.openxmlformats.org/officeDocument/2006/relationships/hyperlink" Target="https://www.imf.org/external/pubs/ft/wp/2000/wp0007.pdf" TargetMode="External"/><Relationship Id="rId35" Type="http://schemas.openxmlformats.org/officeDocument/2006/relationships/hyperlink" Target="https://www.mitsubishicorp.com/jp/en/ir/adr/stock/" TargetMode="External"/><Relationship Id="rId43" Type="http://schemas.openxmlformats.org/officeDocument/2006/relationships/hyperlink" Target="https://data.imf.org/" TargetMode="External"/><Relationship Id="rId48" Type="http://schemas.openxmlformats.org/officeDocument/2006/relationships/hyperlink" Target="https://concorde.ua/" TargetMode="External"/><Relationship Id="rId8" Type="http://schemas.openxmlformats.org/officeDocument/2006/relationships/endnotes" Target="endnotes.xml"/><Relationship Id="rId5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drgea\Desktop\&#1048;&#1053;&#1044;&#1047;\GDP%20JAP.xlsx" TargetMode="External"/></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oleObject" Target="file:///C:\Users\drgea\Desktop\&#1044;&#1080;&#1087;&#1083;&#1086;&#1084;&#1085;&#1072;&#1103;%20&#1088;&#1072;&#1073;&#1086;&#1090;&#1072;\Stockmarket.xlsx" TargetMode="External"/></Relationships>
</file>

<file path=word/charts/_rels/chart11.xml.rels><?xml version="1.0" encoding="UTF-8" standalone="yes"?>
<Relationships xmlns="http://schemas.openxmlformats.org/package/2006/relationships"><Relationship Id="rId3" Type="http://schemas.microsoft.com/office/2011/relationships/chartStyle" Target="style11.xml"/><Relationship Id="rId2" Type="http://schemas.microsoft.com/office/2011/relationships/chartColorStyle" Target="colors11.xml"/><Relationship Id="rId1" Type="http://schemas.openxmlformats.org/officeDocument/2006/relationships/oleObject" Target="file:///C:\Users\drgea\Desktop\&#1044;&#1080;&#1087;&#1083;&#1086;&#1084;&#1085;&#1072;&#1103;%20&#1088;&#1072;&#1073;&#1086;&#1090;&#1072;\Stockmarket.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drgea\Desktop\&#1048;&#1053;&#1044;&#1047;\GDP%20JAP.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file:///C:\Users\drgea\Desktop\&#1048;&#1053;&#1044;&#1047;\GDP%20JAP.xlsx"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drgea\Desktop\&#1048;&#1053;&#1044;&#1047;\GDP%20JAP.xlsx" TargetMode="External"/></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drgea\Desktop\&#1048;&#1053;&#1044;&#1047;\GDP%20JAP.xlsx" TargetMode="External"/></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file:///C:\Users\drgea\Desktop\&#1048;&#1053;&#1044;&#1047;\GDP%20JAP.xlsx" TargetMode="External"/></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oleObject" Target="file:///D:\Downloads\%5eN225%20(3).csv" TargetMode="External"/></Relationships>
</file>

<file path=word/charts/_rels/chart8.xml.rels><?xml version="1.0" encoding="UTF-8" standalone="yes"?>
<Relationships xmlns="http://schemas.openxmlformats.org/package/2006/relationships"><Relationship Id="rId3" Type="http://schemas.microsoft.com/office/2011/relationships/chartColorStyle" Target="colors8.xml"/><Relationship Id="rId2" Type="http://schemas.openxmlformats.org/officeDocument/2006/relationships/chartUserShapes" Target="../drawings/drawing1.xml"/><Relationship Id="rId1" Type="http://schemas.openxmlformats.org/officeDocument/2006/relationships/oleObject" Target="file:///D:\Downloads\%5eN225%20(4).csv" TargetMode="External"/><Relationship Id="rId4"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oleObject" Target="file:///C:\Users\drgea\Desktop\&#1044;&#1080;&#1087;&#1083;&#1086;&#1084;&#1085;&#1072;&#1103;%20&#1088;&#1072;&#1073;&#1086;&#1090;&#1072;\Stockmark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Sheet1!$U$1</c:f>
              <c:strCache>
                <c:ptCount val="1"/>
                <c:pt idx="0">
                  <c:v>Nikkei</c:v>
                </c:pt>
              </c:strCache>
            </c:strRef>
          </c:tx>
          <c:spPr>
            <a:ln w="28575" cap="rnd">
              <a:solidFill>
                <a:schemeClr val="accent2"/>
              </a:solidFill>
              <a:round/>
            </a:ln>
            <a:effectLst/>
          </c:spPr>
          <c:marker>
            <c:symbol val="none"/>
          </c:marker>
          <c:cat>
            <c:numRef>
              <c:f>Sheet1!$S$2:$S$36</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Sheet1!$U$2:$U$36</c:f>
              <c:numCache>
                <c:formatCode>General</c:formatCode>
                <c:ptCount val="35"/>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numCache>
            </c:numRef>
          </c:val>
          <c:smooth val="0"/>
          <c:extLst xmlns:c16r2="http://schemas.microsoft.com/office/drawing/2015/06/chart">
            <c:ext xmlns:c16="http://schemas.microsoft.com/office/drawing/2014/chart" uri="{C3380CC4-5D6E-409C-BE32-E72D297353CC}">
              <c16:uniqueId val="{00000000-924A-442F-9DE8-A20EBFD6476C}"/>
            </c:ext>
          </c:extLst>
        </c:ser>
        <c:dLbls>
          <c:showLegendKey val="0"/>
          <c:showVal val="0"/>
          <c:showCatName val="0"/>
          <c:showSerName val="0"/>
          <c:showPercent val="0"/>
          <c:showBubbleSize val="0"/>
        </c:dLbls>
        <c:marker val="1"/>
        <c:smooth val="0"/>
        <c:axId val="81497088"/>
        <c:axId val="81502976"/>
      </c:lineChart>
      <c:lineChart>
        <c:grouping val="standard"/>
        <c:varyColors val="0"/>
        <c:ser>
          <c:idx val="0"/>
          <c:order val="0"/>
          <c:tx>
            <c:strRef>
              <c:f>Sheet1!$T$1</c:f>
              <c:strCache>
                <c:ptCount val="1"/>
                <c:pt idx="0">
                  <c:v>ВВП</c:v>
                </c:pt>
              </c:strCache>
            </c:strRef>
          </c:tx>
          <c:spPr>
            <a:ln w="28575" cap="rnd">
              <a:solidFill>
                <a:schemeClr val="accent1"/>
              </a:solidFill>
              <a:round/>
            </a:ln>
            <a:effectLst/>
          </c:spPr>
          <c:marker>
            <c:symbol val="none"/>
          </c:marker>
          <c:cat>
            <c:numRef>
              <c:f>Sheet1!$S$2:$S$36</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Sheet1!$T$2:$T$36</c:f>
              <c:numCache>
                <c:formatCode>General</c:formatCode>
                <c:ptCount val="35"/>
                <c:pt idx="0">
                  <c:v>1.39889</c:v>
                </c:pt>
                <c:pt idx="1">
                  <c:v>2.0789499999999999</c:v>
                </c:pt>
                <c:pt idx="2">
                  <c:v>2.53281</c:v>
                </c:pt>
                <c:pt idx="3">
                  <c:v>3.0716800000000002</c:v>
                </c:pt>
                <c:pt idx="4">
                  <c:v>3.05491</c:v>
                </c:pt>
                <c:pt idx="5">
                  <c:v>3.1328200000000002</c:v>
                </c:pt>
                <c:pt idx="6">
                  <c:v>3.5844200000000002</c:v>
                </c:pt>
                <c:pt idx="7">
                  <c:v>3.9088099999999999</c:v>
                </c:pt>
                <c:pt idx="8">
                  <c:v>4.4541399999999998</c:v>
                </c:pt>
                <c:pt idx="9">
                  <c:v>4.9070400000000003</c:v>
                </c:pt>
                <c:pt idx="10">
                  <c:v>5.4491199999999997</c:v>
                </c:pt>
                <c:pt idx="11">
                  <c:v>4.83371</c:v>
                </c:pt>
                <c:pt idx="12">
                  <c:v>4.4147299999999996</c:v>
                </c:pt>
                <c:pt idx="13">
                  <c:v>4.0325100000000003</c:v>
                </c:pt>
                <c:pt idx="14">
                  <c:v>4.5620799999999999</c:v>
                </c:pt>
                <c:pt idx="15">
                  <c:v>4.8875200000000003</c:v>
                </c:pt>
                <c:pt idx="16">
                  <c:v>4.3035399999999999</c:v>
                </c:pt>
                <c:pt idx="17">
                  <c:v>4.1151200000000001</c:v>
                </c:pt>
                <c:pt idx="18">
                  <c:v>4.4456600000000002</c:v>
                </c:pt>
                <c:pt idx="19">
                  <c:v>4.81515</c:v>
                </c:pt>
                <c:pt idx="20">
                  <c:v>4.7554100000000004</c:v>
                </c:pt>
                <c:pt idx="21">
                  <c:v>4.5303800000000001</c:v>
                </c:pt>
                <c:pt idx="22">
                  <c:v>4.5152599999999996</c:v>
                </c:pt>
                <c:pt idx="23">
                  <c:v>5.0379100000000001</c:v>
                </c:pt>
                <c:pt idx="24">
                  <c:v>5.2313799999999997</c:v>
                </c:pt>
                <c:pt idx="25">
                  <c:v>5.7000999999999999</c:v>
                </c:pt>
                <c:pt idx="26">
                  <c:v>6.1574600000000004</c:v>
                </c:pt>
                <c:pt idx="27">
                  <c:v>6.2032100000000003</c:v>
                </c:pt>
                <c:pt idx="28">
                  <c:v>5.1557199999999996</c:v>
                </c:pt>
                <c:pt idx="29">
                  <c:v>4.8504100000000001</c:v>
                </c:pt>
                <c:pt idx="30">
                  <c:v>4.3894799999999998</c:v>
                </c:pt>
                <c:pt idx="31">
                  <c:v>4.9225399999999997</c:v>
                </c:pt>
                <c:pt idx="32">
                  <c:v>4.86686</c:v>
                </c:pt>
                <c:pt idx="33">
                  <c:v>4.9548100000000002</c:v>
                </c:pt>
                <c:pt idx="34">
                  <c:v>5.0817699999999997</c:v>
                </c:pt>
              </c:numCache>
            </c:numRef>
          </c:val>
          <c:smooth val="0"/>
          <c:extLst xmlns:c16r2="http://schemas.microsoft.com/office/drawing/2015/06/chart">
            <c:ext xmlns:c16="http://schemas.microsoft.com/office/drawing/2014/chart" uri="{C3380CC4-5D6E-409C-BE32-E72D297353CC}">
              <c16:uniqueId val="{00000001-924A-442F-9DE8-A20EBFD6476C}"/>
            </c:ext>
          </c:extLst>
        </c:ser>
        <c:dLbls>
          <c:showLegendKey val="0"/>
          <c:showVal val="0"/>
          <c:showCatName val="0"/>
          <c:showSerName val="0"/>
          <c:showPercent val="0"/>
          <c:showBubbleSize val="0"/>
        </c:dLbls>
        <c:marker val="1"/>
        <c:smooth val="0"/>
        <c:axId val="81506304"/>
        <c:axId val="81504512"/>
      </c:lineChart>
      <c:catAx>
        <c:axId val="81497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02976"/>
        <c:crosses val="autoZero"/>
        <c:auto val="1"/>
        <c:lblAlgn val="ctr"/>
        <c:lblOffset val="100"/>
        <c:noMultiLvlLbl val="0"/>
      </c:catAx>
      <c:valAx>
        <c:axId val="8150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497088"/>
        <c:crosses val="autoZero"/>
        <c:crossBetween val="between"/>
      </c:valAx>
      <c:valAx>
        <c:axId val="8150451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06304"/>
        <c:crosses val="max"/>
        <c:crossBetween val="between"/>
      </c:valAx>
      <c:catAx>
        <c:axId val="81506304"/>
        <c:scaling>
          <c:orientation val="minMax"/>
        </c:scaling>
        <c:delete val="1"/>
        <c:axPos val="b"/>
        <c:numFmt formatCode="General" sourceLinked="1"/>
        <c:majorTickMark val="out"/>
        <c:minorTickMark val="none"/>
        <c:tickLblPos val="nextTo"/>
        <c:crossAx val="8150451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Sheet1!$S$3</c:f>
              <c:strCache>
                <c:ptCount val="1"/>
                <c:pt idx="0">
                  <c:v>Обсяг торгівлі Nikkei 225</c:v>
                </c:pt>
              </c:strCache>
            </c:strRef>
          </c:tx>
          <c:spPr>
            <a:ln w="28575" cap="rnd">
              <a:solidFill>
                <a:schemeClr val="accent1"/>
              </a:solidFill>
              <a:round/>
            </a:ln>
            <a:effectLst/>
          </c:spPr>
          <c:marker>
            <c:symbol val="none"/>
          </c:marker>
          <c:cat>
            <c:numRef>
              <c:f>Sheet1!$R$4:$R$15</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Sheet1!$S$4:$S$15</c:f>
              <c:numCache>
                <c:formatCode>General</c:formatCode>
                <c:ptCount val="12"/>
                <c:pt idx="0">
                  <c:v>3850225.7884999998</c:v>
                </c:pt>
                <c:pt idx="1">
                  <c:v>2131900.7437</c:v>
                </c:pt>
                <c:pt idx="2">
                  <c:v>2038885.5851</c:v>
                </c:pt>
                <c:pt idx="3">
                  <c:v>1651346.0418</c:v>
                </c:pt>
                <c:pt idx="4">
                  <c:v>1623352.2305000001</c:v>
                </c:pt>
                <c:pt idx="5">
                  <c:v>3808754.5041</c:v>
                </c:pt>
                <c:pt idx="6">
                  <c:v>3678877.7025000001</c:v>
                </c:pt>
                <c:pt idx="7">
                  <c:v>4802222.1590252006</c:v>
                </c:pt>
                <c:pt idx="8">
                  <c:v>4118559.2221704023</c:v>
                </c:pt>
                <c:pt idx="9">
                  <c:v>4250696.1501615616</c:v>
                </c:pt>
                <c:pt idx="10">
                  <c:v>5275105.8378359517</c:v>
                </c:pt>
                <c:pt idx="11">
                  <c:v>4422569.9037475679</c:v>
                </c:pt>
              </c:numCache>
            </c:numRef>
          </c:val>
          <c:smooth val="0"/>
          <c:extLst xmlns:c16r2="http://schemas.microsoft.com/office/drawing/2015/06/chart">
            <c:ext xmlns:c16="http://schemas.microsoft.com/office/drawing/2014/chart" uri="{C3380CC4-5D6E-409C-BE32-E72D297353CC}">
              <c16:uniqueId val="{00000000-2998-4341-8381-0754E1646B97}"/>
            </c:ext>
          </c:extLst>
        </c:ser>
        <c:dLbls>
          <c:showLegendKey val="0"/>
          <c:showVal val="0"/>
          <c:showCatName val="0"/>
          <c:showSerName val="0"/>
          <c:showPercent val="0"/>
          <c:showBubbleSize val="0"/>
        </c:dLbls>
        <c:marker val="1"/>
        <c:smooth val="0"/>
        <c:axId val="94886528"/>
        <c:axId val="94888320"/>
      </c:lineChart>
      <c:lineChart>
        <c:grouping val="standard"/>
        <c:varyColors val="0"/>
        <c:ser>
          <c:idx val="1"/>
          <c:order val="1"/>
          <c:tx>
            <c:strRef>
              <c:f>Sheet1!$T$3</c:f>
              <c:strCache>
                <c:ptCount val="1"/>
                <c:pt idx="0">
                  <c:v>Обсяг торгівлі акціями України</c:v>
                </c:pt>
              </c:strCache>
            </c:strRef>
          </c:tx>
          <c:spPr>
            <a:ln w="28575" cap="rnd">
              <a:solidFill>
                <a:schemeClr val="accent2"/>
              </a:solidFill>
              <a:round/>
            </a:ln>
            <a:effectLst/>
          </c:spPr>
          <c:marker>
            <c:symbol val="none"/>
          </c:marker>
          <c:cat>
            <c:numRef>
              <c:f>Sheet1!$R$4:$R$15</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Sheet1!$T$4:$T$15</c:f>
              <c:numCache>
                <c:formatCode>General</c:formatCode>
                <c:ptCount val="12"/>
                <c:pt idx="0">
                  <c:v>110.55863235599999</c:v>
                </c:pt>
                <c:pt idx="1">
                  <c:v>810.65271931199993</c:v>
                </c:pt>
                <c:pt idx="2">
                  <c:v>1313.8256593799999</c:v>
                </c:pt>
                <c:pt idx="3">
                  <c:v>349.33877722799997</c:v>
                </c:pt>
                <c:pt idx="4">
                  <c:v>185.17795808399998</c:v>
                </c:pt>
                <c:pt idx="5">
                  <c:v>231.96836386799998</c:v>
                </c:pt>
                <c:pt idx="6">
                  <c:v>119.70271990799999</c:v>
                </c:pt>
                <c:pt idx="7">
                  <c:v>66.254652503999992</c:v>
                </c:pt>
                <c:pt idx="8">
                  <c:v>61.901547767999993</c:v>
                </c:pt>
                <c:pt idx="9">
                  <c:v>25.694364491999998</c:v>
                </c:pt>
                <c:pt idx="10">
                  <c:v>3.1006596960000001</c:v>
                </c:pt>
                <c:pt idx="11">
                  <c:v>7.1743750919999991</c:v>
                </c:pt>
              </c:numCache>
            </c:numRef>
          </c:val>
          <c:smooth val="0"/>
          <c:extLst xmlns:c16r2="http://schemas.microsoft.com/office/drawing/2015/06/chart">
            <c:ext xmlns:c16="http://schemas.microsoft.com/office/drawing/2014/chart" uri="{C3380CC4-5D6E-409C-BE32-E72D297353CC}">
              <c16:uniqueId val="{00000001-2998-4341-8381-0754E1646B97}"/>
            </c:ext>
          </c:extLst>
        </c:ser>
        <c:dLbls>
          <c:showLegendKey val="0"/>
          <c:showVal val="0"/>
          <c:showCatName val="0"/>
          <c:showSerName val="0"/>
          <c:showPercent val="0"/>
          <c:showBubbleSize val="0"/>
        </c:dLbls>
        <c:marker val="1"/>
        <c:smooth val="0"/>
        <c:axId val="94891392"/>
        <c:axId val="94889856"/>
      </c:lineChart>
      <c:catAx>
        <c:axId val="9488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888320"/>
        <c:crosses val="autoZero"/>
        <c:auto val="1"/>
        <c:lblAlgn val="ctr"/>
        <c:lblOffset val="100"/>
        <c:noMultiLvlLbl val="0"/>
      </c:catAx>
      <c:valAx>
        <c:axId val="9488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886528"/>
        <c:crosses val="autoZero"/>
        <c:crossBetween val="between"/>
      </c:valAx>
      <c:valAx>
        <c:axId val="9488985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891392"/>
        <c:crosses val="max"/>
        <c:crossBetween val="between"/>
      </c:valAx>
      <c:catAx>
        <c:axId val="94891392"/>
        <c:scaling>
          <c:orientation val="minMax"/>
        </c:scaling>
        <c:delete val="1"/>
        <c:axPos val="b"/>
        <c:numFmt formatCode="General" sourceLinked="1"/>
        <c:majorTickMark val="out"/>
        <c:minorTickMark val="none"/>
        <c:tickLblPos val="nextTo"/>
        <c:crossAx val="948898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Sheet1!$E$73</c:f>
              <c:strCache>
                <c:ptCount val="1"/>
                <c:pt idx="0">
                  <c:v>FDI України</c:v>
                </c:pt>
              </c:strCache>
            </c:strRef>
          </c:tx>
          <c:spPr>
            <a:ln w="28575" cap="rnd">
              <a:solidFill>
                <a:schemeClr val="accent2"/>
              </a:solidFill>
              <a:round/>
            </a:ln>
            <a:effectLst/>
          </c:spPr>
          <c:marker>
            <c:symbol val="none"/>
          </c:marker>
          <c:cat>
            <c:numRef>
              <c:f>Sheet1!$C$74:$C$101</c:f>
              <c:numCache>
                <c:formatCode>General</c:formatCode>
                <c:ptCount val="28"/>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numCache>
            </c:numRef>
          </c:cat>
          <c:val>
            <c:numRef>
              <c:f>Sheet1!$E$74:$E$101</c:f>
              <c:numCache>
                <c:formatCode>General</c:formatCode>
                <c:ptCount val="28"/>
                <c:pt idx="0">
                  <c:v>200</c:v>
                </c:pt>
                <c:pt idx="1">
                  <c:v>200</c:v>
                </c:pt>
                <c:pt idx="2">
                  <c:v>159</c:v>
                </c:pt>
                <c:pt idx="3">
                  <c:v>267</c:v>
                </c:pt>
                <c:pt idx="4">
                  <c:v>521</c:v>
                </c:pt>
                <c:pt idx="5">
                  <c:v>623</c:v>
                </c:pt>
                <c:pt idx="6">
                  <c:v>743</c:v>
                </c:pt>
                <c:pt idx="7">
                  <c:v>496</c:v>
                </c:pt>
                <c:pt idx="8">
                  <c:v>595</c:v>
                </c:pt>
                <c:pt idx="9">
                  <c:v>792</c:v>
                </c:pt>
                <c:pt idx="10">
                  <c:v>693</c:v>
                </c:pt>
                <c:pt idx="11">
                  <c:v>1424</c:v>
                </c:pt>
                <c:pt idx="12">
                  <c:v>1715</c:v>
                </c:pt>
                <c:pt idx="13">
                  <c:v>7808</c:v>
                </c:pt>
                <c:pt idx="14">
                  <c:v>5604</c:v>
                </c:pt>
                <c:pt idx="15">
                  <c:v>10193</c:v>
                </c:pt>
                <c:pt idx="16">
                  <c:v>10700</c:v>
                </c:pt>
                <c:pt idx="17">
                  <c:v>4769</c:v>
                </c:pt>
                <c:pt idx="18">
                  <c:v>6451</c:v>
                </c:pt>
                <c:pt idx="19">
                  <c:v>7207</c:v>
                </c:pt>
                <c:pt idx="20">
                  <c:v>8175</c:v>
                </c:pt>
                <c:pt idx="21">
                  <c:v>4509</c:v>
                </c:pt>
                <c:pt idx="22">
                  <c:v>847</c:v>
                </c:pt>
                <c:pt idx="23">
                  <c:v>-369</c:v>
                </c:pt>
                <c:pt idx="24">
                  <c:v>3967</c:v>
                </c:pt>
                <c:pt idx="25">
                  <c:v>3918</c:v>
                </c:pt>
                <c:pt idx="26">
                  <c:v>4576</c:v>
                </c:pt>
                <c:pt idx="27">
                  <c:v>5833</c:v>
                </c:pt>
              </c:numCache>
            </c:numRef>
          </c:val>
          <c:smooth val="0"/>
          <c:extLst xmlns:c16r2="http://schemas.microsoft.com/office/drawing/2015/06/chart">
            <c:ext xmlns:c16="http://schemas.microsoft.com/office/drawing/2014/chart" uri="{C3380CC4-5D6E-409C-BE32-E72D297353CC}">
              <c16:uniqueId val="{00000000-B62F-434E-93FE-8494F1C0D6D7}"/>
            </c:ext>
          </c:extLst>
        </c:ser>
        <c:dLbls>
          <c:showLegendKey val="0"/>
          <c:showVal val="0"/>
          <c:showCatName val="0"/>
          <c:showSerName val="0"/>
          <c:showPercent val="0"/>
          <c:showBubbleSize val="0"/>
        </c:dLbls>
        <c:marker val="1"/>
        <c:smooth val="0"/>
        <c:axId val="94669056"/>
        <c:axId val="94679040"/>
      </c:lineChart>
      <c:lineChart>
        <c:grouping val="standard"/>
        <c:varyColors val="0"/>
        <c:ser>
          <c:idx val="0"/>
          <c:order val="0"/>
          <c:tx>
            <c:strRef>
              <c:f>Sheet1!$D$73</c:f>
              <c:strCache>
                <c:ptCount val="1"/>
                <c:pt idx="0">
                  <c:v>FDI Японії</c:v>
                </c:pt>
              </c:strCache>
            </c:strRef>
          </c:tx>
          <c:spPr>
            <a:ln w="28575" cap="rnd">
              <a:solidFill>
                <a:schemeClr val="accent1"/>
              </a:solidFill>
              <a:round/>
            </a:ln>
            <a:effectLst/>
          </c:spPr>
          <c:marker>
            <c:symbol val="none"/>
          </c:marker>
          <c:cat>
            <c:numRef>
              <c:f>Sheet1!$C$74:$C$101</c:f>
              <c:numCache>
                <c:formatCode>General</c:formatCode>
                <c:ptCount val="28"/>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numCache>
            </c:numRef>
          </c:cat>
          <c:val>
            <c:numRef>
              <c:f>Sheet1!$D$74:$D$101</c:f>
              <c:numCache>
                <c:formatCode>General</c:formatCode>
                <c:ptCount val="28"/>
                <c:pt idx="0">
                  <c:v>2755.6039825977996</c:v>
                </c:pt>
                <c:pt idx="1">
                  <c:v>210.4354394863</c:v>
                </c:pt>
                <c:pt idx="2">
                  <c:v>888.38447088290002</c:v>
                </c:pt>
                <c:pt idx="3">
                  <c:v>41.463072349900003</c:v>
                </c:pt>
                <c:pt idx="4">
                  <c:v>-38.2035963353635</c:v>
                </c:pt>
                <c:pt idx="5">
                  <c:v>2486.9350404228103</c:v>
                </c:pt>
                <c:pt idx="6">
                  <c:v>2512.0219244741002</c:v>
                </c:pt>
                <c:pt idx="7">
                  <c:v>14780.5100307061</c:v>
                </c:pt>
                <c:pt idx="8">
                  <c:v>10688.1683256084</c:v>
                </c:pt>
                <c:pt idx="9">
                  <c:v>4926.03361918462</c:v>
                </c:pt>
                <c:pt idx="10">
                  <c:v>11557.3738739419</c:v>
                </c:pt>
                <c:pt idx="11">
                  <c:v>8771.5356123150596</c:v>
                </c:pt>
                <c:pt idx="12">
                  <c:v>7527.9481752232505</c:v>
                </c:pt>
                <c:pt idx="13">
                  <c:v>5459.6183429407902</c:v>
                </c:pt>
                <c:pt idx="14">
                  <c:v>-2396.9097363050801</c:v>
                </c:pt>
                <c:pt idx="15">
                  <c:v>21631.2044356847</c:v>
                </c:pt>
                <c:pt idx="16">
                  <c:v>24624.8453295648</c:v>
                </c:pt>
                <c:pt idx="17">
                  <c:v>12226.4715787439</c:v>
                </c:pt>
                <c:pt idx="18">
                  <c:v>7440.9792841628596</c:v>
                </c:pt>
                <c:pt idx="19">
                  <c:v>-850.71703506823894</c:v>
                </c:pt>
                <c:pt idx="20">
                  <c:v>546.96269219072792</c:v>
                </c:pt>
                <c:pt idx="21">
                  <c:v>10648.441636207101</c:v>
                </c:pt>
                <c:pt idx="22">
                  <c:v>19752.249424087102</c:v>
                </c:pt>
                <c:pt idx="23">
                  <c:v>5252.2184123917195</c:v>
                </c:pt>
                <c:pt idx="24">
                  <c:v>40954.181468553295</c:v>
                </c:pt>
                <c:pt idx="25">
                  <c:v>18802.2512081069</c:v>
                </c:pt>
                <c:pt idx="26">
                  <c:v>26111.434990475202</c:v>
                </c:pt>
                <c:pt idx="27">
                  <c:v>36280.892671726193</c:v>
                </c:pt>
              </c:numCache>
            </c:numRef>
          </c:val>
          <c:smooth val="0"/>
          <c:extLst xmlns:c16r2="http://schemas.microsoft.com/office/drawing/2015/06/chart">
            <c:ext xmlns:c16="http://schemas.microsoft.com/office/drawing/2014/chart" uri="{C3380CC4-5D6E-409C-BE32-E72D297353CC}">
              <c16:uniqueId val="{00000001-B62F-434E-93FE-8494F1C0D6D7}"/>
            </c:ext>
          </c:extLst>
        </c:ser>
        <c:dLbls>
          <c:showLegendKey val="0"/>
          <c:showVal val="0"/>
          <c:showCatName val="0"/>
          <c:showSerName val="0"/>
          <c:showPercent val="0"/>
          <c:showBubbleSize val="0"/>
        </c:dLbls>
        <c:marker val="1"/>
        <c:smooth val="0"/>
        <c:axId val="94682112"/>
        <c:axId val="94680576"/>
      </c:lineChart>
      <c:catAx>
        <c:axId val="9466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679040"/>
        <c:crosses val="autoZero"/>
        <c:auto val="1"/>
        <c:lblAlgn val="ctr"/>
        <c:lblOffset val="100"/>
        <c:noMultiLvlLbl val="0"/>
      </c:catAx>
      <c:valAx>
        <c:axId val="94679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669056"/>
        <c:crosses val="autoZero"/>
        <c:crossBetween val="between"/>
      </c:valAx>
      <c:valAx>
        <c:axId val="9468057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682112"/>
        <c:crosses val="max"/>
        <c:crossBetween val="between"/>
      </c:valAx>
      <c:catAx>
        <c:axId val="94682112"/>
        <c:scaling>
          <c:orientation val="minMax"/>
        </c:scaling>
        <c:delete val="1"/>
        <c:axPos val="b"/>
        <c:numFmt formatCode="General" sourceLinked="1"/>
        <c:majorTickMark val="out"/>
        <c:minorTickMark val="none"/>
        <c:tickLblPos val="nextTo"/>
        <c:crossAx val="9468057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Sheet1!$C$89</c:f>
              <c:strCache>
                <c:ptCount val="1"/>
                <c:pt idx="0">
                  <c:v>Nikkei</c:v>
                </c:pt>
              </c:strCache>
            </c:strRef>
          </c:tx>
          <c:spPr>
            <a:ln w="28575" cap="rnd">
              <a:solidFill>
                <a:schemeClr val="accent2"/>
              </a:solidFill>
              <a:round/>
            </a:ln>
            <a:effectLst/>
          </c:spPr>
          <c:marker>
            <c:symbol val="none"/>
          </c:marker>
          <c:cat>
            <c:numRef>
              <c:f>Sheet1!$A$90:$A$125</c:f>
              <c:numCache>
                <c:formatCode>General</c:formatCode>
                <c:ptCount val="36"/>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numCache>
            </c:numRef>
          </c:cat>
          <c:val>
            <c:numRef>
              <c:f>Sheet1!$C$90:$C$125</c:f>
              <c:numCache>
                <c:formatCode>General</c:formatCode>
                <c:ptCount val="36"/>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pt idx="35" formatCode="#,##0.00">
                  <c:v>23205.18</c:v>
                </c:pt>
              </c:numCache>
            </c:numRef>
          </c:val>
          <c:smooth val="0"/>
          <c:extLst xmlns:c16r2="http://schemas.microsoft.com/office/drawing/2015/06/chart">
            <c:ext xmlns:c16="http://schemas.microsoft.com/office/drawing/2014/chart" uri="{C3380CC4-5D6E-409C-BE32-E72D297353CC}">
              <c16:uniqueId val="{00000000-E9B2-45A2-B519-9888F50B8A93}"/>
            </c:ext>
          </c:extLst>
        </c:ser>
        <c:dLbls>
          <c:showLegendKey val="0"/>
          <c:showVal val="0"/>
          <c:showCatName val="0"/>
          <c:showSerName val="0"/>
          <c:showPercent val="0"/>
          <c:showBubbleSize val="0"/>
        </c:dLbls>
        <c:marker val="1"/>
        <c:smooth val="0"/>
        <c:axId val="81533568"/>
        <c:axId val="81543552"/>
      </c:lineChart>
      <c:lineChart>
        <c:grouping val="standard"/>
        <c:varyColors val="0"/>
        <c:ser>
          <c:idx val="0"/>
          <c:order val="0"/>
          <c:tx>
            <c:strRef>
              <c:f>Sheet1!$B$89</c:f>
              <c:strCache>
                <c:ptCount val="1"/>
                <c:pt idx="0">
                  <c:v>Курс обміну ієни</c:v>
                </c:pt>
              </c:strCache>
            </c:strRef>
          </c:tx>
          <c:spPr>
            <a:ln w="28575" cap="rnd">
              <a:solidFill>
                <a:schemeClr val="accent1"/>
              </a:solidFill>
              <a:round/>
            </a:ln>
            <a:effectLst/>
          </c:spPr>
          <c:marker>
            <c:symbol val="none"/>
          </c:marker>
          <c:cat>
            <c:numRef>
              <c:f>Sheet1!$A$90:$A$125</c:f>
              <c:numCache>
                <c:formatCode>General</c:formatCode>
                <c:ptCount val="36"/>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numCache>
            </c:numRef>
          </c:cat>
          <c:val>
            <c:numRef>
              <c:f>Sheet1!$B$90:$B$125</c:f>
              <c:numCache>
                <c:formatCode>General</c:formatCode>
                <c:ptCount val="36"/>
                <c:pt idx="0">
                  <c:v>238.53583333275</c:v>
                </c:pt>
                <c:pt idx="1">
                  <c:v>168.519833333083</c:v>
                </c:pt>
                <c:pt idx="2">
                  <c:v>144.63749999999999</c:v>
                </c:pt>
                <c:pt idx="3">
                  <c:v>128.15166666666701</c:v>
                </c:pt>
                <c:pt idx="4">
                  <c:v>137.96441666666701</c:v>
                </c:pt>
                <c:pt idx="5">
                  <c:v>144.79249999999999</c:v>
                </c:pt>
                <c:pt idx="6">
                  <c:v>134.70666666666699</c:v>
                </c:pt>
                <c:pt idx="7">
                  <c:v>126.651333333333</c:v>
                </c:pt>
                <c:pt idx="8">
                  <c:v>111.197785833333</c:v>
                </c:pt>
                <c:pt idx="9">
                  <c:v>102.207805833333</c:v>
                </c:pt>
                <c:pt idx="10">
                  <c:v>94.059579166666694</c:v>
                </c:pt>
                <c:pt idx="11">
                  <c:v>108.779056666667</c:v>
                </c:pt>
                <c:pt idx="12">
                  <c:v>120.99086250000001</c:v>
                </c:pt>
                <c:pt idx="13">
                  <c:v>130.90530066666699</c:v>
                </c:pt>
                <c:pt idx="14">
                  <c:v>113.90680500000001</c:v>
                </c:pt>
                <c:pt idx="15">
                  <c:v>107.765498333333</c:v>
                </c:pt>
                <c:pt idx="16">
                  <c:v>121.5289475</c:v>
                </c:pt>
                <c:pt idx="17">
                  <c:v>125.38801916666699</c:v>
                </c:pt>
                <c:pt idx="18">
                  <c:v>115.93346416666699</c:v>
                </c:pt>
                <c:pt idx="19">
                  <c:v>108.192569166667</c:v>
                </c:pt>
                <c:pt idx="20">
                  <c:v>110.218211666667</c:v>
                </c:pt>
                <c:pt idx="21">
                  <c:v>116.29931166666699</c:v>
                </c:pt>
                <c:pt idx="22">
                  <c:v>117.75352916666699</c:v>
                </c:pt>
                <c:pt idx="23">
                  <c:v>103.359493968254</c:v>
                </c:pt>
                <c:pt idx="24">
                  <c:v>93.570089087045702</c:v>
                </c:pt>
                <c:pt idx="25">
                  <c:v>87.779875000000004</c:v>
                </c:pt>
                <c:pt idx="26">
                  <c:v>79.807019832189198</c:v>
                </c:pt>
                <c:pt idx="27">
                  <c:v>79.790455417006498</c:v>
                </c:pt>
                <c:pt idx="28">
                  <c:v>97.595658277638506</c:v>
                </c:pt>
                <c:pt idx="29">
                  <c:v>105.944781034025</c:v>
                </c:pt>
                <c:pt idx="30">
                  <c:v>121.044025684011</c:v>
                </c:pt>
                <c:pt idx="31">
                  <c:v>108.79290004683401</c:v>
                </c:pt>
                <c:pt idx="32">
                  <c:v>112.166141081871</c:v>
                </c:pt>
                <c:pt idx="33">
                  <c:v>110.42317934106001</c:v>
                </c:pt>
                <c:pt idx="34">
                  <c:v>109.009665900863</c:v>
                </c:pt>
                <c:pt idx="35">
                  <c:v>108.877</c:v>
                </c:pt>
              </c:numCache>
            </c:numRef>
          </c:val>
          <c:smooth val="0"/>
          <c:extLst xmlns:c16r2="http://schemas.microsoft.com/office/drawing/2015/06/chart">
            <c:ext xmlns:c16="http://schemas.microsoft.com/office/drawing/2014/chart" uri="{C3380CC4-5D6E-409C-BE32-E72D297353CC}">
              <c16:uniqueId val="{00000001-E9B2-45A2-B519-9888F50B8A93}"/>
            </c:ext>
          </c:extLst>
        </c:ser>
        <c:dLbls>
          <c:showLegendKey val="0"/>
          <c:showVal val="0"/>
          <c:showCatName val="0"/>
          <c:showSerName val="0"/>
          <c:showPercent val="0"/>
          <c:showBubbleSize val="0"/>
        </c:dLbls>
        <c:marker val="1"/>
        <c:smooth val="0"/>
        <c:axId val="81546624"/>
        <c:axId val="81545088"/>
      </c:lineChart>
      <c:catAx>
        <c:axId val="8153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43552"/>
        <c:crosses val="autoZero"/>
        <c:auto val="1"/>
        <c:lblAlgn val="ctr"/>
        <c:lblOffset val="100"/>
        <c:noMultiLvlLbl val="0"/>
      </c:catAx>
      <c:valAx>
        <c:axId val="81543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33568"/>
        <c:crosses val="autoZero"/>
        <c:crossBetween val="between"/>
      </c:valAx>
      <c:valAx>
        <c:axId val="8154508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46624"/>
        <c:crosses val="max"/>
        <c:crossBetween val="between"/>
      </c:valAx>
      <c:catAx>
        <c:axId val="81546624"/>
        <c:scaling>
          <c:orientation val="minMax"/>
        </c:scaling>
        <c:delete val="1"/>
        <c:axPos val="b"/>
        <c:numFmt formatCode="General" sourceLinked="1"/>
        <c:majorTickMark val="out"/>
        <c:minorTickMark val="none"/>
        <c:tickLblPos val="nextTo"/>
        <c:crossAx val="815450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Sheet1!$G$43</c:f>
              <c:strCache>
                <c:ptCount val="1"/>
                <c:pt idx="0">
                  <c:v>Nikkei</c:v>
                </c:pt>
              </c:strCache>
            </c:strRef>
          </c:tx>
          <c:spPr>
            <a:ln w="28575" cap="rnd">
              <a:solidFill>
                <a:schemeClr val="accent2"/>
              </a:solidFill>
              <a:round/>
            </a:ln>
            <a:effectLst/>
          </c:spPr>
          <c:marker>
            <c:symbol val="none"/>
          </c:marker>
          <c:cat>
            <c:numRef>
              <c:f>Sheet1!$E$44:$E$79</c:f>
              <c:numCache>
                <c:formatCode>General</c:formatCode>
                <c:ptCount val="36"/>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numCache>
            </c:numRef>
          </c:cat>
          <c:val>
            <c:numRef>
              <c:f>Sheet1!$G$44:$G$79</c:f>
              <c:numCache>
                <c:formatCode>General</c:formatCode>
                <c:ptCount val="36"/>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pt idx="35" formatCode="#,##0.00">
                  <c:v>23205.18</c:v>
                </c:pt>
              </c:numCache>
            </c:numRef>
          </c:val>
          <c:smooth val="0"/>
          <c:extLst xmlns:c16r2="http://schemas.microsoft.com/office/drawing/2015/06/chart">
            <c:ext xmlns:c16="http://schemas.microsoft.com/office/drawing/2014/chart" uri="{C3380CC4-5D6E-409C-BE32-E72D297353CC}">
              <c16:uniqueId val="{00000000-17FE-4959-8447-3D0FE8BFE8E0}"/>
            </c:ext>
          </c:extLst>
        </c:ser>
        <c:dLbls>
          <c:showLegendKey val="0"/>
          <c:showVal val="0"/>
          <c:showCatName val="0"/>
          <c:showSerName val="0"/>
          <c:showPercent val="0"/>
          <c:showBubbleSize val="0"/>
        </c:dLbls>
        <c:marker val="1"/>
        <c:smooth val="0"/>
        <c:axId val="81570432"/>
        <c:axId val="81588608"/>
      </c:lineChart>
      <c:lineChart>
        <c:grouping val="standard"/>
        <c:varyColors val="0"/>
        <c:ser>
          <c:idx val="0"/>
          <c:order val="0"/>
          <c:tx>
            <c:strRef>
              <c:f>Sheet1!$F$43</c:f>
              <c:strCache>
                <c:ptCount val="1"/>
                <c:pt idx="0">
                  <c:v>Відсоткова ставка </c:v>
                </c:pt>
              </c:strCache>
            </c:strRef>
          </c:tx>
          <c:spPr>
            <a:ln w="28575" cap="rnd">
              <a:solidFill>
                <a:schemeClr val="accent1"/>
              </a:solidFill>
              <a:round/>
            </a:ln>
            <a:effectLst/>
          </c:spPr>
          <c:marker>
            <c:symbol val="none"/>
          </c:marker>
          <c:cat>
            <c:numRef>
              <c:f>Sheet1!$E$44:$E$79</c:f>
              <c:numCache>
                <c:formatCode>General</c:formatCode>
                <c:ptCount val="36"/>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pt idx="35">
                  <c:v>2020</c:v>
                </c:pt>
              </c:numCache>
            </c:numRef>
          </c:cat>
          <c:val>
            <c:numRef>
              <c:f>Sheet1!$F$44:$F$79</c:f>
              <c:numCache>
                <c:formatCode>General</c:formatCode>
                <c:ptCount val="36"/>
                <c:pt idx="0">
                  <c:v>6.6</c:v>
                </c:pt>
                <c:pt idx="1">
                  <c:v>6.02</c:v>
                </c:pt>
                <c:pt idx="2">
                  <c:v>5.21</c:v>
                </c:pt>
                <c:pt idx="3">
                  <c:v>5.03</c:v>
                </c:pt>
                <c:pt idx="4">
                  <c:v>5.29</c:v>
                </c:pt>
                <c:pt idx="5">
                  <c:v>6.86</c:v>
                </c:pt>
                <c:pt idx="6">
                  <c:v>7.53</c:v>
                </c:pt>
                <c:pt idx="7">
                  <c:v>6.15</c:v>
                </c:pt>
                <c:pt idx="8">
                  <c:v>4.8600000000000003</c:v>
                </c:pt>
                <c:pt idx="9">
                  <c:v>4.13</c:v>
                </c:pt>
                <c:pt idx="10">
                  <c:v>3.51</c:v>
                </c:pt>
                <c:pt idx="11">
                  <c:v>2.66</c:v>
                </c:pt>
                <c:pt idx="12">
                  <c:v>2.4500000000000002</c:v>
                </c:pt>
                <c:pt idx="13">
                  <c:v>2.3199999999999998</c:v>
                </c:pt>
                <c:pt idx="14">
                  <c:v>2.16</c:v>
                </c:pt>
                <c:pt idx="15">
                  <c:v>2.0699999999999998</c:v>
                </c:pt>
                <c:pt idx="16">
                  <c:v>1.97</c:v>
                </c:pt>
                <c:pt idx="17">
                  <c:v>1.87</c:v>
                </c:pt>
                <c:pt idx="18">
                  <c:v>1.82</c:v>
                </c:pt>
                <c:pt idx="19">
                  <c:v>1.77</c:v>
                </c:pt>
                <c:pt idx="20">
                  <c:v>1.68</c:v>
                </c:pt>
                <c:pt idx="21">
                  <c:v>1.67</c:v>
                </c:pt>
                <c:pt idx="22">
                  <c:v>1.88</c:v>
                </c:pt>
                <c:pt idx="23">
                  <c:v>1.91</c:v>
                </c:pt>
                <c:pt idx="24">
                  <c:v>1.72</c:v>
                </c:pt>
                <c:pt idx="25">
                  <c:v>1.6</c:v>
                </c:pt>
                <c:pt idx="26">
                  <c:v>1.5</c:v>
                </c:pt>
                <c:pt idx="27">
                  <c:v>1.41</c:v>
                </c:pt>
                <c:pt idx="28">
                  <c:v>1.31</c:v>
                </c:pt>
                <c:pt idx="29">
                  <c:v>1.22</c:v>
                </c:pt>
                <c:pt idx="30">
                  <c:v>1.1399999999999999</c:v>
                </c:pt>
                <c:pt idx="31">
                  <c:v>1.05</c:v>
                </c:pt>
                <c:pt idx="32">
                  <c:v>0.99</c:v>
                </c:pt>
                <c:pt idx="33">
                  <c:v>0.98</c:v>
                </c:pt>
                <c:pt idx="34">
                  <c:v>0.95</c:v>
                </c:pt>
                <c:pt idx="35">
                  <c:v>1.1000000000000001</c:v>
                </c:pt>
              </c:numCache>
            </c:numRef>
          </c:val>
          <c:smooth val="0"/>
          <c:extLst xmlns:c16r2="http://schemas.microsoft.com/office/drawing/2015/06/chart">
            <c:ext xmlns:c16="http://schemas.microsoft.com/office/drawing/2014/chart" uri="{C3380CC4-5D6E-409C-BE32-E72D297353CC}">
              <c16:uniqueId val="{00000001-17FE-4959-8447-3D0FE8BFE8E0}"/>
            </c:ext>
          </c:extLst>
        </c:ser>
        <c:dLbls>
          <c:showLegendKey val="0"/>
          <c:showVal val="0"/>
          <c:showCatName val="0"/>
          <c:showSerName val="0"/>
          <c:showPercent val="0"/>
          <c:showBubbleSize val="0"/>
        </c:dLbls>
        <c:marker val="1"/>
        <c:smooth val="0"/>
        <c:axId val="81591680"/>
        <c:axId val="81590144"/>
      </c:lineChart>
      <c:catAx>
        <c:axId val="81570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88608"/>
        <c:crosses val="autoZero"/>
        <c:auto val="1"/>
        <c:lblAlgn val="ctr"/>
        <c:lblOffset val="100"/>
        <c:noMultiLvlLbl val="0"/>
      </c:catAx>
      <c:valAx>
        <c:axId val="81588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70432"/>
        <c:crosses val="autoZero"/>
        <c:crossBetween val="between"/>
      </c:valAx>
      <c:valAx>
        <c:axId val="8159014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91680"/>
        <c:crosses val="max"/>
        <c:crossBetween val="between"/>
      </c:valAx>
      <c:catAx>
        <c:axId val="81591680"/>
        <c:scaling>
          <c:orientation val="minMax"/>
        </c:scaling>
        <c:delete val="1"/>
        <c:axPos val="b"/>
        <c:numFmt formatCode="General" sourceLinked="1"/>
        <c:majorTickMark val="out"/>
        <c:minorTickMark val="none"/>
        <c:tickLblPos val="nextTo"/>
        <c:crossAx val="815901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Sheet1!$C$130</c:f>
              <c:strCache>
                <c:ptCount val="1"/>
                <c:pt idx="0">
                  <c:v>Nikkei</c:v>
                </c:pt>
              </c:strCache>
            </c:strRef>
          </c:tx>
          <c:spPr>
            <a:ln w="28575" cap="rnd">
              <a:solidFill>
                <a:schemeClr val="accent2"/>
              </a:solidFill>
              <a:round/>
            </a:ln>
            <a:effectLst/>
          </c:spPr>
          <c:marker>
            <c:symbol val="none"/>
          </c:marker>
          <c:cat>
            <c:numRef>
              <c:f>Sheet1!$A$131:$A$165</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Sheet1!$C$131:$C$165</c:f>
              <c:numCache>
                <c:formatCode>General</c:formatCode>
                <c:ptCount val="35"/>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numCache>
            </c:numRef>
          </c:val>
          <c:smooth val="0"/>
          <c:extLst xmlns:c16r2="http://schemas.microsoft.com/office/drawing/2015/06/chart">
            <c:ext xmlns:c16="http://schemas.microsoft.com/office/drawing/2014/chart" uri="{C3380CC4-5D6E-409C-BE32-E72D297353CC}">
              <c16:uniqueId val="{00000000-79CC-40B5-88AE-D895C045E150}"/>
            </c:ext>
          </c:extLst>
        </c:ser>
        <c:dLbls>
          <c:showLegendKey val="0"/>
          <c:showVal val="0"/>
          <c:showCatName val="0"/>
          <c:showSerName val="0"/>
          <c:showPercent val="0"/>
          <c:showBubbleSize val="0"/>
        </c:dLbls>
        <c:marker val="1"/>
        <c:smooth val="0"/>
        <c:axId val="81639680"/>
        <c:axId val="81645568"/>
      </c:lineChart>
      <c:lineChart>
        <c:grouping val="standard"/>
        <c:varyColors val="0"/>
        <c:ser>
          <c:idx val="0"/>
          <c:order val="0"/>
          <c:tx>
            <c:strRef>
              <c:f>Sheet1!$B$130</c:f>
              <c:strCache>
                <c:ptCount val="1"/>
                <c:pt idx="0">
                  <c:v>Борг до ВВП</c:v>
                </c:pt>
              </c:strCache>
            </c:strRef>
          </c:tx>
          <c:spPr>
            <a:ln w="28575" cap="rnd">
              <a:solidFill>
                <a:schemeClr val="accent1"/>
              </a:solidFill>
              <a:round/>
            </a:ln>
            <a:effectLst/>
          </c:spPr>
          <c:marker>
            <c:symbol val="none"/>
          </c:marker>
          <c:cat>
            <c:numRef>
              <c:f>Sheet1!$A$131:$A$165</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Sheet1!$B$131:$B$165</c:f>
              <c:numCache>
                <c:formatCode>0.000</c:formatCode>
                <c:ptCount val="35"/>
                <c:pt idx="0">
                  <c:v>68.293999999999997</c:v>
                </c:pt>
                <c:pt idx="1">
                  <c:v>74.037999999999997</c:v>
                </c:pt>
                <c:pt idx="2">
                  <c:v>75.727999999999994</c:v>
                </c:pt>
                <c:pt idx="3">
                  <c:v>71.75</c:v>
                </c:pt>
                <c:pt idx="4">
                  <c:v>65.513999999999996</c:v>
                </c:pt>
                <c:pt idx="5">
                  <c:v>63.021999999999998</c:v>
                </c:pt>
                <c:pt idx="6">
                  <c:v>62.225999999999999</c:v>
                </c:pt>
                <c:pt idx="7">
                  <c:v>66.638000000000005</c:v>
                </c:pt>
                <c:pt idx="8">
                  <c:v>72.712000000000003</c:v>
                </c:pt>
                <c:pt idx="9">
                  <c:v>84.361000000000004</c:v>
                </c:pt>
                <c:pt idx="10">
                  <c:v>92.525999999999996</c:v>
                </c:pt>
                <c:pt idx="11">
                  <c:v>98.054000000000002</c:v>
                </c:pt>
                <c:pt idx="12">
                  <c:v>104.971</c:v>
                </c:pt>
                <c:pt idx="13">
                  <c:v>116.02</c:v>
                </c:pt>
                <c:pt idx="14">
                  <c:v>129.501</c:v>
                </c:pt>
                <c:pt idx="15">
                  <c:v>135.60900000000001</c:v>
                </c:pt>
                <c:pt idx="16">
                  <c:v>145.124</c:v>
                </c:pt>
                <c:pt idx="17">
                  <c:v>154.096</c:v>
                </c:pt>
                <c:pt idx="18">
                  <c:v>160.02099999999999</c:v>
                </c:pt>
                <c:pt idx="19">
                  <c:v>169.49</c:v>
                </c:pt>
                <c:pt idx="20">
                  <c:v>174.29300000000001</c:v>
                </c:pt>
                <c:pt idx="21">
                  <c:v>174.03299999999999</c:v>
                </c:pt>
                <c:pt idx="22">
                  <c:v>172.809</c:v>
                </c:pt>
                <c:pt idx="23">
                  <c:v>180.715</c:v>
                </c:pt>
                <c:pt idx="24">
                  <c:v>198.703</c:v>
                </c:pt>
                <c:pt idx="25">
                  <c:v>205.69300000000001</c:v>
                </c:pt>
                <c:pt idx="26">
                  <c:v>219.09399999999999</c:v>
                </c:pt>
                <c:pt idx="27">
                  <c:v>226.09299999999999</c:v>
                </c:pt>
                <c:pt idx="28">
                  <c:v>229.626</c:v>
                </c:pt>
                <c:pt idx="29">
                  <c:v>233.52799999999999</c:v>
                </c:pt>
                <c:pt idx="30">
                  <c:v>228.39699999999999</c:v>
                </c:pt>
                <c:pt idx="31">
                  <c:v>232.52</c:v>
                </c:pt>
                <c:pt idx="32">
                  <c:v>231.416</c:v>
                </c:pt>
                <c:pt idx="33">
                  <c:v>232.50899999999999</c:v>
                </c:pt>
                <c:pt idx="34">
                  <c:v>234.85900000000001</c:v>
                </c:pt>
              </c:numCache>
            </c:numRef>
          </c:val>
          <c:smooth val="0"/>
          <c:extLst xmlns:c16r2="http://schemas.microsoft.com/office/drawing/2015/06/chart">
            <c:ext xmlns:c16="http://schemas.microsoft.com/office/drawing/2014/chart" uri="{C3380CC4-5D6E-409C-BE32-E72D297353CC}">
              <c16:uniqueId val="{00000001-79CC-40B5-88AE-D895C045E150}"/>
            </c:ext>
          </c:extLst>
        </c:ser>
        <c:dLbls>
          <c:showLegendKey val="0"/>
          <c:showVal val="0"/>
          <c:showCatName val="0"/>
          <c:showSerName val="0"/>
          <c:showPercent val="0"/>
          <c:showBubbleSize val="0"/>
        </c:dLbls>
        <c:marker val="1"/>
        <c:smooth val="0"/>
        <c:axId val="81648640"/>
        <c:axId val="81647104"/>
      </c:lineChart>
      <c:catAx>
        <c:axId val="8163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645568"/>
        <c:crosses val="autoZero"/>
        <c:auto val="1"/>
        <c:lblAlgn val="ctr"/>
        <c:lblOffset val="100"/>
        <c:noMultiLvlLbl val="0"/>
      </c:catAx>
      <c:valAx>
        <c:axId val="81645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639680"/>
        <c:crosses val="autoZero"/>
        <c:crossBetween val="between"/>
      </c:valAx>
      <c:valAx>
        <c:axId val="81647104"/>
        <c:scaling>
          <c:orientation val="minMax"/>
        </c:scaling>
        <c:delete val="0"/>
        <c:axPos val="r"/>
        <c:numFmt formatCode="0.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648640"/>
        <c:crosses val="max"/>
        <c:crossBetween val="between"/>
      </c:valAx>
      <c:catAx>
        <c:axId val="81648640"/>
        <c:scaling>
          <c:orientation val="minMax"/>
        </c:scaling>
        <c:delete val="1"/>
        <c:axPos val="b"/>
        <c:numFmt formatCode="General" sourceLinked="1"/>
        <c:majorTickMark val="out"/>
        <c:minorTickMark val="none"/>
        <c:tickLblPos val="nextTo"/>
        <c:crossAx val="816471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Sheet1!$C$167</c:f>
              <c:strCache>
                <c:ptCount val="1"/>
                <c:pt idx="0">
                  <c:v>Nikkei</c:v>
                </c:pt>
              </c:strCache>
            </c:strRef>
          </c:tx>
          <c:spPr>
            <a:ln w="28575" cap="rnd">
              <a:solidFill>
                <a:schemeClr val="accent2"/>
              </a:solidFill>
              <a:round/>
            </a:ln>
            <a:effectLst/>
          </c:spPr>
          <c:marker>
            <c:symbol val="none"/>
          </c:marker>
          <c:cat>
            <c:numRef>
              <c:f>Sheet1!$A$168:$A$202</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Sheet1!$C$168:$C$202</c:f>
              <c:numCache>
                <c:formatCode>General</c:formatCode>
                <c:ptCount val="35"/>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numCache>
            </c:numRef>
          </c:val>
          <c:smooth val="0"/>
          <c:extLst xmlns:c16r2="http://schemas.microsoft.com/office/drawing/2015/06/chart">
            <c:ext xmlns:c16="http://schemas.microsoft.com/office/drawing/2014/chart" uri="{C3380CC4-5D6E-409C-BE32-E72D297353CC}">
              <c16:uniqueId val="{00000000-E2F8-4565-892B-EDF222C19998}"/>
            </c:ext>
          </c:extLst>
        </c:ser>
        <c:dLbls>
          <c:showLegendKey val="0"/>
          <c:showVal val="0"/>
          <c:showCatName val="0"/>
          <c:showSerName val="0"/>
          <c:showPercent val="0"/>
          <c:showBubbleSize val="0"/>
        </c:dLbls>
        <c:marker val="1"/>
        <c:smooth val="0"/>
        <c:axId val="82728832"/>
        <c:axId val="82730368"/>
      </c:lineChart>
      <c:lineChart>
        <c:grouping val="standard"/>
        <c:varyColors val="0"/>
        <c:ser>
          <c:idx val="0"/>
          <c:order val="0"/>
          <c:tx>
            <c:strRef>
              <c:f>Sheet1!$B$167</c:f>
              <c:strCache>
                <c:ptCount val="1"/>
                <c:pt idx="0">
                  <c:v>Інфляція</c:v>
                </c:pt>
              </c:strCache>
            </c:strRef>
          </c:tx>
          <c:spPr>
            <a:ln w="28575" cap="rnd">
              <a:solidFill>
                <a:schemeClr val="accent1"/>
              </a:solidFill>
              <a:round/>
            </a:ln>
            <a:effectLst/>
          </c:spPr>
          <c:marker>
            <c:symbol val="none"/>
          </c:marker>
          <c:cat>
            <c:numRef>
              <c:f>Sheet1!$A$168:$A$202</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Sheet1!$B$168:$B$202</c:f>
              <c:numCache>
                <c:formatCode>General</c:formatCode>
                <c:ptCount val="35"/>
                <c:pt idx="0">
                  <c:v>2.03227734608488</c:v>
                </c:pt>
                <c:pt idx="1">
                  <c:v>0.59558679945321302</c:v>
                </c:pt>
                <c:pt idx="2">
                  <c:v>0.126176841696618</c:v>
                </c:pt>
                <c:pt idx="3">
                  <c:v>0.67855758045750103</c:v>
                </c:pt>
                <c:pt idx="4">
                  <c:v>2.2722896206432002</c:v>
                </c:pt>
                <c:pt idx="5">
                  <c:v>3.0785162869516198</c:v>
                </c:pt>
                <c:pt idx="6">
                  <c:v>3.2514384875330999</c:v>
                </c:pt>
                <c:pt idx="7">
                  <c:v>1.7602830605926501</c:v>
                </c:pt>
                <c:pt idx="8">
                  <c:v>1.2430458970792899</c:v>
                </c:pt>
                <c:pt idx="9">
                  <c:v>0.69545805786897297</c:v>
                </c:pt>
                <c:pt idx="10">
                  <c:v>-0.12789904502046401</c:v>
                </c:pt>
                <c:pt idx="11">
                  <c:v>0.136600358575938</c:v>
                </c:pt>
                <c:pt idx="12">
                  <c:v>1.7478045869213299</c:v>
                </c:pt>
                <c:pt idx="13">
                  <c:v>0.66197419138591596</c:v>
                </c:pt>
                <c:pt idx="14">
                  <c:v>-0.34129692832761999</c:v>
                </c:pt>
                <c:pt idx="15">
                  <c:v>-0.67657868359506301</c:v>
                </c:pt>
                <c:pt idx="16">
                  <c:v>-0.74005550416280796</c:v>
                </c:pt>
                <c:pt idx="17">
                  <c:v>-0.92349402694229099</c:v>
                </c:pt>
                <c:pt idx="18">
                  <c:v>-0.25654181631607398</c:v>
                </c:pt>
                <c:pt idx="19">
                  <c:v>-8.5733882029999792E-3</c:v>
                </c:pt>
                <c:pt idx="20">
                  <c:v>-0.28294606876448702</c:v>
                </c:pt>
                <c:pt idx="21">
                  <c:v>0.249355116079096</c:v>
                </c:pt>
                <c:pt idx="22">
                  <c:v>6.0039454498686799E-2</c:v>
                </c:pt>
                <c:pt idx="23">
                  <c:v>1.3800788616492301</c:v>
                </c:pt>
                <c:pt idx="24">
                  <c:v>-1.3528367295172199</c:v>
                </c:pt>
                <c:pt idx="25">
                  <c:v>-0.71997942915914903</c:v>
                </c:pt>
                <c:pt idx="26">
                  <c:v>-0.26763360096694599</c:v>
                </c:pt>
                <c:pt idx="27">
                  <c:v>-5.1939058171736802E-2</c:v>
                </c:pt>
                <c:pt idx="28">
                  <c:v>0.34644032565389798</c:v>
                </c:pt>
                <c:pt idx="29">
                  <c:v>2.7619540825133799</c:v>
                </c:pt>
                <c:pt idx="30">
                  <c:v>0.78951789013942697</c:v>
                </c:pt>
                <c:pt idx="31">
                  <c:v>-0.116666666666671</c:v>
                </c:pt>
                <c:pt idx="32">
                  <c:v>0.467211747038214</c:v>
                </c:pt>
                <c:pt idx="33">
                  <c:v>0.97990367048664095</c:v>
                </c:pt>
                <c:pt idx="34">
                  <c:v>0.476973684210521</c:v>
                </c:pt>
              </c:numCache>
            </c:numRef>
          </c:val>
          <c:smooth val="0"/>
          <c:extLst xmlns:c16r2="http://schemas.microsoft.com/office/drawing/2015/06/chart">
            <c:ext xmlns:c16="http://schemas.microsoft.com/office/drawing/2014/chart" uri="{C3380CC4-5D6E-409C-BE32-E72D297353CC}">
              <c16:uniqueId val="{00000001-E2F8-4565-892B-EDF222C19998}"/>
            </c:ext>
          </c:extLst>
        </c:ser>
        <c:dLbls>
          <c:showLegendKey val="0"/>
          <c:showVal val="0"/>
          <c:showCatName val="0"/>
          <c:showSerName val="0"/>
          <c:showPercent val="0"/>
          <c:showBubbleSize val="0"/>
        </c:dLbls>
        <c:marker val="1"/>
        <c:smooth val="0"/>
        <c:axId val="82745984"/>
        <c:axId val="82744448"/>
      </c:lineChart>
      <c:catAx>
        <c:axId val="8272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30368"/>
        <c:crosses val="autoZero"/>
        <c:auto val="1"/>
        <c:lblAlgn val="ctr"/>
        <c:lblOffset val="100"/>
        <c:noMultiLvlLbl val="0"/>
      </c:catAx>
      <c:valAx>
        <c:axId val="82730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28832"/>
        <c:crosses val="autoZero"/>
        <c:crossBetween val="between"/>
      </c:valAx>
      <c:valAx>
        <c:axId val="8274444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45984"/>
        <c:crosses val="max"/>
        <c:crossBetween val="between"/>
      </c:valAx>
      <c:catAx>
        <c:axId val="82745984"/>
        <c:scaling>
          <c:orientation val="minMax"/>
        </c:scaling>
        <c:delete val="1"/>
        <c:axPos val="b"/>
        <c:numFmt formatCode="General" sourceLinked="1"/>
        <c:majorTickMark val="out"/>
        <c:minorTickMark val="none"/>
        <c:tickLblPos val="nextTo"/>
        <c:crossAx val="827444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Sheet1!$C$205</c:f>
              <c:strCache>
                <c:ptCount val="1"/>
                <c:pt idx="0">
                  <c:v>Прямі іноземні інвестиції у міл $ США</c:v>
                </c:pt>
              </c:strCache>
            </c:strRef>
          </c:tx>
          <c:spPr>
            <a:ln w="28575" cap="rnd">
              <a:solidFill>
                <a:schemeClr val="accent1"/>
              </a:solidFill>
              <a:round/>
            </a:ln>
            <a:effectLst/>
          </c:spPr>
          <c:marker>
            <c:symbol val="none"/>
          </c:marker>
          <c:cat>
            <c:numRef>
              <c:f>Sheet1!$B$206:$B$240</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Sheet1!$C$206:$C$240</c:f>
              <c:numCache>
                <c:formatCode>General</c:formatCode>
                <c:ptCount val="35"/>
                <c:pt idx="0">
                  <c:v>608.71315021630005</c:v>
                </c:pt>
                <c:pt idx="1">
                  <c:v>242.10776168999999</c:v>
                </c:pt>
                <c:pt idx="2">
                  <c:v>1177.4222541793999</c:v>
                </c:pt>
                <c:pt idx="3">
                  <c:v>-483.80048692180003</c:v>
                </c:pt>
                <c:pt idx="4">
                  <c:v>-1059.6967324809</c:v>
                </c:pt>
                <c:pt idx="5">
                  <c:v>1806.0390076800002</c:v>
                </c:pt>
                <c:pt idx="6">
                  <c:v>1284.268820477</c:v>
                </c:pt>
                <c:pt idx="7">
                  <c:v>2755.6039825977996</c:v>
                </c:pt>
                <c:pt idx="8">
                  <c:v>210.4354394863</c:v>
                </c:pt>
                <c:pt idx="9">
                  <c:v>888.38447088290002</c:v>
                </c:pt>
                <c:pt idx="10">
                  <c:v>41.463072349900003</c:v>
                </c:pt>
                <c:pt idx="11">
                  <c:v>-38.2035963353635</c:v>
                </c:pt>
                <c:pt idx="12">
                  <c:v>2486.9350404228103</c:v>
                </c:pt>
                <c:pt idx="13">
                  <c:v>2512.0219244741002</c:v>
                </c:pt>
                <c:pt idx="14">
                  <c:v>14780.5100307061</c:v>
                </c:pt>
                <c:pt idx="15">
                  <c:v>10688.1683256084</c:v>
                </c:pt>
                <c:pt idx="16">
                  <c:v>4926.03361918462</c:v>
                </c:pt>
                <c:pt idx="17">
                  <c:v>11557.3738739419</c:v>
                </c:pt>
                <c:pt idx="18">
                  <c:v>8771.5356123150596</c:v>
                </c:pt>
                <c:pt idx="19">
                  <c:v>7527.9481752232505</c:v>
                </c:pt>
                <c:pt idx="20">
                  <c:v>5459.6183429407902</c:v>
                </c:pt>
                <c:pt idx="21">
                  <c:v>-2396.9097363050801</c:v>
                </c:pt>
                <c:pt idx="22">
                  <c:v>21631.2044356847</c:v>
                </c:pt>
                <c:pt idx="23">
                  <c:v>24624.8453295648</c:v>
                </c:pt>
                <c:pt idx="24">
                  <c:v>12226.4715787439</c:v>
                </c:pt>
                <c:pt idx="25">
                  <c:v>7440.9792841628596</c:v>
                </c:pt>
                <c:pt idx="26">
                  <c:v>-850.71703506823894</c:v>
                </c:pt>
                <c:pt idx="27">
                  <c:v>546.96269219072792</c:v>
                </c:pt>
                <c:pt idx="28">
                  <c:v>10648.441636207101</c:v>
                </c:pt>
                <c:pt idx="29">
                  <c:v>19752.249424087102</c:v>
                </c:pt>
                <c:pt idx="30">
                  <c:v>5252.2184123917195</c:v>
                </c:pt>
                <c:pt idx="31">
                  <c:v>40954.181468553295</c:v>
                </c:pt>
                <c:pt idx="32">
                  <c:v>18802.2512081069</c:v>
                </c:pt>
                <c:pt idx="33">
                  <c:v>26111.434990475202</c:v>
                </c:pt>
                <c:pt idx="34">
                  <c:v>36280.892671726193</c:v>
                </c:pt>
              </c:numCache>
            </c:numRef>
          </c:val>
          <c:smooth val="0"/>
          <c:extLst xmlns:c16r2="http://schemas.microsoft.com/office/drawing/2015/06/chart">
            <c:ext xmlns:c16="http://schemas.microsoft.com/office/drawing/2014/chart" uri="{C3380CC4-5D6E-409C-BE32-E72D297353CC}">
              <c16:uniqueId val="{00000000-9E46-46AF-893E-560291768EF3}"/>
            </c:ext>
          </c:extLst>
        </c:ser>
        <c:ser>
          <c:idx val="1"/>
          <c:order val="1"/>
          <c:tx>
            <c:strRef>
              <c:f>Sheet1!$D$205</c:f>
              <c:strCache>
                <c:ptCount val="1"/>
                <c:pt idx="0">
                  <c:v>Nikkei</c:v>
                </c:pt>
              </c:strCache>
            </c:strRef>
          </c:tx>
          <c:spPr>
            <a:ln w="28575" cap="rnd">
              <a:solidFill>
                <a:schemeClr val="accent2"/>
              </a:solidFill>
              <a:round/>
            </a:ln>
            <a:effectLst/>
          </c:spPr>
          <c:marker>
            <c:symbol val="none"/>
          </c:marker>
          <c:cat>
            <c:numRef>
              <c:f>Sheet1!$B$206:$B$240</c:f>
              <c:numCache>
                <c:formatCode>General</c:formatCode>
                <c:ptCount val="35"/>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2006</c:v>
                </c:pt>
                <c:pt idx="22">
                  <c:v>2007</c:v>
                </c:pt>
                <c:pt idx="23">
                  <c:v>2008</c:v>
                </c:pt>
                <c:pt idx="24">
                  <c:v>2009</c:v>
                </c:pt>
                <c:pt idx="25">
                  <c:v>2010</c:v>
                </c:pt>
                <c:pt idx="26">
                  <c:v>2011</c:v>
                </c:pt>
                <c:pt idx="27">
                  <c:v>2012</c:v>
                </c:pt>
                <c:pt idx="28">
                  <c:v>2013</c:v>
                </c:pt>
                <c:pt idx="29">
                  <c:v>2014</c:v>
                </c:pt>
                <c:pt idx="30">
                  <c:v>2015</c:v>
                </c:pt>
                <c:pt idx="31">
                  <c:v>2016</c:v>
                </c:pt>
                <c:pt idx="32">
                  <c:v>2017</c:v>
                </c:pt>
                <c:pt idx="33">
                  <c:v>2018</c:v>
                </c:pt>
                <c:pt idx="34">
                  <c:v>2019</c:v>
                </c:pt>
              </c:numCache>
            </c:numRef>
          </c:cat>
          <c:val>
            <c:numRef>
              <c:f>Sheet1!$D$206:$D$240</c:f>
              <c:numCache>
                <c:formatCode>General</c:formatCode>
                <c:ptCount val="35"/>
                <c:pt idx="0">
                  <c:v>11992.309569999999</c:v>
                </c:pt>
                <c:pt idx="1">
                  <c:v>13024.299805000001</c:v>
                </c:pt>
                <c:pt idx="2">
                  <c:v>20024</c:v>
                </c:pt>
                <c:pt idx="3">
                  <c:v>23719</c:v>
                </c:pt>
                <c:pt idx="4">
                  <c:v>31581.300781000002</c:v>
                </c:pt>
                <c:pt idx="5">
                  <c:v>37188.949219000002</c:v>
                </c:pt>
                <c:pt idx="6">
                  <c:v>23293.140625</c:v>
                </c:pt>
                <c:pt idx="7">
                  <c:v>22023.050781000002</c:v>
                </c:pt>
                <c:pt idx="8">
                  <c:v>17023.779297000001</c:v>
                </c:pt>
                <c:pt idx="9">
                  <c:v>20229.119140999999</c:v>
                </c:pt>
                <c:pt idx="10">
                  <c:v>18649.820313</c:v>
                </c:pt>
                <c:pt idx="11">
                  <c:v>20812.740234000001</c:v>
                </c:pt>
                <c:pt idx="12">
                  <c:v>18330.009765999999</c:v>
                </c:pt>
                <c:pt idx="13">
                  <c:v>16628.470702999999</c:v>
                </c:pt>
                <c:pt idx="14">
                  <c:v>14499.25</c:v>
                </c:pt>
                <c:pt idx="15">
                  <c:v>19539.699218999998</c:v>
                </c:pt>
                <c:pt idx="16">
                  <c:v>13843.549805000001</c:v>
                </c:pt>
                <c:pt idx="17">
                  <c:v>9997.7998050000006</c:v>
                </c:pt>
                <c:pt idx="18">
                  <c:v>8339.9404300000006</c:v>
                </c:pt>
                <c:pt idx="19">
                  <c:v>10783.610352</c:v>
                </c:pt>
                <c:pt idx="20">
                  <c:v>11387.589844</c:v>
                </c:pt>
                <c:pt idx="21">
                  <c:v>16649.820313</c:v>
                </c:pt>
                <c:pt idx="22">
                  <c:v>17383.419922000001</c:v>
                </c:pt>
                <c:pt idx="23">
                  <c:v>13592.469727</c:v>
                </c:pt>
                <c:pt idx="24">
                  <c:v>7994.0498049999997</c:v>
                </c:pt>
                <c:pt idx="25">
                  <c:v>10198.040039</c:v>
                </c:pt>
                <c:pt idx="26">
                  <c:v>10237.919921999999</c:v>
                </c:pt>
                <c:pt idx="27">
                  <c:v>8802.5097659999992</c:v>
                </c:pt>
                <c:pt idx="28">
                  <c:v>11138.660156</c:v>
                </c:pt>
                <c:pt idx="29">
                  <c:v>14914.530273</c:v>
                </c:pt>
                <c:pt idx="30">
                  <c:v>17674.390625</c:v>
                </c:pt>
                <c:pt idx="31">
                  <c:v>17518.300781000002</c:v>
                </c:pt>
                <c:pt idx="32">
                  <c:v>19041.339843999998</c:v>
                </c:pt>
                <c:pt idx="33">
                  <c:v>23098.289063</c:v>
                </c:pt>
                <c:pt idx="34">
                  <c:v>20773.490234000001</c:v>
                </c:pt>
              </c:numCache>
            </c:numRef>
          </c:val>
          <c:smooth val="0"/>
          <c:extLst xmlns:c16r2="http://schemas.microsoft.com/office/drawing/2015/06/chart">
            <c:ext xmlns:c16="http://schemas.microsoft.com/office/drawing/2014/chart" uri="{C3380CC4-5D6E-409C-BE32-E72D297353CC}">
              <c16:uniqueId val="{00000001-9E46-46AF-893E-560291768EF3}"/>
            </c:ext>
          </c:extLst>
        </c:ser>
        <c:dLbls>
          <c:showLegendKey val="0"/>
          <c:showVal val="0"/>
          <c:showCatName val="0"/>
          <c:showSerName val="0"/>
          <c:showPercent val="0"/>
          <c:showBubbleSize val="0"/>
        </c:dLbls>
        <c:marker val="1"/>
        <c:smooth val="0"/>
        <c:axId val="82760064"/>
        <c:axId val="82761600"/>
      </c:lineChart>
      <c:catAx>
        <c:axId val="82760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61600"/>
        <c:crosses val="autoZero"/>
        <c:auto val="1"/>
        <c:lblAlgn val="ctr"/>
        <c:lblOffset val="100"/>
        <c:noMultiLvlLbl val="0"/>
      </c:catAx>
      <c:valAx>
        <c:axId val="82761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6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Nikkei</a:t>
            </a:r>
            <a:r>
              <a:rPr lang="en-US" baseline="0"/>
              <a:t> 225</a:t>
            </a:r>
            <a:endParaRPr lang="en-US"/>
          </a:p>
        </c:rich>
      </c:tx>
      <c:overlay val="0"/>
      <c:spPr>
        <a:noFill/>
        <a:ln>
          <a:noFill/>
        </a:ln>
        <a:effectLst/>
      </c:spPr>
    </c:title>
    <c:autoTitleDeleted val="0"/>
    <c:plotArea>
      <c:layout/>
      <c:lineChart>
        <c:grouping val="standard"/>
        <c:varyColors val="0"/>
        <c:ser>
          <c:idx val="0"/>
          <c:order val="0"/>
          <c:tx>
            <c:strRef>
              <c:f>'^N225 (3)'!$X$1</c:f>
              <c:strCache>
                <c:ptCount val="1"/>
                <c:pt idx="0">
                  <c:v>Adj Close</c:v>
                </c:pt>
              </c:strCache>
            </c:strRef>
          </c:tx>
          <c:spPr>
            <a:ln w="28575" cap="rnd">
              <a:solidFill>
                <a:schemeClr val="accent1"/>
              </a:solidFill>
              <a:round/>
            </a:ln>
            <a:effectLst/>
          </c:spPr>
          <c:marker>
            <c:symbol val="none"/>
          </c:marker>
          <c:cat>
            <c:numRef>
              <c:f>'^N225 (3)'!$W$2:$W$438</c:f>
              <c:numCache>
                <c:formatCode>m/d/yyyy</c:formatCode>
                <c:ptCount val="437"/>
                <c:pt idx="0">
                  <c:v>31048</c:v>
                </c:pt>
                <c:pt idx="1">
                  <c:v>31079</c:v>
                </c:pt>
                <c:pt idx="2">
                  <c:v>31107</c:v>
                </c:pt>
                <c:pt idx="3">
                  <c:v>31138</c:v>
                </c:pt>
                <c:pt idx="4">
                  <c:v>31168</c:v>
                </c:pt>
                <c:pt idx="5">
                  <c:v>31199</c:v>
                </c:pt>
                <c:pt idx="6">
                  <c:v>31229</c:v>
                </c:pt>
                <c:pt idx="7">
                  <c:v>31260</c:v>
                </c:pt>
                <c:pt idx="8">
                  <c:v>31291</c:v>
                </c:pt>
                <c:pt idx="9">
                  <c:v>31321</c:v>
                </c:pt>
                <c:pt idx="10">
                  <c:v>31352</c:v>
                </c:pt>
                <c:pt idx="11">
                  <c:v>31382</c:v>
                </c:pt>
                <c:pt idx="12">
                  <c:v>31413</c:v>
                </c:pt>
                <c:pt idx="13">
                  <c:v>31444</c:v>
                </c:pt>
                <c:pt idx="14">
                  <c:v>31472</c:v>
                </c:pt>
                <c:pt idx="15">
                  <c:v>31503</c:v>
                </c:pt>
                <c:pt idx="16">
                  <c:v>31533</c:v>
                </c:pt>
                <c:pt idx="17">
                  <c:v>31564</c:v>
                </c:pt>
                <c:pt idx="18">
                  <c:v>31594</c:v>
                </c:pt>
                <c:pt idx="19">
                  <c:v>31625</c:v>
                </c:pt>
                <c:pt idx="20">
                  <c:v>31656</c:v>
                </c:pt>
                <c:pt idx="21">
                  <c:v>31686</c:v>
                </c:pt>
                <c:pt idx="22">
                  <c:v>31717</c:v>
                </c:pt>
                <c:pt idx="23">
                  <c:v>31747</c:v>
                </c:pt>
                <c:pt idx="24">
                  <c:v>31778</c:v>
                </c:pt>
                <c:pt idx="25">
                  <c:v>31809</c:v>
                </c:pt>
                <c:pt idx="26">
                  <c:v>31837</c:v>
                </c:pt>
                <c:pt idx="27">
                  <c:v>31868</c:v>
                </c:pt>
                <c:pt idx="28">
                  <c:v>31898</c:v>
                </c:pt>
                <c:pt idx="29">
                  <c:v>31929</c:v>
                </c:pt>
                <c:pt idx="30">
                  <c:v>31959</c:v>
                </c:pt>
                <c:pt idx="31">
                  <c:v>31990</c:v>
                </c:pt>
                <c:pt idx="32">
                  <c:v>32021</c:v>
                </c:pt>
                <c:pt idx="33">
                  <c:v>32051</c:v>
                </c:pt>
                <c:pt idx="34">
                  <c:v>32082</c:v>
                </c:pt>
                <c:pt idx="35">
                  <c:v>32112</c:v>
                </c:pt>
                <c:pt idx="36">
                  <c:v>32143</c:v>
                </c:pt>
                <c:pt idx="37">
                  <c:v>32174</c:v>
                </c:pt>
                <c:pt idx="38">
                  <c:v>32203</c:v>
                </c:pt>
                <c:pt idx="39">
                  <c:v>32234</c:v>
                </c:pt>
                <c:pt idx="40">
                  <c:v>32264</c:v>
                </c:pt>
                <c:pt idx="41">
                  <c:v>32295</c:v>
                </c:pt>
                <c:pt idx="42">
                  <c:v>32325</c:v>
                </c:pt>
                <c:pt idx="43">
                  <c:v>32356</c:v>
                </c:pt>
                <c:pt idx="44">
                  <c:v>32387</c:v>
                </c:pt>
                <c:pt idx="45">
                  <c:v>32417</c:v>
                </c:pt>
                <c:pt idx="46">
                  <c:v>32448</c:v>
                </c:pt>
                <c:pt idx="47">
                  <c:v>32478</c:v>
                </c:pt>
                <c:pt idx="48">
                  <c:v>32509</c:v>
                </c:pt>
                <c:pt idx="49">
                  <c:v>32540</c:v>
                </c:pt>
                <c:pt idx="50">
                  <c:v>32568</c:v>
                </c:pt>
                <c:pt idx="51">
                  <c:v>32599</c:v>
                </c:pt>
                <c:pt idx="52">
                  <c:v>32629</c:v>
                </c:pt>
                <c:pt idx="53">
                  <c:v>32660</c:v>
                </c:pt>
                <c:pt idx="54">
                  <c:v>32690</c:v>
                </c:pt>
                <c:pt idx="55">
                  <c:v>32721</c:v>
                </c:pt>
                <c:pt idx="56">
                  <c:v>32752</c:v>
                </c:pt>
                <c:pt idx="57">
                  <c:v>32782</c:v>
                </c:pt>
                <c:pt idx="58">
                  <c:v>32813</c:v>
                </c:pt>
                <c:pt idx="59">
                  <c:v>32843</c:v>
                </c:pt>
                <c:pt idx="60">
                  <c:v>32874</c:v>
                </c:pt>
                <c:pt idx="61">
                  <c:v>32905</c:v>
                </c:pt>
                <c:pt idx="62">
                  <c:v>32933</c:v>
                </c:pt>
                <c:pt idx="63">
                  <c:v>32964</c:v>
                </c:pt>
                <c:pt idx="64">
                  <c:v>32994</c:v>
                </c:pt>
                <c:pt idx="65">
                  <c:v>33025</c:v>
                </c:pt>
                <c:pt idx="66">
                  <c:v>33055</c:v>
                </c:pt>
                <c:pt idx="67">
                  <c:v>33086</c:v>
                </c:pt>
                <c:pt idx="68">
                  <c:v>33117</c:v>
                </c:pt>
                <c:pt idx="69">
                  <c:v>33147</c:v>
                </c:pt>
                <c:pt idx="70">
                  <c:v>33178</c:v>
                </c:pt>
                <c:pt idx="71">
                  <c:v>33208</c:v>
                </c:pt>
                <c:pt idx="72">
                  <c:v>33239</c:v>
                </c:pt>
                <c:pt idx="73">
                  <c:v>33270</c:v>
                </c:pt>
                <c:pt idx="74">
                  <c:v>33298</c:v>
                </c:pt>
                <c:pt idx="75">
                  <c:v>33329</c:v>
                </c:pt>
                <c:pt idx="76">
                  <c:v>33359</c:v>
                </c:pt>
                <c:pt idx="77">
                  <c:v>33390</c:v>
                </c:pt>
                <c:pt idx="78">
                  <c:v>33420</c:v>
                </c:pt>
                <c:pt idx="79">
                  <c:v>33451</c:v>
                </c:pt>
                <c:pt idx="80">
                  <c:v>33482</c:v>
                </c:pt>
                <c:pt idx="81">
                  <c:v>33512</c:v>
                </c:pt>
                <c:pt idx="82">
                  <c:v>33543</c:v>
                </c:pt>
                <c:pt idx="83">
                  <c:v>33573</c:v>
                </c:pt>
                <c:pt idx="84">
                  <c:v>33604</c:v>
                </c:pt>
                <c:pt idx="85">
                  <c:v>33635</c:v>
                </c:pt>
                <c:pt idx="86">
                  <c:v>33664</c:v>
                </c:pt>
                <c:pt idx="87">
                  <c:v>33695</c:v>
                </c:pt>
                <c:pt idx="88">
                  <c:v>33725</c:v>
                </c:pt>
                <c:pt idx="89">
                  <c:v>33756</c:v>
                </c:pt>
                <c:pt idx="90">
                  <c:v>33786</c:v>
                </c:pt>
                <c:pt idx="91">
                  <c:v>33817</c:v>
                </c:pt>
                <c:pt idx="92">
                  <c:v>33848</c:v>
                </c:pt>
                <c:pt idx="93">
                  <c:v>33878</c:v>
                </c:pt>
                <c:pt idx="94">
                  <c:v>33909</c:v>
                </c:pt>
                <c:pt idx="95">
                  <c:v>33939</c:v>
                </c:pt>
                <c:pt idx="96">
                  <c:v>33970</c:v>
                </c:pt>
                <c:pt idx="97">
                  <c:v>34001</c:v>
                </c:pt>
                <c:pt idx="98">
                  <c:v>34029</c:v>
                </c:pt>
                <c:pt idx="99">
                  <c:v>34060</c:v>
                </c:pt>
                <c:pt idx="100">
                  <c:v>34090</c:v>
                </c:pt>
                <c:pt idx="101">
                  <c:v>34121</c:v>
                </c:pt>
                <c:pt idx="102">
                  <c:v>34151</c:v>
                </c:pt>
                <c:pt idx="103">
                  <c:v>34182</c:v>
                </c:pt>
                <c:pt idx="104">
                  <c:v>34213</c:v>
                </c:pt>
                <c:pt idx="105">
                  <c:v>34243</c:v>
                </c:pt>
                <c:pt idx="106">
                  <c:v>34274</c:v>
                </c:pt>
                <c:pt idx="107">
                  <c:v>34304</c:v>
                </c:pt>
                <c:pt idx="108">
                  <c:v>34335</c:v>
                </c:pt>
                <c:pt idx="109">
                  <c:v>34366</c:v>
                </c:pt>
                <c:pt idx="110">
                  <c:v>34394</c:v>
                </c:pt>
                <c:pt idx="111">
                  <c:v>34425</c:v>
                </c:pt>
                <c:pt idx="112">
                  <c:v>34455</c:v>
                </c:pt>
                <c:pt idx="113">
                  <c:v>34486</c:v>
                </c:pt>
                <c:pt idx="114">
                  <c:v>34516</c:v>
                </c:pt>
                <c:pt idx="115">
                  <c:v>34547</c:v>
                </c:pt>
                <c:pt idx="116">
                  <c:v>34578</c:v>
                </c:pt>
                <c:pt idx="117">
                  <c:v>34608</c:v>
                </c:pt>
                <c:pt idx="118">
                  <c:v>34639</c:v>
                </c:pt>
                <c:pt idx="119">
                  <c:v>34669</c:v>
                </c:pt>
                <c:pt idx="120">
                  <c:v>34700</c:v>
                </c:pt>
                <c:pt idx="121">
                  <c:v>34731</c:v>
                </c:pt>
                <c:pt idx="122">
                  <c:v>34759</c:v>
                </c:pt>
                <c:pt idx="123">
                  <c:v>34790</c:v>
                </c:pt>
                <c:pt idx="124">
                  <c:v>34820</c:v>
                </c:pt>
                <c:pt idx="125">
                  <c:v>34851</c:v>
                </c:pt>
                <c:pt idx="126">
                  <c:v>34881</c:v>
                </c:pt>
                <c:pt idx="127">
                  <c:v>34912</c:v>
                </c:pt>
                <c:pt idx="128">
                  <c:v>34943</c:v>
                </c:pt>
                <c:pt idx="129">
                  <c:v>34973</c:v>
                </c:pt>
                <c:pt idx="130">
                  <c:v>35004</c:v>
                </c:pt>
                <c:pt idx="131">
                  <c:v>35034</c:v>
                </c:pt>
                <c:pt idx="132">
                  <c:v>35065</c:v>
                </c:pt>
                <c:pt idx="133">
                  <c:v>35096</c:v>
                </c:pt>
                <c:pt idx="134">
                  <c:v>35125</c:v>
                </c:pt>
                <c:pt idx="135">
                  <c:v>35156</c:v>
                </c:pt>
                <c:pt idx="136">
                  <c:v>35186</c:v>
                </c:pt>
                <c:pt idx="137">
                  <c:v>35217</c:v>
                </c:pt>
                <c:pt idx="138">
                  <c:v>35247</c:v>
                </c:pt>
                <c:pt idx="139">
                  <c:v>35278</c:v>
                </c:pt>
                <c:pt idx="140">
                  <c:v>35309</c:v>
                </c:pt>
                <c:pt idx="141">
                  <c:v>35339</c:v>
                </c:pt>
                <c:pt idx="142">
                  <c:v>35370</c:v>
                </c:pt>
                <c:pt idx="143">
                  <c:v>35400</c:v>
                </c:pt>
                <c:pt idx="144">
                  <c:v>35431</c:v>
                </c:pt>
                <c:pt idx="145">
                  <c:v>35462</c:v>
                </c:pt>
                <c:pt idx="146">
                  <c:v>35490</c:v>
                </c:pt>
                <c:pt idx="147">
                  <c:v>35521</c:v>
                </c:pt>
                <c:pt idx="148">
                  <c:v>35551</c:v>
                </c:pt>
                <c:pt idx="149">
                  <c:v>35582</c:v>
                </c:pt>
                <c:pt idx="150">
                  <c:v>35612</c:v>
                </c:pt>
                <c:pt idx="151">
                  <c:v>35643</c:v>
                </c:pt>
                <c:pt idx="152">
                  <c:v>35674</c:v>
                </c:pt>
                <c:pt idx="153">
                  <c:v>35704</c:v>
                </c:pt>
                <c:pt idx="154">
                  <c:v>35735</c:v>
                </c:pt>
                <c:pt idx="155">
                  <c:v>35765</c:v>
                </c:pt>
                <c:pt idx="156">
                  <c:v>35796</c:v>
                </c:pt>
                <c:pt idx="157">
                  <c:v>35827</c:v>
                </c:pt>
                <c:pt idx="158">
                  <c:v>35855</c:v>
                </c:pt>
                <c:pt idx="159">
                  <c:v>35886</c:v>
                </c:pt>
                <c:pt idx="160">
                  <c:v>35916</c:v>
                </c:pt>
                <c:pt idx="161">
                  <c:v>35947</c:v>
                </c:pt>
                <c:pt idx="162">
                  <c:v>35977</c:v>
                </c:pt>
                <c:pt idx="163">
                  <c:v>36008</c:v>
                </c:pt>
                <c:pt idx="164">
                  <c:v>36039</c:v>
                </c:pt>
                <c:pt idx="165">
                  <c:v>36069</c:v>
                </c:pt>
                <c:pt idx="166">
                  <c:v>36100</c:v>
                </c:pt>
                <c:pt idx="167">
                  <c:v>36130</c:v>
                </c:pt>
                <c:pt idx="168">
                  <c:v>36161</c:v>
                </c:pt>
                <c:pt idx="169">
                  <c:v>36192</c:v>
                </c:pt>
                <c:pt idx="170">
                  <c:v>36220</c:v>
                </c:pt>
                <c:pt idx="171">
                  <c:v>36251</c:v>
                </c:pt>
                <c:pt idx="172">
                  <c:v>36281</c:v>
                </c:pt>
                <c:pt idx="173">
                  <c:v>36312</c:v>
                </c:pt>
                <c:pt idx="174">
                  <c:v>36342</c:v>
                </c:pt>
                <c:pt idx="175">
                  <c:v>36373</c:v>
                </c:pt>
                <c:pt idx="176">
                  <c:v>36404</c:v>
                </c:pt>
                <c:pt idx="177">
                  <c:v>36434</c:v>
                </c:pt>
                <c:pt idx="178">
                  <c:v>36465</c:v>
                </c:pt>
                <c:pt idx="179">
                  <c:v>36495</c:v>
                </c:pt>
                <c:pt idx="180">
                  <c:v>36526</c:v>
                </c:pt>
                <c:pt idx="181">
                  <c:v>36557</c:v>
                </c:pt>
                <c:pt idx="182">
                  <c:v>36586</c:v>
                </c:pt>
                <c:pt idx="183">
                  <c:v>36617</c:v>
                </c:pt>
                <c:pt idx="184">
                  <c:v>36647</c:v>
                </c:pt>
                <c:pt idx="185">
                  <c:v>36678</c:v>
                </c:pt>
                <c:pt idx="186">
                  <c:v>36708</c:v>
                </c:pt>
                <c:pt idx="187">
                  <c:v>36739</c:v>
                </c:pt>
                <c:pt idx="188">
                  <c:v>36770</c:v>
                </c:pt>
                <c:pt idx="189">
                  <c:v>36800</c:v>
                </c:pt>
                <c:pt idx="190">
                  <c:v>36831</c:v>
                </c:pt>
                <c:pt idx="191">
                  <c:v>36861</c:v>
                </c:pt>
                <c:pt idx="192">
                  <c:v>36892</c:v>
                </c:pt>
                <c:pt idx="193">
                  <c:v>36923</c:v>
                </c:pt>
                <c:pt idx="194">
                  <c:v>36951</c:v>
                </c:pt>
                <c:pt idx="195">
                  <c:v>36982</c:v>
                </c:pt>
                <c:pt idx="196">
                  <c:v>37012</c:v>
                </c:pt>
                <c:pt idx="197">
                  <c:v>37043</c:v>
                </c:pt>
                <c:pt idx="198">
                  <c:v>37073</c:v>
                </c:pt>
                <c:pt idx="199">
                  <c:v>37104</c:v>
                </c:pt>
                <c:pt idx="200">
                  <c:v>37135</c:v>
                </c:pt>
                <c:pt idx="201">
                  <c:v>37165</c:v>
                </c:pt>
                <c:pt idx="202">
                  <c:v>37196</c:v>
                </c:pt>
                <c:pt idx="203">
                  <c:v>37226</c:v>
                </c:pt>
                <c:pt idx="204">
                  <c:v>37257</c:v>
                </c:pt>
                <c:pt idx="205">
                  <c:v>37288</c:v>
                </c:pt>
                <c:pt idx="206">
                  <c:v>37316</c:v>
                </c:pt>
                <c:pt idx="207">
                  <c:v>37347</c:v>
                </c:pt>
                <c:pt idx="208">
                  <c:v>37377</c:v>
                </c:pt>
                <c:pt idx="209">
                  <c:v>37408</c:v>
                </c:pt>
                <c:pt idx="210">
                  <c:v>37438</c:v>
                </c:pt>
                <c:pt idx="211">
                  <c:v>37469</c:v>
                </c:pt>
                <c:pt idx="212">
                  <c:v>37500</c:v>
                </c:pt>
                <c:pt idx="213">
                  <c:v>37530</c:v>
                </c:pt>
                <c:pt idx="214">
                  <c:v>37561</c:v>
                </c:pt>
                <c:pt idx="215">
                  <c:v>37591</c:v>
                </c:pt>
                <c:pt idx="216">
                  <c:v>37622</c:v>
                </c:pt>
                <c:pt idx="217">
                  <c:v>37653</c:v>
                </c:pt>
                <c:pt idx="218">
                  <c:v>37681</c:v>
                </c:pt>
                <c:pt idx="219">
                  <c:v>37712</c:v>
                </c:pt>
                <c:pt idx="220">
                  <c:v>37742</c:v>
                </c:pt>
                <c:pt idx="221">
                  <c:v>37773</c:v>
                </c:pt>
                <c:pt idx="222">
                  <c:v>37803</c:v>
                </c:pt>
                <c:pt idx="223">
                  <c:v>37834</c:v>
                </c:pt>
                <c:pt idx="224">
                  <c:v>37865</c:v>
                </c:pt>
                <c:pt idx="225">
                  <c:v>37895</c:v>
                </c:pt>
                <c:pt idx="226">
                  <c:v>37926</c:v>
                </c:pt>
                <c:pt idx="227">
                  <c:v>37956</c:v>
                </c:pt>
                <c:pt idx="228">
                  <c:v>37987</c:v>
                </c:pt>
                <c:pt idx="229">
                  <c:v>38018</c:v>
                </c:pt>
                <c:pt idx="230">
                  <c:v>38047</c:v>
                </c:pt>
                <c:pt idx="231">
                  <c:v>38078</c:v>
                </c:pt>
                <c:pt idx="232">
                  <c:v>38108</c:v>
                </c:pt>
                <c:pt idx="233">
                  <c:v>38139</c:v>
                </c:pt>
                <c:pt idx="234">
                  <c:v>38169</c:v>
                </c:pt>
                <c:pt idx="235">
                  <c:v>38200</c:v>
                </c:pt>
                <c:pt idx="236">
                  <c:v>38231</c:v>
                </c:pt>
                <c:pt idx="237">
                  <c:v>38261</c:v>
                </c:pt>
                <c:pt idx="238">
                  <c:v>38292</c:v>
                </c:pt>
                <c:pt idx="239">
                  <c:v>38322</c:v>
                </c:pt>
                <c:pt idx="240">
                  <c:v>38353</c:v>
                </c:pt>
                <c:pt idx="241">
                  <c:v>38384</c:v>
                </c:pt>
                <c:pt idx="242">
                  <c:v>38412</c:v>
                </c:pt>
                <c:pt idx="243">
                  <c:v>38443</c:v>
                </c:pt>
                <c:pt idx="244">
                  <c:v>38473</c:v>
                </c:pt>
                <c:pt idx="245">
                  <c:v>38504</c:v>
                </c:pt>
                <c:pt idx="246">
                  <c:v>38534</c:v>
                </c:pt>
                <c:pt idx="247">
                  <c:v>38565</c:v>
                </c:pt>
                <c:pt idx="248">
                  <c:v>38596</c:v>
                </c:pt>
                <c:pt idx="249">
                  <c:v>38626</c:v>
                </c:pt>
                <c:pt idx="250">
                  <c:v>38657</c:v>
                </c:pt>
                <c:pt idx="251">
                  <c:v>38687</c:v>
                </c:pt>
                <c:pt idx="252">
                  <c:v>38718</c:v>
                </c:pt>
                <c:pt idx="253">
                  <c:v>38749</c:v>
                </c:pt>
                <c:pt idx="254">
                  <c:v>38777</c:v>
                </c:pt>
                <c:pt idx="255">
                  <c:v>38808</c:v>
                </c:pt>
                <c:pt idx="256">
                  <c:v>38838</c:v>
                </c:pt>
                <c:pt idx="257">
                  <c:v>38869</c:v>
                </c:pt>
                <c:pt idx="258">
                  <c:v>38899</c:v>
                </c:pt>
                <c:pt idx="259">
                  <c:v>38930</c:v>
                </c:pt>
                <c:pt idx="260">
                  <c:v>38961</c:v>
                </c:pt>
                <c:pt idx="261">
                  <c:v>38991</c:v>
                </c:pt>
                <c:pt idx="262">
                  <c:v>39022</c:v>
                </c:pt>
                <c:pt idx="263">
                  <c:v>39052</c:v>
                </c:pt>
                <c:pt idx="264">
                  <c:v>39083</c:v>
                </c:pt>
                <c:pt idx="265">
                  <c:v>39114</c:v>
                </c:pt>
                <c:pt idx="266">
                  <c:v>39142</c:v>
                </c:pt>
                <c:pt idx="267">
                  <c:v>39173</c:v>
                </c:pt>
                <c:pt idx="268">
                  <c:v>39203</c:v>
                </c:pt>
                <c:pt idx="269">
                  <c:v>39234</c:v>
                </c:pt>
                <c:pt idx="270">
                  <c:v>39264</c:v>
                </c:pt>
                <c:pt idx="271">
                  <c:v>39295</c:v>
                </c:pt>
                <c:pt idx="272">
                  <c:v>39326</c:v>
                </c:pt>
                <c:pt idx="273">
                  <c:v>39356</c:v>
                </c:pt>
                <c:pt idx="274">
                  <c:v>39387</c:v>
                </c:pt>
                <c:pt idx="275">
                  <c:v>39417</c:v>
                </c:pt>
                <c:pt idx="276">
                  <c:v>39448</c:v>
                </c:pt>
                <c:pt idx="277">
                  <c:v>39479</c:v>
                </c:pt>
                <c:pt idx="278">
                  <c:v>39508</c:v>
                </c:pt>
                <c:pt idx="279">
                  <c:v>39539</c:v>
                </c:pt>
                <c:pt idx="280">
                  <c:v>39569</c:v>
                </c:pt>
                <c:pt idx="281">
                  <c:v>39600</c:v>
                </c:pt>
                <c:pt idx="282">
                  <c:v>39630</c:v>
                </c:pt>
                <c:pt idx="283">
                  <c:v>39661</c:v>
                </c:pt>
                <c:pt idx="284">
                  <c:v>39692</c:v>
                </c:pt>
                <c:pt idx="285">
                  <c:v>39722</c:v>
                </c:pt>
                <c:pt idx="286">
                  <c:v>39753</c:v>
                </c:pt>
                <c:pt idx="287">
                  <c:v>39783</c:v>
                </c:pt>
                <c:pt idx="288">
                  <c:v>39814</c:v>
                </c:pt>
                <c:pt idx="289">
                  <c:v>39845</c:v>
                </c:pt>
                <c:pt idx="290">
                  <c:v>39873</c:v>
                </c:pt>
                <c:pt idx="291">
                  <c:v>39904</c:v>
                </c:pt>
                <c:pt idx="292">
                  <c:v>39934</c:v>
                </c:pt>
                <c:pt idx="293">
                  <c:v>39965</c:v>
                </c:pt>
                <c:pt idx="294">
                  <c:v>39995</c:v>
                </c:pt>
                <c:pt idx="295">
                  <c:v>40026</c:v>
                </c:pt>
                <c:pt idx="296">
                  <c:v>40057</c:v>
                </c:pt>
                <c:pt idx="297">
                  <c:v>40087</c:v>
                </c:pt>
                <c:pt idx="298">
                  <c:v>40118</c:v>
                </c:pt>
                <c:pt idx="299">
                  <c:v>40148</c:v>
                </c:pt>
                <c:pt idx="300">
                  <c:v>40179</c:v>
                </c:pt>
                <c:pt idx="301">
                  <c:v>40210</c:v>
                </c:pt>
                <c:pt idx="302">
                  <c:v>40238</c:v>
                </c:pt>
                <c:pt idx="303">
                  <c:v>40269</c:v>
                </c:pt>
                <c:pt idx="304">
                  <c:v>40299</c:v>
                </c:pt>
                <c:pt idx="305">
                  <c:v>40330</c:v>
                </c:pt>
                <c:pt idx="306">
                  <c:v>40360</c:v>
                </c:pt>
                <c:pt idx="307">
                  <c:v>40391</c:v>
                </c:pt>
                <c:pt idx="308">
                  <c:v>40422</c:v>
                </c:pt>
                <c:pt idx="309">
                  <c:v>40452</c:v>
                </c:pt>
                <c:pt idx="310">
                  <c:v>40483</c:v>
                </c:pt>
                <c:pt idx="311">
                  <c:v>40513</c:v>
                </c:pt>
                <c:pt idx="312">
                  <c:v>40544</c:v>
                </c:pt>
                <c:pt idx="313">
                  <c:v>40575</c:v>
                </c:pt>
                <c:pt idx="314">
                  <c:v>40603</c:v>
                </c:pt>
                <c:pt idx="315">
                  <c:v>40634</c:v>
                </c:pt>
                <c:pt idx="316">
                  <c:v>40664</c:v>
                </c:pt>
                <c:pt idx="317">
                  <c:v>40695</c:v>
                </c:pt>
                <c:pt idx="318">
                  <c:v>40725</c:v>
                </c:pt>
                <c:pt idx="319">
                  <c:v>40756</c:v>
                </c:pt>
                <c:pt idx="320">
                  <c:v>40787</c:v>
                </c:pt>
                <c:pt idx="321">
                  <c:v>40817</c:v>
                </c:pt>
                <c:pt idx="322">
                  <c:v>40848</c:v>
                </c:pt>
                <c:pt idx="323">
                  <c:v>40878</c:v>
                </c:pt>
                <c:pt idx="324">
                  <c:v>40909</c:v>
                </c:pt>
                <c:pt idx="325">
                  <c:v>40940</c:v>
                </c:pt>
                <c:pt idx="326">
                  <c:v>40969</c:v>
                </c:pt>
                <c:pt idx="327">
                  <c:v>41000</c:v>
                </c:pt>
                <c:pt idx="328">
                  <c:v>41030</c:v>
                </c:pt>
                <c:pt idx="329">
                  <c:v>41061</c:v>
                </c:pt>
                <c:pt idx="330">
                  <c:v>41091</c:v>
                </c:pt>
                <c:pt idx="331">
                  <c:v>41122</c:v>
                </c:pt>
                <c:pt idx="332">
                  <c:v>41153</c:v>
                </c:pt>
                <c:pt idx="333">
                  <c:v>41183</c:v>
                </c:pt>
                <c:pt idx="334">
                  <c:v>41214</c:v>
                </c:pt>
                <c:pt idx="335">
                  <c:v>41244</c:v>
                </c:pt>
                <c:pt idx="336">
                  <c:v>41275</c:v>
                </c:pt>
                <c:pt idx="337">
                  <c:v>41306</c:v>
                </c:pt>
                <c:pt idx="338">
                  <c:v>41334</c:v>
                </c:pt>
                <c:pt idx="339">
                  <c:v>41365</c:v>
                </c:pt>
                <c:pt idx="340">
                  <c:v>41395</c:v>
                </c:pt>
                <c:pt idx="341">
                  <c:v>41426</c:v>
                </c:pt>
                <c:pt idx="342">
                  <c:v>41456</c:v>
                </c:pt>
                <c:pt idx="343">
                  <c:v>41487</c:v>
                </c:pt>
                <c:pt idx="344">
                  <c:v>41518</c:v>
                </c:pt>
                <c:pt idx="345">
                  <c:v>41548</c:v>
                </c:pt>
                <c:pt idx="346">
                  <c:v>41579</c:v>
                </c:pt>
                <c:pt idx="347">
                  <c:v>41609</c:v>
                </c:pt>
                <c:pt idx="348">
                  <c:v>41640</c:v>
                </c:pt>
                <c:pt idx="349">
                  <c:v>41671</c:v>
                </c:pt>
                <c:pt idx="350">
                  <c:v>41699</c:v>
                </c:pt>
                <c:pt idx="351">
                  <c:v>41730</c:v>
                </c:pt>
                <c:pt idx="352">
                  <c:v>41760</c:v>
                </c:pt>
                <c:pt idx="353">
                  <c:v>41791</c:v>
                </c:pt>
                <c:pt idx="354">
                  <c:v>41821</c:v>
                </c:pt>
                <c:pt idx="355">
                  <c:v>41852</c:v>
                </c:pt>
                <c:pt idx="356">
                  <c:v>41883</c:v>
                </c:pt>
                <c:pt idx="357">
                  <c:v>41913</c:v>
                </c:pt>
                <c:pt idx="358">
                  <c:v>41944</c:v>
                </c:pt>
                <c:pt idx="359">
                  <c:v>41974</c:v>
                </c:pt>
                <c:pt idx="360">
                  <c:v>42005</c:v>
                </c:pt>
                <c:pt idx="361">
                  <c:v>42036</c:v>
                </c:pt>
                <c:pt idx="362">
                  <c:v>42064</c:v>
                </c:pt>
                <c:pt idx="363">
                  <c:v>42095</c:v>
                </c:pt>
                <c:pt idx="364">
                  <c:v>42125</c:v>
                </c:pt>
                <c:pt idx="365">
                  <c:v>42156</c:v>
                </c:pt>
                <c:pt idx="366">
                  <c:v>42186</c:v>
                </c:pt>
                <c:pt idx="367">
                  <c:v>42217</c:v>
                </c:pt>
                <c:pt idx="368">
                  <c:v>42248</c:v>
                </c:pt>
                <c:pt idx="369">
                  <c:v>42278</c:v>
                </c:pt>
                <c:pt idx="370">
                  <c:v>42309</c:v>
                </c:pt>
                <c:pt idx="371">
                  <c:v>42339</c:v>
                </c:pt>
                <c:pt idx="372">
                  <c:v>42370</c:v>
                </c:pt>
                <c:pt idx="373">
                  <c:v>42401</c:v>
                </c:pt>
                <c:pt idx="374">
                  <c:v>42430</c:v>
                </c:pt>
                <c:pt idx="375">
                  <c:v>42461</c:v>
                </c:pt>
                <c:pt idx="376">
                  <c:v>42491</c:v>
                </c:pt>
                <c:pt idx="377">
                  <c:v>42522</c:v>
                </c:pt>
                <c:pt idx="378">
                  <c:v>42552</c:v>
                </c:pt>
                <c:pt idx="379">
                  <c:v>42583</c:v>
                </c:pt>
                <c:pt idx="380">
                  <c:v>42614</c:v>
                </c:pt>
                <c:pt idx="381">
                  <c:v>42644</c:v>
                </c:pt>
                <c:pt idx="382">
                  <c:v>42675</c:v>
                </c:pt>
                <c:pt idx="383">
                  <c:v>42705</c:v>
                </c:pt>
                <c:pt idx="384">
                  <c:v>42736</c:v>
                </c:pt>
                <c:pt idx="385">
                  <c:v>42767</c:v>
                </c:pt>
                <c:pt idx="386">
                  <c:v>42795</c:v>
                </c:pt>
                <c:pt idx="387">
                  <c:v>42826</c:v>
                </c:pt>
                <c:pt idx="388">
                  <c:v>42856</c:v>
                </c:pt>
                <c:pt idx="389">
                  <c:v>42887</c:v>
                </c:pt>
                <c:pt idx="390">
                  <c:v>42917</c:v>
                </c:pt>
                <c:pt idx="391">
                  <c:v>42948</c:v>
                </c:pt>
                <c:pt idx="392">
                  <c:v>42979</c:v>
                </c:pt>
                <c:pt idx="393">
                  <c:v>43009</c:v>
                </c:pt>
                <c:pt idx="394">
                  <c:v>43040</c:v>
                </c:pt>
                <c:pt idx="395">
                  <c:v>43070</c:v>
                </c:pt>
                <c:pt idx="396">
                  <c:v>43101</c:v>
                </c:pt>
                <c:pt idx="397">
                  <c:v>43132</c:v>
                </c:pt>
                <c:pt idx="398">
                  <c:v>43160</c:v>
                </c:pt>
                <c:pt idx="399">
                  <c:v>43191</c:v>
                </c:pt>
                <c:pt idx="400">
                  <c:v>43221</c:v>
                </c:pt>
                <c:pt idx="401">
                  <c:v>43252</c:v>
                </c:pt>
                <c:pt idx="402">
                  <c:v>43282</c:v>
                </c:pt>
                <c:pt idx="403">
                  <c:v>43313</c:v>
                </c:pt>
                <c:pt idx="404">
                  <c:v>43344</c:v>
                </c:pt>
                <c:pt idx="405">
                  <c:v>43374</c:v>
                </c:pt>
                <c:pt idx="406">
                  <c:v>43405</c:v>
                </c:pt>
                <c:pt idx="407">
                  <c:v>43435</c:v>
                </c:pt>
                <c:pt idx="408">
                  <c:v>43466</c:v>
                </c:pt>
                <c:pt idx="409">
                  <c:v>43497</c:v>
                </c:pt>
                <c:pt idx="410">
                  <c:v>43525</c:v>
                </c:pt>
                <c:pt idx="411">
                  <c:v>43556</c:v>
                </c:pt>
                <c:pt idx="412">
                  <c:v>43586</c:v>
                </c:pt>
                <c:pt idx="413">
                  <c:v>43617</c:v>
                </c:pt>
                <c:pt idx="414">
                  <c:v>43647</c:v>
                </c:pt>
                <c:pt idx="415">
                  <c:v>43678</c:v>
                </c:pt>
                <c:pt idx="416">
                  <c:v>43709</c:v>
                </c:pt>
                <c:pt idx="417">
                  <c:v>43739</c:v>
                </c:pt>
                <c:pt idx="418">
                  <c:v>43770</c:v>
                </c:pt>
                <c:pt idx="419">
                  <c:v>43800</c:v>
                </c:pt>
                <c:pt idx="420">
                  <c:v>43831</c:v>
                </c:pt>
                <c:pt idx="421">
                  <c:v>43862</c:v>
                </c:pt>
                <c:pt idx="422">
                  <c:v>43891</c:v>
                </c:pt>
                <c:pt idx="423">
                  <c:v>43922</c:v>
                </c:pt>
                <c:pt idx="424">
                  <c:v>43952</c:v>
                </c:pt>
                <c:pt idx="425">
                  <c:v>43983</c:v>
                </c:pt>
                <c:pt idx="426">
                  <c:v>44013</c:v>
                </c:pt>
                <c:pt idx="427">
                  <c:v>44044</c:v>
                </c:pt>
                <c:pt idx="428">
                  <c:v>44075</c:v>
                </c:pt>
                <c:pt idx="429">
                  <c:v>44105</c:v>
                </c:pt>
                <c:pt idx="430">
                  <c:v>44136</c:v>
                </c:pt>
                <c:pt idx="431">
                  <c:v>44166</c:v>
                </c:pt>
                <c:pt idx="432">
                  <c:v>44197</c:v>
                </c:pt>
                <c:pt idx="433">
                  <c:v>44228</c:v>
                </c:pt>
                <c:pt idx="434">
                  <c:v>44256</c:v>
                </c:pt>
                <c:pt idx="435">
                  <c:v>44287</c:v>
                </c:pt>
                <c:pt idx="436">
                  <c:v>44300</c:v>
                </c:pt>
              </c:numCache>
            </c:numRef>
          </c:cat>
          <c:val>
            <c:numRef>
              <c:f>'^N225 (3)'!$X$2:$X$438</c:f>
              <c:numCache>
                <c:formatCode>General</c:formatCode>
                <c:ptCount val="437"/>
                <c:pt idx="0">
                  <c:v>11992.309569999999</c:v>
                </c:pt>
                <c:pt idx="1">
                  <c:v>12321.919921999999</c:v>
                </c:pt>
                <c:pt idx="2">
                  <c:v>12580.759765999999</c:v>
                </c:pt>
                <c:pt idx="3">
                  <c:v>12426.290039</c:v>
                </c:pt>
                <c:pt idx="4">
                  <c:v>12758.459961</c:v>
                </c:pt>
                <c:pt idx="5">
                  <c:v>12882.089844</c:v>
                </c:pt>
                <c:pt idx="6">
                  <c:v>12232.269531</c:v>
                </c:pt>
                <c:pt idx="7">
                  <c:v>12713.150390999999</c:v>
                </c:pt>
                <c:pt idx="8">
                  <c:v>12700.110352</c:v>
                </c:pt>
                <c:pt idx="9">
                  <c:v>12936.469727</c:v>
                </c:pt>
                <c:pt idx="10">
                  <c:v>12763.269531</c:v>
                </c:pt>
                <c:pt idx="11">
                  <c:v>13083.179688</c:v>
                </c:pt>
                <c:pt idx="12">
                  <c:v>13024.299805000001</c:v>
                </c:pt>
                <c:pt idx="13">
                  <c:v>13640.830078000001</c:v>
                </c:pt>
                <c:pt idx="14">
                  <c:v>15859.75</c:v>
                </c:pt>
                <c:pt idx="15">
                  <c:v>15825.5</c:v>
                </c:pt>
                <c:pt idx="16">
                  <c:v>16670.769531000002</c:v>
                </c:pt>
                <c:pt idx="17">
                  <c:v>17654.189452999999</c:v>
                </c:pt>
                <c:pt idx="18">
                  <c:v>17509.710938</c:v>
                </c:pt>
                <c:pt idx="19">
                  <c:v>18533.679688</c:v>
                </c:pt>
                <c:pt idx="20">
                  <c:v>17852.859375</c:v>
                </c:pt>
                <c:pt idx="21">
                  <c:v>16910.630859000001</c:v>
                </c:pt>
                <c:pt idx="22">
                  <c:v>18326</c:v>
                </c:pt>
                <c:pt idx="23">
                  <c:v>18701</c:v>
                </c:pt>
                <c:pt idx="24">
                  <c:v>20024</c:v>
                </c:pt>
                <c:pt idx="25">
                  <c:v>20767</c:v>
                </c:pt>
                <c:pt idx="26">
                  <c:v>21566.660156000002</c:v>
                </c:pt>
                <c:pt idx="27">
                  <c:v>23274.830077999999</c:v>
                </c:pt>
                <c:pt idx="28">
                  <c:v>24902</c:v>
                </c:pt>
                <c:pt idx="29">
                  <c:v>24176.400390999999</c:v>
                </c:pt>
                <c:pt idx="30">
                  <c:v>24488.109375</c:v>
                </c:pt>
                <c:pt idx="31">
                  <c:v>26029.220702999999</c:v>
                </c:pt>
                <c:pt idx="32">
                  <c:v>26010.880859000001</c:v>
                </c:pt>
                <c:pt idx="33">
                  <c:v>23329</c:v>
                </c:pt>
                <c:pt idx="34">
                  <c:v>22686.779297000001</c:v>
                </c:pt>
                <c:pt idx="35">
                  <c:v>21564</c:v>
                </c:pt>
                <c:pt idx="36">
                  <c:v>23719</c:v>
                </c:pt>
                <c:pt idx="37">
                  <c:v>25242.810547000001</c:v>
                </c:pt>
                <c:pt idx="38">
                  <c:v>26260.259765999999</c:v>
                </c:pt>
                <c:pt idx="39">
                  <c:v>27510</c:v>
                </c:pt>
                <c:pt idx="40">
                  <c:v>27416.699218999998</c:v>
                </c:pt>
                <c:pt idx="41">
                  <c:v>27769.400390999999</c:v>
                </c:pt>
                <c:pt idx="42">
                  <c:v>28200</c:v>
                </c:pt>
                <c:pt idx="43">
                  <c:v>27365.949218999998</c:v>
                </c:pt>
                <c:pt idx="44">
                  <c:v>27923.669922000001</c:v>
                </c:pt>
                <c:pt idx="45">
                  <c:v>27982.539063</c:v>
                </c:pt>
                <c:pt idx="46">
                  <c:v>29578.900390999999</c:v>
                </c:pt>
                <c:pt idx="47">
                  <c:v>30159</c:v>
                </c:pt>
                <c:pt idx="48">
                  <c:v>31581.300781000002</c:v>
                </c:pt>
                <c:pt idx="49">
                  <c:v>31985.599609000001</c:v>
                </c:pt>
                <c:pt idx="50">
                  <c:v>32838.679687999997</c:v>
                </c:pt>
                <c:pt idx="51">
                  <c:v>33713.351562999997</c:v>
                </c:pt>
                <c:pt idx="52">
                  <c:v>34266.75</c:v>
                </c:pt>
                <c:pt idx="53">
                  <c:v>32948.691405999998</c:v>
                </c:pt>
                <c:pt idx="54">
                  <c:v>34953.871094000002</c:v>
                </c:pt>
                <c:pt idx="55">
                  <c:v>34431.199219000002</c:v>
                </c:pt>
                <c:pt idx="56">
                  <c:v>35636.761719000002</c:v>
                </c:pt>
                <c:pt idx="57">
                  <c:v>35549.441405999998</c:v>
                </c:pt>
                <c:pt idx="58">
                  <c:v>37268.789062999997</c:v>
                </c:pt>
                <c:pt idx="59">
                  <c:v>38915.871094000002</c:v>
                </c:pt>
                <c:pt idx="60">
                  <c:v>37188.949219000002</c:v>
                </c:pt>
                <c:pt idx="61">
                  <c:v>34591.988280999998</c:v>
                </c:pt>
                <c:pt idx="62">
                  <c:v>29980.449218999998</c:v>
                </c:pt>
                <c:pt idx="63">
                  <c:v>29584.800781000002</c:v>
                </c:pt>
                <c:pt idx="64">
                  <c:v>33130.800780999998</c:v>
                </c:pt>
                <c:pt idx="65">
                  <c:v>31940.240234000001</c:v>
                </c:pt>
                <c:pt idx="66">
                  <c:v>31035.660156000002</c:v>
                </c:pt>
                <c:pt idx="67">
                  <c:v>25978.369140999999</c:v>
                </c:pt>
                <c:pt idx="68">
                  <c:v>20983.5</c:v>
                </c:pt>
                <c:pt idx="69">
                  <c:v>25194.099609000001</c:v>
                </c:pt>
                <c:pt idx="70">
                  <c:v>22454.630859000001</c:v>
                </c:pt>
                <c:pt idx="71">
                  <c:v>23848.710938</c:v>
                </c:pt>
                <c:pt idx="72">
                  <c:v>23293.140625</c:v>
                </c:pt>
                <c:pt idx="73">
                  <c:v>26409.220702999999</c:v>
                </c:pt>
                <c:pt idx="74">
                  <c:v>26292.039063</c:v>
                </c:pt>
                <c:pt idx="75">
                  <c:v>26111.25</c:v>
                </c:pt>
                <c:pt idx="76">
                  <c:v>25789.619140999999</c:v>
                </c:pt>
                <c:pt idx="77">
                  <c:v>23290.960938</c:v>
                </c:pt>
                <c:pt idx="78">
                  <c:v>24120.75</c:v>
                </c:pt>
                <c:pt idx="79">
                  <c:v>22335.869140999999</c:v>
                </c:pt>
                <c:pt idx="80">
                  <c:v>23916.439452999999</c:v>
                </c:pt>
                <c:pt idx="81">
                  <c:v>25222.279297000001</c:v>
                </c:pt>
                <c:pt idx="82">
                  <c:v>22687.349609000001</c:v>
                </c:pt>
                <c:pt idx="83">
                  <c:v>22983.769531000002</c:v>
                </c:pt>
                <c:pt idx="84">
                  <c:v>22023.050781000002</c:v>
                </c:pt>
                <c:pt idx="85">
                  <c:v>21338.810547000001</c:v>
                </c:pt>
                <c:pt idx="86">
                  <c:v>19345.949218999998</c:v>
                </c:pt>
                <c:pt idx="87">
                  <c:v>17390.710938</c:v>
                </c:pt>
                <c:pt idx="88">
                  <c:v>18347.75</c:v>
                </c:pt>
                <c:pt idx="89">
                  <c:v>15951.730469</c:v>
                </c:pt>
                <c:pt idx="90">
                  <c:v>15910.280273</c:v>
                </c:pt>
                <c:pt idx="91">
                  <c:v>18061.119140999999</c:v>
                </c:pt>
                <c:pt idx="92">
                  <c:v>17399.080077999999</c:v>
                </c:pt>
                <c:pt idx="93">
                  <c:v>16767.400390999999</c:v>
                </c:pt>
                <c:pt idx="94">
                  <c:v>17683.650390999999</c:v>
                </c:pt>
                <c:pt idx="95">
                  <c:v>16924.949218999998</c:v>
                </c:pt>
                <c:pt idx="96">
                  <c:v>17023.779297000001</c:v>
                </c:pt>
                <c:pt idx="97">
                  <c:v>16953.349609000001</c:v>
                </c:pt>
                <c:pt idx="98">
                  <c:v>18591.449218999998</c:v>
                </c:pt>
                <c:pt idx="99">
                  <c:v>20919.179688</c:v>
                </c:pt>
                <c:pt idx="100">
                  <c:v>20552.349609000001</c:v>
                </c:pt>
                <c:pt idx="101">
                  <c:v>19590</c:v>
                </c:pt>
                <c:pt idx="102">
                  <c:v>20380.140625</c:v>
                </c:pt>
                <c:pt idx="103">
                  <c:v>21026.599609000001</c:v>
                </c:pt>
                <c:pt idx="104">
                  <c:v>20105.710938</c:v>
                </c:pt>
                <c:pt idx="105">
                  <c:v>19702.970702999999</c:v>
                </c:pt>
                <c:pt idx="106">
                  <c:v>16406.539063</c:v>
                </c:pt>
                <c:pt idx="107">
                  <c:v>17417.240234000001</c:v>
                </c:pt>
                <c:pt idx="108">
                  <c:v>20229.119140999999</c:v>
                </c:pt>
                <c:pt idx="109">
                  <c:v>19997.199218999998</c:v>
                </c:pt>
                <c:pt idx="110">
                  <c:v>19111.919922000001</c:v>
                </c:pt>
                <c:pt idx="111">
                  <c:v>19725.25</c:v>
                </c:pt>
                <c:pt idx="112">
                  <c:v>20973.589843999998</c:v>
                </c:pt>
                <c:pt idx="113">
                  <c:v>20643.929688</c:v>
                </c:pt>
                <c:pt idx="114">
                  <c:v>20449.390625</c:v>
                </c:pt>
                <c:pt idx="115">
                  <c:v>20628.529297000001</c:v>
                </c:pt>
                <c:pt idx="116">
                  <c:v>19563.810547000001</c:v>
                </c:pt>
                <c:pt idx="117">
                  <c:v>19989.599609000001</c:v>
                </c:pt>
                <c:pt idx="118">
                  <c:v>19075.619140999999</c:v>
                </c:pt>
                <c:pt idx="119">
                  <c:v>19723.060547000001</c:v>
                </c:pt>
                <c:pt idx="120">
                  <c:v>18649.820313</c:v>
                </c:pt>
                <c:pt idx="121">
                  <c:v>17053.429688</c:v>
                </c:pt>
                <c:pt idx="122">
                  <c:v>16139.950194999999</c:v>
                </c:pt>
                <c:pt idx="123">
                  <c:v>16806.75</c:v>
                </c:pt>
                <c:pt idx="124">
                  <c:v>15436.790039</c:v>
                </c:pt>
                <c:pt idx="125">
                  <c:v>14517.400390999999</c:v>
                </c:pt>
                <c:pt idx="126">
                  <c:v>16677.529297000001</c:v>
                </c:pt>
                <c:pt idx="127">
                  <c:v>18117.220702999999</c:v>
                </c:pt>
                <c:pt idx="128">
                  <c:v>17913.060547000001</c:v>
                </c:pt>
                <c:pt idx="129">
                  <c:v>17654.640625</c:v>
                </c:pt>
                <c:pt idx="130">
                  <c:v>18744.419922000001</c:v>
                </c:pt>
                <c:pt idx="131">
                  <c:v>19868.150390999999</c:v>
                </c:pt>
                <c:pt idx="132">
                  <c:v>20812.740234000001</c:v>
                </c:pt>
                <c:pt idx="133">
                  <c:v>20125.369140999999</c:v>
                </c:pt>
                <c:pt idx="134">
                  <c:v>21406.849609000001</c:v>
                </c:pt>
                <c:pt idx="135">
                  <c:v>22041.300781000002</c:v>
                </c:pt>
                <c:pt idx="136">
                  <c:v>21956.189452999999</c:v>
                </c:pt>
                <c:pt idx="137">
                  <c:v>22530.75</c:v>
                </c:pt>
                <c:pt idx="138">
                  <c:v>20692.830077999999</c:v>
                </c:pt>
                <c:pt idx="139">
                  <c:v>20166.900390999999</c:v>
                </c:pt>
                <c:pt idx="140">
                  <c:v>21556.400390999999</c:v>
                </c:pt>
                <c:pt idx="141">
                  <c:v>20466.859375</c:v>
                </c:pt>
                <c:pt idx="142">
                  <c:v>21020.359375</c:v>
                </c:pt>
                <c:pt idx="143">
                  <c:v>19361.349609000001</c:v>
                </c:pt>
                <c:pt idx="144">
                  <c:v>18330.009765999999</c:v>
                </c:pt>
                <c:pt idx="145">
                  <c:v>18557</c:v>
                </c:pt>
                <c:pt idx="146">
                  <c:v>18003.400390999999</c:v>
                </c:pt>
                <c:pt idx="147">
                  <c:v>19151.119140999999</c:v>
                </c:pt>
                <c:pt idx="148">
                  <c:v>20068.810547000001</c:v>
                </c:pt>
                <c:pt idx="149">
                  <c:v>20604.960938</c:v>
                </c:pt>
                <c:pt idx="150">
                  <c:v>20331.429688</c:v>
                </c:pt>
                <c:pt idx="151">
                  <c:v>18229.419922000001</c:v>
                </c:pt>
                <c:pt idx="152">
                  <c:v>17887.710938</c:v>
                </c:pt>
                <c:pt idx="153">
                  <c:v>16458.939452999999</c:v>
                </c:pt>
                <c:pt idx="154">
                  <c:v>16636.259765999999</c:v>
                </c:pt>
                <c:pt idx="155">
                  <c:v>15258.740234000001</c:v>
                </c:pt>
                <c:pt idx="156">
                  <c:v>16628.470702999999</c:v>
                </c:pt>
                <c:pt idx="157">
                  <c:v>16831.669922000001</c:v>
                </c:pt>
                <c:pt idx="158">
                  <c:v>16527.169922000001</c:v>
                </c:pt>
                <c:pt idx="159">
                  <c:v>15641.259765999999</c:v>
                </c:pt>
                <c:pt idx="160">
                  <c:v>15670.780273</c:v>
                </c:pt>
                <c:pt idx="161">
                  <c:v>15830.269531</c:v>
                </c:pt>
                <c:pt idx="162">
                  <c:v>16378.969727</c:v>
                </c:pt>
                <c:pt idx="163">
                  <c:v>14107.889648</c:v>
                </c:pt>
                <c:pt idx="164">
                  <c:v>13406.389648</c:v>
                </c:pt>
                <c:pt idx="165">
                  <c:v>13564.509765999999</c:v>
                </c:pt>
                <c:pt idx="166">
                  <c:v>14883.700194999999</c:v>
                </c:pt>
                <c:pt idx="167">
                  <c:v>13842.169921999999</c:v>
                </c:pt>
                <c:pt idx="168">
                  <c:v>14499.25</c:v>
                </c:pt>
                <c:pt idx="169">
                  <c:v>14367.540039</c:v>
                </c:pt>
                <c:pt idx="170">
                  <c:v>15836.589844</c:v>
                </c:pt>
                <c:pt idx="171">
                  <c:v>16701.529297000001</c:v>
                </c:pt>
                <c:pt idx="172">
                  <c:v>16111.650390999999</c:v>
                </c:pt>
                <c:pt idx="173">
                  <c:v>17529.740234000001</c:v>
                </c:pt>
                <c:pt idx="174">
                  <c:v>17861.859375</c:v>
                </c:pt>
                <c:pt idx="175">
                  <c:v>17436.560547000001</c:v>
                </c:pt>
                <c:pt idx="176">
                  <c:v>17605.460938</c:v>
                </c:pt>
                <c:pt idx="177">
                  <c:v>17942.080077999999</c:v>
                </c:pt>
                <c:pt idx="178">
                  <c:v>18558.230468999998</c:v>
                </c:pt>
                <c:pt idx="179">
                  <c:v>18934.339843999998</c:v>
                </c:pt>
                <c:pt idx="180">
                  <c:v>19539.699218999998</c:v>
                </c:pt>
                <c:pt idx="181">
                  <c:v>19959.519531000002</c:v>
                </c:pt>
                <c:pt idx="182">
                  <c:v>20337.320313</c:v>
                </c:pt>
                <c:pt idx="183">
                  <c:v>17973.699218999998</c:v>
                </c:pt>
                <c:pt idx="184">
                  <c:v>16332.450194999999</c:v>
                </c:pt>
                <c:pt idx="185">
                  <c:v>17411.050781000002</c:v>
                </c:pt>
                <c:pt idx="186">
                  <c:v>15727.490234000001</c:v>
                </c:pt>
                <c:pt idx="187">
                  <c:v>16861.259765999999</c:v>
                </c:pt>
                <c:pt idx="188">
                  <c:v>15747.259765999999</c:v>
                </c:pt>
                <c:pt idx="189">
                  <c:v>14539.599609000001</c:v>
                </c:pt>
                <c:pt idx="190">
                  <c:v>14648.509765999999</c:v>
                </c:pt>
                <c:pt idx="191">
                  <c:v>13785.690430000001</c:v>
                </c:pt>
                <c:pt idx="192">
                  <c:v>13843.549805000001</c:v>
                </c:pt>
                <c:pt idx="193">
                  <c:v>12883.540039</c:v>
                </c:pt>
                <c:pt idx="194">
                  <c:v>12999.700194999999</c:v>
                </c:pt>
                <c:pt idx="195">
                  <c:v>13934.320313</c:v>
                </c:pt>
                <c:pt idx="196">
                  <c:v>13262.139648</c:v>
                </c:pt>
                <c:pt idx="197">
                  <c:v>12969.049805000001</c:v>
                </c:pt>
                <c:pt idx="198">
                  <c:v>11860.769531</c:v>
                </c:pt>
                <c:pt idx="199">
                  <c:v>10713.509765999999</c:v>
                </c:pt>
                <c:pt idx="200">
                  <c:v>9774.6796880000002</c:v>
                </c:pt>
                <c:pt idx="201">
                  <c:v>10366.339844</c:v>
                </c:pt>
                <c:pt idx="202">
                  <c:v>10697.440430000001</c:v>
                </c:pt>
                <c:pt idx="203">
                  <c:v>10542.620117</c:v>
                </c:pt>
                <c:pt idx="204">
                  <c:v>9997.7998050000006</c:v>
                </c:pt>
                <c:pt idx="205">
                  <c:v>10587.830078000001</c:v>
                </c:pt>
                <c:pt idx="206">
                  <c:v>11024.940430000001</c:v>
                </c:pt>
                <c:pt idx="207">
                  <c:v>11492.540039</c:v>
                </c:pt>
                <c:pt idx="208">
                  <c:v>11763.700194999999</c:v>
                </c:pt>
                <c:pt idx="209">
                  <c:v>10621.839844</c:v>
                </c:pt>
                <c:pt idx="210">
                  <c:v>9877.9404300000006</c:v>
                </c:pt>
                <c:pt idx="211">
                  <c:v>9619.2998050000006</c:v>
                </c:pt>
                <c:pt idx="212">
                  <c:v>9383.2900389999995</c:v>
                </c:pt>
                <c:pt idx="213">
                  <c:v>8640.4804690000001</c:v>
                </c:pt>
                <c:pt idx="214">
                  <c:v>9215.5595699999994</c:v>
                </c:pt>
                <c:pt idx="215">
                  <c:v>8578.9501949999994</c:v>
                </c:pt>
                <c:pt idx="216">
                  <c:v>8339.9404300000006</c:v>
                </c:pt>
                <c:pt idx="217">
                  <c:v>8363.0400389999995</c:v>
                </c:pt>
                <c:pt idx="218">
                  <c:v>7972.7099609999996</c:v>
                </c:pt>
                <c:pt idx="219">
                  <c:v>7831.419922</c:v>
                </c:pt>
                <c:pt idx="220">
                  <c:v>8424.5097659999992</c:v>
                </c:pt>
                <c:pt idx="221">
                  <c:v>9083.1103519999997</c:v>
                </c:pt>
                <c:pt idx="222">
                  <c:v>9563.2099610000005</c:v>
                </c:pt>
                <c:pt idx="223">
                  <c:v>10343.549805000001</c:v>
                </c:pt>
                <c:pt idx="224">
                  <c:v>10219.049805000001</c:v>
                </c:pt>
                <c:pt idx="225">
                  <c:v>10559.589844</c:v>
                </c:pt>
                <c:pt idx="226">
                  <c:v>10100.570313</c:v>
                </c:pt>
                <c:pt idx="227">
                  <c:v>10676.639648</c:v>
                </c:pt>
                <c:pt idx="228">
                  <c:v>10783.610352</c:v>
                </c:pt>
                <c:pt idx="229">
                  <c:v>11041.919921999999</c:v>
                </c:pt>
                <c:pt idx="230">
                  <c:v>11715.389648</c:v>
                </c:pt>
                <c:pt idx="231">
                  <c:v>11761.790039</c:v>
                </c:pt>
                <c:pt idx="232">
                  <c:v>11236.370117</c:v>
                </c:pt>
                <c:pt idx="233">
                  <c:v>11858.870117</c:v>
                </c:pt>
                <c:pt idx="234">
                  <c:v>11325.780273</c:v>
                </c:pt>
                <c:pt idx="235">
                  <c:v>11081.790039</c:v>
                </c:pt>
                <c:pt idx="236">
                  <c:v>10823.570313</c:v>
                </c:pt>
                <c:pt idx="237">
                  <c:v>10771.419921999999</c:v>
                </c:pt>
                <c:pt idx="238">
                  <c:v>10899.25</c:v>
                </c:pt>
                <c:pt idx="239">
                  <c:v>11488.759765999999</c:v>
                </c:pt>
                <c:pt idx="240">
                  <c:v>11387.589844</c:v>
                </c:pt>
                <c:pt idx="241">
                  <c:v>11740.599609000001</c:v>
                </c:pt>
                <c:pt idx="242">
                  <c:v>11668.950194999999</c:v>
                </c:pt>
                <c:pt idx="243">
                  <c:v>11008.900390999999</c:v>
                </c:pt>
                <c:pt idx="244">
                  <c:v>11276.589844</c:v>
                </c:pt>
                <c:pt idx="245">
                  <c:v>11584.009765999999</c:v>
                </c:pt>
                <c:pt idx="246">
                  <c:v>11899.599609000001</c:v>
                </c:pt>
                <c:pt idx="247">
                  <c:v>12413.599609000001</c:v>
                </c:pt>
                <c:pt idx="248">
                  <c:v>13574.299805000001</c:v>
                </c:pt>
                <c:pt idx="249">
                  <c:v>13606.5</c:v>
                </c:pt>
                <c:pt idx="250">
                  <c:v>14872.150390999999</c:v>
                </c:pt>
                <c:pt idx="251">
                  <c:v>16111.429688</c:v>
                </c:pt>
                <c:pt idx="252">
                  <c:v>16649.820313</c:v>
                </c:pt>
                <c:pt idx="253">
                  <c:v>16205.429688</c:v>
                </c:pt>
                <c:pt idx="254">
                  <c:v>17059.660156000002</c:v>
                </c:pt>
                <c:pt idx="255">
                  <c:v>16906.230468999998</c:v>
                </c:pt>
                <c:pt idx="256">
                  <c:v>15467.330078000001</c:v>
                </c:pt>
                <c:pt idx="257">
                  <c:v>15505.179688</c:v>
                </c:pt>
                <c:pt idx="258">
                  <c:v>15456.809569999999</c:v>
                </c:pt>
                <c:pt idx="259">
                  <c:v>16140.759765999999</c:v>
                </c:pt>
                <c:pt idx="260">
                  <c:v>16127.580078000001</c:v>
                </c:pt>
                <c:pt idx="261">
                  <c:v>16399.390625</c:v>
                </c:pt>
                <c:pt idx="262">
                  <c:v>16274.330078000001</c:v>
                </c:pt>
                <c:pt idx="263">
                  <c:v>17225.830077999999</c:v>
                </c:pt>
                <c:pt idx="264">
                  <c:v>17383.419922000001</c:v>
                </c:pt>
                <c:pt idx="265">
                  <c:v>17604.119140999999</c:v>
                </c:pt>
                <c:pt idx="266">
                  <c:v>17287.650390999999</c:v>
                </c:pt>
                <c:pt idx="267">
                  <c:v>17400.410156000002</c:v>
                </c:pt>
                <c:pt idx="268">
                  <c:v>17875.75</c:v>
                </c:pt>
                <c:pt idx="269">
                  <c:v>18138.359375</c:v>
                </c:pt>
                <c:pt idx="270">
                  <c:v>17248.890625</c:v>
                </c:pt>
                <c:pt idx="271">
                  <c:v>16569.089843999998</c:v>
                </c:pt>
                <c:pt idx="272">
                  <c:v>16785.689452999999</c:v>
                </c:pt>
                <c:pt idx="273">
                  <c:v>16737.630859000001</c:v>
                </c:pt>
                <c:pt idx="274">
                  <c:v>15680.669921999999</c:v>
                </c:pt>
                <c:pt idx="275">
                  <c:v>15307.780273</c:v>
                </c:pt>
                <c:pt idx="276">
                  <c:v>13592.469727</c:v>
                </c:pt>
                <c:pt idx="277">
                  <c:v>13603.019531</c:v>
                </c:pt>
                <c:pt idx="278">
                  <c:v>12525.540039</c:v>
                </c:pt>
                <c:pt idx="279">
                  <c:v>13849.990234000001</c:v>
                </c:pt>
                <c:pt idx="280">
                  <c:v>14338.540039</c:v>
                </c:pt>
                <c:pt idx="281">
                  <c:v>13481.379883</c:v>
                </c:pt>
                <c:pt idx="282">
                  <c:v>13376.809569999999</c:v>
                </c:pt>
                <c:pt idx="283">
                  <c:v>13072.870117</c:v>
                </c:pt>
                <c:pt idx="284">
                  <c:v>11259.860352</c:v>
                </c:pt>
                <c:pt idx="285">
                  <c:v>8576.9804690000001</c:v>
                </c:pt>
                <c:pt idx="286">
                  <c:v>8512.2695309999999</c:v>
                </c:pt>
                <c:pt idx="287">
                  <c:v>8859.5595699999994</c:v>
                </c:pt>
                <c:pt idx="288">
                  <c:v>7994.0498049999997</c:v>
                </c:pt>
                <c:pt idx="289">
                  <c:v>7568.419922</c:v>
                </c:pt>
                <c:pt idx="290">
                  <c:v>8109.5297849999997</c:v>
                </c:pt>
                <c:pt idx="291">
                  <c:v>8828.2597659999992</c:v>
                </c:pt>
                <c:pt idx="292">
                  <c:v>9522.5</c:v>
                </c:pt>
                <c:pt idx="293">
                  <c:v>9958.4404300000006</c:v>
                </c:pt>
                <c:pt idx="294">
                  <c:v>10356.830078000001</c:v>
                </c:pt>
                <c:pt idx="295">
                  <c:v>10492.530273</c:v>
                </c:pt>
                <c:pt idx="296">
                  <c:v>10133.230469</c:v>
                </c:pt>
                <c:pt idx="297">
                  <c:v>10034.740234000001</c:v>
                </c:pt>
                <c:pt idx="298">
                  <c:v>9345.5498050000006</c:v>
                </c:pt>
                <c:pt idx="299">
                  <c:v>10546.440430000001</c:v>
                </c:pt>
                <c:pt idx="300">
                  <c:v>10198.040039</c:v>
                </c:pt>
                <c:pt idx="301">
                  <c:v>10126.030273</c:v>
                </c:pt>
                <c:pt idx="302">
                  <c:v>11089.940430000001</c:v>
                </c:pt>
                <c:pt idx="303">
                  <c:v>11057.400390999999</c:v>
                </c:pt>
                <c:pt idx="304">
                  <c:v>9768.7001949999994</c:v>
                </c:pt>
                <c:pt idx="305">
                  <c:v>9382.6396480000003</c:v>
                </c:pt>
                <c:pt idx="306">
                  <c:v>9537.2998050000006</c:v>
                </c:pt>
                <c:pt idx="307">
                  <c:v>8824.0595699999994</c:v>
                </c:pt>
                <c:pt idx="308">
                  <c:v>9369.3496090000008</c:v>
                </c:pt>
                <c:pt idx="309">
                  <c:v>9202.4501949999994</c:v>
                </c:pt>
                <c:pt idx="310">
                  <c:v>9937.0400389999995</c:v>
                </c:pt>
                <c:pt idx="311">
                  <c:v>10228.919921999999</c:v>
                </c:pt>
                <c:pt idx="312">
                  <c:v>10237.919921999999</c:v>
                </c:pt>
                <c:pt idx="313">
                  <c:v>10624.089844</c:v>
                </c:pt>
                <c:pt idx="314">
                  <c:v>9755.0996090000008</c:v>
                </c:pt>
                <c:pt idx="315">
                  <c:v>9849.7402340000008</c:v>
                </c:pt>
                <c:pt idx="316">
                  <c:v>9693.7304690000001</c:v>
                </c:pt>
                <c:pt idx="317">
                  <c:v>9816.0898440000001</c:v>
                </c:pt>
                <c:pt idx="318">
                  <c:v>9833.0302730000003</c:v>
                </c:pt>
                <c:pt idx="319">
                  <c:v>8955.2001949999994</c:v>
                </c:pt>
                <c:pt idx="320">
                  <c:v>8700.2900389999995</c:v>
                </c:pt>
                <c:pt idx="321">
                  <c:v>8988.3896480000003</c:v>
                </c:pt>
                <c:pt idx="322">
                  <c:v>8434.6103519999997</c:v>
                </c:pt>
                <c:pt idx="323">
                  <c:v>8455.3496090000008</c:v>
                </c:pt>
                <c:pt idx="324">
                  <c:v>8802.5097659999992</c:v>
                </c:pt>
                <c:pt idx="325">
                  <c:v>9723.2402340000008</c:v>
                </c:pt>
                <c:pt idx="326">
                  <c:v>10083.559569999999</c:v>
                </c:pt>
                <c:pt idx="327">
                  <c:v>9520.8896480000003</c:v>
                </c:pt>
                <c:pt idx="328">
                  <c:v>8542.7304690000001</c:v>
                </c:pt>
                <c:pt idx="329">
                  <c:v>9006.7802730000003</c:v>
                </c:pt>
                <c:pt idx="330">
                  <c:v>8695.0595699999994</c:v>
                </c:pt>
                <c:pt idx="331">
                  <c:v>8839.9101559999999</c:v>
                </c:pt>
                <c:pt idx="332">
                  <c:v>8870.1601559999999</c:v>
                </c:pt>
                <c:pt idx="333">
                  <c:v>8928.2900389999995</c:v>
                </c:pt>
                <c:pt idx="334">
                  <c:v>9446.0097659999992</c:v>
                </c:pt>
                <c:pt idx="335">
                  <c:v>10395.179688</c:v>
                </c:pt>
                <c:pt idx="336">
                  <c:v>11138.660156</c:v>
                </c:pt>
                <c:pt idx="337">
                  <c:v>11559.360352</c:v>
                </c:pt>
                <c:pt idx="338">
                  <c:v>12397.910156</c:v>
                </c:pt>
                <c:pt idx="339">
                  <c:v>13860.860352</c:v>
                </c:pt>
                <c:pt idx="340">
                  <c:v>13774.540039</c:v>
                </c:pt>
                <c:pt idx="341">
                  <c:v>13677.320313</c:v>
                </c:pt>
                <c:pt idx="342">
                  <c:v>13668.320313</c:v>
                </c:pt>
                <c:pt idx="343">
                  <c:v>13388.860352</c:v>
                </c:pt>
                <c:pt idx="344">
                  <c:v>14455.799805000001</c:v>
                </c:pt>
                <c:pt idx="345">
                  <c:v>14327.940430000001</c:v>
                </c:pt>
                <c:pt idx="346">
                  <c:v>15661.870117</c:v>
                </c:pt>
                <c:pt idx="347">
                  <c:v>16291.309569999999</c:v>
                </c:pt>
                <c:pt idx="348">
                  <c:v>14914.530273</c:v>
                </c:pt>
                <c:pt idx="349">
                  <c:v>14841.070313</c:v>
                </c:pt>
                <c:pt idx="350">
                  <c:v>14827.830078000001</c:v>
                </c:pt>
                <c:pt idx="351">
                  <c:v>14304.110352</c:v>
                </c:pt>
                <c:pt idx="352">
                  <c:v>14632.379883</c:v>
                </c:pt>
                <c:pt idx="353">
                  <c:v>15162.099609000001</c:v>
                </c:pt>
                <c:pt idx="354">
                  <c:v>15620.769531</c:v>
                </c:pt>
                <c:pt idx="355">
                  <c:v>15424.589844</c:v>
                </c:pt>
                <c:pt idx="356">
                  <c:v>16173.519531</c:v>
                </c:pt>
                <c:pt idx="357">
                  <c:v>16413.759765999999</c:v>
                </c:pt>
                <c:pt idx="358">
                  <c:v>17459.849609000001</c:v>
                </c:pt>
                <c:pt idx="359">
                  <c:v>17450.769531000002</c:v>
                </c:pt>
                <c:pt idx="360">
                  <c:v>17674.390625</c:v>
                </c:pt>
                <c:pt idx="361">
                  <c:v>18797.939452999999</c:v>
                </c:pt>
                <c:pt idx="362">
                  <c:v>19206.990234000001</c:v>
                </c:pt>
                <c:pt idx="363">
                  <c:v>19520.009765999999</c:v>
                </c:pt>
                <c:pt idx="364">
                  <c:v>20563.150390999999</c:v>
                </c:pt>
                <c:pt idx="365">
                  <c:v>20235.730468999998</c:v>
                </c:pt>
                <c:pt idx="366">
                  <c:v>20585.240234000001</c:v>
                </c:pt>
                <c:pt idx="367">
                  <c:v>18890.480468999998</c:v>
                </c:pt>
                <c:pt idx="368">
                  <c:v>17388.150390999999</c:v>
                </c:pt>
                <c:pt idx="369">
                  <c:v>19083.099609000001</c:v>
                </c:pt>
                <c:pt idx="370">
                  <c:v>19747.470702999999</c:v>
                </c:pt>
                <c:pt idx="371">
                  <c:v>19033.710938</c:v>
                </c:pt>
                <c:pt idx="372">
                  <c:v>17518.300781000002</c:v>
                </c:pt>
                <c:pt idx="373">
                  <c:v>16026.759765999999</c:v>
                </c:pt>
                <c:pt idx="374">
                  <c:v>16758.669922000001</c:v>
                </c:pt>
                <c:pt idx="375">
                  <c:v>16666.050781000002</c:v>
                </c:pt>
                <c:pt idx="376">
                  <c:v>17234.980468999998</c:v>
                </c:pt>
                <c:pt idx="377">
                  <c:v>15575.919921999999</c:v>
                </c:pt>
                <c:pt idx="378">
                  <c:v>16569.269531000002</c:v>
                </c:pt>
                <c:pt idx="379">
                  <c:v>16887.400390999999</c:v>
                </c:pt>
                <c:pt idx="380">
                  <c:v>16449.839843999998</c:v>
                </c:pt>
                <c:pt idx="381">
                  <c:v>17425.019531000002</c:v>
                </c:pt>
                <c:pt idx="382">
                  <c:v>18308.480468999998</c:v>
                </c:pt>
                <c:pt idx="383">
                  <c:v>19114.369140999999</c:v>
                </c:pt>
                <c:pt idx="384">
                  <c:v>19041.339843999998</c:v>
                </c:pt>
                <c:pt idx="385">
                  <c:v>19118.990234000001</c:v>
                </c:pt>
                <c:pt idx="386">
                  <c:v>18909.259765999999</c:v>
                </c:pt>
                <c:pt idx="387">
                  <c:v>19196.740234000001</c:v>
                </c:pt>
                <c:pt idx="388">
                  <c:v>19650.570313</c:v>
                </c:pt>
                <c:pt idx="389">
                  <c:v>20033.429688</c:v>
                </c:pt>
                <c:pt idx="390">
                  <c:v>19925.179688</c:v>
                </c:pt>
                <c:pt idx="391">
                  <c:v>19646.240234000001</c:v>
                </c:pt>
                <c:pt idx="392">
                  <c:v>20356.279297000001</c:v>
                </c:pt>
                <c:pt idx="393">
                  <c:v>22011.609375</c:v>
                </c:pt>
                <c:pt idx="394">
                  <c:v>22724.960938</c:v>
                </c:pt>
                <c:pt idx="395">
                  <c:v>22764.939452999999</c:v>
                </c:pt>
                <c:pt idx="396">
                  <c:v>23098.289063</c:v>
                </c:pt>
                <c:pt idx="397">
                  <c:v>22068.240234000001</c:v>
                </c:pt>
                <c:pt idx="398">
                  <c:v>21454.300781000002</c:v>
                </c:pt>
                <c:pt idx="399">
                  <c:v>22467.869140999999</c:v>
                </c:pt>
                <c:pt idx="400">
                  <c:v>22201.820313</c:v>
                </c:pt>
                <c:pt idx="401">
                  <c:v>22304.509765999999</c:v>
                </c:pt>
                <c:pt idx="402">
                  <c:v>22553.720702999999</c:v>
                </c:pt>
                <c:pt idx="403">
                  <c:v>22865.150390999999</c:v>
                </c:pt>
                <c:pt idx="404">
                  <c:v>24120.039063</c:v>
                </c:pt>
                <c:pt idx="405">
                  <c:v>21920.460938</c:v>
                </c:pt>
                <c:pt idx="406">
                  <c:v>22351.060547000001</c:v>
                </c:pt>
                <c:pt idx="407">
                  <c:v>20014.769531000002</c:v>
                </c:pt>
                <c:pt idx="408">
                  <c:v>20773.490234000001</c:v>
                </c:pt>
                <c:pt idx="409">
                  <c:v>21385.160156000002</c:v>
                </c:pt>
                <c:pt idx="410">
                  <c:v>21205.810547000001</c:v>
                </c:pt>
                <c:pt idx="411">
                  <c:v>22258.730468999998</c:v>
                </c:pt>
                <c:pt idx="412">
                  <c:v>20601.189452999999</c:v>
                </c:pt>
                <c:pt idx="413">
                  <c:v>21275.919922000001</c:v>
                </c:pt>
                <c:pt idx="414">
                  <c:v>21521.529297000001</c:v>
                </c:pt>
                <c:pt idx="415">
                  <c:v>20704.369140999999</c:v>
                </c:pt>
                <c:pt idx="416">
                  <c:v>21755.839843999998</c:v>
                </c:pt>
                <c:pt idx="417">
                  <c:v>22927.039063</c:v>
                </c:pt>
                <c:pt idx="418">
                  <c:v>23293.910156000002</c:v>
                </c:pt>
                <c:pt idx="419">
                  <c:v>23656.619140999999</c:v>
                </c:pt>
                <c:pt idx="420">
                  <c:v>23205.179688</c:v>
                </c:pt>
                <c:pt idx="421">
                  <c:v>21142.960938</c:v>
                </c:pt>
                <c:pt idx="422">
                  <c:v>18917.009765999999</c:v>
                </c:pt>
                <c:pt idx="423">
                  <c:v>20193.689452999999</c:v>
                </c:pt>
                <c:pt idx="424">
                  <c:v>21877.890625</c:v>
                </c:pt>
                <c:pt idx="425">
                  <c:v>22288.140625</c:v>
                </c:pt>
                <c:pt idx="426">
                  <c:v>21710</c:v>
                </c:pt>
                <c:pt idx="427">
                  <c:v>23139.759765999999</c:v>
                </c:pt>
                <c:pt idx="428">
                  <c:v>23185.119140999999</c:v>
                </c:pt>
                <c:pt idx="429">
                  <c:v>22977.130859000001</c:v>
                </c:pt>
                <c:pt idx="430">
                  <c:v>26433.619140999999</c:v>
                </c:pt>
                <c:pt idx="431">
                  <c:v>27444.169922000001</c:v>
                </c:pt>
                <c:pt idx="432">
                  <c:v>27663.390625</c:v>
                </c:pt>
                <c:pt idx="433">
                  <c:v>28966.009765999999</c:v>
                </c:pt>
                <c:pt idx="434">
                  <c:v>29178.800781000002</c:v>
                </c:pt>
                <c:pt idx="435">
                  <c:v>29538.730468999998</c:v>
                </c:pt>
                <c:pt idx="436">
                  <c:v>29620.990234000001</c:v>
                </c:pt>
              </c:numCache>
            </c:numRef>
          </c:val>
          <c:smooth val="0"/>
          <c:extLst xmlns:c16r2="http://schemas.microsoft.com/office/drawing/2015/06/chart">
            <c:ext xmlns:c16="http://schemas.microsoft.com/office/drawing/2014/chart" uri="{C3380CC4-5D6E-409C-BE32-E72D297353CC}">
              <c16:uniqueId val="{00000000-359C-4AF3-B278-46AD2C8A4095}"/>
            </c:ext>
          </c:extLst>
        </c:ser>
        <c:dLbls>
          <c:showLegendKey val="0"/>
          <c:showVal val="0"/>
          <c:showCatName val="0"/>
          <c:showSerName val="0"/>
          <c:showPercent val="0"/>
          <c:showBubbleSize val="0"/>
        </c:dLbls>
        <c:marker val="1"/>
        <c:smooth val="0"/>
        <c:axId val="84031744"/>
        <c:axId val="84033536"/>
      </c:lineChart>
      <c:dateAx>
        <c:axId val="8403174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4033536"/>
        <c:crosses val="autoZero"/>
        <c:auto val="1"/>
        <c:lblOffset val="100"/>
        <c:baseTimeUnit val="days"/>
      </c:dateAx>
      <c:valAx>
        <c:axId val="84033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4031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'^N225 (4)'!$K$1</c:f>
              <c:strCache>
                <c:ptCount val="1"/>
                <c:pt idx="0">
                  <c:v>Nikkei 225</c:v>
                </c:pt>
              </c:strCache>
            </c:strRef>
          </c:tx>
          <c:spPr>
            <a:ln w="28575" cap="rnd">
              <a:solidFill>
                <a:schemeClr val="accent1"/>
              </a:solidFill>
              <a:round/>
            </a:ln>
            <a:effectLst/>
          </c:spPr>
          <c:marker>
            <c:symbol val="none"/>
          </c:marker>
          <c:cat>
            <c:numRef>
              <c:f>'^N225 (4)'!$J$2:$J$243</c:f>
              <c:numCache>
                <c:formatCode>m/d/yyyy</c:formatCode>
                <c:ptCount val="242"/>
                <c:pt idx="0">
                  <c:v>43836</c:v>
                </c:pt>
                <c:pt idx="1">
                  <c:v>43837</c:v>
                </c:pt>
                <c:pt idx="2">
                  <c:v>43838</c:v>
                </c:pt>
                <c:pt idx="3">
                  <c:v>43839</c:v>
                </c:pt>
                <c:pt idx="4">
                  <c:v>43840</c:v>
                </c:pt>
                <c:pt idx="5">
                  <c:v>43844</c:v>
                </c:pt>
                <c:pt idx="6">
                  <c:v>43845</c:v>
                </c:pt>
                <c:pt idx="7">
                  <c:v>43846</c:v>
                </c:pt>
                <c:pt idx="8">
                  <c:v>43847</c:v>
                </c:pt>
                <c:pt idx="9">
                  <c:v>43850</c:v>
                </c:pt>
                <c:pt idx="10">
                  <c:v>43851</c:v>
                </c:pt>
                <c:pt idx="11">
                  <c:v>43852</c:v>
                </c:pt>
                <c:pt idx="12">
                  <c:v>43853</c:v>
                </c:pt>
                <c:pt idx="13">
                  <c:v>43854</c:v>
                </c:pt>
                <c:pt idx="14">
                  <c:v>43857</c:v>
                </c:pt>
                <c:pt idx="15">
                  <c:v>43858</c:v>
                </c:pt>
                <c:pt idx="16">
                  <c:v>43859</c:v>
                </c:pt>
                <c:pt idx="17">
                  <c:v>43860</c:v>
                </c:pt>
                <c:pt idx="18">
                  <c:v>43861</c:v>
                </c:pt>
                <c:pt idx="19">
                  <c:v>43864</c:v>
                </c:pt>
                <c:pt idx="20">
                  <c:v>43865</c:v>
                </c:pt>
                <c:pt idx="21">
                  <c:v>43866</c:v>
                </c:pt>
                <c:pt idx="22">
                  <c:v>43867</c:v>
                </c:pt>
                <c:pt idx="23">
                  <c:v>43868</c:v>
                </c:pt>
                <c:pt idx="24">
                  <c:v>43871</c:v>
                </c:pt>
                <c:pt idx="25">
                  <c:v>43873</c:v>
                </c:pt>
                <c:pt idx="26">
                  <c:v>43874</c:v>
                </c:pt>
                <c:pt idx="27">
                  <c:v>43875</c:v>
                </c:pt>
                <c:pt idx="28">
                  <c:v>43878</c:v>
                </c:pt>
                <c:pt idx="29">
                  <c:v>43879</c:v>
                </c:pt>
                <c:pt idx="30">
                  <c:v>43880</c:v>
                </c:pt>
                <c:pt idx="31">
                  <c:v>43881</c:v>
                </c:pt>
                <c:pt idx="32">
                  <c:v>43882</c:v>
                </c:pt>
                <c:pt idx="33">
                  <c:v>43886</c:v>
                </c:pt>
                <c:pt idx="34">
                  <c:v>43887</c:v>
                </c:pt>
                <c:pt idx="35">
                  <c:v>43888</c:v>
                </c:pt>
                <c:pt idx="36">
                  <c:v>43889</c:v>
                </c:pt>
                <c:pt idx="37">
                  <c:v>43892</c:v>
                </c:pt>
                <c:pt idx="38">
                  <c:v>43893</c:v>
                </c:pt>
                <c:pt idx="39">
                  <c:v>43894</c:v>
                </c:pt>
                <c:pt idx="40">
                  <c:v>43895</c:v>
                </c:pt>
                <c:pt idx="41">
                  <c:v>43896</c:v>
                </c:pt>
                <c:pt idx="42">
                  <c:v>43899</c:v>
                </c:pt>
                <c:pt idx="43">
                  <c:v>43900</c:v>
                </c:pt>
                <c:pt idx="44">
                  <c:v>43901</c:v>
                </c:pt>
                <c:pt idx="45">
                  <c:v>43902</c:v>
                </c:pt>
                <c:pt idx="46">
                  <c:v>43903</c:v>
                </c:pt>
                <c:pt idx="47">
                  <c:v>43906</c:v>
                </c:pt>
                <c:pt idx="48">
                  <c:v>43907</c:v>
                </c:pt>
                <c:pt idx="49">
                  <c:v>43908</c:v>
                </c:pt>
                <c:pt idx="50">
                  <c:v>43909</c:v>
                </c:pt>
                <c:pt idx="51">
                  <c:v>43913</c:v>
                </c:pt>
                <c:pt idx="52">
                  <c:v>43914</c:v>
                </c:pt>
                <c:pt idx="53">
                  <c:v>43915</c:v>
                </c:pt>
                <c:pt idx="54">
                  <c:v>43916</c:v>
                </c:pt>
                <c:pt idx="55">
                  <c:v>43917</c:v>
                </c:pt>
                <c:pt idx="56">
                  <c:v>43920</c:v>
                </c:pt>
                <c:pt idx="57">
                  <c:v>43921</c:v>
                </c:pt>
                <c:pt idx="58">
                  <c:v>43922</c:v>
                </c:pt>
                <c:pt idx="59">
                  <c:v>43923</c:v>
                </c:pt>
                <c:pt idx="60">
                  <c:v>43924</c:v>
                </c:pt>
                <c:pt idx="61">
                  <c:v>43927</c:v>
                </c:pt>
                <c:pt idx="62">
                  <c:v>43928</c:v>
                </c:pt>
                <c:pt idx="63">
                  <c:v>43929</c:v>
                </c:pt>
                <c:pt idx="64">
                  <c:v>43930</c:v>
                </c:pt>
                <c:pt idx="65">
                  <c:v>43931</c:v>
                </c:pt>
                <c:pt idx="66">
                  <c:v>43934</c:v>
                </c:pt>
                <c:pt idx="67">
                  <c:v>43935</c:v>
                </c:pt>
                <c:pt idx="68">
                  <c:v>43936</c:v>
                </c:pt>
                <c:pt idx="69">
                  <c:v>43937</c:v>
                </c:pt>
                <c:pt idx="70">
                  <c:v>43938</c:v>
                </c:pt>
                <c:pt idx="71">
                  <c:v>43941</c:v>
                </c:pt>
                <c:pt idx="72">
                  <c:v>43942</c:v>
                </c:pt>
                <c:pt idx="73">
                  <c:v>43943</c:v>
                </c:pt>
                <c:pt idx="74">
                  <c:v>43944</c:v>
                </c:pt>
                <c:pt idx="75">
                  <c:v>43945</c:v>
                </c:pt>
                <c:pt idx="76">
                  <c:v>43948</c:v>
                </c:pt>
                <c:pt idx="77">
                  <c:v>43949</c:v>
                </c:pt>
                <c:pt idx="78">
                  <c:v>43951</c:v>
                </c:pt>
                <c:pt idx="79">
                  <c:v>43952</c:v>
                </c:pt>
                <c:pt idx="80">
                  <c:v>43958</c:v>
                </c:pt>
                <c:pt idx="81">
                  <c:v>43959</c:v>
                </c:pt>
                <c:pt idx="82">
                  <c:v>43962</c:v>
                </c:pt>
                <c:pt idx="83">
                  <c:v>43963</c:v>
                </c:pt>
                <c:pt idx="84">
                  <c:v>43964</c:v>
                </c:pt>
                <c:pt idx="85">
                  <c:v>43965</c:v>
                </c:pt>
                <c:pt idx="86">
                  <c:v>43966</c:v>
                </c:pt>
                <c:pt idx="87">
                  <c:v>43969</c:v>
                </c:pt>
                <c:pt idx="88">
                  <c:v>43970</c:v>
                </c:pt>
                <c:pt idx="89">
                  <c:v>43971</c:v>
                </c:pt>
                <c:pt idx="90">
                  <c:v>43972</c:v>
                </c:pt>
                <c:pt idx="91">
                  <c:v>43973</c:v>
                </c:pt>
                <c:pt idx="92">
                  <c:v>43976</c:v>
                </c:pt>
                <c:pt idx="93">
                  <c:v>43977</c:v>
                </c:pt>
                <c:pt idx="94">
                  <c:v>43978</c:v>
                </c:pt>
                <c:pt idx="95">
                  <c:v>43979</c:v>
                </c:pt>
                <c:pt idx="96">
                  <c:v>43980</c:v>
                </c:pt>
                <c:pt idx="97">
                  <c:v>43983</c:v>
                </c:pt>
                <c:pt idx="98">
                  <c:v>43984</c:v>
                </c:pt>
                <c:pt idx="99">
                  <c:v>43985</c:v>
                </c:pt>
                <c:pt idx="100">
                  <c:v>43986</c:v>
                </c:pt>
                <c:pt idx="101">
                  <c:v>43987</c:v>
                </c:pt>
                <c:pt idx="102">
                  <c:v>43990</c:v>
                </c:pt>
                <c:pt idx="103">
                  <c:v>43991</c:v>
                </c:pt>
                <c:pt idx="104">
                  <c:v>43992</c:v>
                </c:pt>
                <c:pt idx="105">
                  <c:v>43993</c:v>
                </c:pt>
                <c:pt idx="106">
                  <c:v>43994</c:v>
                </c:pt>
                <c:pt idx="107">
                  <c:v>43997</c:v>
                </c:pt>
                <c:pt idx="108">
                  <c:v>43998</c:v>
                </c:pt>
                <c:pt idx="109">
                  <c:v>43999</c:v>
                </c:pt>
                <c:pt idx="110">
                  <c:v>44000</c:v>
                </c:pt>
                <c:pt idx="111">
                  <c:v>44001</c:v>
                </c:pt>
                <c:pt idx="112">
                  <c:v>44004</c:v>
                </c:pt>
                <c:pt idx="113">
                  <c:v>44005</c:v>
                </c:pt>
                <c:pt idx="114">
                  <c:v>44006</c:v>
                </c:pt>
                <c:pt idx="115">
                  <c:v>44007</c:v>
                </c:pt>
                <c:pt idx="116">
                  <c:v>44008</c:v>
                </c:pt>
                <c:pt idx="117">
                  <c:v>44011</c:v>
                </c:pt>
                <c:pt idx="118">
                  <c:v>44012</c:v>
                </c:pt>
                <c:pt idx="119">
                  <c:v>44013</c:v>
                </c:pt>
                <c:pt idx="120">
                  <c:v>44014</c:v>
                </c:pt>
                <c:pt idx="121">
                  <c:v>44015</c:v>
                </c:pt>
                <c:pt idx="122">
                  <c:v>44018</c:v>
                </c:pt>
                <c:pt idx="123">
                  <c:v>44019</c:v>
                </c:pt>
                <c:pt idx="124">
                  <c:v>44020</c:v>
                </c:pt>
                <c:pt idx="125">
                  <c:v>44021</c:v>
                </c:pt>
                <c:pt idx="126">
                  <c:v>44022</c:v>
                </c:pt>
                <c:pt idx="127">
                  <c:v>44025</c:v>
                </c:pt>
                <c:pt idx="128">
                  <c:v>44026</c:v>
                </c:pt>
                <c:pt idx="129">
                  <c:v>44027</c:v>
                </c:pt>
                <c:pt idx="130">
                  <c:v>44028</c:v>
                </c:pt>
                <c:pt idx="131">
                  <c:v>44029</c:v>
                </c:pt>
                <c:pt idx="132">
                  <c:v>44032</c:v>
                </c:pt>
                <c:pt idx="133">
                  <c:v>44033</c:v>
                </c:pt>
                <c:pt idx="134">
                  <c:v>44034</c:v>
                </c:pt>
                <c:pt idx="135">
                  <c:v>44039</c:v>
                </c:pt>
                <c:pt idx="136">
                  <c:v>44040</c:v>
                </c:pt>
                <c:pt idx="137">
                  <c:v>44041</c:v>
                </c:pt>
                <c:pt idx="138">
                  <c:v>44042</c:v>
                </c:pt>
                <c:pt idx="139">
                  <c:v>44043</c:v>
                </c:pt>
                <c:pt idx="140">
                  <c:v>44046</c:v>
                </c:pt>
                <c:pt idx="141">
                  <c:v>44047</c:v>
                </c:pt>
                <c:pt idx="142">
                  <c:v>44048</c:v>
                </c:pt>
                <c:pt idx="143">
                  <c:v>44049</c:v>
                </c:pt>
                <c:pt idx="144">
                  <c:v>44050</c:v>
                </c:pt>
                <c:pt idx="145">
                  <c:v>44054</c:v>
                </c:pt>
                <c:pt idx="146">
                  <c:v>44055</c:v>
                </c:pt>
                <c:pt idx="147">
                  <c:v>44056</c:v>
                </c:pt>
                <c:pt idx="148">
                  <c:v>44057</c:v>
                </c:pt>
                <c:pt idx="149">
                  <c:v>44060</c:v>
                </c:pt>
                <c:pt idx="150">
                  <c:v>44061</c:v>
                </c:pt>
                <c:pt idx="151">
                  <c:v>44062</c:v>
                </c:pt>
                <c:pt idx="152">
                  <c:v>44063</c:v>
                </c:pt>
                <c:pt idx="153">
                  <c:v>44064</c:v>
                </c:pt>
                <c:pt idx="154">
                  <c:v>44067</c:v>
                </c:pt>
                <c:pt idx="155">
                  <c:v>44068</c:v>
                </c:pt>
                <c:pt idx="156">
                  <c:v>44069</c:v>
                </c:pt>
                <c:pt idx="157">
                  <c:v>44070</c:v>
                </c:pt>
                <c:pt idx="158">
                  <c:v>44071</c:v>
                </c:pt>
                <c:pt idx="159">
                  <c:v>44074</c:v>
                </c:pt>
                <c:pt idx="160">
                  <c:v>44075</c:v>
                </c:pt>
                <c:pt idx="161">
                  <c:v>44076</c:v>
                </c:pt>
                <c:pt idx="162">
                  <c:v>44077</c:v>
                </c:pt>
                <c:pt idx="163">
                  <c:v>44078</c:v>
                </c:pt>
                <c:pt idx="164">
                  <c:v>44081</c:v>
                </c:pt>
                <c:pt idx="165">
                  <c:v>44082</c:v>
                </c:pt>
                <c:pt idx="166">
                  <c:v>44083</c:v>
                </c:pt>
                <c:pt idx="167">
                  <c:v>44084</c:v>
                </c:pt>
                <c:pt idx="168">
                  <c:v>44085</c:v>
                </c:pt>
                <c:pt idx="169">
                  <c:v>44088</c:v>
                </c:pt>
                <c:pt idx="170">
                  <c:v>44089</c:v>
                </c:pt>
                <c:pt idx="171">
                  <c:v>44090</c:v>
                </c:pt>
                <c:pt idx="172">
                  <c:v>44091</c:v>
                </c:pt>
                <c:pt idx="173">
                  <c:v>44092</c:v>
                </c:pt>
                <c:pt idx="174">
                  <c:v>44097</c:v>
                </c:pt>
                <c:pt idx="175">
                  <c:v>44098</c:v>
                </c:pt>
                <c:pt idx="176">
                  <c:v>44099</c:v>
                </c:pt>
                <c:pt idx="177">
                  <c:v>44102</c:v>
                </c:pt>
                <c:pt idx="178">
                  <c:v>44103</c:v>
                </c:pt>
                <c:pt idx="179">
                  <c:v>44104</c:v>
                </c:pt>
                <c:pt idx="180">
                  <c:v>44106</c:v>
                </c:pt>
                <c:pt idx="181">
                  <c:v>44109</c:v>
                </c:pt>
                <c:pt idx="182">
                  <c:v>44110</c:v>
                </c:pt>
                <c:pt idx="183">
                  <c:v>44111</c:v>
                </c:pt>
                <c:pt idx="184">
                  <c:v>44112</c:v>
                </c:pt>
                <c:pt idx="185">
                  <c:v>44113</c:v>
                </c:pt>
                <c:pt idx="186">
                  <c:v>44116</c:v>
                </c:pt>
                <c:pt idx="187">
                  <c:v>44117</c:v>
                </c:pt>
                <c:pt idx="188">
                  <c:v>44118</c:v>
                </c:pt>
                <c:pt idx="189">
                  <c:v>44119</c:v>
                </c:pt>
                <c:pt idx="190">
                  <c:v>44120</c:v>
                </c:pt>
                <c:pt idx="191">
                  <c:v>44123</c:v>
                </c:pt>
                <c:pt idx="192">
                  <c:v>44124</c:v>
                </c:pt>
                <c:pt idx="193">
                  <c:v>44125</c:v>
                </c:pt>
                <c:pt idx="194">
                  <c:v>44126</c:v>
                </c:pt>
                <c:pt idx="195">
                  <c:v>44127</c:v>
                </c:pt>
                <c:pt idx="196">
                  <c:v>44130</c:v>
                </c:pt>
                <c:pt idx="197">
                  <c:v>44131</c:v>
                </c:pt>
                <c:pt idx="198">
                  <c:v>44132</c:v>
                </c:pt>
                <c:pt idx="199">
                  <c:v>44133</c:v>
                </c:pt>
                <c:pt idx="200">
                  <c:v>44134</c:v>
                </c:pt>
                <c:pt idx="201">
                  <c:v>44137</c:v>
                </c:pt>
                <c:pt idx="202">
                  <c:v>44139</c:v>
                </c:pt>
                <c:pt idx="203">
                  <c:v>44140</c:v>
                </c:pt>
                <c:pt idx="204">
                  <c:v>44141</c:v>
                </c:pt>
                <c:pt idx="205">
                  <c:v>44144</c:v>
                </c:pt>
                <c:pt idx="206">
                  <c:v>44145</c:v>
                </c:pt>
                <c:pt idx="207">
                  <c:v>44146</c:v>
                </c:pt>
                <c:pt idx="208">
                  <c:v>44147</c:v>
                </c:pt>
                <c:pt idx="209">
                  <c:v>44148</c:v>
                </c:pt>
                <c:pt idx="210">
                  <c:v>44151</c:v>
                </c:pt>
                <c:pt idx="211">
                  <c:v>44152</c:v>
                </c:pt>
                <c:pt idx="212">
                  <c:v>44153</c:v>
                </c:pt>
                <c:pt idx="213">
                  <c:v>44154</c:v>
                </c:pt>
                <c:pt idx="214">
                  <c:v>44155</c:v>
                </c:pt>
                <c:pt idx="215">
                  <c:v>44159</c:v>
                </c:pt>
                <c:pt idx="216">
                  <c:v>44160</c:v>
                </c:pt>
                <c:pt idx="217">
                  <c:v>44161</c:v>
                </c:pt>
                <c:pt idx="218">
                  <c:v>44162</c:v>
                </c:pt>
                <c:pt idx="219">
                  <c:v>44165</c:v>
                </c:pt>
                <c:pt idx="220">
                  <c:v>44166</c:v>
                </c:pt>
                <c:pt idx="221">
                  <c:v>44167</c:v>
                </c:pt>
                <c:pt idx="222">
                  <c:v>44168</c:v>
                </c:pt>
                <c:pt idx="223">
                  <c:v>44169</c:v>
                </c:pt>
                <c:pt idx="224">
                  <c:v>44172</c:v>
                </c:pt>
                <c:pt idx="225">
                  <c:v>44173</c:v>
                </c:pt>
                <c:pt idx="226">
                  <c:v>44174</c:v>
                </c:pt>
                <c:pt idx="227">
                  <c:v>44175</c:v>
                </c:pt>
                <c:pt idx="228">
                  <c:v>44176</c:v>
                </c:pt>
                <c:pt idx="229">
                  <c:v>44179</c:v>
                </c:pt>
                <c:pt idx="230">
                  <c:v>44180</c:v>
                </c:pt>
                <c:pt idx="231">
                  <c:v>44181</c:v>
                </c:pt>
                <c:pt idx="232">
                  <c:v>44182</c:v>
                </c:pt>
                <c:pt idx="233">
                  <c:v>44183</c:v>
                </c:pt>
                <c:pt idx="234">
                  <c:v>44186</c:v>
                </c:pt>
                <c:pt idx="235">
                  <c:v>44187</c:v>
                </c:pt>
                <c:pt idx="236">
                  <c:v>44188</c:v>
                </c:pt>
                <c:pt idx="237">
                  <c:v>44189</c:v>
                </c:pt>
                <c:pt idx="238">
                  <c:v>44190</c:v>
                </c:pt>
                <c:pt idx="239">
                  <c:v>44193</c:v>
                </c:pt>
                <c:pt idx="240">
                  <c:v>44194</c:v>
                </c:pt>
                <c:pt idx="241">
                  <c:v>44195</c:v>
                </c:pt>
              </c:numCache>
            </c:numRef>
          </c:cat>
          <c:val>
            <c:numRef>
              <c:f>'^N225 (4)'!$K$2:$K$243</c:f>
              <c:numCache>
                <c:formatCode>General</c:formatCode>
                <c:ptCount val="242"/>
                <c:pt idx="0">
                  <c:v>23204.859380000002</c:v>
                </c:pt>
                <c:pt idx="1">
                  <c:v>23575.720700000002</c:v>
                </c:pt>
                <c:pt idx="2">
                  <c:v>23204.759770000001</c:v>
                </c:pt>
                <c:pt idx="3">
                  <c:v>23739.869139999999</c:v>
                </c:pt>
                <c:pt idx="4">
                  <c:v>23850.570309999999</c:v>
                </c:pt>
                <c:pt idx="5">
                  <c:v>24025.16992</c:v>
                </c:pt>
                <c:pt idx="6">
                  <c:v>23916.58008</c:v>
                </c:pt>
                <c:pt idx="7">
                  <c:v>23933.130860000001</c:v>
                </c:pt>
                <c:pt idx="8">
                  <c:v>24041.259770000001</c:v>
                </c:pt>
                <c:pt idx="9">
                  <c:v>24083.509770000001</c:v>
                </c:pt>
                <c:pt idx="10">
                  <c:v>23864.560549999998</c:v>
                </c:pt>
                <c:pt idx="11">
                  <c:v>24031.349610000001</c:v>
                </c:pt>
                <c:pt idx="12">
                  <c:v>23795.439450000002</c:v>
                </c:pt>
                <c:pt idx="13">
                  <c:v>23827.179690000001</c:v>
                </c:pt>
                <c:pt idx="14">
                  <c:v>23343.509770000001</c:v>
                </c:pt>
                <c:pt idx="15">
                  <c:v>23215.710940000001</c:v>
                </c:pt>
                <c:pt idx="16">
                  <c:v>23379.400389999999</c:v>
                </c:pt>
                <c:pt idx="17">
                  <c:v>22977.75</c:v>
                </c:pt>
                <c:pt idx="18">
                  <c:v>23205.179690000001</c:v>
                </c:pt>
                <c:pt idx="19">
                  <c:v>22971.939450000002</c:v>
                </c:pt>
                <c:pt idx="20">
                  <c:v>23084.589840000001</c:v>
                </c:pt>
                <c:pt idx="21">
                  <c:v>23319.560549999998</c:v>
                </c:pt>
                <c:pt idx="22">
                  <c:v>23873.589840000001</c:v>
                </c:pt>
                <c:pt idx="23">
                  <c:v>23827.980469999999</c:v>
                </c:pt>
                <c:pt idx="24">
                  <c:v>23685.980469999999</c:v>
                </c:pt>
                <c:pt idx="25">
                  <c:v>23861.210940000001</c:v>
                </c:pt>
                <c:pt idx="26">
                  <c:v>23827.730469999999</c:v>
                </c:pt>
                <c:pt idx="27">
                  <c:v>23687.589840000001</c:v>
                </c:pt>
                <c:pt idx="28">
                  <c:v>23523.240229999999</c:v>
                </c:pt>
                <c:pt idx="29">
                  <c:v>23193.800780000001</c:v>
                </c:pt>
                <c:pt idx="30">
                  <c:v>23400.699219999999</c:v>
                </c:pt>
                <c:pt idx="31">
                  <c:v>23479.150389999999</c:v>
                </c:pt>
                <c:pt idx="32">
                  <c:v>23386.740229999999</c:v>
                </c:pt>
                <c:pt idx="33">
                  <c:v>22605.410159999999</c:v>
                </c:pt>
                <c:pt idx="34">
                  <c:v>22426.189450000002</c:v>
                </c:pt>
                <c:pt idx="35">
                  <c:v>21948.230469999999</c:v>
                </c:pt>
                <c:pt idx="36">
                  <c:v>21142.960940000001</c:v>
                </c:pt>
                <c:pt idx="37">
                  <c:v>21344.08008</c:v>
                </c:pt>
                <c:pt idx="38">
                  <c:v>21082.730469999999</c:v>
                </c:pt>
                <c:pt idx="39">
                  <c:v>21100.060549999998</c:v>
                </c:pt>
                <c:pt idx="40">
                  <c:v>21329.119139999999</c:v>
                </c:pt>
                <c:pt idx="41">
                  <c:v>20749.75</c:v>
                </c:pt>
                <c:pt idx="42">
                  <c:v>19698.759770000001</c:v>
                </c:pt>
                <c:pt idx="43">
                  <c:v>19867.119139999999</c:v>
                </c:pt>
                <c:pt idx="44">
                  <c:v>19416.060549999998</c:v>
                </c:pt>
                <c:pt idx="45">
                  <c:v>18559.630860000001</c:v>
                </c:pt>
                <c:pt idx="46">
                  <c:v>17431.050780000001</c:v>
                </c:pt>
                <c:pt idx="47">
                  <c:v>17002.039059999999</c:v>
                </c:pt>
                <c:pt idx="48">
                  <c:v>17011.529299999998</c:v>
                </c:pt>
                <c:pt idx="49">
                  <c:v>16726.550780000001</c:v>
                </c:pt>
                <c:pt idx="50">
                  <c:v>16552.83008</c:v>
                </c:pt>
                <c:pt idx="51">
                  <c:v>16887.779299999998</c:v>
                </c:pt>
                <c:pt idx="52">
                  <c:v>18092.349610000001</c:v>
                </c:pt>
                <c:pt idx="53">
                  <c:v>19546.630860000001</c:v>
                </c:pt>
                <c:pt idx="54">
                  <c:v>18664.599610000001</c:v>
                </c:pt>
                <c:pt idx="55">
                  <c:v>19389.429690000001</c:v>
                </c:pt>
                <c:pt idx="56">
                  <c:v>19084.970700000002</c:v>
                </c:pt>
                <c:pt idx="57">
                  <c:v>18917.009770000001</c:v>
                </c:pt>
                <c:pt idx="58">
                  <c:v>18065.410159999999</c:v>
                </c:pt>
                <c:pt idx="59">
                  <c:v>17818.720700000002</c:v>
                </c:pt>
                <c:pt idx="60">
                  <c:v>17820.189450000002</c:v>
                </c:pt>
                <c:pt idx="61">
                  <c:v>18576.300780000001</c:v>
                </c:pt>
                <c:pt idx="62">
                  <c:v>18950.179690000001</c:v>
                </c:pt>
                <c:pt idx="63">
                  <c:v>19353.240229999999</c:v>
                </c:pt>
                <c:pt idx="64">
                  <c:v>19345.769530000001</c:v>
                </c:pt>
                <c:pt idx="65">
                  <c:v>19498.5</c:v>
                </c:pt>
                <c:pt idx="66">
                  <c:v>19043.400389999999</c:v>
                </c:pt>
                <c:pt idx="67">
                  <c:v>19638.810549999998</c:v>
                </c:pt>
                <c:pt idx="68">
                  <c:v>19550.089840000001</c:v>
                </c:pt>
                <c:pt idx="69">
                  <c:v>19290.199219999999</c:v>
                </c:pt>
                <c:pt idx="70">
                  <c:v>19897.259770000001</c:v>
                </c:pt>
                <c:pt idx="71">
                  <c:v>19669.119139999999</c:v>
                </c:pt>
                <c:pt idx="72">
                  <c:v>19280.779299999998</c:v>
                </c:pt>
                <c:pt idx="73">
                  <c:v>19137.949219999999</c:v>
                </c:pt>
                <c:pt idx="74">
                  <c:v>19429.439450000002</c:v>
                </c:pt>
                <c:pt idx="75">
                  <c:v>19262</c:v>
                </c:pt>
                <c:pt idx="76">
                  <c:v>19783.220700000002</c:v>
                </c:pt>
                <c:pt idx="77">
                  <c:v>19771.189450000002</c:v>
                </c:pt>
                <c:pt idx="78">
                  <c:v>20193.689450000002</c:v>
                </c:pt>
                <c:pt idx="79">
                  <c:v>19619.349610000001</c:v>
                </c:pt>
                <c:pt idx="80">
                  <c:v>19674.769530000001</c:v>
                </c:pt>
                <c:pt idx="81">
                  <c:v>20179.089840000001</c:v>
                </c:pt>
                <c:pt idx="82">
                  <c:v>20390.660159999999</c:v>
                </c:pt>
                <c:pt idx="83">
                  <c:v>20366.480469999999</c:v>
                </c:pt>
                <c:pt idx="84">
                  <c:v>20267.050780000001</c:v>
                </c:pt>
                <c:pt idx="85">
                  <c:v>19914.779299999998</c:v>
                </c:pt>
                <c:pt idx="86">
                  <c:v>20037.470700000002</c:v>
                </c:pt>
                <c:pt idx="87">
                  <c:v>20133.730469999999</c:v>
                </c:pt>
                <c:pt idx="88">
                  <c:v>20433.449219999999</c:v>
                </c:pt>
                <c:pt idx="89">
                  <c:v>20595.150389999999</c:v>
                </c:pt>
                <c:pt idx="90">
                  <c:v>20552.310549999998</c:v>
                </c:pt>
                <c:pt idx="91">
                  <c:v>20388.160159999999</c:v>
                </c:pt>
                <c:pt idx="92">
                  <c:v>20741.650389999999</c:v>
                </c:pt>
                <c:pt idx="93">
                  <c:v>21271.16992</c:v>
                </c:pt>
                <c:pt idx="94">
                  <c:v>21419.230469999999</c:v>
                </c:pt>
                <c:pt idx="95">
                  <c:v>21916.310549999998</c:v>
                </c:pt>
                <c:pt idx="96">
                  <c:v>21877.890630000002</c:v>
                </c:pt>
                <c:pt idx="97">
                  <c:v>22062.390630000002</c:v>
                </c:pt>
                <c:pt idx="98">
                  <c:v>22325.609380000002</c:v>
                </c:pt>
                <c:pt idx="99">
                  <c:v>22613.759770000001</c:v>
                </c:pt>
                <c:pt idx="100">
                  <c:v>22695.740229999999</c:v>
                </c:pt>
                <c:pt idx="101">
                  <c:v>22863.730469999999</c:v>
                </c:pt>
                <c:pt idx="102">
                  <c:v>23178.099610000001</c:v>
                </c:pt>
                <c:pt idx="103">
                  <c:v>23091.029299999998</c:v>
                </c:pt>
                <c:pt idx="104">
                  <c:v>23124.949219999999</c:v>
                </c:pt>
                <c:pt idx="105">
                  <c:v>22472.910159999999</c:v>
                </c:pt>
                <c:pt idx="106">
                  <c:v>22305.480469999999</c:v>
                </c:pt>
                <c:pt idx="107">
                  <c:v>21530.949219999999</c:v>
                </c:pt>
                <c:pt idx="108">
                  <c:v>22582.210940000001</c:v>
                </c:pt>
                <c:pt idx="109">
                  <c:v>22455.759770000001</c:v>
                </c:pt>
                <c:pt idx="110">
                  <c:v>22355.460940000001</c:v>
                </c:pt>
                <c:pt idx="111">
                  <c:v>22478.789059999999</c:v>
                </c:pt>
                <c:pt idx="112">
                  <c:v>22437.269530000001</c:v>
                </c:pt>
                <c:pt idx="113">
                  <c:v>22549.050780000001</c:v>
                </c:pt>
                <c:pt idx="114">
                  <c:v>22534.320309999999</c:v>
                </c:pt>
                <c:pt idx="115">
                  <c:v>22259.789059999999</c:v>
                </c:pt>
                <c:pt idx="116">
                  <c:v>22512.08008</c:v>
                </c:pt>
                <c:pt idx="117">
                  <c:v>21995.039059999999</c:v>
                </c:pt>
                <c:pt idx="118">
                  <c:v>22288.140630000002</c:v>
                </c:pt>
                <c:pt idx="119">
                  <c:v>22121.730469999999</c:v>
                </c:pt>
                <c:pt idx="120">
                  <c:v>22145.960940000001</c:v>
                </c:pt>
                <c:pt idx="121">
                  <c:v>22306.480469999999</c:v>
                </c:pt>
                <c:pt idx="122">
                  <c:v>22714.439450000002</c:v>
                </c:pt>
                <c:pt idx="123">
                  <c:v>22614.689450000002</c:v>
                </c:pt>
                <c:pt idx="124">
                  <c:v>22438.650389999999</c:v>
                </c:pt>
                <c:pt idx="125">
                  <c:v>22529.289059999999</c:v>
                </c:pt>
                <c:pt idx="126">
                  <c:v>22290.810549999998</c:v>
                </c:pt>
                <c:pt idx="127">
                  <c:v>22784.740229999999</c:v>
                </c:pt>
                <c:pt idx="128">
                  <c:v>22587.009770000001</c:v>
                </c:pt>
                <c:pt idx="129">
                  <c:v>22945.5</c:v>
                </c:pt>
                <c:pt idx="130">
                  <c:v>22770.359380000002</c:v>
                </c:pt>
                <c:pt idx="131">
                  <c:v>22696.41992</c:v>
                </c:pt>
                <c:pt idx="132">
                  <c:v>22717.480469999999</c:v>
                </c:pt>
                <c:pt idx="133">
                  <c:v>22884.220700000002</c:v>
                </c:pt>
                <c:pt idx="134">
                  <c:v>22751.609380000002</c:v>
                </c:pt>
                <c:pt idx="135">
                  <c:v>22715.849610000001</c:v>
                </c:pt>
                <c:pt idx="136">
                  <c:v>22657.380860000001</c:v>
                </c:pt>
                <c:pt idx="137">
                  <c:v>22397.109380000002</c:v>
                </c:pt>
                <c:pt idx="138">
                  <c:v>22339.230469999999</c:v>
                </c:pt>
                <c:pt idx="139">
                  <c:v>21710</c:v>
                </c:pt>
                <c:pt idx="140">
                  <c:v>22195.380860000001</c:v>
                </c:pt>
                <c:pt idx="141">
                  <c:v>22573.660159999999</c:v>
                </c:pt>
                <c:pt idx="142">
                  <c:v>22514.849610000001</c:v>
                </c:pt>
                <c:pt idx="143">
                  <c:v>22418.150389999999</c:v>
                </c:pt>
                <c:pt idx="144">
                  <c:v>22329.939450000002</c:v>
                </c:pt>
                <c:pt idx="145">
                  <c:v>22750.240229999999</c:v>
                </c:pt>
                <c:pt idx="146">
                  <c:v>22843.960940000001</c:v>
                </c:pt>
                <c:pt idx="147">
                  <c:v>23249.609380000002</c:v>
                </c:pt>
                <c:pt idx="148">
                  <c:v>23289.359380000002</c:v>
                </c:pt>
                <c:pt idx="149">
                  <c:v>23096.75</c:v>
                </c:pt>
                <c:pt idx="150">
                  <c:v>23051.08008</c:v>
                </c:pt>
                <c:pt idx="151">
                  <c:v>23110.609380000002</c:v>
                </c:pt>
                <c:pt idx="152">
                  <c:v>22880.619139999999</c:v>
                </c:pt>
                <c:pt idx="153">
                  <c:v>22920.300780000001</c:v>
                </c:pt>
                <c:pt idx="154">
                  <c:v>22985.509770000001</c:v>
                </c:pt>
                <c:pt idx="155">
                  <c:v>23296.769530000001</c:v>
                </c:pt>
                <c:pt idx="156">
                  <c:v>23290.859380000002</c:v>
                </c:pt>
                <c:pt idx="157">
                  <c:v>23208.859380000002</c:v>
                </c:pt>
                <c:pt idx="158">
                  <c:v>22882.650389999999</c:v>
                </c:pt>
                <c:pt idx="159">
                  <c:v>23139.759770000001</c:v>
                </c:pt>
                <c:pt idx="160">
                  <c:v>23138.070309999999</c:v>
                </c:pt>
                <c:pt idx="161">
                  <c:v>23247.150389999999</c:v>
                </c:pt>
                <c:pt idx="162">
                  <c:v>23465.529299999998</c:v>
                </c:pt>
                <c:pt idx="163">
                  <c:v>23205.429690000001</c:v>
                </c:pt>
                <c:pt idx="164">
                  <c:v>23089.949219999999</c:v>
                </c:pt>
                <c:pt idx="165">
                  <c:v>23274.130860000001</c:v>
                </c:pt>
                <c:pt idx="166">
                  <c:v>23032.539059999999</c:v>
                </c:pt>
                <c:pt idx="167">
                  <c:v>23235.470700000002</c:v>
                </c:pt>
                <c:pt idx="168">
                  <c:v>23406.490229999999</c:v>
                </c:pt>
                <c:pt idx="169">
                  <c:v>23559.300780000001</c:v>
                </c:pt>
                <c:pt idx="170">
                  <c:v>23454.890630000002</c:v>
                </c:pt>
                <c:pt idx="171">
                  <c:v>23475.529299999998</c:v>
                </c:pt>
                <c:pt idx="172">
                  <c:v>23319.369139999999</c:v>
                </c:pt>
                <c:pt idx="173">
                  <c:v>23360.300780000001</c:v>
                </c:pt>
                <c:pt idx="174">
                  <c:v>23346.490229999999</c:v>
                </c:pt>
                <c:pt idx="175">
                  <c:v>23087.820309999999</c:v>
                </c:pt>
                <c:pt idx="176">
                  <c:v>23204.619139999999</c:v>
                </c:pt>
                <c:pt idx="177">
                  <c:v>23511.619139999999</c:v>
                </c:pt>
                <c:pt idx="178">
                  <c:v>23539.099610000001</c:v>
                </c:pt>
                <c:pt idx="179">
                  <c:v>23185.119139999999</c:v>
                </c:pt>
                <c:pt idx="180">
                  <c:v>23029.900389999999</c:v>
                </c:pt>
                <c:pt idx="181">
                  <c:v>23312.140630000002</c:v>
                </c:pt>
                <c:pt idx="182">
                  <c:v>23433.730469999999</c:v>
                </c:pt>
                <c:pt idx="183">
                  <c:v>23422.820309999999</c:v>
                </c:pt>
                <c:pt idx="184">
                  <c:v>23647.070309999999</c:v>
                </c:pt>
                <c:pt idx="185">
                  <c:v>23619.689450000002</c:v>
                </c:pt>
                <c:pt idx="186">
                  <c:v>23558.689450000002</c:v>
                </c:pt>
                <c:pt idx="187">
                  <c:v>23601.779299999998</c:v>
                </c:pt>
                <c:pt idx="188">
                  <c:v>23626.730469999999</c:v>
                </c:pt>
                <c:pt idx="189">
                  <c:v>23507.230469999999</c:v>
                </c:pt>
                <c:pt idx="190">
                  <c:v>23410.630860000001</c:v>
                </c:pt>
                <c:pt idx="191">
                  <c:v>23671.130860000001</c:v>
                </c:pt>
                <c:pt idx="192">
                  <c:v>23567.039059999999</c:v>
                </c:pt>
                <c:pt idx="193">
                  <c:v>23639.460940000001</c:v>
                </c:pt>
                <c:pt idx="194">
                  <c:v>23474.269530000001</c:v>
                </c:pt>
                <c:pt idx="195">
                  <c:v>23516.589840000001</c:v>
                </c:pt>
                <c:pt idx="196">
                  <c:v>23494.339840000001</c:v>
                </c:pt>
                <c:pt idx="197">
                  <c:v>23485.800780000001</c:v>
                </c:pt>
                <c:pt idx="198">
                  <c:v>23418.509770000001</c:v>
                </c:pt>
                <c:pt idx="199">
                  <c:v>23331.939450000002</c:v>
                </c:pt>
                <c:pt idx="200">
                  <c:v>22977.130860000001</c:v>
                </c:pt>
                <c:pt idx="201">
                  <c:v>23295.480469999999</c:v>
                </c:pt>
                <c:pt idx="202">
                  <c:v>23695.230469999999</c:v>
                </c:pt>
                <c:pt idx="203">
                  <c:v>24105.279299999998</c:v>
                </c:pt>
                <c:pt idx="204">
                  <c:v>24325.230469999999</c:v>
                </c:pt>
                <c:pt idx="205">
                  <c:v>24839.839840000001</c:v>
                </c:pt>
                <c:pt idx="206">
                  <c:v>24905.589840000001</c:v>
                </c:pt>
                <c:pt idx="207">
                  <c:v>25349.599610000001</c:v>
                </c:pt>
                <c:pt idx="208">
                  <c:v>25520.880860000001</c:v>
                </c:pt>
                <c:pt idx="209">
                  <c:v>25385.869139999999</c:v>
                </c:pt>
                <c:pt idx="210">
                  <c:v>25906.929690000001</c:v>
                </c:pt>
                <c:pt idx="211">
                  <c:v>26014.619139999999</c:v>
                </c:pt>
                <c:pt idx="212">
                  <c:v>25728.140630000002</c:v>
                </c:pt>
                <c:pt idx="213">
                  <c:v>25634.339840000001</c:v>
                </c:pt>
                <c:pt idx="214">
                  <c:v>25527.369139999999</c:v>
                </c:pt>
                <c:pt idx="215">
                  <c:v>26165.589840000001</c:v>
                </c:pt>
                <c:pt idx="216">
                  <c:v>26296.859380000002</c:v>
                </c:pt>
                <c:pt idx="217">
                  <c:v>26537.310549999998</c:v>
                </c:pt>
                <c:pt idx="218">
                  <c:v>26644.710940000001</c:v>
                </c:pt>
                <c:pt idx="219">
                  <c:v>26433.619139999999</c:v>
                </c:pt>
                <c:pt idx="220">
                  <c:v>26787.539059999999</c:v>
                </c:pt>
                <c:pt idx="221">
                  <c:v>26800.980469999999</c:v>
                </c:pt>
                <c:pt idx="222">
                  <c:v>26809.369139999999</c:v>
                </c:pt>
                <c:pt idx="223">
                  <c:v>26751.240229999999</c:v>
                </c:pt>
                <c:pt idx="224">
                  <c:v>26547.439450000002</c:v>
                </c:pt>
                <c:pt idx="225">
                  <c:v>26467.08008</c:v>
                </c:pt>
                <c:pt idx="226">
                  <c:v>26817.939450000002</c:v>
                </c:pt>
                <c:pt idx="227">
                  <c:v>26756.240229999999</c:v>
                </c:pt>
                <c:pt idx="228">
                  <c:v>26652.519530000001</c:v>
                </c:pt>
                <c:pt idx="229">
                  <c:v>26732.439450000002</c:v>
                </c:pt>
                <c:pt idx="230">
                  <c:v>26687.839840000001</c:v>
                </c:pt>
                <c:pt idx="231">
                  <c:v>26757.400389999999</c:v>
                </c:pt>
                <c:pt idx="232">
                  <c:v>26806.66992</c:v>
                </c:pt>
                <c:pt idx="233">
                  <c:v>26763.390630000002</c:v>
                </c:pt>
                <c:pt idx="234">
                  <c:v>26714.41992</c:v>
                </c:pt>
                <c:pt idx="235">
                  <c:v>26436.390630000002</c:v>
                </c:pt>
                <c:pt idx="236">
                  <c:v>26524.789059999999</c:v>
                </c:pt>
                <c:pt idx="237">
                  <c:v>26668.349610000001</c:v>
                </c:pt>
                <c:pt idx="238">
                  <c:v>26656.609380000002</c:v>
                </c:pt>
                <c:pt idx="239">
                  <c:v>26854.029299999998</c:v>
                </c:pt>
                <c:pt idx="240">
                  <c:v>27568.150389999999</c:v>
                </c:pt>
                <c:pt idx="241">
                  <c:v>27444.16992</c:v>
                </c:pt>
              </c:numCache>
            </c:numRef>
          </c:val>
          <c:smooth val="0"/>
          <c:extLst xmlns:c16r2="http://schemas.microsoft.com/office/drawing/2015/06/chart">
            <c:ext xmlns:c16="http://schemas.microsoft.com/office/drawing/2014/chart" uri="{C3380CC4-5D6E-409C-BE32-E72D297353CC}">
              <c16:uniqueId val="{00000000-FBBA-4447-BE64-0A8E154B09D4}"/>
            </c:ext>
          </c:extLst>
        </c:ser>
        <c:dLbls>
          <c:showLegendKey val="0"/>
          <c:showVal val="0"/>
          <c:showCatName val="0"/>
          <c:showSerName val="0"/>
          <c:showPercent val="0"/>
          <c:showBubbleSize val="0"/>
        </c:dLbls>
        <c:marker val="1"/>
        <c:smooth val="0"/>
        <c:axId val="84078592"/>
        <c:axId val="84080128"/>
      </c:lineChart>
      <c:dateAx>
        <c:axId val="84078592"/>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4080128"/>
        <c:crosses val="autoZero"/>
        <c:auto val="1"/>
        <c:lblOffset val="100"/>
        <c:baseTimeUnit val="days"/>
      </c:dateAx>
      <c:valAx>
        <c:axId val="84080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4078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Sheet1!$T$3</c:f>
              <c:strCache>
                <c:ptCount val="1"/>
                <c:pt idx="0">
                  <c:v>Обсяг торгівлі акціями України</c:v>
                </c:pt>
              </c:strCache>
            </c:strRef>
          </c:tx>
          <c:spPr>
            <a:ln w="28575" cap="rnd">
              <a:solidFill>
                <a:schemeClr val="accent2"/>
              </a:solidFill>
              <a:round/>
            </a:ln>
            <a:effectLst/>
          </c:spPr>
          <c:marker>
            <c:symbol val="none"/>
          </c:marker>
          <c:cat>
            <c:numRef>
              <c:f>Sheet1!$R$4:$R$15</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Sheet1!$T$4:$T$15</c:f>
              <c:numCache>
                <c:formatCode>General</c:formatCode>
                <c:ptCount val="12"/>
                <c:pt idx="0">
                  <c:v>110.55863235599999</c:v>
                </c:pt>
                <c:pt idx="1">
                  <c:v>810.65271931199993</c:v>
                </c:pt>
                <c:pt idx="2">
                  <c:v>1313.8256593799999</c:v>
                </c:pt>
                <c:pt idx="3">
                  <c:v>349.33877722799997</c:v>
                </c:pt>
                <c:pt idx="4">
                  <c:v>185.17795808399998</c:v>
                </c:pt>
                <c:pt idx="5">
                  <c:v>231.96836386799998</c:v>
                </c:pt>
                <c:pt idx="6">
                  <c:v>119.70271990799999</c:v>
                </c:pt>
                <c:pt idx="7">
                  <c:v>66.254652503999992</c:v>
                </c:pt>
                <c:pt idx="8">
                  <c:v>61.901547767999993</c:v>
                </c:pt>
                <c:pt idx="9">
                  <c:v>25.694364491999998</c:v>
                </c:pt>
                <c:pt idx="10">
                  <c:v>3.1006596960000001</c:v>
                </c:pt>
                <c:pt idx="11">
                  <c:v>7.1743750919999991</c:v>
                </c:pt>
              </c:numCache>
            </c:numRef>
          </c:val>
          <c:smooth val="0"/>
          <c:extLst xmlns:c16r2="http://schemas.microsoft.com/office/drawing/2015/06/chart">
            <c:ext xmlns:c16="http://schemas.microsoft.com/office/drawing/2014/chart" uri="{C3380CC4-5D6E-409C-BE32-E72D297353CC}">
              <c16:uniqueId val="{00000000-EB9A-4F5D-9E92-D7A2705D868E}"/>
            </c:ext>
          </c:extLst>
        </c:ser>
        <c:dLbls>
          <c:showLegendKey val="0"/>
          <c:showVal val="0"/>
          <c:showCatName val="0"/>
          <c:showSerName val="0"/>
          <c:showPercent val="0"/>
          <c:showBubbleSize val="0"/>
        </c:dLbls>
        <c:marker val="1"/>
        <c:smooth val="0"/>
        <c:axId val="94844800"/>
        <c:axId val="94846336"/>
      </c:lineChart>
      <c:catAx>
        <c:axId val="94844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846336"/>
        <c:crosses val="autoZero"/>
        <c:auto val="1"/>
        <c:lblAlgn val="ctr"/>
        <c:lblOffset val="100"/>
        <c:noMultiLvlLbl val="0"/>
      </c:catAx>
      <c:valAx>
        <c:axId val="94846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844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0.18063</cdr:x>
      <cdr:y>0.29131</cdr:y>
    </cdr:from>
    <cdr:to>
      <cdr:x>0.18063</cdr:x>
      <cdr:y>0.94037</cdr:y>
    </cdr:to>
    <cdr:cxnSp macro="">
      <cdr:nvCxnSpPr>
        <cdr:cNvPr id="3" name="Straight Connector 2">
          <a:extLst xmlns:a="http://schemas.openxmlformats.org/drawingml/2006/main">
            <a:ext uri="{FF2B5EF4-FFF2-40B4-BE49-F238E27FC236}">
              <a16:creationId xmlns:a16="http://schemas.microsoft.com/office/drawing/2014/main" xmlns="" id="{1776CB2E-4BD4-40E6-946D-4B6688612342}"/>
            </a:ext>
          </a:extLst>
        </cdr:cNvPr>
        <cdr:cNvCxnSpPr/>
      </cdr:nvCxnSpPr>
      <cdr:spPr>
        <a:xfrm xmlns:a="http://schemas.openxmlformats.org/drawingml/2006/main">
          <a:off x="1264920" y="1303020"/>
          <a:ext cx="0" cy="2903220"/>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0.25462</cdr:x>
      <cdr:y>0.43767</cdr:y>
    </cdr:from>
    <cdr:to>
      <cdr:x>0.25462</cdr:x>
      <cdr:y>0.94378</cdr:y>
    </cdr:to>
    <cdr:cxnSp macro="">
      <cdr:nvCxnSpPr>
        <cdr:cNvPr id="5" name="Straight Connector 4">
          <a:extLst xmlns:a="http://schemas.openxmlformats.org/drawingml/2006/main">
            <a:ext uri="{FF2B5EF4-FFF2-40B4-BE49-F238E27FC236}">
              <a16:creationId xmlns:a16="http://schemas.microsoft.com/office/drawing/2014/main" xmlns="" id="{CE855389-139F-4983-A7C8-A45DC294FE7D}"/>
            </a:ext>
          </a:extLst>
        </cdr:cNvPr>
        <cdr:cNvCxnSpPr/>
      </cdr:nvCxnSpPr>
      <cdr:spPr>
        <a:xfrm xmlns:a="http://schemas.openxmlformats.org/drawingml/2006/main">
          <a:off x="1501718" y="1257300"/>
          <a:ext cx="0" cy="1453935"/>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0.26486</cdr:x>
      <cdr:y>0.4244</cdr:y>
    </cdr:from>
    <cdr:to>
      <cdr:x>0.26659</cdr:x>
      <cdr:y>0.94549</cdr:y>
    </cdr:to>
    <cdr:cxnSp macro="">
      <cdr:nvCxnSpPr>
        <cdr:cNvPr id="7" name="Straight Connector 6">
          <a:extLst xmlns:a="http://schemas.openxmlformats.org/drawingml/2006/main">
            <a:ext uri="{FF2B5EF4-FFF2-40B4-BE49-F238E27FC236}">
              <a16:creationId xmlns:a16="http://schemas.microsoft.com/office/drawing/2014/main" xmlns="" id="{5355540A-0283-40CC-B16F-C6ECE6D64F84}"/>
            </a:ext>
          </a:extLst>
        </cdr:cNvPr>
        <cdr:cNvCxnSpPr/>
      </cdr:nvCxnSpPr>
      <cdr:spPr>
        <a:xfrm xmlns:a="http://schemas.openxmlformats.org/drawingml/2006/main">
          <a:off x="1562100" y="1219200"/>
          <a:ext cx="10216" cy="149694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0.26986</cdr:x>
      <cdr:y>0.39523</cdr:y>
    </cdr:from>
    <cdr:to>
      <cdr:x>0.27312</cdr:x>
      <cdr:y>0.95571</cdr:y>
    </cdr:to>
    <cdr:cxnSp macro="">
      <cdr:nvCxnSpPr>
        <cdr:cNvPr id="9" name="Straight Connector 8">
          <a:extLst xmlns:a="http://schemas.openxmlformats.org/drawingml/2006/main">
            <a:ext uri="{FF2B5EF4-FFF2-40B4-BE49-F238E27FC236}">
              <a16:creationId xmlns:a16="http://schemas.microsoft.com/office/drawing/2014/main" xmlns="" id="{DC0A80A9-660E-4615-8C55-D12B50E4691A}"/>
            </a:ext>
          </a:extLst>
        </cdr:cNvPr>
        <cdr:cNvCxnSpPr/>
      </cdr:nvCxnSpPr>
      <cdr:spPr>
        <a:xfrm xmlns:a="http://schemas.openxmlformats.org/drawingml/2006/main">
          <a:off x="1889760" y="1767840"/>
          <a:ext cx="22860" cy="250698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0.39608</cdr:x>
      <cdr:y>0.35809</cdr:y>
    </cdr:from>
    <cdr:to>
      <cdr:x>0.40052</cdr:x>
      <cdr:y>0.94549</cdr:y>
    </cdr:to>
    <cdr:cxnSp macro="">
      <cdr:nvCxnSpPr>
        <cdr:cNvPr id="11" name="Straight Connector 10">
          <a:extLst xmlns:a="http://schemas.openxmlformats.org/drawingml/2006/main">
            <a:ext uri="{FF2B5EF4-FFF2-40B4-BE49-F238E27FC236}">
              <a16:creationId xmlns:a16="http://schemas.microsoft.com/office/drawing/2014/main" xmlns="" id="{200A3149-C5E7-4B0A-B648-4CA9037480A1}"/>
            </a:ext>
          </a:extLst>
        </cdr:cNvPr>
        <cdr:cNvCxnSpPr/>
      </cdr:nvCxnSpPr>
      <cdr:spPr>
        <a:xfrm xmlns:a="http://schemas.openxmlformats.org/drawingml/2006/main" flipH="1">
          <a:off x="2336032" y="1028700"/>
          <a:ext cx="26168" cy="1687447"/>
        </a:xfrm>
        <a:prstGeom xmlns:a="http://schemas.openxmlformats.org/drawingml/2006/main" prst="line">
          <a:avLst/>
        </a:prstGeom>
        <a:ln xmlns:a="http://schemas.openxmlformats.org/drawingml/2006/main">
          <a:solidFill>
            <a:srgbClr val="FFFF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0.45702</cdr:x>
      <cdr:y>0.30504</cdr:y>
    </cdr:from>
    <cdr:to>
      <cdr:x>0.45866</cdr:x>
      <cdr:y>0.96422</cdr:y>
    </cdr:to>
    <cdr:cxnSp macro="">
      <cdr:nvCxnSpPr>
        <cdr:cNvPr id="13" name="Straight Connector 12">
          <a:extLst xmlns:a="http://schemas.openxmlformats.org/drawingml/2006/main">
            <a:ext uri="{FF2B5EF4-FFF2-40B4-BE49-F238E27FC236}">
              <a16:creationId xmlns:a16="http://schemas.microsoft.com/office/drawing/2014/main" xmlns="" id="{79E3E818-F466-4CB6-9F9B-D92C87505C93}"/>
            </a:ext>
          </a:extLst>
        </cdr:cNvPr>
        <cdr:cNvCxnSpPr/>
      </cdr:nvCxnSpPr>
      <cdr:spPr>
        <a:xfrm xmlns:a="http://schemas.openxmlformats.org/drawingml/2006/main" flipH="1">
          <a:off x="2695450" y="876300"/>
          <a:ext cx="9650" cy="1893653"/>
        </a:xfrm>
        <a:prstGeom xmlns:a="http://schemas.openxmlformats.org/drawingml/2006/main" prst="line">
          <a:avLst/>
        </a:prstGeom>
        <a:ln xmlns:a="http://schemas.openxmlformats.org/drawingml/2006/main">
          <a:solidFill>
            <a:srgbClr val="FFFF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0.82699</cdr:x>
      <cdr:y>0.28382</cdr:y>
    </cdr:from>
    <cdr:to>
      <cdr:x>0.82699</cdr:x>
      <cdr:y>0.9523</cdr:y>
    </cdr:to>
    <cdr:cxnSp macro="">
      <cdr:nvCxnSpPr>
        <cdr:cNvPr id="15" name="Straight Connector 14">
          <a:extLst xmlns:a="http://schemas.openxmlformats.org/drawingml/2006/main">
            <a:ext uri="{FF2B5EF4-FFF2-40B4-BE49-F238E27FC236}">
              <a16:creationId xmlns:a16="http://schemas.microsoft.com/office/drawing/2014/main" xmlns="" id="{BA45D73A-7AAA-4FF0-AD13-7A74DD4236BF}"/>
            </a:ext>
          </a:extLst>
        </cdr:cNvPr>
        <cdr:cNvCxnSpPr/>
      </cdr:nvCxnSpPr>
      <cdr:spPr>
        <a:xfrm xmlns:a="http://schemas.openxmlformats.org/drawingml/2006/main">
          <a:off x="4877488" y="815340"/>
          <a:ext cx="0" cy="192037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0.90533</cdr:x>
      <cdr:y>0.23873</cdr:y>
    </cdr:from>
    <cdr:to>
      <cdr:x>0.90533</cdr:x>
      <cdr:y>0.94549</cdr:y>
    </cdr:to>
    <cdr:cxnSp macro="">
      <cdr:nvCxnSpPr>
        <cdr:cNvPr id="17" name="Straight Connector 16">
          <a:extLst xmlns:a="http://schemas.openxmlformats.org/drawingml/2006/main">
            <a:ext uri="{FF2B5EF4-FFF2-40B4-BE49-F238E27FC236}">
              <a16:creationId xmlns:a16="http://schemas.microsoft.com/office/drawing/2014/main" xmlns="" id="{A3317B44-6737-4332-BADA-EF0A3988F16A}"/>
            </a:ext>
          </a:extLst>
        </cdr:cNvPr>
        <cdr:cNvCxnSpPr/>
      </cdr:nvCxnSpPr>
      <cdr:spPr>
        <a:xfrm xmlns:a="http://schemas.openxmlformats.org/drawingml/2006/main">
          <a:off x="5339528" y="685800"/>
          <a:ext cx="0" cy="203034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3A98C4-2D5B-4976-B719-91F43491C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49375</Words>
  <Characters>28145</Characters>
  <Application>Microsoft Office Word</Application>
  <DocSecurity>0</DocSecurity>
  <Lines>234</Lines>
  <Paragraphs>154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77366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John</dc:creator>
  <cp:lastModifiedBy>admin</cp:lastModifiedBy>
  <cp:revision>2</cp:revision>
  <dcterms:created xsi:type="dcterms:W3CDTF">2022-02-23T12:59:00Z</dcterms:created>
  <dcterms:modified xsi:type="dcterms:W3CDTF">2022-02-23T12:59:00Z</dcterms:modified>
</cp:coreProperties>
</file>