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CA7" w:rsidRPr="00720CA7" w:rsidRDefault="00720CA7" w:rsidP="00720CA7">
      <w:pPr>
        <w:spacing w:after="160" w:line="256" w:lineRule="auto"/>
        <w:jc w:val="center"/>
        <w:rPr>
          <w:rFonts w:ascii="Times New Roman" w:eastAsia="Calibri" w:hAnsi="Times New Roman" w:cs="Times New Roman"/>
          <w:caps/>
          <w:sz w:val="28"/>
          <w:szCs w:val="28"/>
        </w:rPr>
      </w:pPr>
      <w:r w:rsidRPr="00720CA7">
        <w:rPr>
          <w:rFonts w:ascii="Times New Roman" w:eastAsia="Calibri" w:hAnsi="Times New Roman" w:cs="Times New Roman"/>
          <w:caps/>
          <w:sz w:val="28"/>
          <w:szCs w:val="28"/>
        </w:rPr>
        <w:t>Одеський національний університет імені І.І. Мечникова</w:t>
      </w:r>
    </w:p>
    <w:p w:rsidR="00720CA7" w:rsidRPr="00720CA7" w:rsidRDefault="00720CA7" w:rsidP="00720CA7">
      <w:pPr>
        <w:spacing w:after="160" w:line="25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>Біологічний факультет</w:t>
      </w:r>
    </w:p>
    <w:p w:rsidR="00720CA7" w:rsidRPr="00720CA7" w:rsidRDefault="00720CA7" w:rsidP="00720CA7">
      <w:pPr>
        <w:spacing w:after="160" w:line="25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>Кафедра мікробіології, вірусології та біотехнології</w:t>
      </w:r>
    </w:p>
    <w:p w:rsidR="00720CA7" w:rsidRPr="00720CA7" w:rsidRDefault="00720CA7" w:rsidP="00720CA7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720CA7" w:rsidRPr="00720CA7" w:rsidRDefault="00720CA7" w:rsidP="00720CA7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</w:rPr>
      </w:pPr>
      <w:r w:rsidRPr="00720CA7">
        <w:rPr>
          <w:rFonts w:ascii="Times New Roman" w:eastAsia="Calibri" w:hAnsi="Times New Roman" w:cs="Times New Roman"/>
          <w:b/>
          <w:spacing w:val="60"/>
          <w:sz w:val="32"/>
          <w:szCs w:val="32"/>
        </w:rPr>
        <w:t>Дипломна робота</w:t>
      </w:r>
    </w:p>
    <w:p w:rsidR="00720CA7" w:rsidRPr="00720CA7" w:rsidRDefault="00720CA7" w:rsidP="00720CA7">
      <w:pPr>
        <w:spacing w:after="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720CA7" w:rsidRPr="00720CA7" w:rsidRDefault="00720CA7" w:rsidP="00720CA7">
      <w:pPr>
        <w:spacing w:after="0" w:line="25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>бакалавра</w:t>
      </w:r>
    </w:p>
    <w:p w:rsidR="00720CA7" w:rsidRPr="00720CA7" w:rsidRDefault="00720CA7" w:rsidP="00720CA7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720CA7" w:rsidRPr="00720CA7" w:rsidRDefault="00720CA7" w:rsidP="00720CA7">
      <w:pPr>
        <w:widowControl w:val="0"/>
        <w:autoSpaceDE w:val="0"/>
        <w:autoSpaceDN w:val="0"/>
        <w:adjustRightInd w:val="0"/>
        <w:spacing w:after="160" w:line="24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>на тему:</w:t>
      </w:r>
      <w:r w:rsidRPr="00720CA7">
        <w:rPr>
          <w:rFonts w:ascii="Times New Roman" w:eastAsia="Calibri" w:hAnsi="Times New Roman" w:cs="Times New Roman"/>
          <w:b/>
          <w:color w:val="FF0000"/>
          <w:sz w:val="28"/>
          <w:szCs w:val="28"/>
        </w:rPr>
        <w:t xml:space="preserve"> </w:t>
      </w:r>
      <w:r w:rsidRPr="00720CA7">
        <w:rPr>
          <w:rFonts w:ascii="Times New Roman" w:eastAsia="Calibri" w:hAnsi="Times New Roman" w:cs="Times New Roman"/>
          <w:b/>
          <w:sz w:val="28"/>
          <w:szCs w:val="28"/>
        </w:rPr>
        <w:t>«</w:t>
      </w:r>
      <w:r w:rsidRPr="00720CA7">
        <w:rPr>
          <w:rFonts w:ascii="Times New Roman" w:eastAsia="Calibri" w:hAnsi="Times New Roman" w:cs="Times New Roman"/>
          <w:b/>
          <w:i/>
          <w:iCs/>
          <w:sz w:val="28"/>
          <w:szCs w:val="28"/>
          <w:lang w:eastAsia="uk-UA"/>
        </w:rPr>
        <w:t xml:space="preserve">Біосинтез піоціаніну за різних умов культивування </w:t>
      </w:r>
      <w:r w:rsidRPr="00720CA7">
        <w:rPr>
          <w:rFonts w:ascii="Times New Roman" w:eastAsia="Calibri" w:hAnsi="Times New Roman" w:cs="Times New Roman"/>
          <w:b/>
          <w:i/>
          <w:iCs/>
          <w:sz w:val="28"/>
          <w:szCs w:val="28"/>
          <w:lang w:val="en-US"/>
        </w:rPr>
        <w:t>Pseudomonas</w:t>
      </w:r>
      <w:r w:rsidRPr="00720CA7">
        <w:rPr>
          <w:rFonts w:ascii="Times New Roman" w:eastAsia="Calibri" w:hAnsi="Times New Roman" w:cs="Times New Roman"/>
          <w:b/>
          <w:i/>
          <w:iCs/>
          <w:sz w:val="28"/>
          <w:szCs w:val="28"/>
        </w:rPr>
        <w:t xml:space="preserve"> </w:t>
      </w:r>
      <w:r w:rsidRPr="00720CA7">
        <w:rPr>
          <w:rFonts w:ascii="Times New Roman" w:eastAsia="Calibri" w:hAnsi="Times New Roman" w:cs="Times New Roman"/>
          <w:b/>
          <w:i/>
          <w:iCs/>
          <w:sz w:val="28"/>
          <w:szCs w:val="28"/>
          <w:lang w:val="en-US"/>
        </w:rPr>
        <w:t>aeruginosa</w:t>
      </w:r>
      <w:r w:rsidRPr="00720CA7">
        <w:rPr>
          <w:rFonts w:ascii="Times New Roman" w:eastAsia="Calibri" w:hAnsi="Times New Roman" w:cs="Times New Roman"/>
          <w:b/>
          <w:sz w:val="28"/>
          <w:szCs w:val="28"/>
        </w:rPr>
        <w:t>»</w:t>
      </w:r>
    </w:p>
    <w:p w:rsidR="00720CA7" w:rsidRPr="00720CA7" w:rsidRDefault="00720CA7" w:rsidP="00720CA7">
      <w:pPr>
        <w:widowControl w:val="0"/>
        <w:autoSpaceDE w:val="0"/>
        <w:autoSpaceDN w:val="0"/>
        <w:adjustRightInd w:val="0"/>
        <w:spacing w:after="160" w:line="240" w:lineRule="auto"/>
        <w:jc w:val="center"/>
        <w:rPr>
          <w:rFonts w:ascii="Times New Roman" w:eastAsia="Calibri" w:hAnsi="Times New Roman" w:cs="Times New Roman"/>
          <w:kern w:val="28"/>
          <w:sz w:val="24"/>
          <w:szCs w:val="24"/>
        </w:rPr>
      </w:pPr>
      <w:r w:rsidRPr="00720CA7">
        <w:rPr>
          <w:rFonts w:ascii="Times New Roman" w:eastAsia="Calibri" w:hAnsi="Times New Roman" w:cs="Times New Roman"/>
          <w:bCs/>
          <w:sz w:val="24"/>
          <w:szCs w:val="24"/>
        </w:rPr>
        <w:t>«</w:t>
      </w:r>
      <w:r w:rsidRPr="00720CA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Piocionin biosynthesis in </w:t>
      </w:r>
      <w:r w:rsidRPr="00720CA7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Pseudomonas</w:t>
      </w:r>
      <w:r w:rsidRPr="00720CA7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r w:rsidRPr="00720CA7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aeruginosa</w:t>
      </w:r>
      <w:r w:rsidRPr="00720CA7">
        <w:rPr>
          <w:rFonts w:ascii="Times New Roman" w:eastAsia="Calibri" w:hAnsi="Times New Roman" w:cs="Times New Roman"/>
          <w:iCs/>
          <w:sz w:val="24"/>
          <w:szCs w:val="24"/>
          <w:lang w:val="en-US"/>
        </w:rPr>
        <w:t xml:space="preserve"> under different culture conditions</w:t>
      </w:r>
      <w:r w:rsidRPr="00720CA7">
        <w:rPr>
          <w:rFonts w:ascii="Times New Roman" w:eastAsia="Calibri" w:hAnsi="Times New Roman" w:cs="Times New Roman"/>
          <w:color w:val="000000"/>
          <w:sz w:val="24"/>
          <w:szCs w:val="24"/>
        </w:rPr>
        <w:t>»</w:t>
      </w:r>
    </w:p>
    <w:p w:rsidR="00720CA7" w:rsidRPr="00720CA7" w:rsidRDefault="00720CA7" w:rsidP="00720CA7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u w:val="single"/>
        </w:rPr>
      </w:pPr>
    </w:p>
    <w:p w:rsidR="00720CA7" w:rsidRPr="00720CA7" w:rsidRDefault="00720CA7" w:rsidP="00720CA7">
      <w:pPr>
        <w:tabs>
          <w:tab w:val="right" w:pos="9355"/>
        </w:tabs>
        <w:spacing w:after="0" w:line="240" w:lineRule="auto"/>
        <w:rPr>
          <w:rFonts w:ascii="Times New Roman" w:eastAsia="Calibri" w:hAnsi="Times New Roman" w:cs="Times New Roman"/>
          <w:u w:val="single"/>
        </w:rPr>
      </w:pPr>
    </w:p>
    <w:p w:rsidR="00720CA7" w:rsidRPr="00720CA7" w:rsidRDefault="00720CA7" w:rsidP="00720CA7">
      <w:pPr>
        <w:tabs>
          <w:tab w:val="right" w:pos="9355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720CA7" w:rsidRPr="00720CA7" w:rsidRDefault="00720CA7" w:rsidP="00720CA7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Виконав: студент денної форми навчання</w:t>
      </w:r>
    </w:p>
    <w:p w:rsidR="00720CA7" w:rsidRPr="00720CA7" w:rsidRDefault="00720CA7" w:rsidP="00720CA7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напряму підготовки  6.051401  Біотехнологія</w:t>
      </w:r>
    </w:p>
    <w:p w:rsidR="00720CA7" w:rsidRPr="00720CA7" w:rsidRDefault="00720CA7" w:rsidP="00720CA7">
      <w:pPr>
        <w:widowControl w:val="0"/>
        <w:autoSpaceDE w:val="0"/>
        <w:autoSpaceDN w:val="0"/>
        <w:adjustRightInd w:val="0"/>
        <w:spacing w:after="0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720CA7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                                                Кожухар Роман Сергійович</w:t>
      </w:r>
    </w:p>
    <w:p w:rsidR="00720CA7" w:rsidRPr="00720CA7" w:rsidRDefault="00720CA7" w:rsidP="00720CA7">
      <w:pPr>
        <w:spacing w:after="0" w:line="240" w:lineRule="auto"/>
        <w:ind w:left="2552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720CA7" w:rsidRPr="00720CA7" w:rsidRDefault="00720CA7" w:rsidP="00720CA7">
      <w:pPr>
        <w:widowControl w:val="0"/>
        <w:autoSpaceDE w:val="0"/>
        <w:autoSpaceDN w:val="0"/>
        <w:adjustRightInd w:val="0"/>
        <w:spacing w:after="0" w:line="256" w:lineRule="auto"/>
        <w:ind w:left="255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                   Науковий керівник   </w:t>
      </w:r>
    </w:p>
    <w:p w:rsidR="00720CA7" w:rsidRPr="00720CA7" w:rsidRDefault="00720CA7" w:rsidP="00720CA7">
      <w:pPr>
        <w:widowControl w:val="0"/>
        <w:autoSpaceDE w:val="0"/>
        <w:autoSpaceDN w:val="0"/>
        <w:adjustRightInd w:val="0"/>
        <w:spacing w:after="0" w:line="256" w:lineRule="auto"/>
        <w:ind w:left="255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            д.б.н., професор Філіпова Т. О.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720CA7" w:rsidRPr="00720CA7" w:rsidRDefault="00720CA7" w:rsidP="00720CA7">
      <w:pPr>
        <w:tabs>
          <w:tab w:val="left" w:pos="5245"/>
          <w:tab w:val="right" w:pos="9355"/>
        </w:tabs>
        <w:spacing w:before="120" w:after="0" w:line="256" w:lineRule="auto"/>
        <w:ind w:left="2552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720CA7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                    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Рецензент    </w:t>
      </w:r>
    </w:p>
    <w:p w:rsidR="00720CA7" w:rsidRPr="00720CA7" w:rsidRDefault="00720CA7" w:rsidP="00720CA7">
      <w:pPr>
        <w:tabs>
          <w:tab w:val="left" w:pos="5245"/>
          <w:tab w:val="right" w:pos="9355"/>
        </w:tabs>
        <w:spacing w:after="0" w:line="256" w:lineRule="auto"/>
        <w:ind w:left="2552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к.б.н., доцент Майкова Г.В.</w:t>
      </w:r>
    </w:p>
    <w:p w:rsidR="00720CA7" w:rsidRPr="00720CA7" w:rsidRDefault="00720CA7" w:rsidP="00720CA7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720CA7" w:rsidRPr="00720CA7" w:rsidRDefault="00720CA7" w:rsidP="00720CA7">
      <w:pPr>
        <w:spacing w:after="0" w:line="240" w:lineRule="auto"/>
        <w:ind w:left="3969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264" w:type="pct"/>
        <w:jc w:val="center"/>
        <w:tblLook w:val="00A0" w:firstRow="1" w:lastRow="0" w:firstColumn="1" w:lastColumn="0" w:noHBand="0" w:noVBand="0"/>
      </w:tblPr>
      <w:tblGrid>
        <w:gridCol w:w="5080"/>
        <w:gridCol w:w="5295"/>
      </w:tblGrid>
      <w:tr w:rsidR="00720CA7" w:rsidRPr="00720CA7" w:rsidTr="00720CA7">
        <w:trPr>
          <w:jc w:val="center"/>
        </w:trPr>
        <w:tc>
          <w:tcPr>
            <w:tcW w:w="4934" w:type="dxa"/>
            <w:hideMark/>
          </w:tcPr>
          <w:p w:rsidR="00720CA7" w:rsidRPr="00720CA7" w:rsidRDefault="00720CA7" w:rsidP="00720C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20CA7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720CA7" w:rsidRPr="00720CA7" w:rsidRDefault="00720CA7" w:rsidP="00720CA7">
            <w:pPr>
              <w:spacing w:before="12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720CA7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720CA7" w:rsidRPr="00720CA7" w:rsidRDefault="00720CA7" w:rsidP="00720CA7">
            <w:pPr>
              <w:spacing w:before="120" w:after="0" w:line="256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720CA7">
              <w:rPr>
                <w:rFonts w:ascii="Times New Roman" w:eastAsia="Calibri" w:hAnsi="Times New Roman" w:cs="Times New Roman"/>
                <w:sz w:val="28"/>
                <w:szCs w:val="28"/>
              </w:rPr>
              <w:t>№ ___  від __________2018 року</w:t>
            </w:r>
          </w:p>
          <w:p w:rsidR="00720CA7" w:rsidRPr="00720CA7" w:rsidRDefault="00720CA7" w:rsidP="00720CA7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720CA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</w:p>
          <w:p w:rsidR="00720CA7" w:rsidRPr="00720CA7" w:rsidRDefault="00720CA7" w:rsidP="00720CA7">
            <w:pPr>
              <w:spacing w:before="120" w:after="0" w:line="256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720CA7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720CA7" w:rsidRPr="00720CA7" w:rsidRDefault="00720CA7" w:rsidP="00720CA7">
            <w:pPr>
              <w:spacing w:before="120" w:after="0" w:line="256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720CA7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  <w:t xml:space="preserve">              </w:t>
            </w:r>
            <w:r w:rsidRPr="00720CA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Т. О. Філіпова</w:t>
            </w:r>
          </w:p>
          <w:p w:rsidR="00720CA7" w:rsidRPr="00720CA7" w:rsidRDefault="00720CA7" w:rsidP="00720CA7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0CA7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       (підпис)</w:t>
            </w:r>
          </w:p>
        </w:tc>
        <w:tc>
          <w:tcPr>
            <w:tcW w:w="5143" w:type="dxa"/>
            <w:hideMark/>
          </w:tcPr>
          <w:p w:rsidR="00720CA7" w:rsidRPr="00720CA7" w:rsidRDefault="00720CA7" w:rsidP="00720CA7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20CA7">
              <w:rPr>
                <w:rFonts w:ascii="Times New Roman" w:eastAsia="Calibri" w:hAnsi="Times New Roman" w:cs="Times New Roman"/>
                <w:sz w:val="28"/>
                <w:szCs w:val="28"/>
              </w:rPr>
              <w:t>Захищено на засіданні ЕК №  3</w:t>
            </w:r>
          </w:p>
          <w:p w:rsidR="00720CA7" w:rsidRPr="00720CA7" w:rsidRDefault="00720CA7" w:rsidP="00720CA7">
            <w:pPr>
              <w:tabs>
                <w:tab w:val="right" w:pos="4462"/>
              </w:tabs>
              <w:spacing w:before="120" w:after="0" w:line="240" w:lineRule="auto"/>
              <w:ind w:right="-32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720CA7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___ від ________2018 року</w:t>
            </w:r>
            <w:r w:rsidRPr="00720CA7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720CA7" w:rsidRPr="00720CA7" w:rsidRDefault="00720CA7" w:rsidP="00720CA7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720CA7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720CA7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  <w:r w:rsidRPr="00720CA7">
              <w:rPr>
                <w:rFonts w:ascii="Times New Roman" w:eastAsia="Calibri" w:hAnsi="Times New Roman" w:cs="Times New Roman"/>
                <w:sz w:val="28"/>
                <w:szCs w:val="28"/>
              </w:rPr>
              <w:t>___/_____</w:t>
            </w:r>
          </w:p>
          <w:p w:rsidR="00720CA7" w:rsidRPr="00720CA7" w:rsidRDefault="00720CA7" w:rsidP="00720CA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720CA7">
              <w:rPr>
                <w:rFonts w:ascii="Times New Roman" w:eastAsia="Calibri" w:hAnsi="Times New Roman" w:cs="Times New Roman"/>
                <w:sz w:val="20"/>
                <w:szCs w:val="20"/>
              </w:rPr>
              <w:t>(за національною шкалою, шкалою ЕСТS, бали)</w:t>
            </w:r>
          </w:p>
          <w:p w:rsidR="00720CA7" w:rsidRPr="00720CA7" w:rsidRDefault="00720CA7" w:rsidP="00720CA7">
            <w:pPr>
              <w:spacing w:before="20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720CA7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720CA7" w:rsidRPr="00720CA7" w:rsidRDefault="00720CA7" w:rsidP="00720CA7">
            <w:pPr>
              <w:spacing w:before="12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720CA7">
              <w:rPr>
                <w:rFonts w:ascii="Times New Roman" w:eastAsia="Calibri" w:hAnsi="Times New Roman" w:cs="Times New Roman"/>
                <w:sz w:val="28"/>
                <w:szCs w:val="28"/>
              </w:rPr>
              <w:t>_______________           Ямборко Г. В.</w:t>
            </w:r>
          </w:p>
          <w:p w:rsidR="00720CA7" w:rsidRPr="00720CA7" w:rsidRDefault="00720CA7" w:rsidP="00720CA7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20CA7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            (підпис)</w:t>
            </w:r>
            <w:r w:rsidRPr="00720CA7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</w:tr>
      <w:tr w:rsidR="00720CA7" w:rsidRPr="00720CA7" w:rsidTr="00720CA7">
        <w:trPr>
          <w:jc w:val="center"/>
        </w:trPr>
        <w:tc>
          <w:tcPr>
            <w:tcW w:w="4934" w:type="dxa"/>
          </w:tcPr>
          <w:p w:rsidR="00720CA7" w:rsidRPr="00720CA7" w:rsidRDefault="00720CA7" w:rsidP="00720C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5143" w:type="dxa"/>
          </w:tcPr>
          <w:p w:rsidR="00720CA7" w:rsidRPr="00720CA7" w:rsidRDefault="00720CA7" w:rsidP="00720C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720CA7" w:rsidRPr="00720CA7" w:rsidRDefault="00720CA7" w:rsidP="00720C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20CA7" w:rsidRPr="00720CA7" w:rsidRDefault="00720CA7" w:rsidP="00720C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20CA7" w:rsidRPr="00720CA7" w:rsidRDefault="00720CA7" w:rsidP="00720C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20CA7" w:rsidRPr="00720CA7" w:rsidRDefault="00720CA7" w:rsidP="00720C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20CA7" w:rsidRPr="00720CA7" w:rsidRDefault="00720CA7" w:rsidP="00720C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20CA7" w:rsidRPr="00720CA7" w:rsidRDefault="00720CA7" w:rsidP="00720CA7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Одеса – 2018 </w:t>
      </w:r>
    </w:p>
    <w:p w:rsidR="00A54559" w:rsidRDefault="00A54559">
      <w:pPr>
        <w:rPr>
          <w:lang w:val="ru-RU"/>
        </w:rPr>
      </w:pPr>
    </w:p>
    <w:p w:rsidR="00720CA7" w:rsidRDefault="00720CA7">
      <w:pPr>
        <w:rPr>
          <w:lang w:val="ru-RU"/>
        </w:rPr>
      </w:pP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Arial" w:hAnsi="Times New Roman" w:cs="Times New Roman"/>
          <w:b/>
          <w:color w:val="000000"/>
          <w:sz w:val="28"/>
          <w:szCs w:val="28"/>
          <w:lang w:eastAsia="ru-RU"/>
        </w:rPr>
      </w:pPr>
      <w:r w:rsidRPr="00720CA7">
        <w:rPr>
          <w:rFonts w:ascii="Times New Roman" w:eastAsia="Arial" w:hAnsi="Times New Roman" w:cs="Times New Roman"/>
          <w:b/>
          <w:color w:val="000000"/>
          <w:sz w:val="28"/>
          <w:szCs w:val="28"/>
          <w:lang w:eastAsia="ru-RU"/>
        </w:rPr>
        <w:lastRenderedPageBreak/>
        <w:t>ЗМІСТ</w:t>
      </w:r>
    </w:p>
    <w:p w:rsidR="00720CA7" w:rsidRPr="00720CA7" w:rsidRDefault="00720CA7" w:rsidP="00720CA7">
      <w:pPr>
        <w:spacing w:after="0" w:line="360" w:lineRule="auto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720CA7">
        <w:rPr>
          <w:rFonts w:ascii="Times New Roman" w:eastAsia="Arial" w:hAnsi="Times New Roman" w:cs="Times New Roman"/>
          <w:b/>
          <w:caps/>
          <w:color w:val="000000"/>
          <w:sz w:val="28"/>
          <w:szCs w:val="28"/>
          <w:lang w:eastAsia="ru-RU"/>
        </w:rPr>
        <w:t>Вступ</w:t>
      </w: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……………………………………………………………………………4</w:t>
      </w:r>
    </w:p>
    <w:p w:rsidR="00720CA7" w:rsidRPr="00720CA7" w:rsidRDefault="00720CA7" w:rsidP="00720CA7">
      <w:pPr>
        <w:spacing w:after="0" w:line="360" w:lineRule="auto"/>
        <w:rPr>
          <w:rFonts w:ascii="Times New Roman" w:eastAsia="Calibri" w:hAnsi="Times New Roman" w:cs="Times New Roman"/>
          <w:caps/>
          <w:sz w:val="28"/>
          <w:szCs w:val="28"/>
        </w:rPr>
      </w:pPr>
      <w:r w:rsidRPr="00720CA7">
        <w:rPr>
          <w:rFonts w:ascii="Times New Roman" w:eastAsia="Calibri" w:hAnsi="Times New Roman" w:cs="Times New Roman"/>
          <w:caps/>
          <w:sz w:val="28"/>
          <w:szCs w:val="28"/>
        </w:rPr>
        <w:t xml:space="preserve">1.  </w:t>
      </w:r>
      <w:r w:rsidRPr="00720CA7">
        <w:rPr>
          <w:rFonts w:ascii="Times New Roman" w:eastAsia="Calibri" w:hAnsi="Times New Roman" w:cs="Times New Roman"/>
          <w:b/>
          <w:caps/>
          <w:sz w:val="28"/>
          <w:szCs w:val="28"/>
        </w:rPr>
        <w:t>Огляд літератури</w:t>
      </w:r>
      <w:r w:rsidRPr="00720CA7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………………………………………………………7</w:t>
      </w:r>
    </w:p>
    <w:p w:rsidR="00720CA7" w:rsidRPr="00720CA7" w:rsidRDefault="00720CA7" w:rsidP="00720CA7">
      <w:p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1.1. Характеристика </w:t>
      </w:r>
      <w:r w:rsidRPr="00720CA7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>P. aeruginosa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……………………………………………....7</w:t>
      </w:r>
    </w:p>
    <w:p w:rsidR="00720CA7" w:rsidRPr="00720CA7" w:rsidRDefault="00720CA7" w:rsidP="00720CA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>1.2. Екологія…………………………………………………...…………………..9</w:t>
      </w:r>
    </w:p>
    <w:p w:rsidR="00720CA7" w:rsidRPr="00720CA7" w:rsidRDefault="00720CA7" w:rsidP="00720CA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>1.3. Структура геному…………………………………………………………...10</w:t>
      </w:r>
    </w:p>
    <w:p w:rsidR="00720CA7" w:rsidRPr="00720CA7" w:rsidRDefault="00720CA7" w:rsidP="00720CA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>1.4. Феназини та похідні феназинів…………………………………………….12</w:t>
      </w:r>
    </w:p>
    <w:p w:rsidR="00720CA7" w:rsidRPr="00720CA7" w:rsidRDefault="00720CA7" w:rsidP="00720CA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eastAsia="ja-JP"/>
        </w:rPr>
      </w:pPr>
      <w:r w:rsidRPr="00720CA7">
        <w:rPr>
          <w:rFonts w:ascii="Times New Roman" w:eastAsia="MS Mincho" w:hAnsi="Times New Roman" w:cs="Times New Roman"/>
          <w:sz w:val="28"/>
          <w:szCs w:val="28"/>
          <w:lang w:eastAsia="ja-JP"/>
        </w:rPr>
        <w:t>1.5. Синтез структурних представників феназинових похідних……………..16</w:t>
      </w:r>
    </w:p>
    <w:p w:rsidR="00720CA7" w:rsidRPr="00720CA7" w:rsidRDefault="00720CA7" w:rsidP="00720CA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>1.6. Роль в патогенезі та конкуренції…………………………………………...23</w:t>
      </w:r>
    </w:p>
    <w:p w:rsidR="00720CA7" w:rsidRPr="00720CA7" w:rsidRDefault="00720CA7" w:rsidP="00720CA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>1.7. Застосування в біотехнології…………………………………………….…28</w:t>
      </w:r>
    </w:p>
    <w:p w:rsidR="00720CA7" w:rsidRPr="00720CA7" w:rsidRDefault="00720CA7" w:rsidP="00720CA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2. </w:t>
      </w:r>
      <w:r w:rsidRPr="00720CA7">
        <w:rPr>
          <w:rFonts w:ascii="Times New Roman" w:eastAsia="Calibri" w:hAnsi="Times New Roman" w:cs="Times New Roman"/>
          <w:b/>
          <w:caps/>
          <w:sz w:val="28"/>
          <w:szCs w:val="28"/>
        </w:rPr>
        <w:t>Матеріали та методи</w:t>
      </w:r>
      <w:r w:rsidRPr="00720CA7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………………………………………………..20</w:t>
      </w:r>
    </w:p>
    <w:p w:rsidR="00720CA7" w:rsidRPr="00720CA7" w:rsidRDefault="00720CA7" w:rsidP="00720CA7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>2.1. Приготування поживних середовищ………………………………………29</w:t>
      </w:r>
    </w:p>
    <w:p w:rsidR="00720CA7" w:rsidRPr="00720CA7" w:rsidRDefault="00720CA7" w:rsidP="00720CA7">
      <w:pPr>
        <w:spacing w:after="0" w:line="360" w:lineRule="auto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2.2. Культивування досліджуваних штамів </w:t>
      </w:r>
      <w:r w:rsidRPr="00720CA7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>P. aeruginosa……………………….</w:t>
      </w: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30</w:t>
      </w:r>
    </w:p>
    <w:p w:rsidR="00720CA7" w:rsidRPr="00720CA7" w:rsidRDefault="00720CA7" w:rsidP="00720CA7">
      <w:pPr>
        <w:spacing w:after="0" w:line="360" w:lineRule="auto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2.2.1. Культивування на рідких середовищах LB та Гісса……………………30</w:t>
      </w:r>
    </w:p>
    <w:p w:rsidR="00720CA7" w:rsidRPr="00720CA7" w:rsidRDefault="00720CA7" w:rsidP="00720CA7">
      <w:pPr>
        <w:spacing w:after="0" w:line="360" w:lineRule="auto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2.2.2. Культивування на щільному середовищі MPA…………………………32</w:t>
      </w:r>
    </w:p>
    <w:p w:rsidR="00720CA7" w:rsidRPr="00720CA7" w:rsidRDefault="00720CA7" w:rsidP="00720CA7">
      <w:pPr>
        <w:spacing w:after="0" w:line="360" w:lineRule="auto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2.3. Екстракція піоціаніну……………………………………………………….32</w:t>
      </w:r>
    </w:p>
    <w:p w:rsidR="00720CA7" w:rsidRPr="00720CA7" w:rsidRDefault="00720CA7" w:rsidP="00720CA7">
      <w:pPr>
        <w:spacing w:after="0" w:line="360" w:lineRule="auto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2.4. Визначення концентрації піоціаніну за методом спектрофотометрії…...33</w:t>
      </w:r>
    </w:p>
    <w:p w:rsidR="00720CA7" w:rsidRPr="00720CA7" w:rsidRDefault="00720CA7" w:rsidP="00720CA7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 </w:t>
      </w:r>
      <w:r w:rsidRPr="00720CA7">
        <w:rPr>
          <w:rFonts w:ascii="Times New Roman" w:eastAsia="Calibri" w:hAnsi="Times New Roman" w:cs="Times New Roman"/>
          <w:b/>
          <w:caps/>
          <w:color w:val="000000"/>
          <w:sz w:val="28"/>
          <w:szCs w:val="28"/>
        </w:rPr>
        <w:t>Результати досліджень та їх обговорення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>………………34</w:t>
      </w:r>
    </w:p>
    <w:p w:rsidR="00720CA7" w:rsidRPr="00720CA7" w:rsidRDefault="00720CA7" w:rsidP="00720CA7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20CA7">
        <w:rPr>
          <w:rFonts w:ascii="Times New Roman" w:eastAsia="Times New Roman" w:hAnsi="Times New Roman" w:cs="Times New Roman"/>
          <w:color w:val="000000"/>
          <w:sz w:val="28"/>
          <w:szCs w:val="28"/>
        </w:rPr>
        <w:t>3.1. Технологічна схема отримання піоціаніну………………………………..34</w:t>
      </w:r>
    </w:p>
    <w:p w:rsidR="00720CA7" w:rsidRPr="00720CA7" w:rsidRDefault="00720CA7" w:rsidP="00720CA7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3.2 .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Біосинтез піоціаніну досліджуваними штамами </w:t>
      </w:r>
      <w:r w:rsidRPr="00720CA7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r w:rsidRPr="00720CA7">
        <w:rPr>
          <w:rFonts w:ascii="Times New Roman" w:eastAsia="Calibri" w:hAnsi="Times New Roman" w:cs="Times New Roman"/>
          <w:i/>
          <w:sz w:val="28"/>
          <w:szCs w:val="28"/>
          <w:lang w:val="ru-RU"/>
        </w:rPr>
        <w:t>aeruginosa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</w:p>
    <w:p w:rsidR="00720CA7" w:rsidRPr="00720CA7" w:rsidRDefault="00720CA7" w:rsidP="00720CA7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>на щільному поживному середовищі …………………………………………35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</w:p>
    <w:p w:rsidR="00720CA7" w:rsidRPr="00720CA7" w:rsidRDefault="00720CA7" w:rsidP="00720CA7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3.3. 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Біосинтез піоціаніну досліджуваними штамами </w:t>
      </w:r>
      <w:r w:rsidRPr="00720CA7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r w:rsidRPr="00720CA7">
        <w:rPr>
          <w:rFonts w:ascii="Times New Roman" w:eastAsia="Calibri" w:hAnsi="Times New Roman" w:cs="Times New Roman"/>
          <w:i/>
          <w:sz w:val="28"/>
          <w:szCs w:val="28"/>
          <w:lang w:val="ru-RU"/>
        </w:rPr>
        <w:t>aeruginosa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</w:p>
    <w:p w:rsidR="00720CA7" w:rsidRPr="00720CA7" w:rsidRDefault="00720CA7" w:rsidP="00720CA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>у рідких поживних середовищах ………………………………………………41</w:t>
      </w:r>
    </w:p>
    <w:p w:rsidR="00720CA7" w:rsidRPr="00720CA7" w:rsidRDefault="00720CA7" w:rsidP="00720CA7">
      <w:pPr>
        <w:spacing w:after="160" w:line="256" w:lineRule="auto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720CA7">
        <w:rPr>
          <w:rFonts w:ascii="Times New Roman" w:eastAsia="Arial" w:hAnsi="Times New Roman" w:cs="Times New Roman"/>
          <w:b/>
          <w:color w:val="000000"/>
          <w:sz w:val="28"/>
          <w:szCs w:val="28"/>
          <w:lang w:eastAsia="ru-RU"/>
        </w:rPr>
        <w:t>УЗАГАЛЬНЕННЯ</w:t>
      </w: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…………………………………………………………….42</w:t>
      </w:r>
    </w:p>
    <w:p w:rsidR="00720CA7" w:rsidRPr="00720CA7" w:rsidRDefault="00720CA7" w:rsidP="00720CA7">
      <w:pPr>
        <w:spacing w:after="160" w:line="360" w:lineRule="auto"/>
        <w:rPr>
          <w:rFonts w:ascii="Calibri" w:eastAsia="Calibri" w:hAnsi="Calibri" w:cs="Times New Roman"/>
        </w:rPr>
      </w:pPr>
      <w:r w:rsidRPr="00720CA7">
        <w:rPr>
          <w:rFonts w:ascii="Times New Roman" w:eastAsia="Arial" w:hAnsi="Times New Roman" w:cs="Times New Roman"/>
          <w:b/>
          <w:color w:val="000000"/>
          <w:sz w:val="28"/>
          <w:szCs w:val="28"/>
          <w:lang w:eastAsia="ru-RU"/>
        </w:rPr>
        <w:t>ВИСНОВКИ</w:t>
      </w: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……………………………………………………………………44 Список цитованої літератури…………………………………………………...45</w:t>
      </w: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Arial" w:hAnsi="Times New Roman" w:cs="Times New Roman"/>
          <w:b/>
          <w:color w:val="000000"/>
          <w:sz w:val="28"/>
          <w:szCs w:val="28"/>
          <w:lang w:eastAsia="ru-RU"/>
        </w:rPr>
      </w:pP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Arial" w:hAnsi="Times New Roman" w:cs="Times New Roman"/>
          <w:b/>
          <w:color w:val="000000"/>
          <w:sz w:val="28"/>
          <w:szCs w:val="28"/>
          <w:lang w:eastAsia="ru-RU"/>
        </w:rPr>
      </w:pP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Arial" w:hAnsi="Times New Roman" w:cs="Times New Roman"/>
          <w:b/>
          <w:caps/>
          <w:color w:val="000000"/>
          <w:sz w:val="28"/>
          <w:szCs w:val="28"/>
          <w:lang w:eastAsia="ru-RU"/>
        </w:rPr>
      </w:pPr>
    </w:p>
    <w:p w:rsidR="00720CA7" w:rsidRDefault="00720CA7" w:rsidP="00720CA7">
      <w:pPr>
        <w:spacing w:after="0" w:line="360" w:lineRule="auto"/>
        <w:jc w:val="center"/>
        <w:rPr>
          <w:rFonts w:ascii="Times New Roman" w:eastAsia="Arial" w:hAnsi="Times New Roman" w:cs="Times New Roman"/>
          <w:b/>
          <w:caps/>
          <w:color w:val="000000"/>
          <w:sz w:val="28"/>
          <w:szCs w:val="28"/>
          <w:lang w:val="ru-RU" w:eastAsia="ru-RU"/>
        </w:rPr>
      </w:pPr>
    </w:p>
    <w:p w:rsidR="00720CA7" w:rsidRDefault="00720CA7" w:rsidP="00720CA7">
      <w:pPr>
        <w:spacing w:after="0" w:line="360" w:lineRule="auto"/>
        <w:jc w:val="center"/>
        <w:rPr>
          <w:rFonts w:ascii="Times New Roman" w:eastAsia="Arial" w:hAnsi="Times New Roman" w:cs="Times New Roman"/>
          <w:b/>
          <w:caps/>
          <w:color w:val="000000"/>
          <w:sz w:val="28"/>
          <w:szCs w:val="28"/>
          <w:lang w:val="ru-RU" w:eastAsia="ru-RU"/>
        </w:rPr>
      </w:pP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Arial" w:hAnsi="Times New Roman" w:cs="Times New Roman"/>
          <w:b/>
          <w:caps/>
          <w:color w:val="000000"/>
          <w:sz w:val="28"/>
          <w:szCs w:val="28"/>
          <w:lang w:val="ru-RU" w:eastAsia="ru-RU"/>
        </w:rPr>
      </w:pPr>
      <w:r w:rsidRPr="00720CA7">
        <w:rPr>
          <w:rFonts w:ascii="Times New Roman" w:eastAsia="Arial" w:hAnsi="Times New Roman" w:cs="Times New Roman"/>
          <w:b/>
          <w:caps/>
          <w:color w:val="000000"/>
          <w:sz w:val="28"/>
          <w:szCs w:val="28"/>
          <w:lang w:eastAsia="ru-RU"/>
        </w:rPr>
        <w:lastRenderedPageBreak/>
        <w:t>Вступ</w:t>
      </w:r>
    </w:p>
    <w:p w:rsidR="00720CA7" w:rsidRPr="00720CA7" w:rsidRDefault="00720CA7" w:rsidP="00720CA7">
      <w:pPr>
        <w:spacing w:after="16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Більшість представників бактерій роду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Pseudomons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є продуцентами  багатьох важливих біологічно-активних речовин, які можуть використовуватись людиною в багатьох напрямах розвитку науки та виробництва, таких як медицина, біотехнологія рослин, екологія, біотехнологія виробництва, мікробіологія та інші. На даний момент представники  роду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Pseudomonas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 мають велику перспективу в використанні  їх в біотехнологічному виробництві  таких біологічно-активних речовин як, феназини, рамноліпіди, гомосеринлактони, хіноліни, піовердини, полісахариди, різні ферменти та інші речовини (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Pham T. H. </w:t>
      </w:r>
      <w:proofErr w:type="gramStart"/>
      <w:r w:rsidRPr="00720CA7">
        <w:rPr>
          <w:rFonts w:ascii="Times New Roman" w:eastAsia="Arial" w:hAnsi="Times New Roman" w:cs="Times New Roman"/>
          <w:sz w:val="28"/>
          <w:szCs w:val="28"/>
          <w:lang w:val="en-US" w:eastAsia="ru-RU"/>
        </w:rPr>
        <w:t>et</w:t>
      </w:r>
      <w:proofErr w:type="gramEnd"/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720CA7">
        <w:rPr>
          <w:rFonts w:ascii="Times New Roman" w:eastAsia="Arial" w:hAnsi="Times New Roman" w:cs="Times New Roman"/>
          <w:sz w:val="28"/>
          <w:szCs w:val="28"/>
          <w:lang w:val="en-US" w:eastAsia="ru-RU"/>
        </w:rPr>
        <w:t>al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>., 2008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).    Основними біологічно-активними речовинами  є феназини та похідні піоціаніну, які на даний момент використовуються як антигрибкові та антибактеріальні препарати захисту рослин (Tambong J. T., 2001). </w:t>
      </w:r>
    </w:p>
    <w:p w:rsidR="00720CA7" w:rsidRPr="00720CA7" w:rsidRDefault="00720CA7" w:rsidP="00720CA7">
      <w:pPr>
        <w:spacing w:after="16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 За своєю хімічною природою феназини включають велику групу азотовмісних гетероциклічних сполук, які різняться за своїми хімічними і фізичними властивостями, в залежності від типу і розташування присутніх функціональних груп. Було ідентифіковано більш ніж 100 різних структурних похідних феназинів в природі, а також синтезовано більш ніж 6000 сполук, які містять феназинову центральну частину (Mavrodi et. al. 2006). Бактерії є єдиним відомим джерелом природних феназинів. Проте, природні та синтетичні феназини становлять значний інтерес із за їх потенційного впливу на бактеріальні взаємодії та біотехнологічні процеси.</w:t>
      </w:r>
    </w:p>
    <w:p w:rsidR="00720CA7" w:rsidRPr="00720CA7" w:rsidRDefault="00720CA7" w:rsidP="00720CA7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Феназини досліджувалися довше, ніж більшість інших бактеріальних вторинних метаболітів, згідно з повідомленнями Національного центру інформації по біотехнології (PubMed) з початку 1954-го року було опубліковано більш ніж 5000 звітів за цими дослідженнями. Ці вторинні метаболіти, які продукуються різними бактеріями, особливо псевдомонадами інтенсивно вивчалися через їх широкий спектр антибіотичних властивостей і ролі в вірулентності. З біотехнологічної точки зору існує тривалий інтерес до феназинів, який в значній мірі обумовлений їх фізико-хімічними властивостями такими, як їх окислювально-відновний (потенціал), властивості їх до яскравої </w:t>
      </w:r>
      <w:r w:rsidRPr="00720CA7">
        <w:rPr>
          <w:rFonts w:ascii="Times New Roman" w:eastAsia="Calibri" w:hAnsi="Times New Roman" w:cs="Times New Roman"/>
          <w:sz w:val="28"/>
          <w:szCs w:val="28"/>
        </w:rPr>
        <w:lastRenderedPageBreak/>
        <w:t>пігментації, здатність змінювати колір зі зміною рН і окислювально-відновного стану. Феназини мають широке використання в наукових дослідженнях. Дані гетероциклічні сполуки застосовуються в якості акцепторів або донорів електронів, компонентів паливних елементів, сенсорів навколишнього середовища і біосенсорів а також в якості центральних компонентів протипухлинних сполук (Pierson L. S., 2010).</w:t>
      </w:r>
    </w:p>
    <w:p w:rsidR="00720CA7" w:rsidRPr="00720CA7" w:rsidRDefault="00720CA7" w:rsidP="00720CA7">
      <w:pPr>
        <w:spacing w:after="0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>Феназини грають кілька ролей, таких як внесення свого вкладу в поведінку і екологічну придатність при виробництві даних гетероциклічних сполук бактеріями. Наприклад, феназини змінюють клітинний редокс, виступають в якості електронних човників зміни шаблона потоку електронів, сприяють утворенню біоплівки і архітектури, виступають в якості сигналів клітин, які регулюються паттернами експресії генів і сприяють продуктивному виживанню. В еукаріотичних тканинах господаря, феназини викликають численні модифікації хост-клітинних відповідей. У рослинах, феназини також впливають на ріст і викликають індуковану системну стійкість. Особливим інтересом у визначенні їх функціонального впливу є спостереження які показують, що бактеріальні види можуть часто синтезувати різні феназинові похідні, які виробляються в різних пропорціях. Залежно від сумарної кількості похідних речовин і частки кожного феназинового похідного виникає питання про те, чи є зміна концентрації даних речовин наслідком процесу зростання мікроорганізму або відповіді на фактори навколишнього середовища (Ohfuji K.</w:t>
      </w:r>
      <w:r w:rsidRPr="00720CA7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20CA7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720CA7">
        <w:rPr>
          <w:rFonts w:ascii="Times New Roman" w:eastAsia="Calibri" w:hAnsi="Times New Roman" w:cs="Times New Roman"/>
          <w:sz w:val="28"/>
          <w:szCs w:val="28"/>
        </w:rPr>
        <w:t>., 2004).</w:t>
      </w:r>
    </w:p>
    <w:p w:rsidR="00720CA7" w:rsidRPr="00720CA7" w:rsidRDefault="00720CA7" w:rsidP="00720CA7">
      <w:pPr>
        <w:spacing w:after="0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b/>
          <w:sz w:val="28"/>
          <w:szCs w:val="28"/>
        </w:rPr>
        <w:t xml:space="preserve">Метою </w:t>
      </w:r>
      <w:r w:rsidRPr="00720CA7">
        <w:rPr>
          <w:rFonts w:ascii="Times New Roman" w:eastAsia="Calibri" w:hAnsi="Times New Roman" w:cs="Times New Roman"/>
          <w:sz w:val="28"/>
          <w:szCs w:val="28"/>
        </w:rPr>
        <w:t>роботи було</w:t>
      </w:r>
      <w:r w:rsidRPr="00720CA7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визначення ефективності біосинтезу піоціаніну штаммами бактерій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Pseudomonas aeruginosa </w:t>
      </w:r>
      <w:r w:rsidRPr="00720CA7">
        <w:rPr>
          <w:rFonts w:ascii="Times New Roman" w:eastAsia="Calibri" w:hAnsi="Times New Roman" w:cs="Times New Roman"/>
          <w:sz w:val="28"/>
          <w:szCs w:val="28"/>
        </w:rPr>
        <w:t>на різних умов культивування.</w:t>
      </w:r>
    </w:p>
    <w:p w:rsidR="00720CA7" w:rsidRPr="00720CA7" w:rsidRDefault="00720CA7" w:rsidP="00720CA7">
      <w:pPr>
        <w:spacing w:after="0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>Для досягнення вказаної мети вирішували такі</w:t>
      </w:r>
      <w:r w:rsidRPr="00720CA7">
        <w:rPr>
          <w:rFonts w:ascii="Times New Roman" w:eastAsia="Calibri" w:hAnsi="Times New Roman" w:cs="Times New Roman"/>
          <w:b/>
          <w:sz w:val="28"/>
          <w:szCs w:val="28"/>
        </w:rPr>
        <w:t xml:space="preserve"> задачі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: </w:t>
      </w:r>
    </w:p>
    <w:p w:rsidR="00720CA7" w:rsidRPr="00720CA7" w:rsidRDefault="00720CA7" w:rsidP="00720CA7">
      <w:pPr>
        <w:widowControl w:val="0"/>
        <w:spacing w:after="0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20C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 Розробити технологічну схему одержання піоціаніну в лабораторних умовах.</w:t>
      </w:r>
    </w:p>
    <w:p w:rsidR="00720CA7" w:rsidRPr="00720CA7" w:rsidRDefault="00720CA7" w:rsidP="00720CA7">
      <w:pPr>
        <w:widowControl w:val="0"/>
        <w:spacing w:after="0"/>
        <w:ind w:firstLine="720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720C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Дослідити здатність штамів </w:t>
      </w:r>
      <w:r w:rsidRPr="00720CA7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>P. aeruginosa</w:t>
      </w: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продукувати піоціаніну на щільних поживних середовищах.</w:t>
      </w:r>
    </w:p>
    <w:p w:rsidR="00720CA7" w:rsidRPr="00720CA7" w:rsidRDefault="00720CA7" w:rsidP="00720CA7">
      <w:pPr>
        <w:widowControl w:val="0"/>
        <w:spacing w:after="0"/>
        <w:ind w:firstLine="720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3. </w:t>
      </w:r>
      <w:r w:rsidRPr="00720C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Дослідити здатність штамів </w:t>
      </w:r>
      <w:r w:rsidRPr="00720CA7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>P. aeruginosa</w:t>
      </w: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продукувати піоціаніну у рідких поживних середовищах. </w:t>
      </w:r>
    </w:p>
    <w:p w:rsidR="00720CA7" w:rsidRPr="00720CA7" w:rsidRDefault="00720CA7" w:rsidP="00720CA7">
      <w:pPr>
        <w:widowControl w:val="0"/>
        <w:spacing w:after="0"/>
        <w:ind w:firstLine="720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4. Порівняти здатність до продукції піоціаніну штамів </w:t>
      </w:r>
      <w:r w:rsidRPr="00720CA7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>P. aeruginosa</w:t>
      </w: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з різним рівнем вмісту цикло-ди-ГМФ: </w:t>
      </w:r>
      <w:r w:rsidRPr="00720CA7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>P. aeruginosa</w:t>
      </w: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PA01,</w:t>
      </w:r>
      <w:r w:rsidRPr="00720CA7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 P. aeruginosa</w:t>
      </w: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PA01</w:t>
      </w:r>
      <w:r w:rsidRPr="00720CA7">
        <w:rPr>
          <w:rFonts w:ascii="Times New Roman" w:eastAsia="Arial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720CA7">
        <w:rPr>
          <w:rFonts w:ascii="Times New Roman" w:eastAsia="Arial" w:hAnsi="Times New Roman" w:cs="Times New Roman"/>
          <w:bCs/>
          <w:color w:val="000000"/>
          <w:sz w:val="28"/>
          <w:szCs w:val="28"/>
          <w:lang w:eastAsia="ru-RU"/>
        </w:rPr>
        <w:t>Δ</w:t>
      </w:r>
      <w:r w:rsidRPr="00720CA7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 xml:space="preserve">wspF1,  </w:t>
      </w:r>
      <w:r w:rsidRPr="00720CA7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>P. aeruginosa</w:t>
      </w: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PA01 pJN2133 і </w:t>
      </w:r>
      <w:r w:rsidRPr="00720CA7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>P. aeruginosa</w:t>
      </w: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20CA7">
        <w:rPr>
          <w:rFonts w:ascii="Times New Roman" w:eastAsia="Arial" w:hAnsi="Times New Roman" w:cs="Times New Roman"/>
          <w:bCs/>
          <w:color w:val="000000"/>
          <w:sz w:val="28"/>
          <w:szCs w:val="28"/>
          <w:lang w:eastAsia="ru-RU"/>
        </w:rPr>
        <w:t>Δ</w:t>
      </w:r>
      <w:r w:rsidRPr="00720CA7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>wspF1</w:t>
      </w:r>
      <w:r w:rsidRPr="00720CA7">
        <w:rPr>
          <w:rFonts w:ascii="Times New Roman" w:eastAsia="Arial" w:hAnsi="Times New Roman" w:cs="Times New Roman"/>
          <w:bCs/>
          <w:color w:val="000000"/>
          <w:sz w:val="28"/>
          <w:szCs w:val="28"/>
          <w:lang w:eastAsia="ru-RU"/>
        </w:rPr>
        <w:t>Δ</w:t>
      </w: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>pel</w:t>
      </w:r>
      <w:r w:rsidRPr="00720CA7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720CA7" w:rsidRPr="00720CA7" w:rsidRDefault="00720CA7" w:rsidP="00720CA7">
      <w:pPr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Об'єкт дослідження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– біосинтез піоціаніну бактеріями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Pseudomonas aeruginosa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720CA7" w:rsidRPr="00720CA7" w:rsidRDefault="00720CA7" w:rsidP="00720CA7">
      <w:pPr>
        <w:contextualSpacing/>
        <w:jc w:val="both"/>
        <w:rPr>
          <w:rFonts w:ascii="Times New Roman" w:eastAsia="Calibri" w:hAnsi="Times New Roman" w:cs="Times New Roman"/>
          <w:sz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ab/>
        <w:t>Предмет дослідження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– ефективність біосинтезу піоціаніну штамами </w:t>
      </w:r>
      <w:r w:rsidRPr="00720CA7">
        <w:rPr>
          <w:rFonts w:ascii="Times New Roman" w:eastAsia="Calibri" w:hAnsi="Times New Roman" w:cs="Times New Roman"/>
          <w:i/>
          <w:sz w:val="28"/>
        </w:rPr>
        <w:t>Pseudomonas aeruginosa</w:t>
      </w:r>
      <w:r w:rsidRPr="00720CA7">
        <w:rPr>
          <w:rFonts w:ascii="Times New Roman" w:eastAsia="Calibri" w:hAnsi="Times New Roman" w:cs="Times New Roman"/>
          <w:sz w:val="28"/>
        </w:rPr>
        <w:t xml:space="preserve"> на різних поживних середовищах.</w:t>
      </w:r>
    </w:p>
    <w:p w:rsidR="00720CA7" w:rsidRPr="00720CA7" w:rsidRDefault="00720CA7" w:rsidP="00720CA7">
      <w:pPr>
        <w:spacing w:after="0" w:line="360" w:lineRule="auto"/>
        <w:rPr>
          <w:rFonts w:ascii="Times New Roman" w:eastAsia="Arial" w:hAnsi="Times New Roman" w:cs="Times New Roman"/>
          <w:b/>
          <w:color w:val="000000"/>
          <w:sz w:val="28"/>
          <w:szCs w:val="28"/>
          <w:lang w:eastAsia="ru-RU"/>
        </w:rPr>
      </w:pPr>
    </w:p>
    <w:p w:rsidR="00720CA7" w:rsidRPr="00720CA7" w:rsidRDefault="00720CA7" w:rsidP="00720CA7">
      <w:pPr>
        <w:spacing w:after="160" w:line="360" w:lineRule="auto"/>
        <w:jc w:val="center"/>
        <w:rPr>
          <w:rFonts w:ascii="Times New Roman" w:eastAsia="TimesNewRomanPSMT" w:hAnsi="Times New Roman" w:cs="Times New Roman"/>
          <w:b/>
          <w:sz w:val="28"/>
          <w:szCs w:val="28"/>
        </w:rPr>
      </w:pPr>
      <w:r w:rsidRPr="00720CA7">
        <w:rPr>
          <w:rFonts w:ascii="Times New Roman" w:eastAsia="TimesNewRomanPSMT" w:hAnsi="Times New Roman" w:cs="Times New Roman"/>
          <w:b/>
          <w:sz w:val="28"/>
          <w:szCs w:val="28"/>
        </w:rPr>
        <w:lastRenderedPageBreak/>
        <w:t>УЗАГАЛЬНЕННЯ</w:t>
      </w:r>
    </w:p>
    <w:p w:rsidR="00720CA7" w:rsidRPr="00720CA7" w:rsidRDefault="00720CA7" w:rsidP="00720CA7">
      <w:pPr>
        <w:spacing w:after="16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іоціанін 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це один з численних токсинів, що утворюються та виділяються грамотрицательною бактерією </w:t>
      </w:r>
      <w:r w:rsidRPr="00720CA7">
        <w:rPr>
          <w:rFonts w:ascii="Times New Roman" w:eastAsia="Calibri" w:hAnsi="Times New Roman" w:cs="Times New Roman"/>
          <w:i/>
          <w:sz w:val="28"/>
          <w:szCs w:val="28"/>
          <w:lang w:val="ru-RU"/>
        </w:rPr>
        <w:t>Pseudomonas aeruginosa</w:t>
      </w:r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>іоціанін є блакитним вторинним метаболітом, здатним окис</w:t>
      </w:r>
      <w:r w:rsidRPr="00720CA7">
        <w:rPr>
          <w:rFonts w:ascii="Times New Roman" w:eastAsia="Calibri" w:hAnsi="Times New Roman" w:cs="Times New Roman"/>
          <w:sz w:val="28"/>
          <w:szCs w:val="28"/>
        </w:rPr>
        <w:t>н</w:t>
      </w:r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ювати </w:t>
      </w:r>
      <w:r w:rsidRPr="00720CA7">
        <w:rPr>
          <w:rFonts w:ascii="Times New Roman" w:eastAsia="Calibri" w:hAnsi="Times New Roman" w:cs="Times New Roman"/>
          <w:sz w:val="28"/>
          <w:szCs w:val="28"/>
        </w:rPr>
        <w:t>або відновлювати</w:t>
      </w:r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інші молекули </w:t>
      </w:r>
      <w:r w:rsidRPr="00720CA7">
        <w:rPr>
          <w:rFonts w:ascii="Times New Roman" w:eastAsia="Calibri" w:hAnsi="Times New Roman" w:cs="Times New Roman"/>
          <w:sz w:val="28"/>
          <w:szCs w:val="28"/>
        </w:rPr>
        <w:t>(Laursen J. B., 2004)</w:t>
      </w:r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і 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завдяки цьому </w:t>
      </w:r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>тому може вби</w:t>
      </w:r>
      <w:r w:rsidRPr="00720CA7">
        <w:rPr>
          <w:rFonts w:ascii="Times New Roman" w:eastAsia="Calibri" w:hAnsi="Times New Roman" w:cs="Times New Roman"/>
          <w:sz w:val="28"/>
          <w:szCs w:val="28"/>
        </w:rPr>
        <w:t>ва</w:t>
      </w:r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>ти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численні </w:t>
      </w:r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>мікроорганізм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и, </w:t>
      </w:r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>а також клітин</w:t>
      </w:r>
      <w:r w:rsidRPr="00720CA7">
        <w:rPr>
          <w:rFonts w:ascii="Times New Roman" w:eastAsia="Calibri" w:hAnsi="Times New Roman" w:cs="Times New Roman"/>
          <w:sz w:val="28"/>
          <w:szCs w:val="28"/>
        </w:rPr>
        <w:t>и</w:t>
      </w:r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легенів ссавців, які </w:t>
      </w:r>
      <w:r w:rsidRPr="00720CA7">
        <w:rPr>
          <w:rFonts w:ascii="Times New Roman" w:eastAsia="Calibri" w:hAnsi="Times New Roman" w:cs="Times New Roman"/>
          <w:i/>
          <w:sz w:val="28"/>
          <w:szCs w:val="28"/>
          <w:lang w:val="ru-RU"/>
        </w:rPr>
        <w:t>P. aeruginosa</w:t>
      </w:r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інфіку</w:t>
      </w:r>
      <w:r w:rsidRPr="00720CA7">
        <w:rPr>
          <w:rFonts w:ascii="Times New Roman" w:eastAsia="Calibri" w:hAnsi="Times New Roman" w:cs="Times New Roman"/>
          <w:sz w:val="28"/>
          <w:szCs w:val="28"/>
        </w:rPr>
        <w:t>є у хворих на</w:t>
      </w:r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муковісцидоз. Оскільки </w:t>
      </w:r>
      <w:proofErr w:type="gramStart"/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іоціанін є цвіттеріоном при рН крові, він легко перетинає клітинну мембрану. Через редокс-активні властивості </w:t>
      </w:r>
      <w:proofErr w:type="gramStart"/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>іоціанін породжує активні види кисню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Rabaey K. </w:t>
      </w:r>
      <w:r w:rsidRPr="00720CA7">
        <w:rPr>
          <w:rFonts w:ascii="Times New Roman" w:eastAsia="Arial" w:hAnsi="Times New Roman" w:cs="Times New Roman"/>
          <w:sz w:val="28"/>
          <w:szCs w:val="28"/>
          <w:lang w:val="en-US" w:eastAsia="ru-RU"/>
        </w:rPr>
        <w:t>et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720CA7">
        <w:rPr>
          <w:rFonts w:ascii="Times New Roman" w:eastAsia="Arial" w:hAnsi="Times New Roman" w:cs="Times New Roman"/>
          <w:sz w:val="28"/>
          <w:szCs w:val="28"/>
          <w:lang w:val="en-US" w:eastAsia="ru-RU"/>
        </w:rPr>
        <w:t>al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>., 2005</w:t>
      </w:r>
      <w:r w:rsidRPr="00720CA7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720CA7" w:rsidRPr="00720CA7" w:rsidRDefault="00720CA7" w:rsidP="00720CA7">
      <w:pPr>
        <w:spacing w:after="16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Більшість представників бактерій роду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Pseudomons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є продуцентами  багатьох важливих біологічно-активних речовин, які можуть використовуватись людиною в багатьох напрямах розвитку науки та виробництва, таких як медицина, біотехнологія рослин, екологія, біотехнологія виробництва, мікробіологія та інші. На даний момент представники  роду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Pseudomonas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 мають велику перспективу в використанні  їх в біотехнологічному виробництві  таких біологічно-активних речовин як, феназини, рамноліпіди, гомосеринлактони, хіноліни, піовердини, полісахариди, різні ферменти та інші речовини (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Pham T. H. </w:t>
      </w:r>
      <w:proofErr w:type="gramStart"/>
      <w:r w:rsidRPr="00720CA7">
        <w:rPr>
          <w:rFonts w:ascii="Times New Roman" w:eastAsia="Arial" w:hAnsi="Times New Roman" w:cs="Times New Roman"/>
          <w:sz w:val="28"/>
          <w:szCs w:val="28"/>
          <w:lang w:val="en-US" w:eastAsia="ru-RU"/>
        </w:rPr>
        <w:t>et</w:t>
      </w:r>
      <w:proofErr w:type="gramEnd"/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</w:t>
      </w:r>
      <w:r w:rsidRPr="00720CA7">
        <w:rPr>
          <w:rFonts w:ascii="Times New Roman" w:eastAsia="Arial" w:hAnsi="Times New Roman" w:cs="Times New Roman"/>
          <w:sz w:val="28"/>
          <w:szCs w:val="28"/>
          <w:lang w:val="en-US" w:eastAsia="ru-RU"/>
        </w:rPr>
        <w:t>al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>., 2008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).    Основними біологічно-активними речовинами  є феназини та похідні піоціаніну, які на даний момент використовуються як антигрибкові та антибактеріальні препарати захисту рослин (Tambong J. T., 2001). </w:t>
      </w:r>
    </w:p>
    <w:p w:rsidR="00720CA7" w:rsidRPr="00720CA7" w:rsidRDefault="00720CA7" w:rsidP="00720CA7">
      <w:pPr>
        <w:spacing w:after="16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Феназини мають широке використання в наукових дослідженнях. Дані гетероциклічні сполуки застосовуються в якості акцепторів або донорів електронів, компонентів паливних елементів, сенсорів навколишнього середовища і біосенсорів а також в якості центральних компонентів протипухлинних сполук (Pierson L. S., 2010).  </w:t>
      </w:r>
    </w:p>
    <w:p w:rsidR="00720CA7" w:rsidRPr="00720CA7" w:rsidRDefault="00720CA7" w:rsidP="00720CA7">
      <w:pPr>
        <w:spacing w:after="16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Піоціанін є перспективним біотехнологічним метаболітом </w:t>
      </w:r>
      <w:r w:rsidRPr="00720CA7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. а</w:t>
      </w:r>
      <w:r w:rsidRPr="00720CA7">
        <w:rPr>
          <w:rFonts w:ascii="Times New Roman" w:eastAsia="Calibri" w:hAnsi="Times New Roman" w:cs="Times New Roman"/>
          <w:i/>
          <w:sz w:val="28"/>
          <w:szCs w:val="28"/>
          <w:lang w:val="ru-RU"/>
        </w:rPr>
        <w:t>eruginosa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Однак, його практичне застосування обмежено високою вартістю – 5 мг коштують 114 євро </w:t>
      </w:r>
      <w:r w:rsidRPr="00720CA7">
        <w:rPr>
          <w:rFonts w:ascii="Times New Roman" w:eastAsia="Calibri" w:hAnsi="Times New Roman" w:cs="Times New Roman"/>
          <w:sz w:val="28"/>
          <w:szCs w:val="28"/>
          <w:lang w:val="ru-RU"/>
        </w:rPr>
        <w:t>(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Sigma). Тому актуальним є пошук шляхів підвищення </w:t>
      </w:r>
      <w:r w:rsidRPr="00720CA7">
        <w:rPr>
          <w:rFonts w:ascii="Times New Roman" w:eastAsia="Calibri" w:hAnsi="Times New Roman" w:cs="Times New Roman"/>
          <w:sz w:val="28"/>
          <w:szCs w:val="28"/>
        </w:rPr>
        <w:lastRenderedPageBreak/>
        <w:t>біосинтезу піоціаніну, що дозволить отримувати значні його кількості і знизити вартість.</w:t>
      </w:r>
    </w:p>
    <w:p w:rsidR="00720CA7" w:rsidRPr="00720CA7" w:rsidRDefault="00720CA7" w:rsidP="00720CA7">
      <w:pPr>
        <w:spacing w:after="16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У даній роботі було проведено вивчення інтенсивності біосинтезу піоціаніну штамами </w:t>
      </w:r>
      <w:r w:rsidRPr="00720CA7">
        <w:rPr>
          <w:rFonts w:ascii="Times New Roman" w:eastAsia="Calibri" w:hAnsi="Times New Roman" w:cs="Times New Roman"/>
          <w:i/>
          <w:sz w:val="28"/>
          <w:szCs w:val="28"/>
          <w:lang w:val="ru-RU"/>
        </w:rPr>
        <w:t>P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. а</w:t>
      </w:r>
      <w:r w:rsidRPr="00720CA7">
        <w:rPr>
          <w:rFonts w:ascii="Times New Roman" w:eastAsia="Calibri" w:hAnsi="Times New Roman" w:cs="Times New Roman"/>
          <w:i/>
          <w:sz w:val="28"/>
          <w:szCs w:val="28"/>
          <w:lang w:val="ru-RU"/>
        </w:rPr>
        <w:t>eruginosa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з різним вмістом вторинного месенджера бактерій – циклічного дигуанозинмонофосфата. </w:t>
      </w:r>
    </w:p>
    <w:p w:rsidR="00720CA7" w:rsidRPr="00720CA7" w:rsidRDefault="00720CA7" w:rsidP="00720CA7">
      <w:pPr>
        <w:spacing w:after="24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  <w:t xml:space="preserve">Одержані результати показали, що найбільш ефективним продуцентом піоціаніну є штам з низьким рівнем цикло-ди-ГМФ, </w:t>
      </w:r>
      <w:r w:rsidRPr="00720CA7">
        <w:rPr>
          <w:rFonts w:ascii="Times New Roman" w:eastAsia="Times New Roman" w:hAnsi="Times New Roman" w:cs="Times New Roman"/>
          <w:i/>
          <w:iCs/>
          <w:color w:val="2F2F2F"/>
          <w:kern w:val="36"/>
          <w:sz w:val="28"/>
          <w:szCs w:val="28"/>
          <w:lang w:val="en-US" w:eastAsia="ru-RU"/>
        </w:rPr>
        <w:t>P</w:t>
      </w:r>
      <w:r w:rsidRPr="00720CA7">
        <w:rPr>
          <w:rFonts w:ascii="Times New Roman" w:eastAsia="Times New Roman" w:hAnsi="Times New Roman" w:cs="Times New Roman"/>
          <w:i/>
          <w:iCs/>
          <w:color w:val="2F2F2F"/>
          <w:kern w:val="36"/>
          <w:sz w:val="28"/>
          <w:szCs w:val="28"/>
          <w:lang w:eastAsia="ru-RU"/>
        </w:rPr>
        <w:t xml:space="preserve">. </w:t>
      </w:r>
      <w:proofErr w:type="gramStart"/>
      <w:r w:rsidRPr="00720CA7">
        <w:rPr>
          <w:rFonts w:ascii="Times New Roman" w:eastAsia="Times New Roman" w:hAnsi="Times New Roman" w:cs="Times New Roman"/>
          <w:i/>
          <w:iCs/>
          <w:color w:val="2F2F2F"/>
          <w:kern w:val="36"/>
          <w:sz w:val="28"/>
          <w:szCs w:val="28"/>
          <w:lang w:val="en-US" w:eastAsia="ru-RU"/>
        </w:rPr>
        <w:t>aeruginosa</w:t>
      </w:r>
      <w:proofErr w:type="gramEnd"/>
      <w:r w:rsidRPr="00720CA7">
        <w:rPr>
          <w:rFonts w:ascii="Calibri" w:eastAsia="Times New Roman" w:hAnsi="Calibri" w:cs="Calibri"/>
          <w:color w:val="2F2F2F"/>
          <w:kern w:val="36"/>
          <w:sz w:val="28"/>
          <w:szCs w:val="28"/>
          <w:lang w:val="en-US" w:eastAsia="ru-RU"/>
        </w:rPr>
        <w:t> 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ru-RU"/>
        </w:rPr>
        <w:t>PA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>01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en-US"/>
        </w:rPr>
        <w:t>pJN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 xml:space="preserve">2133, який за кількістю синтезованого пігменту перевершує інші досліджені штами у 2,5-7,2 рази. Накопичення у щільному середовищі пігменту у разі </w:t>
      </w:r>
      <w:r w:rsidRPr="00720CA7">
        <w:rPr>
          <w:rFonts w:ascii="Times New Roman" w:eastAsia="Times New Roman" w:hAnsi="Times New Roman" w:cs="Times New Roman"/>
          <w:i/>
          <w:iCs/>
          <w:color w:val="2F2F2F"/>
          <w:kern w:val="36"/>
          <w:sz w:val="28"/>
          <w:szCs w:val="28"/>
          <w:lang w:val="en-US" w:eastAsia="ru-RU"/>
        </w:rPr>
        <w:t>P</w:t>
      </w:r>
      <w:r w:rsidRPr="00720CA7">
        <w:rPr>
          <w:rFonts w:ascii="Times New Roman" w:eastAsia="Times New Roman" w:hAnsi="Times New Roman" w:cs="Times New Roman"/>
          <w:i/>
          <w:iCs/>
          <w:color w:val="2F2F2F"/>
          <w:kern w:val="36"/>
          <w:sz w:val="28"/>
          <w:szCs w:val="28"/>
          <w:lang w:eastAsia="ru-RU"/>
        </w:rPr>
        <w:t xml:space="preserve">. </w:t>
      </w:r>
      <w:proofErr w:type="gramStart"/>
      <w:r w:rsidRPr="00720CA7">
        <w:rPr>
          <w:rFonts w:ascii="Times New Roman" w:eastAsia="Times New Roman" w:hAnsi="Times New Roman" w:cs="Times New Roman"/>
          <w:i/>
          <w:iCs/>
          <w:color w:val="2F2F2F"/>
          <w:kern w:val="36"/>
          <w:sz w:val="28"/>
          <w:szCs w:val="28"/>
          <w:lang w:val="en-US" w:eastAsia="ru-RU"/>
        </w:rPr>
        <w:t>aeruginosa</w:t>
      </w:r>
      <w:proofErr w:type="gramEnd"/>
      <w:r w:rsidRPr="00720CA7">
        <w:rPr>
          <w:rFonts w:ascii="Calibri" w:eastAsia="Times New Roman" w:hAnsi="Calibri" w:cs="Calibri"/>
          <w:color w:val="2F2F2F"/>
          <w:kern w:val="36"/>
          <w:sz w:val="28"/>
          <w:szCs w:val="28"/>
          <w:lang w:val="en-US" w:eastAsia="ru-RU"/>
        </w:rPr>
        <w:t> 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ru-RU"/>
        </w:rPr>
        <w:t>PA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>01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en-US"/>
        </w:rPr>
        <w:t>pJN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>2133 відбувалося безперервно, тоді як у разі інших штамів воно сповільнювалось (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ru-RU"/>
        </w:rPr>
        <w:t>P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. а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ru-RU"/>
        </w:rPr>
        <w:t>eruginosa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ru-RU"/>
        </w:rPr>
        <w:t>PA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>01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ru-RU"/>
        </w:rPr>
        <w:t>ΔwspF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>1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ru-RU"/>
        </w:rPr>
        <w:t>Δ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en-US"/>
        </w:rPr>
        <w:t>pel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ru-RU"/>
        </w:rPr>
        <w:t>P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. а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ru-RU"/>
        </w:rPr>
        <w:t>eruginosa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ru-RU"/>
        </w:rPr>
        <w:t>PA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>01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ru-RU"/>
        </w:rPr>
        <w:t>ΔwspF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>1) або практично зупинялося (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ru-RU"/>
        </w:rPr>
        <w:t>P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. а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ru-RU"/>
        </w:rPr>
        <w:t>eruginosa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ru-RU"/>
        </w:rPr>
        <w:t>PA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>01) після третьо доби культивування. За культивування досліджуваних штамів у рідких поживних середовищах продукція піоціаніну була зареєстрована лише через 7 діб у середовищі МПБ.</w:t>
      </w:r>
    </w:p>
    <w:p w:rsidR="00720CA7" w:rsidRPr="00720CA7" w:rsidRDefault="00720CA7" w:rsidP="00720CA7">
      <w:pPr>
        <w:spacing w:after="16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A7">
        <w:rPr>
          <w:rFonts w:ascii="Times New Roman" w:eastAsia="TimesNewRomanPSMT" w:hAnsi="Times New Roman" w:cs="Times New Roman"/>
          <w:sz w:val="28"/>
          <w:szCs w:val="28"/>
        </w:rPr>
        <w:t>Оскільки більш придатним для біотехнологічного виробництва є культивування у рідких поживних середовищах, подальші дослідження необхідно  спрямувати на пошук шляхів інтенсифікації біосинтезу піоціаніну за таких умов.</w:t>
      </w:r>
    </w:p>
    <w:p w:rsidR="00720CA7" w:rsidRPr="00720CA7" w:rsidRDefault="00720CA7" w:rsidP="00720CA7">
      <w:pPr>
        <w:spacing w:after="16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720CA7" w:rsidRPr="00720CA7" w:rsidRDefault="00720CA7" w:rsidP="00720CA7">
      <w:pPr>
        <w:spacing w:after="16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:rsidR="00720CA7" w:rsidRPr="00720CA7" w:rsidRDefault="00720CA7" w:rsidP="00720CA7">
      <w:pPr>
        <w:spacing w:after="16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:rsidR="00720CA7" w:rsidRDefault="00720CA7" w:rsidP="00720CA7">
      <w:pPr>
        <w:spacing w:after="16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</w:p>
    <w:p w:rsidR="00720CA7" w:rsidRDefault="00720CA7" w:rsidP="00720CA7">
      <w:pPr>
        <w:spacing w:after="16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</w:p>
    <w:p w:rsidR="00720CA7" w:rsidRDefault="00720CA7" w:rsidP="00720CA7">
      <w:pPr>
        <w:spacing w:after="16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</w:p>
    <w:p w:rsidR="00720CA7" w:rsidRDefault="00720CA7" w:rsidP="00720CA7">
      <w:pPr>
        <w:spacing w:after="16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</w:p>
    <w:p w:rsidR="00720CA7" w:rsidRPr="00720CA7" w:rsidRDefault="00720CA7" w:rsidP="00720CA7">
      <w:pPr>
        <w:spacing w:after="16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</w:p>
    <w:p w:rsidR="00720CA7" w:rsidRPr="00720CA7" w:rsidRDefault="00720CA7" w:rsidP="00720CA7">
      <w:pPr>
        <w:spacing w:after="240" w:line="360" w:lineRule="auto"/>
        <w:jc w:val="center"/>
        <w:rPr>
          <w:rFonts w:ascii="Times New Roman" w:eastAsia="TimesNewRomanPSMT" w:hAnsi="Times New Roman" w:cs="Times New Roman"/>
          <w:b/>
          <w:sz w:val="28"/>
          <w:szCs w:val="28"/>
        </w:rPr>
      </w:pPr>
      <w:r w:rsidRPr="00720CA7">
        <w:rPr>
          <w:rFonts w:ascii="Times New Roman" w:eastAsia="TimesNewRomanPSMT" w:hAnsi="Times New Roman" w:cs="Times New Roman"/>
          <w:b/>
          <w:sz w:val="28"/>
          <w:szCs w:val="28"/>
        </w:rPr>
        <w:lastRenderedPageBreak/>
        <w:t>ВИСНОВКИ</w:t>
      </w:r>
    </w:p>
    <w:p w:rsidR="00720CA7" w:rsidRPr="00720CA7" w:rsidRDefault="00720CA7" w:rsidP="00720CA7">
      <w:pPr>
        <w:numPr>
          <w:ilvl w:val="0"/>
          <w:numId w:val="1"/>
        </w:numPr>
        <w:spacing w:after="240" w:line="360" w:lineRule="auto"/>
        <w:ind w:left="714" w:hanging="357"/>
        <w:contextualSpacing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A7">
        <w:rPr>
          <w:rFonts w:ascii="Times New Roman" w:eastAsia="Times New Roman" w:hAnsi="Times New Roman" w:cs="Times New Roman"/>
          <w:sz w:val="28"/>
          <w:szCs w:val="28"/>
        </w:rPr>
        <w:t>Розроблено технологічну схему одержання піоціаніну в лабораторних умовах.</w:t>
      </w:r>
    </w:p>
    <w:p w:rsidR="00720CA7" w:rsidRPr="00720CA7" w:rsidRDefault="00720CA7" w:rsidP="00720CA7">
      <w:pPr>
        <w:numPr>
          <w:ilvl w:val="0"/>
          <w:numId w:val="1"/>
        </w:numPr>
        <w:spacing w:after="240" w:line="360" w:lineRule="auto"/>
        <w:ind w:left="714" w:hanging="357"/>
        <w:contextualSpacing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</w:rPr>
        <w:t xml:space="preserve">Встановлено, що найбільш ефективним продуцентом піоціаніну є штам з низьким рівнем цикло-ди-ГМФ, </w:t>
      </w:r>
      <w:r w:rsidRPr="00720CA7">
        <w:rPr>
          <w:rFonts w:ascii="Times New Roman" w:eastAsia="Times New Roman" w:hAnsi="Times New Roman" w:cs="Times New Roman"/>
          <w:i/>
          <w:iCs/>
          <w:color w:val="2F2F2F"/>
          <w:kern w:val="36"/>
          <w:sz w:val="28"/>
          <w:szCs w:val="28"/>
          <w:lang w:val="en-US" w:eastAsia="ru-RU"/>
        </w:rPr>
        <w:t>P</w:t>
      </w:r>
      <w:r w:rsidRPr="00720CA7">
        <w:rPr>
          <w:rFonts w:ascii="Times New Roman" w:eastAsia="Times New Roman" w:hAnsi="Times New Roman" w:cs="Times New Roman"/>
          <w:i/>
          <w:iCs/>
          <w:color w:val="2F2F2F"/>
          <w:kern w:val="36"/>
          <w:sz w:val="28"/>
          <w:szCs w:val="28"/>
          <w:lang w:eastAsia="ru-RU"/>
        </w:rPr>
        <w:t xml:space="preserve">. </w:t>
      </w:r>
      <w:proofErr w:type="gramStart"/>
      <w:r w:rsidRPr="00720CA7">
        <w:rPr>
          <w:rFonts w:ascii="Times New Roman" w:eastAsia="Times New Roman" w:hAnsi="Times New Roman" w:cs="Times New Roman"/>
          <w:i/>
          <w:iCs/>
          <w:color w:val="2F2F2F"/>
          <w:kern w:val="36"/>
          <w:sz w:val="28"/>
          <w:szCs w:val="28"/>
          <w:lang w:val="en-US" w:eastAsia="ru-RU"/>
        </w:rPr>
        <w:t>aeruginosa</w:t>
      </w:r>
      <w:proofErr w:type="gramEnd"/>
      <w:r w:rsidRPr="00720CA7">
        <w:rPr>
          <w:rFonts w:ascii="Calibri" w:eastAsia="Times New Roman" w:hAnsi="Calibri" w:cs="Calibri"/>
          <w:color w:val="2F2F2F"/>
          <w:kern w:val="36"/>
          <w:sz w:val="30"/>
          <w:szCs w:val="30"/>
          <w:lang w:val="en-US" w:eastAsia="ru-RU"/>
        </w:rPr>
        <w:t> 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ru-RU"/>
        </w:rPr>
        <w:t>PA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>01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en-US"/>
        </w:rPr>
        <w:t>pJN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>2133, який за кількістю синтезованого пігменту перевершує інші досліджені штами у 2,5-7,2 рази.</w:t>
      </w:r>
    </w:p>
    <w:p w:rsidR="00720CA7" w:rsidRPr="00720CA7" w:rsidRDefault="00720CA7" w:rsidP="00720CA7">
      <w:pPr>
        <w:numPr>
          <w:ilvl w:val="0"/>
          <w:numId w:val="1"/>
        </w:numPr>
        <w:spacing w:after="240" w:line="360" w:lineRule="auto"/>
        <w:ind w:left="714" w:hanging="357"/>
        <w:contextualSpacing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A7">
        <w:rPr>
          <w:rFonts w:ascii="Times New Roman" w:eastAsia="TimesNewRomanPSMT" w:hAnsi="Times New Roman" w:cs="Times New Roman"/>
          <w:sz w:val="28"/>
          <w:szCs w:val="28"/>
        </w:rPr>
        <w:t xml:space="preserve">Накопичення у щільному середовищі пігменту у разі </w:t>
      </w:r>
      <w:r w:rsidRPr="00720CA7">
        <w:rPr>
          <w:rFonts w:ascii="Times New Roman" w:eastAsia="Times New Roman" w:hAnsi="Times New Roman" w:cs="Times New Roman"/>
          <w:i/>
          <w:iCs/>
          <w:color w:val="2F2F2F"/>
          <w:kern w:val="36"/>
          <w:sz w:val="28"/>
          <w:szCs w:val="28"/>
          <w:lang w:val="en-US" w:eastAsia="ru-RU"/>
        </w:rPr>
        <w:t>P</w:t>
      </w:r>
      <w:r w:rsidRPr="00720CA7">
        <w:rPr>
          <w:rFonts w:ascii="Times New Roman" w:eastAsia="Times New Roman" w:hAnsi="Times New Roman" w:cs="Times New Roman"/>
          <w:i/>
          <w:iCs/>
          <w:color w:val="2F2F2F"/>
          <w:kern w:val="36"/>
          <w:sz w:val="28"/>
          <w:szCs w:val="28"/>
          <w:lang w:eastAsia="ru-RU"/>
        </w:rPr>
        <w:t xml:space="preserve">. </w:t>
      </w:r>
      <w:proofErr w:type="gramStart"/>
      <w:r w:rsidRPr="00720CA7">
        <w:rPr>
          <w:rFonts w:ascii="Times New Roman" w:eastAsia="Times New Roman" w:hAnsi="Times New Roman" w:cs="Times New Roman"/>
          <w:i/>
          <w:iCs/>
          <w:color w:val="2F2F2F"/>
          <w:kern w:val="36"/>
          <w:sz w:val="28"/>
          <w:szCs w:val="28"/>
          <w:lang w:val="en-US" w:eastAsia="ru-RU"/>
        </w:rPr>
        <w:t>aeruginosa</w:t>
      </w:r>
      <w:proofErr w:type="gramEnd"/>
      <w:r w:rsidRPr="00720CA7">
        <w:rPr>
          <w:rFonts w:ascii="Calibri" w:eastAsia="Times New Roman" w:hAnsi="Calibri" w:cs="Calibri"/>
          <w:color w:val="2F2F2F"/>
          <w:kern w:val="36"/>
          <w:sz w:val="30"/>
          <w:szCs w:val="30"/>
          <w:lang w:val="en-US" w:eastAsia="ru-RU"/>
        </w:rPr>
        <w:t> 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ru-RU"/>
        </w:rPr>
        <w:t>PA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>01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en-US"/>
        </w:rPr>
        <w:t>pJN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>2133 відбувалося безперервно, тоді як у разі інших штамів воно сповільнювалось (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ru-RU"/>
        </w:rPr>
        <w:t>P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. а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ru-RU"/>
        </w:rPr>
        <w:t>eruginosa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ru-RU"/>
        </w:rPr>
        <w:t>PA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>01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ru-RU"/>
        </w:rPr>
        <w:t>ΔwspF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>1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ru-RU"/>
        </w:rPr>
        <w:t>Δ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en-US"/>
        </w:rPr>
        <w:t>pel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ru-RU"/>
        </w:rPr>
        <w:t>P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. а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ru-RU"/>
        </w:rPr>
        <w:t>eruginosa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ru-RU"/>
        </w:rPr>
        <w:t>PA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>01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ru-RU"/>
        </w:rPr>
        <w:t>ΔwspF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>1) або практично зупинялося (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ru-RU"/>
        </w:rPr>
        <w:t>P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. а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ru-RU"/>
        </w:rPr>
        <w:t>eruginosa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ru-RU"/>
        </w:rPr>
        <w:t>PA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>01) після третьо доби культивування.</w:t>
      </w:r>
    </w:p>
    <w:p w:rsidR="00720CA7" w:rsidRPr="00720CA7" w:rsidRDefault="00720CA7" w:rsidP="00720CA7">
      <w:pPr>
        <w:numPr>
          <w:ilvl w:val="0"/>
          <w:numId w:val="1"/>
        </w:numPr>
        <w:spacing w:after="240" w:line="36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color w:val="2F2F2F"/>
          <w:kern w:val="36"/>
          <w:sz w:val="28"/>
          <w:szCs w:val="28"/>
          <w:lang w:eastAsia="ru-RU"/>
        </w:rPr>
      </w:pPr>
      <w:r w:rsidRPr="00720CA7">
        <w:rPr>
          <w:rFonts w:ascii="Times New Roman" w:eastAsia="TimesNewRomanPSMT" w:hAnsi="Times New Roman" w:cs="Times New Roman"/>
          <w:sz w:val="28"/>
          <w:szCs w:val="28"/>
        </w:rPr>
        <w:t>За культивування досліджуваних штамів у рідких поживних середовищах продукція піоціаніну була зареєстрована лише через 7 діб у середовищі МПБ.</w:t>
      </w: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</w:p>
    <w:p w:rsidR="00720CA7" w:rsidRDefault="00720CA7" w:rsidP="00720CA7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  <w:lang w:val="ru-RU"/>
        </w:rPr>
      </w:pPr>
    </w:p>
    <w:p w:rsidR="00720CA7" w:rsidRDefault="00720CA7" w:rsidP="00720CA7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  <w:lang w:val="ru-RU"/>
        </w:rPr>
      </w:pP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  <w:lang w:val="ru-RU"/>
        </w:rPr>
      </w:pPr>
      <w:bookmarkStart w:id="0" w:name="_GoBack"/>
      <w:bookmarkEnd w:id="0"/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  <w:r w:rsidRPr="00720CA7">
        <w:rPr>
          <w:rFonts w:ascii="Times New Roman" w:eastAsia="Calibri" w:hAnsi="Times New Roman" w:cs="Times New Roman"/>
          <w:b/>
          <w:caps/>
          <w:sz w:val="28"/>
          <w:szCs w:val="28"/>
        </w:rPr>
        <w:lastRenderedPageBreak/>
        <w:t>Список цитованої літератури</w:t>
      </w:r>
    </w:p>
    <w:p w:rsidR="00720CA7" w:rsidRPr="00720CA7" w:rsidRDefault="00720CA7" w:rsidP="00720CA7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ru-RU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Botzenhardt K</w:t>
      </w:r>
      <w:r w:rsidRPr="00720CA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and </w:t>
      </w:r>
      <w:r w:rsidRPr="00720CA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Doring</w:t>
      </w:r>
      <w:r w:rsidRPr="00720CA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G. Ecology and epidemiology of </w:t>
      </w:r>
      <w:r w:rsidRPr="00720CA7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>Pseudomonas aeruginosa</w:t>
      </w:r>
      <w:r w:rsidRPr="00720CA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//</w:t>
      </w:r>
      <w:r w:rsidRPr="00720CA7">
        <w:rPr>
          <w:rFonts w:ascii="Times New Roman" w:eastAsia="Calibri" w:hAnsi="Times New Roman" w:cs="Times New Roman"/>
          <w:sz w:val="28"/>
          <w:szCs w:val="28"/>
        </w:rPr>
        <w:t> </w:t>
      </w:r>
      <w:r w:rsidRPr="00720CA7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>Pseudomonas aeruginosa</w:t>
      </w:r>
      <w:r w:rsidRPr="00720CA7">
        <w:rPr>
          <w:rFonts w:ascii="Times New Roman" w:eastAsia="Calibri" w:hAnsi="Times New Roman" w:cs="Times New Roman"/>
          <w:sz w:val="28"/>
          <w:szCs w:val="28"/>
        </w:rPr>
        <w:t> </w:t>
      </w:r>
      <w:r w:rsidRPr="00720CA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as an Opportunistic Pathogen. – 1993. – Р. 1 – 7.</w:t>
      </w:r>
      <w:r w:rsidRPr="00720CA7">
        <w:rPr>
          <w:rFonts w:ascii="Times New Roman" w:eastAsia="Arial" w:hAnsi="Times New Roman" w:cs="Times New Roman"/>
          <w:i/>
          <w:sz w:val="28"/>
          <w:szCs w:val="28"/>
          <w:lang w:eastAsia="ru-RU"/>
        </w:rPr>
        <w:t xml:space="preserve">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ru-RU"/>
        </w:rPr>
      </w:pPr>
      <w:r w:rsidRPr="00720CA7">
        <w:rPr>
          <w:rFonts w:ascii="Times New Roman" w:eastAsia="Arial" w:hAnsi="Times New Roman" w:cs="Times New Roman"/>
          <w:i/>
          <w:sz w:val="28"/>
          <w:szCs w:val="28"/>
          <w:lang w:eastAsia="ru-RU"/>
        </w:rPr>
        <w:t>Chen, J. &amp; Xiao-Chang, C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>. Organic light-emitting device having phenanthroline-fused phenazine // US patent 6713781. – 2004. – P. 1-11.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Costerton W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and </w:t>
      </w:r>
      <w:r w:rsidRPr="00720CA7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Anwar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Pr="00720CA7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H. Pseudomonas aeruginosa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: The microbe and pathogen //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720CA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shd w:val="clear" w:color="auto" w:fill="FFFFFF"/>
        </w:rPr>
        <w:t>Pseudomonas aeruginosa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Infections and Treatment. – 1994. – Р. 1-17.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Craig, W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and </w:t>
      </w:r>
      <w:r w:rsidRPr="00720CA7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Ebert S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 Antimirobial Therapy in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720CA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shd w:val="clear" w:color="auto" w:fill="FFFFFF"/>
        </w:rPr>
        <w:t>Pseudomonas aeruginosa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infections //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720CA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shd w:val="clear" w:color="auto" w:fill="FFFFFF"/>
        </w:rPr>
        <w:t>Pseudomonas aeruginosa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Infections and Treatment. – 1994. – P.470-491.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>Dietrich L. E., Price-Whelan A., Petersen A., Whiteley M., Newman D. K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The phenazine pyocyanin is a terminal signaling factor in the quorum sensing network of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Pseudomonas aeruginosa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// Molecular Microbiology. – 2006. – 61. – P. 1308–1321. </w:t>
      </w:r>
    </w:p>
    <w:p w:rsidR="00720CA7" w:rsidRPr="00720CA7" w:rsidRDefault="00720CA7" w:rsidP="00720CA7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20CA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Diggle S. P., Winzer K., Lazdunski A., Williams P., Camara M</w:t>
      </w:r>
      <w:r w:rsidRPr="00720CA7">
        <w:rPr>
          <w:rFonts w:ascii="Times New Roman" w:eastAsia="Times New Roman" w:hAnsi="Times New Roman" w:cs="Times New Roman"/>
          <w:sz w:val="28"/>
          <w:szCs w:val="28"/>
          <w:lang w:eastAsia="ru-RU"/>
        </w:rPr>
        <w:t>. Advancing the quorum in </w:t>
      </w:r>
      <w:r w:rsidRPr="00720CA7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Pseudomonas aeruginosa</w:t>
      </w:r>
      <w:r w:rsidRPr="00720C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MvaT and the regulation of N-acylhomoserine lactone production and virulence gene expression // J. Bacteriol. –  2002. – V. 184. – P. 2576–2586.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>Dubern J. F., Diggle S. P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Quorum sensing by 2-alkyl-4-quinolones in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Pseudomonas aeruginosa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and other bacterial species // Mol. Biosyst. – 2008. – V. 4 . – P. 882–888.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>Essar D. W., Eberly L., Hadero A., Crawford I. P.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Identification and characterization of genes for a second anthranilate synthase in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Pseudomonas aeruginosa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: interchangeability of the two anthranilate synthases and evolutionary implications // Journal of Bacteriology. – 1990. – V. 172. – P. 884-900.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Fick, R.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720CA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shd w:val="clear" w:color="auto" w:fill="FFFFFF"/>
        </w:rPr>
        <w:t>Pseudomonas aeruginosa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—the microbial myena and its role in disease // An Introduciton.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720CA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shd w:val="clear" w:color="auto" w:fill="FFFFFF"/>
        </w:rPr>
        <w:t>Pseudomonas aeruginosa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: The Opportunist. – 1993. – P. 1-6.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lastRenderedPageBreak/>
        <w:t xml:space="preserve"> Gilardi G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 Cultural and biochemical aspects for identification of glucose-nonfermenting gram-negative rods // Nonfermenting gram-negative rods. – 1985. – P. 17-24.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Greenhagen B. T., Shi K., Robinson H., Gamage S., Bera A. K., Ladner J. E., Parsons J. F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Crystal structure of the pyocyanin biosynthetic protein PhzS // Biochemistry. – 2008. – 47. – P. 5281–5289.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Gusarov I., Shatalin K., Staroodubtseva M., Nudler E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Endogenous nitric oxide protects bacteria against a wide spectrum of antibiotics // Science. – 2009. – V. 325. – P.1380–1384. 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 Hassan H. M., Fridovich I.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Mechanism of action of pyocyanin // J Bacteriol. – 1980. – V. 141. – P.156–163. 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Arial" w:hAnsi="Times New Roman" w:cs="Times New Roman"/>
          <w:i/>
          <w:sz w:val="28"/>
          <w:szCs w:val="28"/>
          <w:lang w:eastAsia="ru-RU"/>
        </w:rPr>
        <w:t xml:space="preserve"> Hassani H., Hasan H., Al-Saadi A., Ali A., Muhammad M.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A. Comparative study on cytotoxicity and apoptotic activity of pyocyanin produced by wild type and mutant strains of </w:t>
      </w:r>
      <w:r w:rsidRPr="00720CA7">
        <w:rPr>
          <w:rFonts w:ascii="Times New Roman" w:eastAsia="Arial" w:hAnsi="Times New Roman" w:cs="Times New Roman"/>
          <w:i/>
          <w:sz w:val="28"/>
          <w:szCs w:val="28"/>
          <w:lang w:eastAsia="ru-RU"/>
        </w:rPr>
        <w:t>Pseudomonas aeruginosa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// European Journal of Experimental Biology. – 2012. – V. 2. – P. 1389-1394</w:t>
      </w:r>
      <w:r w:rsidRPr="00720CA7">
        <w:rPr>
          <w:rFonts w:ascii="Times New Roman" w:eastAsia="Arial" w:hAnsi="Times New Roman" w:cs="Times New Roman"/>
          <w:sz w:val="28"/>
          <w:szCs w:val="28"/>
          <w:lang w:val="en-US" w:eastAsia="ru-RU"/>
        </w:rPr>
        <w:t xml:space="preserve">.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Hickman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J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.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W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., 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Tifrea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D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.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F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., 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Harwood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C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.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  <w:lang w:val="en-US"/>
        </w:rPr>
        <w:t>S</w:t>
      </w:r>
      <w:r w:rsidRPr="00720CA7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. 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en-US"/>
        </w:rPr>
        <w:t>A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en-US"/>
        </w:rPr>
        <w:t>chemosensory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en-US"/>
        </w:rPr>
        <w:t>system</w:t>
      </w:r>
      <w:r w:rsidRPr="00720CA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720CA7">
        <w:rPr>
          <w:rFonts w:ascii="Times New Roman" w:eastAsia="TimesNewRomanPSMT" w:hAnsi="Times New Roman" w:cs="Times New Roman"/>
          <w:sz w:val="28"/>
          <w:szCs w:val="28"/>
          <w:lang w:val="en-US"/>
        </w:rPr>
        <w:t>that regulates biofilm formation through modulation of cyclic diguanylate levels // PNAS. – 2005. – V. 102. – P. 14422–14427.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 Jeykumari D. R. S., Narayanan S. S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Covalent modification of multiwalled carbon nanotubes with neutral red for the fabrication of an amperometric hydrogen peroxide sensor // Nanotechnology. – 2007. – V.  18. – P.125501–125510. 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Lederberg, Joshua et. al.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720CA7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shd w:val="clear" w:color="auto" w:fill="FFFFFF"/>
        </w:rPr>
        <w:t>Pseudomonas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 Encyclopedia of Microbiology // Second Edition. San Diego. – 2000. – P. 876-891.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Karpagam S., Sudhakar T., Lakshmipathy M.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Microbicidal response of pyocyanin by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P. aeruginosa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toward clinical isolates of fungi // International Journal of Pharmacy and Pharmaceutical Sciences. – 2013. – V. 5. – P. 870-873.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Lau G. W., Hassett D. J., Ran H., Kong F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The role of pyocyanin in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Pseudomonas aeruginosa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infection // Trends Mol. Med. – 2004. – V. 10. – P. 599–606.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lastRenderedPageBreak/>
        <w:t xml:space="preserve"> Laursen J. B, Nielsen J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Phenazine natural products: Biosynthesis, synthetic analogues, and biological activity // Chemical Reviews. – 2004. – V. 104. – P. 1663–1685.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Liang H., Li L., Kong W., Shen L., Duan K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Identification of a novel regulator of the quorum-sensing systems in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Pseudomonas aeruginosa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// FEMS Microbiology Letters. – 2009. – V. 293. – P. 196–204.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Mavrodi D. V., Peever T. L., Mavrodi O. V., Parejko J. A., Raaijmakers J. M., Lemanceau P., Mazurier S., Heide L., Blankenfeldt W., Weller D. M.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, et. al. Diversity and evolution of the phenazine biosynthesis pathway // Appl. Environ. Microbiol. – 2010. – V. 76. – P. 866–879.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Maddula V. S., Zhang Z., Pierson E. A., Pierson L. S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Quorum sensing and phenazines are involved in biofilm formation by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Pseudomonas chlororaphis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(aureofaciens) strain 30-84 // Microbial Ecology. – 2006. – V. 52. – P. 289–301.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Mavrodi D. V., Bonsall R. F., Delaney S. M., Soule M. J., Phillips G., Thomashow  L. S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Functional analysis of genes for biosynthesis of pyocyanin and phenazine-1-carboxamide from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Pseudomonas aeruginosa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PAO1 // J Bacteriol. – 2001. – V. 183. – P. 6454–6465.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Mavrodi D. V, Blankenfeldt W., Thomashow L. S., Mentel M.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Phenazine compounds in fluorescent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Pseudomonas spp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biosynthesis and regulation // Annual review of Phytopathology. – 2006. – V. 44. – P. 417–445.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720CA7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Mavrodi D. V., Peever T. L., Mavrodi O. V., Parejko J. A., Raaijmakers J. M., Lemanceau P., Mazurier S., Heide L., Blankenfeldt W., Weller D. M., Thomashow L. S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Diversity and evolution of the phenazine biosynthesis pathway // Appl Environ Microbiol. – 2010. – V. 76. – P. 866-879.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FF0000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Mentel M., Ahuja E. G., Mavrodi D. V., Breinbauer R., Thomashow L. S., Blankenfeldt W</w:t>
      </w:r>
      <w:r w:rsidRPr="00720CA7">
        <w:rPr>
          <w:rFonts w:ascii="Times New Roman" w:eastAsia="Calibri" w:hAnsi="Times New Roman" w:cs="Times New Roman"/>
          <w:sz w:val="28"/>
          <w:szCs w:val="28"/>
        </w:rPr>
        <w:t>. Of two make one: the biosynthesis of phenazines // ChemBioChem. – 2009. – V. 10. – P. 2295–2304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Morales D. K. et. al</w:t>
      </w:r>
      <w:r w:rsidRPr="00720CA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Antifugnal mechanisms by which a novel </w:t>
      </w:r>
      <w:r w:rsidRPr="00720CA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Pseudomonas Aeruginosa</w:t>
      </w:r>
      <w:r w:rsidRPr="00720CA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phenazine toxine kills </w:t>
      </w:r>
      <w:r w:rsidRPr="00720CA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Candida Ablikans</w:t>
      </w:r>
      <w:r w:rsidRPr="00720CA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in biofilms // Molecular Mikrobiology December. – 2010. – 78. – P. 1379-1392.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color w:val="FF0000"/>
          <w:sz w:val="28"/>
          <w:szCs w:val="28"/>
        </w:rPr>
        <w:lastRenderedPageBreak/>
        <w:t xml:space="preserve">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Ohfuji K., Sato N., Hamada-Sato N., Kobayashi T., Imada C., Okuma H., et. al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Construction of a glucose sensor based on a screen-printed electrode and a novel mediator pyocyanin from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Pseudomonas aeruginosa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Biosensors // Bioelectronics. – 2004. – V. 19. – P. 1237-1244.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Parsons J. F., Greenhagen B. T., Shi K., Calabrese K., Robinson H., Ladner J. E.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Structural and functional analysis of the pyocyanin biosynthetic protein PhzM from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Pseudomonas aeruginosa </w:t>
      </w:r>
      <w:r w:rsidRPr="00720CA7">
        <w:rPr>
          <w:rFonts w:ascii="Times New Roman" w:eastAsia="Calibri" w:hAnsi="Times New Roman" w:cs="Times New Roman"/>
          <w:sz w:val="28"/>
          <w:szCs w:val="28"/>
        </w:rPr>
        <w:t>// Biochemistry. – 2007. – V. 46. – P. 1821–1828.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20CA7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Pham T. H., Boon N., Maeyer K., Hofte M., Rabaey K., Verstraete W.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Use of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720CA7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Pseudomonas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species producing phenazine-based metabolites in the anodes of microbial fuel cells to improve electricity generation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> // Applied Microbiology and Biotechnology. –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2008. – V. 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80. 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– P. 985–993.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Pierson L. S, Thomashow L. S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Cloning and heterologous expression of the phenazine biosynthetic locus from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Pseudomonas aureofaciens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30-84 // Molecular Plant-Microbe Interactions. – 1992. – V. 5. – P. 330–339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Arial" w:hAnsi="Times New Roman" w:cs="Times New Roman"/>
          <w:sz w:val="28"/>
          <w:szCs w:val="28"/>
          <w:lang w:eastAsia="ru-RU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Pierson L. S., 3rd, Pierson E. A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Metabolism and function of phenazines in bacteria: impacts on the behavior of bacteria in the environment and biotechnological processes // Appl. Microbiol. Biotechnol. – 2010. – V. 86. – P. 1659–1670. 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ru-RU"/>
        </w:rPr>
      </w:pPr>
      <w:r w:rsidRPr="00720CA7">
        <w:rPr>
          <w:rFonts w:ascii="Times New Roman" w:eastAsia="Arial" w:hAnsi="Times New Roman" w:cs="Times New Roman"/>
          <w:i/>
          <w:color w:val="FF0000"/>
          <w:sz w:val="28"/>
          <w:szCs w:val="28"/>
          <w:lang w:eastAsia="ru-RU"/>
        </w:rPr>
        <w:t xml:space="preserve"> </w:t>
      </w:r>
      <w:r w:rsidRPr="00720CA7">
        <w:rPr>
          <w:rFonts w:ascii="Times New Roman" w:eastAsia="Arial" w:hAnsi="Times New Roman" w:cs="Times New Roman"/>
          <w:i/>
          <w:sz w:val="28"/>
          <w:szCs w:val="28"/>
          <w:lang w:eastAsia="ru-RU"/>
        </w:rPr>
        <w:t>Priyaja A.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Pyocyanin (5-methyl-1-hydroxyphenazine) produced by </w:t>
      </w:r>
      <w:r w:rsidRPr="00720CA7">
        <w:rPr>
          <w:rFonts w:ascii="Times New Roman" w:eastAsia="Arial" w:hAnsi="Times New Roman" w:cs="Times New Roman"/>
          <w:i/>
          <w:sz w:val="28"/>
          <w:szCs w:val="28"/>
          <w:lang w:eastAsia="ru-RU"/>
        </w:rPr>
        <w:t>Pseudomonas aeruginosa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as antagonist to vibrios in aquaculture: Overexpression, downstream process and toxicity // (Ph.D thesis) Cochin Univ. of Science and Technology, India. – 2013. – P. 55-75.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ru-RU"/>
        </w:rPr>
      </w:pPr>
      <w:r w:rsidRPr="00720CA7">
        <w:rPr>
          <w:rFonts w:ascii="Times New Roman" w:eastAsia="Arial" w:hAnsi="Times New Roman" w:cs="Times New Roman"/>
          <w:i/>
          <w:color w:val="FF0000"/>
          <w:sz w:val="28"/>
          <w:szCs w:val="28"/>
          <w:lang w:eastAsia="ru-RU"/>
        </w:rPr>
        <w:t xml:space="preserve"> </w:t>
      </w:r>
      <w:r w:rsidRPr="00720CA7">
        <w:rPr>
          <w:rFonts w:ascii="Times New Roman" w:eastAsia="Arial" w:hAnsi="Times New Roman" w:cs="Times New Roman"/>
          <w:i/>
          <w:sz w:val="28"/>
          <w:szCs w:val="28"/>
          <w:lang w:eastAsia="ru-RU"/>
        </w:rPr>
        <w:t>Priyaja P., Jayesh P., Correya N., Sreelakshmi B., Sudheer N., Philip R., et. al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. Antagonistic effect of </w:t>
      </w:r>
      <w:r w:rsidRPr="00720CA7">
        <w:rPr>
          <w:rFonts w:ascii="Times New Roman" w:eastAsia="Arial" w:hAnsi="Times New Roman" w:cs="Times New Roman"/>
          <w:i/>
          <w:sz w:val="28"/>
          <w:szCs w:val="28"/>
          <w:lang w:eastAsia="ru-RU"/>
        </w:rPr>
        <w:t>Pseudomonas aeruginosa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isolates from various ecological niches on </w:t>
      </w:r>
      <w:r w:rsidRPr="00720CA7">
        <w:rPr>
          <w:rFonts w:ascii="Times New Roman" w:eastAsia="Arial" w:hAnsi="Times New Roman" w:cs="Times New Roman"/>
          <w:i/>
          <w:sz w:val="28"/>
          <w:szCs w:val="28"/>
          <w:lang w:eastAsia="ru-RU"/>
        </w:rPr>
        <w:t>Vibrio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species pathogenic to crustaceans // Journal of Coastal Life Medicine. – 2014. – V. 2. – P. 76-84.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ru-RU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Pierson L. S., 3rd, Pierson E. A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Metabolism and function of phenazines in bacteria: impacts on the behavior of bacteria in the environment and biotechnological processes // Appl. Microbiol. Biotechnol. – 2010. – V. 86. – P. 1659–1670. 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 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ru-RU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</w:t>
      </w:r>
      <w:r w:rsidRPr="00720CA7">
        <w:rPr>
          <w:rFonts w:ascii="Times New Roman" w:eastAsia="Arial" w:hAnsi="Times New Roman" w:cs="Times New Roman"/>
          <w:i/>
          <w:sz w:val="28"/>
          <w:szCs w:val="28"/>
          <w:lang w:eastAsia="ru-RU"/>
        </w:rPr>
        <w:t>Pham T. H., Boon N., De Maeyer K., Hofte M., Rabaey K., Verstraete W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. Use of </w:t>
      </w:r>
      <w:r w:rsidRPr="00720CA7">
        <w:rPr>
          <w:rFonts w:ascii="Times New Roman" w:eastAsia="Arial" w:hAnsi="Times New Roman" w:cs="Times New Roman"/>
          <w:i/>
          <w:sz w:val="28"/>
          <w:szCs w:val="28"/>
          <w:lang w:eastAsia="ru-RU"/>
        </w:rPr>
        <w:t>Pseudomonas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species producing phenazine-based metabolites in the anodes of microbial fuel cells to improve electricity generation // Applied Microbiology and Biotechnology. – 2008. – V. 80. – P. 985-993.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ru-RU"/>
        </w:rPr>
      </w:pPr>
      <w:r w:rsidRPr="00720CA7">
        <w:rPr>
          <w:rFonts w:ascii="Times New Roman" w:eastAsia="Arial" w:hAnsi="Times New Roman" w:cs="Times New Roman"/>
          <w:i/>
          <w:sz w:val="28"/>
          <w:szCs w:val="28"/>
          <w:lang w:eastAsia="ru-RU"/>
        </w:rPr>
        <w:t xml:space="preserve"> Rabaey K., Boon N., Hofte M., Verstraete W.</w:t>
      </w:r>
      <w:r w:rsidRPr="00720CA7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Microbial phenazine production enhances electron transfer in biofuel cells // Environmental Science &amp; Technology. – 2005. – V. 39. – P. 3401-3408</w:t>
      </w:r>
      <w:r w:rsidRPr="00720CA7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20CA7" w:rsidRPr="00720CA7" w:rsidRDefault="00720CA7" w:rsidP="00720C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Arial" w:hAnsi="Times New Roman" w:cs="Times New Roman"/>
          <w:sz w:val="28"/>
          <w:szCs w:val="28"/>
          <w:lang w:eastAsia="ru-RU"/>
        </w:rPr>
      </w:pPr>
      <w:r w:rsidRPr="00720CA7">
        <w:rPr>
          <w:rFonts w:ascii="Times New Roman" w:eastAsia="Arial" w:hAnsi="Times New Roman" w:cs="Times New Roman"/>
          <w:i/>
          <w:sz w:val="28"/>
          <w:szCs w:val="28"/>
          <w:lang w:eastAsia="ru-RU"/>
        </w:rPr>
        <w:t xml:space="preserve">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Rada B. Leto T. L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Redox warfare between airway epithelial cells and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Pseudomonas</w:t>
      </w:r>
      <w:r w:rsidRPr="00720CA7">
        <w:rPr>
          <w:rFonts w:ascii="Times New Roman" w:eastAsia="Calibri" w:hAnsi="Times New Roman" w:cs="Times New Roman"/>
          <w:sz w:val="28"/>
          <w:szCs w:val="28"/>
        </w:rPr>
        <w:t>: dual oxidase versus pyocyanin // Immunologic Research. – 2009. –V. 43. – P. 198–209.</w:t>
      </w:r>
    </w:p>
    <w:p w:rsidR="00720CA7" w:rsidRPr="00720CA7" w:rsidRDefault="00720CA7" w:rsidP="00720CA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lang w:val="en-US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Roy P. H. et. al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r w:rsidRPr="00720CA7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Pseudomonas aeruginosa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PA7. A “superbug” resistant to many third generation antibiotics // National Center of Biotehnology Information. – January 22. – 2010. – P.1-10.  </w:t>
      </w:r>
    </w:p>
    <w:p w:rsidR="00720CA7" w:rsidRPr="00720CA7" w:rsidRDefault="00720CA7" w:rsidP="00720CA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Times New Roman"/>
          <w:lang w:val="ru-RU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Ryazanova O. A., Voloshin I. M., Makitruk V. L., Zozulya V. N., Karachevtsev V. A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pH-induced changes in electronic absorption and fluorescence spectra of phenazine derivatives // Spectrochim Acta A Mol. Biomol. Spectrosc. – 2007. – V. 66. – P. 849–859. </w:t>
      </w:r>
    </w:p>
    <w:p w:rsidR="00720CA7" w:rsidRPr="00720CA7" w:rsidRDefault="00720CA7" w:rsidP="00720CA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Sanderson D. G., Gross E. L., Seibert M. A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Photosynthetic photoelectrochemical cell using phenazine methosulfate and phenazine ethosulfate as electron acceptors // Applied Biochemistry and Biotechnology.  – 1987. – V. 14. – P. 1–12. </w:t>
      </w:r>
    </w:p>
    <w:p w:rsidR="00720CA7" w:rsidRPr="00720CA7" w:rsidRDefault="00720CA7" w:rsidP="00720CA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Stover K., Pham Q., Erwin L., Mizoguchi D., Warrener P., Hickey J., Brinkman, L., Hufnagle O. et. al</w:t>
      </w:r>
      <w:r w:rsidRPr="00720CA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Complete genome sequence of </w:t>
      </w:r>
      <w:r w:rsidRPr="00720CA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Pseudomonas aeruginosa</w:t>
      </w:r>
      <w:r w:rsidRPr="00720CA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PA01, an opportunistic pathogen </w:t>
      </w:r>
      <w:r w:rsidRPr="00720CA7">
        <w:rPr>
          <w:rFonts w:ascii="Times New Roman" w:eastAsia="Calibri" w:hAnsi="Times New Roman" w:cs="Times New Roman"/>
          <w:sz w:val="28"/>
          <w:szCs w:val="28"/>
        </w:rPr>
        <w:t>//</w:t>
      </w:r>
      <w:r w:rsidRPr="00720CA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Nature. 2000. – P. 961-964.</w:t>
      </w:r>
    </w:p>
    <w:p w:rsidR="00720CA7" w:rsidRPr="00720CA7" w:rsidRDefault="00720CA7" w:rsidP="00720CA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 </w:t>
      </w:r>
      <w:r w:rsidRPr="00720CA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Trautmann M., Leoper P. M., Haller M</w:t>
      </w:r>
      <w:r w:rsidRPr="00720CA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Ecology </w:t>
      </w:r>
      <w:r w:rsidRPr="00720CA7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Pseudomonas aeruginosa</w:t>
      </w:r>
      <w:r w:rsidRPr="00720CA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in the intensive care unite and the envolving role of water autlets as a reservoir of the organism // Am. J Infect. Control. 2008 Feb, Am. J Infect Control. 2011 Mar. – P.41-49.</w:t>
      </w:r>
    </w:p>
    <w:p w:rsidR="00720CA7" w:rsidRPr="00720CA7" w:rsidRDefault="00720CA7" w:rsidP="00720CA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Tambong J. T., Hofte M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Phenazines are involved in biocontrol of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Pythium myriotylum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on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cocoyam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by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Pseudomonas aeruginosa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PNA1 // European Journal of Plant Pathology. – 2001. – V. 107. – P. 511–521.</w:t>
      </w:r>
    </w:p>
    <w:p w:rsidR="00720CA7" w:rsidRPr="00720CA7" w:rsidRDefault="00720CA7" w:rsidP="00720CA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Torres C. I., Marcus A. K., Lee H. S., Parameswaran P., Krajmalnik-Brown R., Rittmann B. E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A kinetic perspective on extracellular electron transfer by anode-respiring bacteria // FEMS Microbiology Reviews. – 2010. – V. 34. –P. 3–17.  </w:t>
      </w:r>
    </w:p>
    <w:p w:rsidR="00720CA7" w:rsidRPr="00720CA7" w:rsidRDefault="00720CA7" w:rsidP="00720CA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Webby C. J., Baker H. M., Lott J. S., Baker E. N., Parker E. J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The structure of 3-deoxy-d-arabino-heptulosonate 7-phosphate synthase from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Mycobacterium tuberculosis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reveals a common catalytic scaffold and ancestry for type I and type II enzymes // J. Mol. Biol. – 2005. – V. 354. – P. 927–939 </w:t>
      </w:r>
    </w:p>
    <w:p w:rsidR="00720CA7" w:rsidRPr="00720CA7" w:rsidRDefault="00720CA7" w:rsidP="00720CA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Wiehlmann L., Wanger G., Gramer N., Siebert B., Gudowius P., Morales G., Ko T., Delden C., Weinel C., Slikers P., and To B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Population structure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Pseudomonas aeruginosa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// PNAS. – 2007. – P. 8101-8106.    </w:t>
      </w:r>
    </w:p>
    <w:p w:rsidR="00720CA7" w:rsidRPr="00720CA7" w:rsidRDefault="00720CA7" w:rsidP="00720CA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Winsor G. L., Lam D. K., Fleming L., Lo R., Whiteside M. D., Yu N. Y., Hancock R. E.,and</w:t>
      </w:r>
      <w:r w:rsidRPr="00720CA7">
        <w:rPr>
          <w:rFonts w:ascii="Arial" w:eastAsia="Calibri" w:hAnsi="Arial" w:cs="Arial"/>
          <w:i/>
          <w:color w:val="000000"/>
          <w:sz w:val="19"/>
          <w:szCs w:val="19"/>
          <w:shd w:val="clear" w:color="auto" w:fill="FFFFFF"/>
        </w:rPr>
        <w:t> 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 Brinkman F. S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 xml:space="preserve">Pseudomonas 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genom database: improved comparative analysis and populations genomics capability for </w:t>
      </w:r>
      <w:r w:rsidRPr="00720CA7">
        <w:rPr>
          <w:rFonts w:ascii="Times New Roman" w:eastAsia="Calibri" w:hAnsi="Times New Roman" w:cs="Times New Roman"/>
          <w:i/>
          <w:sz w:val="28"/>
          <w:szCs w:val="28"/>
        </w:rPr>
        <w:t>Pseudomonas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genomes </w:t>
      </w:r>
      <w:r w:rsidRPr="00720CA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//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Nucleic Acids Res. – 2011. –  Р. 596-600.  </w:t>
      </w:r>
      <w:r w:rsidRPr="00720CA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  </w:t>
      </w:r>
      <w:r w:rsidRPr="00720CA7">
        <w:rPr>
          <w:rFonts w:ascii="Times New Roman" w:eastAsia="Calibri" w:hAnsi="Times New Roman" w:cs="Times New Roman"/>
          <w:sz w:val="28"/>
          <w:szCs w:val="28"/>
        </w:rPr>
        <w:t xml:space="preserve">  </w:t>
      </w:r>
    </w:p>
    <w:p w:rsidR="00720CA7" w:rsidRPr="00720CA7" w:rsidRDefault="00720CA7"/>
    <w:sectPr w:rsidR="00720CA7" w:rsidRPr="00720CA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A178D3"/>
    <w:multiLevelType w:val="hybridMultilevel"/>
    <w:tmpl w:val="067864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4D4687"/>
    <w:multiLevelType w:val="hybridMultilevel"/>
    <w:tmpl w:val="223EEF22"/>
    <w:lvl w:ilvl="0" w:tplc="7B168FBE">
      <w:start w:val="1"/>
      <w:numFmt w:val="decimal"/>
      <w:lvlText w:val="%1."/>
      <w:lvlJc w:val="left"/>
      <w:pPr>
        <w:ind w:left="360" w:hanging="360"/>
      </w:pPr>
      <w:rPr>
        <w:i w:val="0"/>
        <w:color w:val="auto"/>
      </w:rPr>
    </w:lvl>
    <w:lvl w:ilvl="1" w:tplc="04190019">
      <w:start w:val="1"/>
      <w:numFmt w:val="lowerLetter"/>
      <w:lvlText w:val="%2."/>
      <w:lvlJc w:val="left"/>
      <w:pPr>
        <w:ind w:left="1931" w:hanging="360"/>
      </w:pPr>
    </w:lvl>
    <w:lvl w:ilvl="2" w:tplc="0419001B">
      <w:start w:val="1"/>
      <w:numFmt w:val="lowerRoman"/>
      <w:lvlText w:val="%3."/>
      <w:lvlJc w:val="right"/>
      <w:pPr>
        <w:ind w:left="2651" w:hanging="180"/>
      </w:pPr>
    </w:lvl>
    <w:lvl w:ilvl="3" w:tplc="0419000F">
      <w:start w:val="1"/>
      <w:numFmt w:val="decimal"/>
      <w:lvlText w:val="%4."/>
      <w:lvlJc w:val="left"/>
      <w:pPr>
        <w:ind w:left="3371" w:hanging="360"/>
      </w:pPr>
    </w:lvl>
    <w:lvl w:ilvl="4" w:tplc="04190019">
      <w:start w:val="1"/>
      <w:numFmt w:val="lowerLetter"/>
      <w:lvlText w:val="%5."/>
      <w:lvlJc w:val="left"/>
      <w:pPr>
        <w:ind w:left="4091" w:hanging="360"/>
      </w:pPr>
    </w:lvl>
    <w:lvl w:ilvl="5" w:tplc="0419001B">
      <w:start w:val="1"/>
      <w:numFmt w:val="lowerRoman"/>
      <w:lvlText w:val="%6."/>
      <w:lvlJc w:val="right"/>
      <w:pPr>
        <w:ind w:left="4811" w:hanging="180"/>
      </w:pPr>
    </w:lvl>
    <w:lvl w:ilvl="6" w:tplc="0419000F">
      <w:start w:val="1"/>
      <w:numFmt w:val="decimal"/>
      <w:lvlText w:val="%7."/>
      <w:lvlJc w:val="left"/>
      <w:pPr>
        <w:ind w:left="5531" w:hanging="360"/>
      </w:pPr>
    </w:lvl>
    <w:lvl w:ilvl="7" w:tplc="04190019">
      <w:start w:val="1"/>
      <w:numFmt w:val="lowerLetter"/>
      <w:lvlText w:val="%8."/>
      <w:lvlJc w:val="left"/>
      <w:pPr>
        <w:ind w:left="6251" w:hanging="360"/>
      </w:pPr>
    </w:lvl>
    <w:lvl w:ilvl="8" w:tplc="0419001B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527E6F75"/>
    <w:multiLevelType w:val="hybridMultilevel"/>
    <w:tmpl w:val="B4B07296"/>
    <w:lvl w:ilvl="0" w:tplc="4BAA20D2">
      <w:start w:val="39"/>
      <w:numFmt w:val="decimal"/>
      <w:lvlText w:val="%1."/>
      <w:lvlJc w:val="left"/>
      <w:pPr>
        <w:ind w:left="375" w:hanging="375"/>
      </w:pPr>
      <w:rPr>
        <w:rFonts w:cs="Times New Roman"/>
        <w:i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3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FC6"/>
    <w:rsid w:val="00720CA7"/>
    <w:rsid w:val="008E0FC6"/>
    <w:rsid w:val="00A54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892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13656</Words>
  <Characters>7784</Characters>
  <Application>Microsoft Office Word</Application>
  <DocSecurity>0</DocSecurity>
  <Lines>64</Lines>
  <Paragraphs>42</Paragraphs>
  <ScaleCrop>false</ScaleCrop>
  <Company/>
  <LinksUpToDate>false</LinksUpToDate>
  <CharactersWithSpaces>21398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2018-11-13T12:56:00Z</dcterms:created>
  <dcterms:modified xsi:type="dcterms:W3CDTF">2018-11-13T12:59:00Z</dcterms:modified>
</cp:coreProperties>
</file>