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spacing w:lineRule="auto" w:line="240" w:before="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Одеський національний університет імені І. І. Мечникова</w:t>
      </w:r>
    </w:p>
    <w:p>
      <w:pPr>
        <w:pStyle w:val="Normal"/>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(повне найменування вищого навчального закладу)</w:t>
      </w:r>
    </w:p>
    <w:p>
      <w:pPr>
        <w:pStyle w:val="Normal"/>
        <w:pBdr>
          <w:bottom w:val="single" w:sz="4" w:space="1" w:color="000000"/>
        </w:pBdr>
        <w:spacing w:lineRule="auto" w:line="240" w:before="24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Факультет міжнародних відносин, політології та соціології</w:t>
      </w:r>
    </w:p>
    <w:p>
      <w:pPr>
        <w:pStyle w:val="Normal"/>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(повне найменування інституту/факультету)</w:t>
      </w:r>
    </w:p>
    <w:p>
      <w:pPr>
        <w:pStyle w:val="Normal"/>
        <w:pBdr>
          <w:bottom w:val="single" w:sz="4" w:space="1" w:color="000000"/>
        </w:pBdr>
        <w:spacing w:lineRule="auto" w:line="240" w:before="24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Кафедра міжнародних відносин</w:t>
      </w:r>
    </w:p>
    <w:p>
      <w:pPr>
        <w:pStyle w:val="Normal"/>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(повна назва кафедри)</w:t>
      </w:r>
    </w:p>
    <w:p>
      <w:pPr>
        <w:pStyle w:val="Normal"/>
        <w:spacing w:lineRule="auto" w:line="240" w:before="0" w:after="0"/>
        <w:jc w:val="center"/>
        <w:rPr>
          <w:rFonts w:ascii="Times New Roman" w:hAnsi="Times New Roman" w:eastAsia="Times New Roman" w:cs="Times New Roman"/>
          <w:b/>
          <w:b/>
          <w:sz w:val="32"/>
          <w:szCs w:val="32"/>
          <w:lang w:val="uk-UA"/>
        </w:rPr>
      </w:pPr>
      <w:r>
        <w:rPr>
          <w:rFonts w:eastAsia="Times New Roman" w:cs="Times New Roman" w:ascii="Times New Roman" w:hAnsi="Times New Roman"/>
          <w:b/>
          <w:sz w:val="32"/>
          <w:szCs w:val="32"/>
          <w:lang w:val="uk-UA"/>
        </w:rPr>
      </w:r>
    </w:p>
    <w:p>
      <w:pPr>
        <w:pStyle w:val="Normal"/>
        <w:spacing w:lineRule="auto" w:line="240" w:before="0" w:after="0"/>
        <w:jc w:val="center"/>
        <w:rPr>
          <w:rFonts w:ascii="Times New Roman" w:hAnsi="Times New Roman" w:eastAsia="Times New Roman" w:cs="Times New Roman"/>
          <w:b/>
          <w:b/>
          <w:sz w:val="32"/>
          <w:szCs w:val="32"/>
          <w:lang w:val="uk-UA"/>
        </w:rPr>
      </w:pPr>
      <w:r>
        <w:rPr>
          <w:rFonts w:eastAsia="Times New Roman" w:cs="Times New Roman" w:ascii="Times New Roman" w:hAnsi="Times New Roman"/>
          <w:b/>
          <w:sz w:val="32"/>
          <w:szCs w:val="32"/>
          <w:lang w:val="uk-UA"/>
        </w:rPr>
      </w:r>
    </w:p>
    <w:p>
      <w:pPr>
        <w:pStyle w:val="Normal"/>
        <w:spacing w:lineRule="auto" w:line="240" w:before="0" w:after="0"/>
        <w:jc w:val="center"/>
        <w:rPr>
          <w:rFonts w:ascii="Times New Roman" w:hAnsi="Times New Roman" w:eastAsia="Times New Roman" w:cs="Times New Roman"/>
          <w:sz w:val="32"/>
          <w:szCs w:val="32"/>
          <w:lang w:val="uk-UA"/>
        </w:rPr>
      </w:pPr>
      <w:r>
        <w:rPr>
          <w:rFonts w:eastAsia="Times New Roman" w:cs="Times New Roman" w:ascii="Times New Roman" w:hAnsi="Times New Roman"/>
          <w:b/>
          <w:sz w:val="32"/>
          <w:szCs w:val="32"/>
        </w:rPr>
        <w:t>Кваліфікаційна</w:t>
      </w:r>
      <w:r>
        <w:rPr>
          <w:rFonts w:eastAsia="Times New Roman" w:cs="Times New Roman" w:ascii="Times New Roman" w:hAnsi="Times New Roman"/>
          <w:b/>
          <w:sz w:val="32"/>
          <w:szCs w:val="32"/>
          <w:lang w:val="uk-UA"/>
        </w:rPr>
        <w:t xml:space="preserve"> робота магістра</w:t>
      </w:r>
    </w:p>
    <w:p>
      <w:pPr>
        <w:pStyle w:val="Normal"/>
        <w:pBdr>
          <w:bottom w:val="single" w:sz="4" w:space="1" w:color="000000"/>
        </w:pBdr>
        <w:spacing w:lineRule="auto" w:line="240" w:before="240" w:after="200"/>
        <w:ind w:left="1134" w:right="850" w:hanging="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 здобуття ступеня вищої освіти «магістр»</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lang w:val="uk-UA"/>
        </w:rPr>
        <w:t xml:space="preserve">на тему: </w:t>
      </w:r>
      <w:r>
        <w:rPr>
          <w:rFonts w:eastAsia="Times New Roman" w:cs="Times New Roman" w:ascii="Times New Roman" w:hAnsi="Times New Roman"/>
          <w:b/>
          <w:sz w:val="28"/>
          <w:szCs w:val="28"/>
          <w:u w:val="single"/>
          <w:lang w:val="uk-UA"/>
        </w:rPr>
        <w:t>«Інформаційна стратегія зовнішньої політики України»</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w:t>
      </w:r>
      <w:r>
        <w:rPr>
          <w:rFonts w:eastAsia="Times New Roman" w:cs="Times New Roman" w:ascii="Times New Roman" w:hAnsi="Times New Roman"/>
          <w:sz w:val="28"/>
          <w:szCs w:val="28"/>
          <w:u w:val="single"/>
          <w:lang w:val="en-US"/>
        </w:rPr>
        <w:t>Theoretical Foundations of Ukraine’s Foreign Policy Informational Component</w:t>
      </w:r>
      <w:r>
        <w:rPr>
          <w:rFonts w:eastAsia="Times New Roman" w:cs="Times New Roman" w:ascii="Times New Roman" w:hAnsi="Times New Roman"/>
          <w:sz w:val="28"/>
          <w:szCs w:val="28"/>
          <w:u w:val="single"/>
          <w:lang w:val="uk-UA"/>
        </w:rPr>
        <w:t>»</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r>
    </w:p>
    <w:p>
      <w:pPr>
        <w:pStyle w:val="Normal"/>
        <w:spacing w:lineRule="auto" w:line="240" w:before="0" w:after="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Виконав(ла): студент(ка) денної форми навчання</w:t>
      </w:r>
    </w:p>
    <w:p>
      <w:pPr>
        <w:pStyle w:val="Normal"/>
        <w:spacing w:lineRule="auto" w:line="240" w:before="0" w:after="0"/>
        <w:jc w:val="right"/>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 xml:space="preserve">спеціальності 291 – «Міжнародні відносини, </w:t>
      </w:r>
    </w:p>
    <w:p>
      <w:pPr>
        <w:pStyle w:val="Normal"/>
        <w:spacing w:lineRule="auto" w:line="240" w:before="0" w:after="0"/>
        <w:ind w:left="2835" w:hanging="0"/>
        <w:jc w:val="right"/>
        <w:rPr>
          <w:rFonts w:ascii="Times New Roman" w:hAnsi="Times New Roman" w:eastAsia="Times New Roman" w:cs="Times New Roman"/>
          <w:sz w:val="28"/>
          <w:szCs w:val="28"/>
          <w:u w:val="single"/>
          <w:vertAlign w:val="subscript"/>
          <w:lang w:val="uk-UA"/>
        </w:rPr>
      </w:pPr>
      <w:r>
        <w:rPr>
          <w:rFonts w:eastAsia="Times New Roman" w:cs="Times New Roman" w:ascii="Times New Roman" w:hAnsi="Times New Roman"/>
          <w:sz w:val="28"/>
          <w:szCs w:val="28"/>
          <w:u w:val="single"/>
          <w:lang w:val="uk-UA"/>
        </w:rPr>
        <w:t>суспільні комунікації та регіональні студії</w:t>
      </w:r>
    </w:p>
    <w:p>
      <w:pPr>
        <w:pStyle w:val="Normal"/>
        <w:spacing w:lineRule="auto" w:line="120" w:before="0" w:after="0"/>
        <w:ind w:left="2829" w:hanging="0"/>
        <w:jc w:val="right"/>
        <w:rPr>
          <w:rFonts w:ascii="Times New Roman" w:hAnsi="Times New Roman" w:eastAsia="Times New Roman" w:cs="Times New Roman"/>
          <w:sz w:val="28"/>
          <w:szCs w:val="28"/>
          <w:vertAlign w:val="subscript"/>
          <w:lang w:val="uk-UA"/>
        </w:rPr>
      </w:pPr>
      <w:r>
        <w:rPr>
          <w:rFonts w:eastAsia="Times New Roman" w:cs="Times New Roman" w:ascii="Times New Roman" w:hAnsi="Times New Roman"/>
          <w:sz w:val="28"/>
          <w:szCs w:val="28"/>
          <w:vertAlign w:val="subscript"/>
          <w:lang w:val="uk-UA"/>
        </w:rPr>
        <w:t>(шифр і назва напряму підготовки або спеціальності)</w:t>
      </w:r>
      <w:r>
        <w:rPr>
          <w:rFonts w:eastAsia="Times New Roman" w:cs="Times New Roman" w:ascii="Times New Roman" w:hAnsi="Times New Roman"/>
          <w:sz w:val="28"/>
          <w:szCs w:val="28"/>
          <w:lang w:val="uk-UA"/>
        </w:rPr>
        <w:tab/>
      </w:r>
    </w:p>
    <w:p>
      <w:pPr>
        <w:pStyle w:val="Normal"/>
        <w:spacing w:lineRule="auto" w:line="120"/>
        <w:jc w:val="right"/>
        <w:rPr>
          <w:rFonts w:ascii="Times New Roman" w:hAnsi="Times New Roman" w:eastAsia="Times New Roman" w:cs="Times New Roman"/>
          <w:sz w:val="44"/>
          <w:szCs w:val="44"/>
          <w:vertAlign w:val="subscript"/>
          <w:lang w:val="uk-UA"/>
        </w:rPr>
      </w:pPr>
      <w:r>
        <w:rPr>
          <w:rFonts w:eastAsia="Times New Roman" w:cs="Times New Roman" w:ascii="Times New Roman" w:hAnsi="Times New Roman"/>
          <w:sz w:val="28"/>
          <w:szCs w:val="28"/>
          <w:vertAlign w:val="subscript"/>
          <w:lang w:val="uk-UA"/>
        </w:rPr>
        <w:tab/>
        <w:tab/>
        <w:tab/>
      </w:r>
      <w:r>
        <w:rPr>
          <w:rFonts w:eastAsia="Times New Roman" w:cs="Times New Roman" w:ascii="Times New Roman" w:hAnsi="Times New Roman"/>
          <w:sz w:val="44"/>
          <w:szCs w:val="44"/>
          <w:vertAlign w:val="subscript"/>
          <w:lang w:val="uk-UA"/>
        </w:rPr>
        <w:t>Бурганова Вероніка</w:t>
      </w:r>
    </w:p>
    <w:p>
      <w:pPr>
        <w:pStyle w:val="Normal"/>
        <w:spacing w:lineRule="auto" w:line="165"/>
        <w:ind w:left="2124" w:firstLine="707"/>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Керівник  д. політ. н., проф. Глєбов С. В. _________________________</w:t>
      </w:r>
    </w:p>
    <w:p>
      <w:pPr>
        <w:pStyle w:val="Normal"/>
        <w:spacing w:lineRule="auto" w:line="165"/>
        <w:ind w:left="2124" w:firstLine="707"/>
        <w:jc w:val="right"/>
        <w:rPr>
          <w:rFonts w:ascii="Times New Roman" w:hAnsi="Times New Roman" w:eastAsia="Times New Roman" w:cs="Times New Roman"/>
          <w:sz w:val="20"/>
          <w:szCs w:val="20"/>
          <w:vertAlign w:val="subscript"/>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w:t>
      </w:r>
      <w:r>
        <w:rPr>
          <w:rFonts w:eastAsia="Times New Roman" w:cs="Times New Roman" w:ascii="Times New Roman" w:hAnsi="Times New Roman"/>
          <w:sz w:val="20"/>
          <w:szCs w:val="20"/>
          <w:lang w:val="uk-UA"/>
        </w:rPr>
        <w:t>науковий ступінь, вчене звання,прізвище та ініціали, підпис)</w:t>
      </w:r>
    </w:p>
    <w:p>
      <w:pPr>
        <w:pStyle w:val="Normal"/>
        <w:tabs>
          <w:tab w:val="clear" w:pos="708"/>
          <w:tab w:val="left" w:pos="5245" w:leader="none"/>
          <w:tab w:val="right" w:pos="9355" w:leader="none"/>
        </w:tabs>
        <w:spacing w:lineRule="auto" w:line="240" w:before="120" w:after="20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Рецензент  к. політ. н., доц. Вакарчук К. А.</w:t>
      </w:r>
    </w:p>
    <w:p>
      <w:pPr>
        <w:pStyle w:val="Normal"/>
        <w:tabs>
          <w:tab w:val="clear" w:pos="708"/>
          <w:tab w:val="left" w:pos="5245" w:leader="none"/>
          <w:tab w:val="right" w:pos="9355" w:leader="none"/>
        </w:tabs>
        <w:spacing w:lineRule="auto" w:line="120" w:before="120" w:after="20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w:t>
      </w:r>
      <w:r>
        <w:rPr>
          <w:rFonts w:eastAsia="Times New Roman" w:cs="Times New Roman" w:ascii="Times New Roman" w:hAnsi="Times New Roman"/>
          <w:sz w:val="20"/>
          <w:szCs w:val="20"/>
          <w:lang w:val="uk-UA"/>
        </w:rPr>
        <w:t>науковий ступінь, вчене звання,прізвище та ініціали)</w:t>
      </w:r>
    </w:p>
    <w:tbl>
      <w:tblPr>
        <w:tblW w:w="9870" w:type="dxa"/>
        <w:jc w:val="center"/>
        <w:tblInd w:w="0" w:type="dxa"/>
        <w:tblLayout w:type="fixed"/>
        <w:tblCellMar>
          <w:top w:w="0" w:type="dxa"/>
          <w:left w:w="108" w:type="dxa"/>
          <w:bottom w:w="0" w:type="dxa"/>
          <w:right w:w="108" w:type="dxa"/>
        </w:tblCellMar>
        <w:tblLook w:val="04a0"/>
      </w:tblPr>
      <w:tblGrid>
        <w:gridCol w:w="5083"/>
        <w:gridCol w:w="4786"/>
      </w:tblGrid>
      <w:tr>
        <w:trPr/>
        <w:tc>
          <w:tcPr>
            <w:tcW w:w="5083" w:type="dxa"/>
            <w:tcBorders/>
          </w:tcPr>
          <w:p>
            <w:pPr>
              <w:pStyle w:val="Normal"/>
              <w:widowControl w:val="false"/>
              <w:spacing w:lineRule="auto" w:line="252" w:before="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Рекомендовано до захисту:</w:t>
            </w:r>
          </w:p>
          <w:p>
            <w:pPr>
              <w:pStyle w:val="Normal"/>
              <w:widowControl w:val="false"/>
              <w:spacing w:lineRule="auto" w:line="252"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Протокол засідання кафедри</w:t>
            </w:r>
          </w:p>
          <w:p>
            <w:pPr>
              <w:pStyle w:val="Normal"/>
              <w:widowControl w:val="false"/>
              <w:spacing w:lineRule="auto" w:line="252"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___ від _9.11._ 2021 р. </w:t>
            </w:r>
          </w:p>
          <w:p>
            <w:pPr>
              <w:pStyle w:val="Normal"/>
              <w:widowControl w:val="false"/>
              <w:spacing w:lineRule="auto" w:line="252" w:before="60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Завідувач кафедри</w:t>
            </w:r>
          </w:p>
          <w:p>
            <w:pPr>
              <w:pStyle w:val="Normal"/>
              <w:widowControl w:val="false"/>
              <w:tabs>
                <w:tab w:val="clear" w:pos="708"/>
                <w:tab w:val="left" w:pos="1168" w:leader="none"/>
                <w:tab w:val="left" w:pos="3861" w:leader="none"/>
              </w:tabs>
              <w:spacing w:lineRule="auto" w:line="252" w:before="360" w:after="200"/>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ab/>
            </w:r>
            <w:r>
              <w:rPr>
                <w:rFonts w:eastAsia="Times New Roman" w:cs="Times New Roman" w:ascii="Times New Roman" w:hAnsi="Times New Roman"/>
                <w:sz w:val="28"/>
                <w:szCs w:val="28"/>
                <w:lang w:val="uk-UA"/>
              </w:rPr>
              <w:t xml:space="preserve">            Брусиловська О.І.</w:t>
            </w:r>
          </w:p>
          <w:p>
            <w:pPr>
              <w:pStyle w:val="Normal"/>
              <w:widowControl w:val="false"/>
              <w:tabs>
                <w:tab w:val="clear" w:pos="708"/>
                <w:tab w:val="left" w:pos="284" w:leader="none"/>
                <w:tab w:val="left" w:pos="1767" w:leader="none"/>
              </w:tabs>
              <w:spacing w:lineRule="auto" w:line="252" w:before="0" w:after="200"/>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ab/>
              <w:t>(підпис)</w:t>
              <w:tab/>
            </w:r>
          </w:p>
        </w:tc>
        <w:tc>
          <w:tcPr>
            <w:tcW w:w="4786" w:type="dxa"/>
            <w:tcBorders/>
          </w:tcPr>
          <w:p>
            <w:pPr>
              <w:pStyle w:val="Normal"/>
              <w:widowControl w:val="false"/>
              <w:tabs>
                <w:tab w:val="clear" w:pos="708"/>
                <w:tab w:val="right" w:pos="4462" w:leader="none"/>
              </w:tabs>
              <w:spacing w:lineRule="auto" w:line="252" w:before="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Захищено на засіданні ЕК №__</w:t>
            </w:r>
            <w:r>
              <w:rPr>
                <w:rFonts w:eastAsia="Times New Roman" w:cs="Times New Roman" w:ascii="Times New Roman" w:hAnsi="Times New Roman"/>
                <w:sz w:val="28"/>
                <w:szCs w:val="28"/>
                <w:u w:val="single"/>
                <w:lang w:val="uk-UA"/>
              </w:rPr>
              <w:t>7</w:t>
            </w:r>
            <w:r>
              <w:rPr>
                <w:rFonts w:eastAsia="Times New Roman" w:cs="Times New Roman" w:ascii="Times New Roman" w:hAnsi="Times New Roman"/>
                <w:sz w:val="28"/>
                <w:szCs w:val="28"/>
                <w:lang w:val="uk-UA"/>
              </w:rPr>
              <w:t>__</w:t>
            </w:r>
          </w:p>
          <w:p>
            <w:pPr>
              <w:pStyle w:val="Normal"/>
              <w:widowControl w:val="false"/>
              <w:tabs>
                <w:tab w:val="clear" w:pos="708"/>
                <w:tab w:val="right" w:pos="4462" w:leader="none"/>
              </w:tabs>
              <w:spacing w:lineRule="auto" w:line="252"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протокол № ___ від ______2021 р.</w:t>
              <w:tab/>
            </w:r>
          </w:p>
          <w:p>
            <w:pPr>
              <w:pStyle w:val="Normal"/>
              <w:widowControl w:val="false"/>
              <w:tabs>
                <w:tab w:val="clear" w:pos="708"/>
                <w:tab w:val="right" w:pos="4462" w:leader="none"/>
              </w:tabs>
              <w:spacing w:lineRule="auto" w:line="252"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Оцінка______________/___</w:t>
            </w:r>
            <w:r>
              <w:rPr>
                <w:rFonts w:eastAsia="Times New Roman" w:cs="Times New Roman" w:ascii="Times New Roman" w:hAnsi="Times New Roman"/>
                <w:sz w:val="20"/>
                <w:szCs w:val="20"/>
                <w:lang w:val="uk-UA"/>
              </w:rPr>
              <w:tab/>
            </w:r>
            <w:r>
              <w:rPr>
                <w:rFonts w:eastAsia="Times New Roman" w:cs="Times New Roman" w:ascii="Times New Roman" w:hAnsi="Times New Roman"/>
                <w:sz w:val="28"/>
                <w:szCs w:val="28"/>
                <w:lang w:val="uk-UA"/>
              </w:rPr>
              <w:t>___/____</w:t>
            </w:r>
          </w:p>
          <w:p>
            <w:pPr>
              <w:pStyle w:val="Normal"/>
              <w:widowControl w:val="false"/>
              <w:spacing w:lineRule="auto" w:line="252"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(за національною шкалою, шкалою ЕСТS, бали)</w:t>
            </w:r>
          </w:p>
          <w:p>
            <w:pPr>
              <w:pStyle w:val="Normal"/>
              <w:widowControl w:val="false"/>
              <w:spacing w:lineRule="auto" w:line="252" w:before="36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Голова ЕК</w:t>
            </w:r>
          </w:p>
          <w:p>
            <w:pPr>
              <w:pStyle w:val="Normal"/>
              <w:widowControl w:val="false"/>
              <w:tabs>
                <w:tab w:val="clear" w:pos="708"/>
                <w:tab w:val="left" w:pos="1446" w:leader="none"/>
                <w:tab w:val="right" w:pos="4462" w:leader="none"/>
              </w:tabs>
              <w:spacing w:lineRule="auto" w:line="252" w:before="360" w:after="200"/>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ab/>
            </w:r>
            <w:r>
              <w:rPr>
                <w:rFonts w:eastAsia="Times New Roman" w:cs="Times New Roman" w:ascii="Times New Roman" w:hAnsi="Times New Roman"/>
                <w:sz w:val="28"/>
                <w:szCs w:val="28"/>
                <w:lang w:val="uk-UA"/>
              </w:rPr>
              <w:t>Глебов В.В.</w:t>
            </w:r>
          </w:p>
          <w:p>
            <w:pPr>
              <w:pStyle w:val="Normal"/>
              <w:widowControl w:val="false"/>
              <w:tabs>
                <w:tab w:val="clear" w:pos="708"/>
                <w:tab w:val="left" w:pos="454" w:leader="none"/>
                <w:tab w:val="left" w:pos="2155" w:leader="none"/>
              </w:tabs>
              <w:spacing w:lineRule="auto" w:line="252" w:before="0" w:after="200"/>
              <w:rPr>
                <w:rFonts w:ascii="Times New Roman" w:hAnsi="Times New Roman" w:eastAsia="Times New Roman" w:cs="Times New Roman"/>
                <w:sz w:val="28"/>
                <w:szCs w:val="28"/>
                <w:lang w:val="uk-UA"/>
              </w:rPr>
            </w:pPr>
            <w:r>
              <w:rPr>
                <w:rFonts w:eastAsia="Times New Roman" w:cs="Times New Roman" w:ascii="Times New Roman" w:hAnsi="Times New Roman"/>
                <w:sz w:val="20"/>
                <w:szCs w:val="20"/>
                <w:lang w:val="uk-UA"/>
              </w:rPr>
              <w:tab/>
              <w:t>(підпис)</w:t>
              <w:tab/>
            </w:r>
          </w:p>
        </w:tc>
      </w:tr>
      <w:tr>
        <w:trPr/>
        <w:tc>
          <w:tcPr>
            <w:tcW w:w="5083" w:type="dxa"/>
            <w:tcBorders/>
          </w:tcPr>
          <w:p>
            <w:pPr>
              <w:pStyle w:val="Normal"/>
              <w:widowControl w:val="false"/>
              <w:spacing w:lineRule="auto" w:line="252" w:before="0" w:after="20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tc>
        <w:tc>
          <w:tcPr>
            <w:tcW w:w="4786" w:type="dxa"/>
            <w:tcBorders/>
          </w:tcPr>
          <w:p>
            <w:pPr>
              <w:pStyle w:val="Normal"/>
              <w:widowControl w:val="false"/>
              <w:spacing w:lineRule="auto" w:line="252" w:before="0" w:after="20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tc>
      </w:tr>
    </w:tbl>
    <w:p>
      <w:pPr>
        <w:pStyle w:val="Normal"/>
        <w:jc w:val="center"/>
        <w:rPr>
          <w:rFonts w:ascii="Times New Roman" w:hAnsi="Times New Roman" w:cs="Times New Roman"/>
          <w:b/>
          <w:b/>
          <w:sz w:val="28"/>
          <w:szCs w:val="28"/>
          <w:lang w:val="en-US"/>
        </w:rPr>
      </w:pPr>
      <w:bookmarkStart w:id="0" w:name="_GoBack"/>
      <w:bookmarkEnd w:id="0"/>
      <w:r>
        <w:rPr>
          <w:rFonts w:cs="Times New Roman" w:ascii="Times New Roman" w:hAnsi="Times New Roman"/>
          <w:b/>
          <w:sz w:val="28"/>
          <w:szCs w:val="28"/>
          <w:lang w:val="uk-UA"/>
        </w:rPr>
        <w:t>Одеса 2021</w:t>
      </w:r>
    </w:p>
    <w:p>
      <w:pPr>
        <w:pStyle w:val="Normal"/>
        <w:jc w:val="both"/>
        <w:rPr>
          <w:rFonts w:ascii="Times New Roman" w:hAnsi="Times New Roman" w:cs="Times New Roman"/>
          <w:b/>
          <w:b/>
          <w:sz w:val="28"/>
          <w:szCs w:val="28"/>
          <w:lang w:val="en-US"/>
        </w:rPr>
      </w:pPr>
      <w:r>
        <w:rPr>
          <w:rFonts w:cs="Times New Roman" w:ascii="Times New Roman" w:hAnsi="Times New Roman"/>
          <w:b/>
          <w:sz w:val="28"/>
          <w:szCs w:val="28"/>
          <w:lang w:val="en-US"/>
        </w:rPr>
      </w:r>
    </w:p>
    <w:sdt>
      <w:sdtPr>
        <w:docPartObj>
          <w:docPartGallery w:val="Table of Contents"/>
          <w:docPartUnique w:val="true"/>
        </w:docPartObj>
      </w:sdtPr>
      <w:sdtContent>
        <w:p>
          <w:pPr>
            <w:pStyle w:val="TOCHeading"/>
            <w:spacing w:lineRule="auto" w:line="480" w:before="0" w:after="0"/>
            <w:jc w:val="center"/>
            <w:rPr>
              <w:rFonts w:ascii="Times New Roman" w:hAnsi="Times New Roman" w:cs="Times New Roman"/>
              <w:color w:val="auto"/>
              <w:lang w:val="uk-UA"/>
            </w:rPr>
          </w:pPr>
          <w:r>
            <w:rPr>
              <w:rFonts w:cs="Times New Roman" w:ascii="Times New Roman" w:hAnsi="Times New Roman"/>
              <w:color w:val="auto"/>
            </w:rPr>
            <w:t>Зміст</w:t>
          </w:r>
        </w:p>
        <w:p>
          <w:pPr>
            <w:pStyle w:val="12"/>
            <w:rPr>
              <w:lang w:eastAsia="zh-CN"/>
            </w:rPr>
          </w:pPr>
          <w:r>
            <w:fldChar w:fldCharType="begin"/>
          </w:r>
          <w:r>
            <w:rPr>
              <w:webHidden/>
              <w:b/>
            </w:rPr>
            <w:instrText> TOC \z \o "1-3" \u \h</w:instrText>
          </w:r>
          <w:r>
            <w:rPr>
              <w:webHidden/>
              <w:b/>
            </w:rPr>
            <w:fldChar w:fldCharType="separate"/>
          </w:r>
          <w:hyperlink w:anchor="_Toc90052848">
            <w:r>
              <w:rPr>
                <w:webHidden/>
                <w:b/>
              </w:rPr>
              <w:t>Вступ</w:t>
            </w:r>
            <w:r>
              <w:rPr>
                <w:webHidden/>
              </w:rPr>
              <w:fldChar w:fldCharType="begin"/>
            </w:r>
            <w:r>
              <w:rPr>
                <w:webHidden/>
              </w:rPr>
              <w:instrText>PAGEREF _Toc90052848 \h</w:instrText>
            </w:r>
            <w:r>
              <w:rPr>
                <w:webHidden/>
              </w:rPr>
              <w:fldChar w:fldCharType="separate"/>
            </w:r>
            <w:r>
              <w:rPr>
                <w:vanish w:val="false"/>
              </w:rPr>
              <w:tab/>
              <w:t>3</w:t>
            </w:r>
            <w:r>
              <w:rPr>
                <w:webHidden/>
              </w:rPr>
              <w:fldChar w:fldCharType="end"/>
            </w:r>
          </w:hyperlink>
        </w:p>
        <w:p>
          <w:pPr>
            <w:pStyle w:val="12"/>
            <w:rPr>
              <w:lang w:eastAsia="zh-CN"/>
            </w:rPr>
          </w:pPr>
          <w:hyperlink w:anchor="_Toc90052849">
            <w:r>
              <w:rPr>
                <w:webHidden/>
                <w:b/>
              </w:rPr>
              <w:t>Розділ 1. Теоретичні засади ІС ЗПУ</w:t>
            </w:r>
            <w:r>
              <w:rPr>
                <w:webHidden/>
              </w:rPr>
              <w:fldChar w:fldCharType="begin"/>
            </w:r>
            <w:r>
              <w:rPr>
                <w:webHidden/>
              </w:rPr>
              <w:instrText>PAGEREF _Toc90052849 \h</w:instrText>
            </w:r>
            <w:r>
              <w:rPr>
                <w:webHidden/>
              </w:rPr>
              <w:fldChar w:fldCharType="separate"/>
            </w:r>
            <w:r>
              <w:rPr>
                <w:vanish w:val="false"/>
              </w:rPr>
              <w:tab/>
              <w:t>6</w:t>
            </w:r>
            <w:r>
              <w:rPr>
                <w:webHidden/>
              </w:rPr>
              <w:fldChar w:fldCharType="end"/>
            </w:r>
          </w:hyperlink>
        </w:p>
        <w:p>
          <w:pPr>
            <w:pStyle w:val="12"/>
            <w:rPr>
              <w:lang w:eastAsia="zh-CN"/>
            </w:rPr>
          </w:pPr>
          <w:hyperlink w:anchor="_Toc90052850">
            <w:r>
              <w:rPr>
                <w:webHidden/>
              </w:rPr>
              <w:t>1.1. Неолібералізм як основа дослідження</w:t>
            </w:r>
            <w:r>
              <w:rPr>
                <w:webHidden/>
              </w:rPr>
              <w:fldChar w:fldCharType="begin"/>
            </w:r>
            <w:r>
              <w:rPr>
                <w:webHidden/>
              </w:rPr>
              <w:instrText>PAGEREF _Toc90052850 \h</w:instrText>
            </w:r>
            <w:r>
              <w:rPr>
                <w:webHidden/>
              </w:rPr>
              <w:fldChar w:fldCharType="separate"/>
            </w:r>
            <w:r>
              <w:rPr>
                <w:vanish w:val="false"/>
              </w:rPr>
              <w:tab/>
              <w:t>6</w:t>
            </w:r>
            <w:r>
              <w:rPr>
                <w:webHidden/>
              </w:rPr>
              <w:fldChar w:fldCharType="end"/>
            </w:r>
          </w:hyperlink>
        </w:p>
        <w:p>
          <w:pPr>
            <w:pStyle w:val="12"/>
            <w:rPr>
              <w:lang w:eastAsia="zh-CN"/>
            </w:rPr>
          </w:pPr>
          <w:hyperlink w:anchor="_Toc90052851">
            <w:r>
              <w:rPr>
                <w:webHidden/>
              </w:rPr>
              <w:t>1.2. Аналіз літератури</w:t>
            </w:r>
            <w:r>
              <w:rPr>
                <w:webHidden/>
              </w:rPr>
              <w:fldChar w:fldCharType="begin"/>
            </w:r>
            <w:r>
              <w:rPr>
                <w:webHidden/>
              </w:rPr>
              <w:instrText>PAGEREF _Toc90052851 \h</w:instrText>
            </w:r>
            <w:r>
              <w:rPr>
                <w:webHidden/>
              </w:rPr>
              <w:fldChar w:fldCharType="separate"/>
            </w:r>
            <w:r>
              <w:rPr>
                <w:vanish w:val="false"/>
              </w:rPr>
              <w:tab/>
              <w:t>9</w:t>
            </w:r>
            <w:r>
              <w:rPr>
                <w:webHidden/>
              </w:rPr>
              <w:fldChar w:fldCharType="end"/>
            </w:r>
          </w:hyperlink>
        </w:p>
        <w:p>
          <w:pPr>
            <w:pStyle w:val="12"/>
            <w:rPr>
              <w:lang w:eastAsia="zh-CN"/>
            </w:rPr>
          </w:pPr>
          <w:hyperlink w:anchor="_Toc90052852">
            <w:r>
              <w:rPr>
                <w:webHidden/>
              </w:rPr>
              <w:t>1.3. Характеристика джерел</w:t>
            </w:r>
            <w:r>
              <w:rPr>
                <w:webHidden/>
              </w:rPr>
              <w:fldChar w:fldCharType="begin"/>
            </w:r>
            <w:r>
              <w:rPr>
                <w:webHidden/>
              </w:rPr>
              <w:instrText>PAGEREF _Toc90052852 \h</w:instrText>
            </w:r>
            <w:r>
              <w:rPr>
                <w:webHidden/>
              </w:rPr>
              <w:fldChar w:fldCharType="separate"/>
            </w:r>
            <w:r>
              <w:rPr>
                <w:vanish w:val="false"/>
              </w:rPr>
              <w:tab/>
              <w:t>12</w:t>
            </w:r>
            <w:r>
              <w:rPr>
                <w:webHidden/>
              </w:rPr>
              <w:fldChar w:fldCharType="end"/>
            </w:r>
          </w:hyperlink>
        </w:p>
        <w:p>
          <w:pPr>
            <w:pStyle w:val="12"/>
            <w:rPr>
              <w:lang w:eastAsia="zh-CN"/>
            </w:rPr>
          </w:pPr>
          <w:hyperlink w:anchor="_Toc90052853">
            <w:r>
              <w:rPr>
                <w:webHidden/>
                <w:b/>
              </w:rPr>
              <w:t>Розділ 2. Історія інформаційного компонента ЗПУ (1991-2014)</w:t>
            </w:r>
            <w:r>
              <w:rPr>
                <w:webHidden/>
              </w:rPr>
              <w:fldChar w:fldCharType="begin"/>
            </w:r>
            <w:r>
              <w:rPr>
                <w:webHidden/>
              </w:rPr>
              <w:instrText>PAGEREF _Toc90052853 \h</w:instrText>
            </w:r>
            <w:r>
              <w:rPr>
                <w:webHidden/>
              </w:rPr>
              <w:fldChar w:fldCharType="separate"/>
            </w:r>
            <w:r>
              <w:rPr>
                <w:vanish w:val="false"/>
              </w:rPr>
              <w:tab/>
              <w:t>14</w:t>
            </w:r>
            <w:r>
              <w:rPr>
                <w:webHidden/>
              </w:rPr>
              <w:fldChar w:fldCharType="end"/>
            </w:r>
          </w:hyperlink>
        </w:p>
        <w:p>
          <w:pPr>
            <w:pStyle w:val="12"/>
            <w:rPr>
              <w:lang w:eastAsia="zh-CN"/>
            </w:rPr>
          </w:pPr>
          <w:hyperlink w:anchor="_Toc90052854">
            <w:r>
              <w:rPr>
                <w:webHidden/>
              </w:rPr>
              <w:t>2.1. Становлення інформаційної політики незалежної України</w:t>
            </w:r>
            <w:r>
              <w:rPr>
                <w:webHidden/>
              </w:rPr>
              <w:fldChar w:fldCharType="begin"/>
            </w:r>
            <w:r>
              <w:rPr>
                <w:webHidden/>
              </w:rPr>
              <w:instrText>PAGEREF _Toc90052854 \h</w:instrText>
            </w:r>
            <w:r>
              <w:rPr>
                <w:webHidden/>
              </w:rPr>
              <w:fldChar w:fldCharType="separate"/>
            </w:r>
            <w:r>
              <w:rPr>
                <w:vanish w:val="false"/>
              </w:rPr>
              <w:tab/>
              <w:t>14</w:t>
            </w:r>
            <w:r>
              <w:rPr>
                <w:webHidden/>
              </w:rPr>
              <w:fldChar w:fldCharType="end"/>
            </w:r>
          </w:hyperlink>
        </w:p>
        <w:p>
          <w:pPr>
            <w:pStyle w:val="12"/>
            <w:rPr>
              <w:lang w:eastAsia="zh-CN"/>
            </w:rPr>
          </w:pPr>
          <w:hyperlink w:anchor="_Toc90052855">
            <w:r>
              <w:rPr>
                <w:webHidden/>
                <w:lang w:eastAsia="uk-UA"/>
              </w:rPr>
              <w:t>2.2. Інформаційна діяльність України в ХХІ ст. і нові виклики державі</w:t>
            </w:r>
            <w:r>
              <w:rPr>
                <w:webHidden/>
              </w:rPr>
              <w:fldChar w:fldCharType="begin"/>
            </w:r>
            <w:r>
              <w:rPr>
                <w:webHidden/>
              </w:rPr>
              <w:instrText>PAGEREF _Toc90052855 \h</w:instrText>
            </w:r>
            <w:r>
              <w:rPr>
                <w:webHidden/>
              </w:rPr>
              <w:fldChar w:fldCharType="separate"/>
            </w:r>
            <w:r>
              <w:rPr>
                <w:vanish w:val="false"/>
              </w:rPr>
              <w:tab/>
              <w:t>20</w:t>
            </w:r>
            <w:r>
              <w:rPr>
                <w:webHidden/>
              </w:rPr>
              <w:fldChar w:fldCharType="end"/>
            </w:r>
          </w:hyperlink>
        </w:p>
        <w:p>
          <w:pPr>
            <w:pStyle w:val="12"/>
            <w:rPr>
              <w:lang w:eastAsia="zh-CN"/>
            </w:rPr>
          </w:pPr>
          <w:hyperlink w:anchor="_Toc90052856">
            <w:r>
              <w:rPr>
                <w:webHidden/>
                <w:b/>
              </w:rPr>
              <w:t>Розділ 3. Інформаційна стратегія ЗПУ на сучасному                                    етапі  (2014-2021)</w:t>
            </w:r>
            <w:r>
              <w:rPr>
                <w:webHidden/>
              </w:rPr>
              <w:fldChar w:fldCharType="begin"/>
            </w:r>
            <w:r>
              <w:rPr>
                <w:webHidden/>
              </w:rPr>
              <w:instrText>PAGEREF _Toc90052856 \h</w:instrText>
            </w:r>
            <w:r>
              <w:rPr>
                <w:webHidden/>
              </w:rPr>
              <w:fldChar w:fldCharType="separate"/>
            </w:r>
            <w:r>
              <w:rPr>
                <w:vanish w:val="false"/>
              </w:rPr>
              <w:tab/>
              <w:t>32</w:t>
            </w:r>
            <w:r>
              <w:rPr>
                <w:webHidden/>
              </w:rPr>
              <w:fldChar w:fldCharType="end"/>
            </w:r>
          </w:hyperlink>
        </w:p>
        <w:p>
          <w:pPr>
            <w:pStyle w:val="12"/>
            <w:rPr>
              <w:lang w:eastAsia="zh-CN"/>
            </w:rPr>
          </w:pPr>
          <w:hyperlink w:anchor="_Toc90052857">
            <w:r>
              <w:rPr>
                <w:webHidden/>
              </w:rPr>
              <w:t>3.1. Безпекові загрози РФ Україїні та гібридизація російської агресії</w:t>
            </w:r>
            <w:r>
              <w:rPr>
                <w:webHidden/>
              </w:rPr>
              <w:fldChar w:fldCharType="begin"/>
            </w:r>
            <w:r>
              <w:rPr>
                <w:webHidden/>
              </w:rPr>
              <w:instrText>PAGEREF _Toc90052857 \h</w:instrText>
            </w:r>
            <w:r>
              <w:rPr>
                <w:webHidden/>
              </w:rPr>
              <w:fldChar w:fldCharType="separate"/>
            </w:r>
            <w:r>
              <w:rPr>
                <w:vanish w:val="false"/>
              </w:rPr>
              <w:tab/>
              <w:t>32</w:t>
            </w:r>
            <w:r>
              <w:rPr>
                <w:webHidden/>
              </w:rPr>
              <w:fldChar w:fldCharType="end"/>
            </w:r>
          </w:hyperlink>
        </w:p>
        <w:p>
          <w:pPr>
            <w:pStyle w:val="12"/>
            <w:rPr>
              <w:lang w:eastAsia="zh-CN"/>
            </w:rPr>
          </w:pPr>
          <w:hyperlink w:anchor="_Toc90052858">
            <w:r>
              <w:rPr>
                <w:webHidden/>
              </w:rPr>
              <w:t>3.2. Контрпропагандистська діяльність України і успіхи української дипломатії</w:t>
            </w:r>
            <w:r>
              <w:rPr>
                <w:webHidden/>
              </w:rPr>
              <w:fldChar w:fldCharType="begin"/>
            </w:r>
            <w:r>
              <w:rPr>
                <w:webHidden/>
              </w:rPr>
              <w:instrText>PAGEREF _Toc90052858 \h</w:instrText>
            </w:r>
            <w:r>
              <w:rPr>
                <w:webHidden/>
              </w:rPr>
              <w:fldChar w:fldCharType="separate"/>
            </w:r>
            <w:r>
              <w:rPr>
                <w:vanish w:val="false"/>
              </w:rPr>
              <w:tab/>
              <w:t>41</w:t>
            </w:r>
            <w:r>
              <w:rPr>
                <w:webHidden/>
              </w:rPr>
              <w:fldChar w:fldCharType="end"/>
            </w:r>
          </w:hyperlink>
        </w:p>
        <w:p>
          <w:pPr>
            <w:pStyle w:val="12"/>
            <w:rPr>
              <w:lang w:eastAsia="zh-CN"/>
            </w:rPr>
          </w:pPr>
          <w:hyperlink w:anchor="_Toc90052859">
            <w:r>
              <w:rPr>
                <w:webHidden/>
                <w:b/>
              </w:rPr>
              <w:t>Розділ 4. Кейс-стаді. Аналіз інформаційної діяльності України в      контексті відстоювання територіальної цілісності</w:t>
            </w:r>
            <w:r>
              <w:rPr>
                <w:webHidden/>
              </w:rPr>
              <w:fldChar w:fldCharType="begin"/>
            </w:r>
            <w:r>
              <w:rPr>
                <w:webHidden/>
              </w:rPr>
              <w:instrText>PAGEREF _Toc90052859 \h</w:instrText>
            </w:r>
            <w:r>
              <w:rPr>
                <w:webHidden/>
              </w:rPr>
              <w:fldChar w:fldCharType="separate"/>
            </w:r>
            <w:r>
              <w:rPr>
                <w:vanish w:val="false"/>
              </w:rPr>
              <w:tab/>
              <w:t>50</w:t>
            </w:r>
            <w:r>
              <w:rPr>
                <w:webHidden/>
              </w:rPr>
              <w:fldChar w:fldCharType="end"/>
            </w:r>
          </w:hyperlink>
        </w:p>
        <w:p>
          <w:pPr>
            <w:pStyle w:val="12"/>
            <w:rPr>
              <w:lang w:eastAsia="zh-CN"/>
            </w:rPr>
          </w:pPr>
          <w:hyperlink w:anchor="_Toc90052860">
            <w:r>
              <w:rPr>
                <w:webHidden/>
              </w:rPr>
              <w:t>4.1. Використання РФ інформаційного компоненту під час окупації     Криму</w:t>
            </w:r>
            <w:r>
              <w:rPr>
                <w:webHidden/>
              </w:rPr>
              <w:fldChar w:fldCharType="begin"/>
            </w:r>
            <w:r>
              <w:rPr>
                <w:webHidden/>
              </w:rPr>
              <w:instrText>PAGEREF _Toc90052860 \h</w:instrText>
            </w:r>
            <w:r>
              <w:rPr>
                <w:webHidden/>
              </w:rPr>
              <w:fldChar w:fldCharType="separate"/>
            </w:r>
            <w:r>
              <w:rPr>
                <w:vanish w:val="false"/>
              </w:rPr>
              <w:tab/>
              <w:t>50</w:t>
            </w:r>
            <w:r>
              <w:rPr>
                <w:webHidden/>
              </w:rPr>
              <w:fldChar w:fldCharType="end"/>
            </w:r>
          </w:hyperlink>
        </w:p>
        <w:p>
          <w:pPr>
            <w:pStyle w:val="12"/>
            <w:rPr>
              <w:lang w:eastAsia="zh-CN"/>
            </w:rPr>
          </w:pPr>
          <w:hyperlink w:anchor="_Toc90052861">
            <w:r>
              <w:rPr>
                <w:webHidden/>
              </w:rPr>
              <w:t>3.2. Поточний стан політики реінтеграції окупованого Криму</w:t>
            </w:r>
            <w:r>
              <w:rPr>
                <w:webHidden/>
              </w:rPr>
              <w:fldChar w:fldCharType="begin"/>
            </w:r>
            <w:r>
              <w:rPr>
                <w:webHidden/>
              </w:rPr>
              <w:instrText>PAGEREF _Toc90052861 \h</w:instrText>
            </w:r>
            <w:r>
              <w:rPr>
                <w:webHidden/>
              </w:rPr>
              <w:fldChar w:fldCharType="separate"/>
            </w:r>
            <w:r>
              <w:rPr>
                <w:vanish w:val="false"/>
              </w:rPr>
              <w:tab/>
              <w:t>54</w:t>
            </w:r>
            <w:r>
              <w:rPr>
                <w:webHidden/>
              </w:rPr>
              <w:fldChar w:fldCharType="end"/>
            </w:r>
          </w:hyperlink>
        </w:p>
        <w:p>
          <w:pPr>
            <w:pStyle w:val="12"/>
            <w:rPr>
              <w:lang w:eastAsia="zh-CN"/>
            </w:rPr>
          </w:pPr>
          <w:hyperlink w:anchor="_Toc90052862">
            <w:r>
              <w:rPr>
                <w:webHidden/>
              </w:rPr>
              <w:t>3.3. Роль міжнародних організацій в деокупації Криму і засудженні РФ</w:t>
            </w:r>
            <w:r>
              <w:rPr>
                <w:webHidden/>
              </w:rPr>
              <w:fldChar w:fldCharType="begin"/>
            </w:r>
            <w:r>
              <w:rPr>
                <w:webHidden/>
              </w:rPr>
              <w:instrText>PAGEREF _Toc90052862 \h</w:instrText>
            </w:r>
            <w:r>
              <w:rPr>
                <w:webHidden/>
              </w:rPr>
              <w:fldChar w:fldCharType="separate"/>
            </w:r>
            <w:r>
              <w:rPr>
                <w:vanish w:val="false"/>
              </w:rPr>
              <w:tab/>
              <w:t>64</w:t>
            </w:r>
            <w:r>
              <w:rPr>
                <w:webHidden/>
              </w:rPr>
              <w:fldChar w:fldCharType="end"/>
            </w:r>
          </w:hyperlink>
        </w:p>
        <w:p>
          <w:pPr>
            <w:pStyle w:val="12"/>
            <w:rPr>
              <w:lang w:eastAsia="zh-CN"/>
            </w:rPr>
          </w:pPr>
          <w:hyperlink w:anchor="_Toc90052863">
            <w:r>
              <w:rPr>
                <w:webHidden/>
                <w:b/>
              </w:rPr>
              <w:t>Висновки</w:t>
            </w:r>
            <w:r>
              <w:rPr>
                <w:webHidden/>
              </w:rPr>
              <w:fldChar w:fldCharType="begin"/>
            </w:r>
            <w:r>
              <w:rPr>
                <w:webHidden/>
              </w:rPr>
              <w:instrText>PAGEREF _Toc90052863 \h</w:instrText>
            </w:r>
            <w:r>
              <w:rPr>
                <w:webHidden/>
              </w:rPr>
              <w:fldChar w:fldCharType="separate"/>
            </w:r>
            <w:r>
              <w:rPr>
                <w:vanish w:val="false"/>
              </w:rPr>
              <w:tab/>
              <w:t>74</w:t>
            </w:r>
            <w:r>
              <w:rPr>
                <w:webHidden/>
              </w:rPr>
              <w:fldChar w:fldCharType="end"/>
            </w:r>
          </w:hyperlink>
        </w:p>
        <w:p>
          <w:pPr>
            <w:pStyle w:val="12"/>
            <w:rPr>
              <w:lang w:eastAsia="zh-CN"/>
            </w:rPr>
          </w:pPr>
          <w:hyperlink w:anchor="_Toc90052864">
            <w:r>
              <w:rPr>
                <w:webHidden/>
                <w:b/>
              </w:rPr>
              <w:t>Список посилань</w:t>
            </w:r>
            <w:r>
              <w:rPr>
                <w:webHidden/>
              </w:rPr>
              <w:fldChar w:fldCharType="begin"/>
            </w:r>
            <w:r>
              <w:rPr>
                <w:webHidden/>
              </w:rPr>
              <w:instrText>PAGEREF _Toc90052864 \h</w:instrText>
            </w:r>
            <w:r>
              <w:rPr>
                <w:webHidden/>
              </w:rPr>
              <w:fldChar w:fldCharType="separate"/>
            </w:r>
            <w:r>
              <w:rPr>
                <w:vanish w:val="false"/>
              </w:rPr>
              <w:tab/>
              <w:t>77</w:t>
            </w:r>
            <w:r>
              <w:rPr>
                <w:webHidden/>
              </w:rPr>
              <w:fldChar w:fldCharType="end"/>
            </w:r>
          </w:hyperlink>
        </w:p>
        <w:p>
          <w:pPr>
            <w:pStyle w:val="Normal"/>
            <w:spacing w:lineRule="auto" w:line="360" w:before="0" w:after="0"/>
            <w:jc w:val="both"/>
            <w:rPr/>
          </w:pPr>
          <w:r>
            <w:rPr/>
          </w:r>
          <w:r>
            <w:rPr/>
            <w:fldChar w:fldCharType="end"/>
          </w:r>
        </w:p>
      </w:sdtContent>
    </w:sdt>
    <w:p>
      <w:pPr>
        <w:pStyle w:val="Normal"/>
        <w:rPr>
          <w:rFonts w:ascii="Times New Roman" w:hAnsi="Times New Roman" w:cs="Times New Roman"/>
          <w:b/>
          <w:b/>
          <w:sz w:val="28"/>
          <w:szCs w:val="28"/>
        </w:rPr>
      </w:pPr>
      <w:r>
        <w:rPr>
          <w:rFonts w:cs="Times New Roman" w:ascii="Times New Roman" w:hAnsi="Times New Roman"/>
          <w:b/>
          <w:sz w:val="28"/>
          <w:szCs w:val="28"/>
        </w:rPr>
      </w:r>
      <w:r>
        <w:br w:type="page"/>
      </w:r>
    </w:p>
    <w:p>
      <w:pPr>
        <w:pStyle w:val="1"/>
        <w:jc w:val="center"/>
        <w:rPr/>
      </w:pPr>
      <w:bookmarkStart w:id="1" w:name="_Toc90052848"/>
      <w:r>
        <w:rPr/>
        <w:t>Вступ</w:t>
      </w:r>
      <w:bookmarkEnd w:id="1"/>
    </w:p>
    <w:p>
      <w:pPr>
        <w:pStyle w:val="NoSpacing"/>
        <w:rPr>
          <w:lang w:val="uk-UA"/>
        </w:rPr>
      </w:pPr>
      <w:r>
        <w:rPr/>
        <w:tab/>
        <w:t>В інформаційну епоху глоб</w:t>
      </w:r>
      <w:r>
        <w:rPr>
          <w:lang w:val="uk-UA"/>
        </w:rPr>
        <w:t>а</w:t>
      </w:r>
      <w:r>
        <w:rPr/>
        <w:t xml:space="preserve">лізації та гібридних конфліктів неухильно зростає значущість інформаційного компонента зовнішньої політики будь-якої держави. </w:t>
      </w:r>
      <w:r>
        <w:rPr>
          <w:lang w:val="uk-UA"/>
        </w:rPr>
        <w:t>Оскільки наразі, в епоху пост-правди, ключову роль відіграють не об’єктивні факти та події, але їх подача і сприйняття суспільством, для держави критично важливо публічно обґрунтовувати свої кроки у внутрішній та зовнішній політиці та проводити активну інформаційну політику.</w:t>
      </w:r>
    </w:p>
    <w:p>
      <w:pPr>
        <w:pStyle w:val="NoSpacing"/>
        <w:rPr>
          <w:lang w:val="uk-UA"/>
        </w:rPr>
      </w:pPr>
      <w:r>
        <w:rPr>
          <w:lang w:val="uk-UA"/>
        </w:rPr>
        <w:tab/>
        <w:t xml:space="preserve">У випадку України інформаційний компонент зовнішньої політики стає дедалі важливішим на фоні військового конфлікту з Російською Федерацією, що триває вже восьмий рік та невирішеної проблеми окупації та в перспективі, реінтеграції Криму та ОРДЛО. </w:t>
      </w:r>
    </w:p>
    <w:p>
      <w:pPr>
        <w:pStyle w:val="NoSpacing"/>
        <w:rPr>
          <w:lang w:val="uk-UA"/>
        </w:rPr>
      </w:pPr>
      <w:r>
        <w:rPr>
          <w:lang w:val="uk-UA"/>
        </w:rPr>
        <w:tab/>
        <w:t>Наукова актуальність даної теми полягає в ії невеликій вивченості, оскільки Україна є молодою державою, саме поняття інформаційної зовнішньої політики активно в українському контексті використовується лише протягом останнього десятиріччя, а дана проблематика почала активніше досліджуватися і братися до уваги як науковцями, так і безпосередньо державою, лише з 2013-2014 рр. – початку російської агресії проти України. Це  широке дослідження допомогає цілком зрозуміти динаміку розвитку інформаційного компоненту ЗПУ, важливість останнього в міжнародних відносинах на тлі інформаційних війн та гібридизації конфліктів в світі на прикладі України.</w:t>
      </w:r>
    </w:p>
    <w:p>
      <w:pPr>
        <w:pStyle w:val="NoSpacing"/>
        <w:rPr>
          <w:lang w:val="uk-UA"/>
        </w:rPr>
      </w:pPr>
      <w:r>
        <w:rPr>
          <w:lang w:val="uk-UA"/>
        </w:rPr>
        <w:tab/>
        <w:t>Практична актуальність даної теми випливає з її значення для України як воюючої держави, тому будь-які дослідження в цьому напрямку можуть бути апробовані відповідними міністерствами та організаціями з протидії інформаційного тиску і впливу задля проведення ефективнішої зовнішньої політики, консолідації суспільства та впровадження оновленої внутрішньої політики на тлі нескінченної ворожої пропаганди.</w:t>
      </w:r>
    </w:p>
    <w:p>
      <w:pPr>
        <w:pStyle w:val="NoSpacing"/>
        <w:rPr>
          <w:lang w:val="uk-UA"/>
        </w:rPr>
      </w:pPr>
      <w:r>
        <w:rPr>
          <w:lang w:val="uk-UA"/>
        </w:rPr>
        <w:tab/>
        <w:t>Мета дослідження – комплексно проаналізувати інформаційну стратегію зовнішньої політики України та її еволюцію протягом 30 років незалежності.</w:t>
      </w:r>
    </w:p>
    <w:p>
      <w:pPr>
        <w:pStyle w:val="NoSpacing"/>
        <w:rPr>
          <w:lang w:val="uk-UA"/>
        </w:rPr>
      </w:pPr>
      <w:r>
        <w:rPr>
          <w:lang w:val="uk-UA"/>
        </w:rPr>
        <w:tab/>
        <w:t>Завдання дослідження були визначені наступним чином:                     1) охарактеризувати теоретичні засади ІС ЗПУ; 2) описати ключові періоди еволюції інформаційної політики; 3) провести кейс-стаді з аналізу інформаційної діяльності України у відстоюванні територіальної цілісності України для надання найбільш актуального уявлення сьогоденного становища ІС ЗПУ.</w:t>
      </w:r>
    </w:p>
    <w:p>
      <w:pPr>
        <w:pStyle w:val="NoSpacing"/>
        <w:rPr>
          <w:lang w:val="uk-UA"/>
        </w:rPr>
      </w:pPr>
      <w:r>
        <w:rPr>
          <w:lang w:val="uk-UA"/>
        </w:rPr>
        <w:tab/>
        <w:t>Об’єктом дослідження є зовнішня політика України. Предметом дослідження є інформаційний компонент зовнішньої політики України.</w:t>
      </w:r>
    </w:p>
    <w:p>
      <w:pPr>
        <w:pStyle w:val="NoSpacing"/>
        <w:rPr>
          <w:lang w:val="uk-UA"/>
        </w:rPr>
      </w:pPr>
      <w:r>
        <w:rPr>
          <w:lang w:val="uk-UA"/>
        </w:rPr>
        <w:tab/>
        <w:t>З точки зору хронологічних рамок, періоди з 1991 по 2014 рр. та з 2014 по 2021 рр. були обрані тому, що саме 2014 рік є ключовим вододілом для України як держави: саме тоді вирішувалося подальше існування України, а держава зіткнулася з безпрецедентним рівнем гібридної агресії, зокрема в інформаційному полі. Оскільки саме після 2014 року держава почала більш активно приділяти увагу інформаційній політиці та постійно враховувати інформаційний компонент у міжнародних відносинах, така періодизація бачиться обґрунтованою.</w:t>
      </w:r>
    </w:p>
    <w:p>
      <w:pPr>
        <w:pStyle w:val="NoSpacing"/>
        <w:rPr>
          <w:lang w:val="uk-UA"/>
        </w:rPr>
      </w:pPr>
      <w:r>
        <w:rPr>
          <w:lang w:val="uk-UA"/>
        </w:rPr>
        <w:tab/>
        <w:t>Ключовими методами дослідження в роботі є аналіз, синтез та кейс-стаді. В якості головного методу виступає кейс-стаді, в роботі використана низка якісних методів дослідження. Перш за все,це історичний метод, котрий дозволяє вивчати події в рамках історичної динаміки, ідентифікувати зв’язки між різними періодами для розуміння процесу еволюції проблеми. Серед якісних методів також були використані метод вивчення документів та дослідження медіа.</w:t>
      </w:r>
    </w:p>
    <w:p>
      <w:pPr>
        <w:pStyle w:val="NoSpacing"/>
        <w:rPr>
          <w:lang w:val="uk-UA"/>
        </w:rPr>
      </w:pPr>
      <w:r>
        <w:rPr>
          <w:lang w:val="uk-UA"/>
        </w:rPr>
        <w:tab/>
        <w:t>Наукова новизна дослідження полягає в детальному вивченні Кримського кейсу в контексті відстоювання територіальної цілісності в інформаційному полі поряд із комплексним аналізом інформаційної діяльності України протягом від початку незалежності. Враховуючи той факт, що зацікавленість українських дослідників темою гібридних конфліктів та інформаційної політики спостерігається лише здебільшого з 2014 року, подібне дослідження не проводилося. Роботи українських науковців, присвячені схожій тематиці, аналізують коротші періоди та не надають комплексного бачення проблеми станом на 2021 рік.</w:t>
      </w:r>
    </w:p>
    <w:p>
      <w:pPr>
        <w:pStyle w:val="NoSpacing"/>
        <w:rPr>
          <w:lang w:val="uk-UA"/>
        </w:rPr>
      </w:pPr>
      <w:r>
        <w:rPr>
          <w:lang w:val="uk-UA"/>
        </w:rPr>
        <w:tab/>
        <w:t>Робота складається зі вступу, чотирьох розділів, висновків та списку посилань.</w:t>
      </w:r>
    </w:p>
    <w:p>
      <w:pPr>
        <w:pStyle w:val="NoSpacing"/>
        <w:rPr>
          <w:lang w:val="uk-UA"/>
        </w:rPr>
      </w:pPr>
      <w:r>
        <w:rPr>
          <w:lang w:val="uk-UA"/>
        </w:rPr>
        <w:tab/>
        <w:t xml:space="preserve">В першому розділі детально описуються теоретичні та методологічні основи роботи. </w:t>
      </w:r>
    </w:p>
    <w:p>
      <w:pPr>
        <w:pStyle w:val="NoSpacing"/>
        <w:rPr>
          <w:lang w:val="uk-UA"/>
        </w:rPr>
      </w:pPr>
      <w:r>
        <w:rPr>
          <w:lang w:val="uk-UA"/>
        </w:rPr>
        <w:tab/>
        <w:t>У другому розділі описується історія інформаційного компоненту зовнішньої політики України з моменту набуття незалежності до початку російської агресії та окупації Криму і Донбасу .</w:t>
      </w:r>
    </w:p>
    <w:p>
      <w:pPr>
        <w:pStyle w:val="NoSpacing"/>
        <w:rPr>
          <w:lang w:val="uk-UA"/>
        </w:rPr>
      </w:pPr>
      <w:r>
        <w:rPr>
          <w:lang w:val="uk-UA"/>
        </w:rPr>
        <w:tab/>
        <w:t>У третьому розділі більш детально розглядається коротший період (2014-2021) під час котрого зовнішня політика Україна набула рішучих змін, а значущість інформаційної діяльності держава зросла на тлі гібридної агресії Росії та необхідності відстоювати територіальну цілісність і зберігати стабільну підтримку з боку міжнародних партнерів і союзників.</w:t>
      </w:r>
    </w:p>
    <w:p>
      <w:pPr>
        <w:pStyle w:val="NoSpacing"/>
        <w:rPr>
          <w:lang w:val="uk-UA"/>
        </w:rPr>
      </w:pPr>
      <w:r>
        <w:rPr>
          <w:lang w:val="uk-UA"/>
        </w:rPr>
        <w:tab/>
        <w:t>Четвертий розділ – кейс-стаді, в якому розглядається інформаційна діяльність України в контексті відстоювання. територіальності цілісності держави. Менш ніж за останні 30 років за безпосередньої участі РФ відбулася низка територіальних конфліктів, що привела до окупації частин території суверених держав із утворенням там невизнаних failed states (Абхазія, Південна Осетія, Придністров’я, ЛНР, ДНР), але лише у випадку Криму за окупацією території послідувало її незаконне включення до складу РФ, що робить цей кейс унікальним. Мета кейс-стаді – визначити, як завдяки інформаційним важелям українська дипломатія не допускає визнання окупації Криму міжнародною спільнотою або ж заморожування цього кейсу, де міжнародна спільнота не де-юре, але де-факто визнає незворотність окупації території.</w:t>
      </w:r>
      <w:r>
        <w:br w:type="page"/>
      </w:r>
    </w:p>
    <w:p>
      <w:pPr>
        <w:pStyle w:val="1"/>
        <w:jc w:val="center"/>
        <w:rPr>
          <w:lang w:val="uk-UA"/>
        </w:rPr>
      </w:pPr>
      <w:bookmarkStart w:id="2" w:name="_Toc90052863"/>
      <w:r>
        <w:rPr>
          <w:lang w:val="uk-UA"/>
        </w:rPr>
        <w:t>Висновки</w:t>
      </w:r>
      <w:bookmarkEnd w:id="2"/>
    </w:p>
    <w:p>
      <w:pPr>
        <w:pStyle w:val="NoSpacing"/>
        <w:rPr>
          <w:lang w:val="uk-UA"/>
        </w:rPr>
      </w:pPr>
      <w:r>
        <w:rPr>
          <w:lang w:val="uk-UA"/>
        </w:rPr>
        <w:tab/>
        <w:t>Підводячи підсумок дослідження. можна стверджувати, що сьогоднішній стан інформаційної стратегії зовнішньої політики України є задовільним, але потребує подальшого покращення із боку держави. З 2014 року Україна активно залучає дипломатичні та інформаційні ресурси для просування власної повістки на міжнародній арені, на відміну від попередніх років, коли значення цієї стратегії ігнорувалося українською владою.</w:t>
      </w:r>
    </w:p>
    <w:p>
      <w:pPr>
        <w:pStyle w:val="NoSpacing"/>
        <w:rPr>
          <w:lang w:val="uk-UA"/>
        </w:rPr>
      </w:pPr>
      <w:r>
        <w:rPr>
          <w:lang w:val="uk-UA"/>
        </w:rPr>
        <w:tab/>
        <w:t>Наразі наявність «м’якої сили» та можливість формувати світову або ж регіональну інформаційну повістку може давати державі більше переваг у гібридних конфліктах через те, що використання найбільш дієвих та радикальних військових та економічних інструментів є дуже обмеженим. Саме тому, в рамках сьогоднішньої кон’юнктури вкрай важливо постійно формувати та підтривати позитивний імідж держави.</w:t>
      </w:r>
    </w:p>
    <w:p>
      <w:pPr>
        <w:pStyle w:val="NoSpacing"/>
        <w:rPr>
          <w:lang w:val="uk-UA"/>
        </w:rPr>
      </w:pPr>
      <w:r>
        <w:rPr>
          <w:lang w:val="uk-UA"/>
        </w:rPr>
        <w:tab/>
        <w:t>Як воююча держава, Україна використовує дипломатичні та політичні ресурси для утримання питань окупації Криму та ОРДЛО в повістці дня аби не допустити остаточного зникнення цих питань з міжнародного дискурсу та прийняття факту окупації українських територій міжнародною спільнотою.</w:t>
      </w:r>
    </w:p>
    <w:p>
      <w:pPr>
        <w:pStyle w:val="NoSpacing"/>
        <w:rPr>
          <w:lang w:val="uk-UA"/>
        </w:rPr>
      </w:pPr>
      <w:r>
        <w:rPr>
          <w:lang w:val="uk-UA"/>
        </w:rPr>
        <w:tab/>
        <w:t>За часів президентства Петра Порошенка було докладено багато зусиль для протистояння російській агресії в інформаційному вимірі: блокування російських телеканалів та окремих веб-сайтів, затвердження доктрини інформаційної безпеки; медіа працювали над публічним спростувань фейків та інформаційних спотворень російської пропаганди в контексті відстоювання територіальної цілісності України та іміджу держави, зокрема у кейсі збитого малазійського літака, коли усі зусилля російської пропаганди були направлені на дискредитацію ВСУ та української влади. Українська дипломатія тим часом докладала активних зусиль для збереження підтримки міжнародної спільности проти Росії, перш за все в контексті фінансово-політичних санкцій США та ЄС.</w:t>
      </w:r>
    </w:p>
    <w:p>
      <w:pPr>
        <w:pStyle w:val="NoSpacing"/>
        <w:rPr>
          <w:lang w:val="uk-UA"/>
        </w:rPr>
      </w:pPr>
      <w:r>
        <w:rPr>
          <w:lang w:val="uk-UA"/>
        </w:rPr>
        <w:tab/>
        <w:t>Передвиборча умовно пацифістька риторика Володимира Зеленського виглядала як інсинуація, що Україна власне жертва російської агресії сама винна в продовженні конфлікту і могла його зупинити. Антагоністичність до Петра Порошенка масово сприймалася – в тому числі в російських медіа – як можливість «примирення братських держав» та відмови від продовження євроатлантичного курсу. Невпевненість та брак досвіду нової влади спричинив низку політичних скандалів, що сприяли погіршенню іміджу України. Цей період прийшовся на початок пандемії та ланку серйозних змін в міжнародній політиці, що могло зробити Україну аутсайдером повістки дня.</w:t>
      </w:r>
    </w:p>
    <w:p>
      <w:pPr>
        <w:pStyle w:val="NoSpacing"/>
        <w:rPr>
          <w:lang w:val="uk-UA"/>
        </w:rPr>
      </w:pPr>
      <w:r>
        <w:rPr>
          <w:lang w:val="uk-UA"/>
        </w:rPr>
        <w:tab/>
        <w:t>Але як ми наразі бачимо, сьогоднішня влада проявляє повну зацікавленість в нарощуванні співпраці з США та ЄС. Безумовно про європейський міністр зовнішніх справ Дмитро Кулеба, очоливши МЗС, докладає зусиль для подальшого поглиблення співпраці із західними союзниками. Вдале проведення Кримської платформи, яке символічно прийшлося на ювілей незалежності продемонструвало опонентам, що кримський кейс залишється актуальним і не зникне з міжнародної повістки. Активна позиція України по відношенню до білоруського президента Лукашенка та консолідація із країнами та Польщею також є зокрема й інформаційною перемогою, оскільки тепер Україна однозначно сприймається як надійний союзник Заходу не тільки проти Росії, а й проти злочинних дій білоруського президента, направлених на дестабілізацію в Європі безпосередньо на кордонах ЄС.</w:t>
      </w:r>
    </w:p>
    <w:p>
      <w:pPr>
        <w:pStyle w:val="NoSpacing"/>
        <w:rPr>
          <w:lang w:val="uk-UA"/>
        </w:rPr>
      </w:pPr>
      <w:r>
        <w:rPr>
          <w:lang w:val="uk-UA"/>
        </w:rPr>
        <w:tab/>
        <w:t xml:space="preserve">Детальніше розглядаючи інформаційну склодову зовнішньої політики України в контексті відстоювання териториальної цілісності, варто зазначити принциповість та послідовність української влади в даному питанні на прикладі наступних кейсів: безумовна підтримка кримських татар, як репресованого народа, що наразі потерпає від переслідувань з боку окупаційної влади в Криму, заборона на в’їзд особам, що відвідували Крим не перетинаючи український кордон та визнання їх такими, що скоїли злочин проти територіальної цілісності України, активна та негайна реакція МЗС України на незаконні спроби окремих компаній з ЄС вести діяльність в Криму, проведення успішної Кримської платформи, створення інформаційного кейсу щодо можливого запиту на екстрадицію російських держслужбовців, що брали участь в окупації Криму на прикладі Натальї Поклонської. </w:t>
      </w:r>
    </w:p>
    <w:p>
      <w:pPr>
        <w:pStyle w:val="NoSpacing"/>
        <w:rPr>
          <w:lang w:val="uk-UA"/>
        </w:rPr>
      </w:pPr>
      <w:r>
        <w:rPr>
          <w:lang w:val="uk-UA"/>
        </w:rPr>
        <w:tab/>
        <w:t xml:space="preserve">Отже, сьогоднішня інформаційна стратегія України покликана сприяти протистоянню інформаційним атакам, дискредитації української влади, збройних сил, а також покращенню іміджу України на Заході для створення передусім в державам ЄС бачення України як спроможної держави, союзника, котрий захищає європейську спільноту від російської агресії та водночас потребую більш консолідованої допомоги та підтримки. Але окрім цього, ключовим напрямом має бути наповнення інформаційних мереж даними про образ України як політично спроможної, економічно стабильної держави із сильною армією. України як партнера та союзника Заходу, майбутнього члена євроатлантичного блоку. Оскільки таке наповнення повинне базуватись на реальних діях української влади та крупного бізнесу, можна зробити остаточний висновок, що найголовнішим фактором для успішної інформаційної діяльності в міжнародній політиці є внутрішня консолідація українського суспільства на таких загалах, як євроатлантична інтеграція, економічний розвиток та відновлення територіальної цілісності. </w:t>
      </w:r>
    </w:p>
    <w:p>
      <w:pPr>
        <w:pStyle w:val="Normal"/>
        <w:rPr>
          <w:lang w:val="uk-UA"/>
        </w:rPr>
      </w:pPr>
      <w:r>
        <w:rPr>
          <w:lang w:val="uk-UA"/>
        </w:rPr>
      </w:r>
      <w:r>
        <w:br w:type="page"/>
      </w:r>
    </w:p>
    <w:p>
      <w:pPr>
        <w:pStyle w:val="1"/>
        <w:jc w:val="center"/>
        <w:rPr/>
      </w:pPr>
      <w:bookmarkStart w:id="3" w:name="_Toc90052864"/>
      <w:r>
        <w:rPr>
          <w:lang w:val="uk-UA"/>
        </w:rPr>
        <w:t>Список посилань</w:t>
      </w:r>
      <w:bookmarkEnd w:id="3"/>
      <w:r>
        <w:rPr>
          <w:color w:val="080707"/>
        </w:rPr>
        <w:t xml:space="preserve"> </w:t>
      </w:r>
    </w:p>
    <w:p>
      <w:pPr>
        <w:pStyle w:val="NoSpacing"/>
        <w:ind w:firstLine="709"/>
        <w:rPr/>
      </w:pPr>
      <w:r>
        <w:rPr>
          <w:lang w:val="uk-UA"/>
        </w:rPr>
        <w:t xml:space="preserve">Баровська А. (2016) </w:t>
      </w:r>
      <w:r>
        <w:rPr>
          <w:i/>
        </w:rPr>
        <w:t>Інформаційні виклики гібридної війни: контент, канали, механізми протидії : аналіт</w:t>
      </w:r>
      <w:r>
        <w:rPr>
          <w:i/>
          <w:lang w:val="uk-UA"/>
        </w:rPr>
        <w:t>ика</w:t>
      </w:r>
      <w:r>
        <w:rPr/>
        <w:t>.</w:t>
      </w:r>
      <w:r>
        <w:rPr>
          <w:lang w:val="uk-UA"/>
        </w:rPr>
        <w:t xml:space="preserve"> - </w:t>
      </w:r>
      <w:r>
        <w:rPr/>
        <w:t>109 с</w:t>
      </w:r>
    </w:p>
    <w:p>
      <w:pPr>
        <w:pStyle w:val="NoSpacing"/>
        <w:ind w:firstLine="709"/>
        <w:rPr/>
      </w:pPr>
      <w:r>
        <w:rPr/>
        <w:t xml:space="preserve">Бєлай С.В., Корнієнко Д.М. </w:t>
      </w:r>
      <w:r>
        <w:rPr>
          <w:lang w:val="uk-UA"/>
        </w:rPr>
        <w:t xml:space="preserve">(2018) </w:t>
      </w:r>
      <w:r>
        <w:rPr>
          <w:i/>
        </w:rPr>
        <w:t xml:space="preserve">Інформаційна безпека сьогодення – невід’ємна складова воєнної безпеки. Актуальні проблеми управління інформаційною безпекою держави. </w:t>
      </w:r>
      <w:r>
        <w:rPr/>
        <w:t>Київ : Національна академія Служби безпеки України, 408 с</w:t>
      </w:r>
    </w:p>
    <w:p>
      <w:pPr>
        <w:pStyle w:val="NoSpacing"/>
        <w:ind w:firstLine="709"/>
        <w:rPr/>
      </w:pPr>
      <w:r>
        <w:rPr/>
        <w:t xml:space="preserve">Березовець Т. </w:t>
      </w:r>
      <w:r>
        <w:rPr>
          <w:lang w:val="uk-UA"/>
        </w:rPr>
        <w:t xml:space="preserve">(2015) </w:t>
      </w:r>
      <w:r>
        <w:rPr>
          <w:i/>
        </w:rPr>
        <w:t xml:space="preserve">Анексія: Острів Крим. Хроніки «гібридної війни». </w:t>
      </w:r>
      <w:r>
        <w:rPr/>
        <w:t>Київ : Брайт-Букс. 392 с.</w:t>
      </w:r>
    </w:p>
    <w:p>
      <w:pPr>
        <w:pStyle w:val="NoSpacing"/>
        <w:ind w:firstLine="709"/>
        <w:rPr>
          <w:lang w:eastAsia="zh-CN"/>
        </w:rPr>
      </w:pPr>
      <w:r>
        <w:rPr/>
        <w:t xml:space="preserve">Бржевська З., Довженко Н., Киричок Р., Гайдур Г. Аносов А. </w:t>
      </w:r>
      <w:r>
        <w:rPr>
          <w:lang w:val="uk-UA"/>
        </w:rPr>
        <w:t xml:space="preserve">(2019) </w:t>
      </w:r>
      <w:r>
        <w:rPr>
          <w:i/>
        </w:rPr>
        <w:t>Інформаційні війни: проблеми загрози протидія.</w:t>
      </w:r>
      <w:r>
        <w:rPr/>
        <w:t xml:space="preserve"> Кібербезпека: освіта, наука, техніка. Київ,. № 3 (3). С. 88</w:t>
        <w:softHyphen/>
        <w:t>96.</w:t>
      </w:r>
    </w:p>
    <w:p>
      <w:pPr>
        <w:pStyle w:val="NoSpacing"/>
        <w:ind w:firstLine="709"/>
        <w:rPr>
          <w:lang w:val="uk-UA" w:eastAsia="zh-CN"/>
        </w:rPr>
      </w:pPr>
      <w:r>
        <w:rPr>
          <w:lang w:eastAsia="zh-CN"/>
        </w:rPr>
        <w:t xml:space="preserve">Валюшко І. </w:t>
      </w:r>
      <w:r>
        <w:rPr>
          <w:lang w:val="uk-UA" w:eastAsia="zh-CN"/>
        </w:rPr>
        <w:t xml:space="preserve">(2018) </w:t>
      </w:r>
      <w:r>
        <w:rPr>
          <w:i/>
          <w:lang w:eastAsia="zh-CN"/>
        </w:rPr>
        <w:t>Дипломатія України у вимірі інформаційної безпеки країни</w:t>
      </w:r>
      <w:r>
        <w:rPr>
          <w:i/>
          <w:lang w:val="uk-UA" w:eastAsia="zh-CN"/>
        </w:rPr>
        <w:t xml:space="preserve">. </w:t>
      </w:r>
      <w:r>
        <w:rPr>
          <w:lang w:val="uk-UA" w:eastAsia="zh-CN"/>
        </w:rPr>
        <w:t xml:space="preserve">Вісник Львівського університету. Серія філософсько-політологічні студії. - Вип. 13. - С. 137-142. </w:t>
      </w:r>
    </w:p>
    <w:p>
      <w:pPr>
        <w:pStyle w:val="NoSpacing"/>
        <w:ind w:firstLine="709"/>
        <w:rPr>
          <w:lang w:val="uk-UA"/>
        </w:rPr>
      </w:pPr>
      <w:r>
        <w:rPr>
          <w:lang w:val="uk-UA"/>
        </w:rPr>
        <w:t xml:space="preserve">Величко М. (2017) </w:t>
      </w:r>
      <w:r>
        <w:rPr>
          <w:i/>
          <w:lang w:val="uk-UA"/>
        </w:rPr>
        <w:t xml:space="preserve">Війна на Донбасі: реалії та перспективи врегулювання. </w:t>
      </w:r>
      <w:r>
        <w:rPr>
          <w:lang w:val="uk-UA"/>
        </w:rPr>
        <w:t>29 с.</w:t>
      </w:r>
    </w:p>
    <w:p>
      <w:pPr>
        <w:pStyle w:val="NoSpacing"/>
        <w:ind w:firstLine="709"/>
        <w:rPr/>
      </w:pPr>
      <w:r>
        <w:rPr/>
        <w:t xml:space="preserve">Войціховський А. </w:t>
      </w:r>
      <w:r>
        <w:rPr>
          <w:lang w:val="uk-UA"/>
        </w:rPr>
        <w:t xml:space="preserve">(2018) </w:t>
      </w:r>
      <w:r>
        <w:rPr>
          <w:i/>
        </w:rPr>
        <w:t>Кібербезпека як важлива складова системи захисту національної безпеки європейських країн.</w:t>
      </w:r>
      <w:r>
        <w:rPr/>
        <w:t xml:space="preserve"> Журнал східноєвропейського права.</w:t>
      </w:r>
      <w:r>
        <w:rPr>
          <w:lang w:val="uk-UA"/>
        </w:rPr>
        <w:t xml:space="preserve">- </w:t>
      </w:r>
      <w:r>
        <w:rPr/>
        <w:t xml:space="preserve"> № 53. С. 26-37.</w:t>
      </w:r>
    </w:p>
    <w:p>
      <w:pPr>
        <w:pStyle w:val="NoSpacing"/>
        <w:ind w:firstLine="709"/>
        <w:rPr/>
      </w:pPr>
      <w:r>
        <w:rPr/>
        <w:t>Гусаров В.</w:t>
      </w:r>
      <w:r>
        <w:rPr>
          <w:lang w:val="uk-UA"/>
        </w:rPr>
        <w:t xml:space="preserve"> (2017)</w:t>
      </w:r>
      <w:r>
        <w:rPr/>
        <w:t xml:space="preserve"> </w:t>
      </w:r>
      <w:r>
        <w:rPr>
          <w:i/>
          <w:lang w:val="uk-UA"/>
        </w:rPr>
        <w:t>Гібридні важелі інформаційної агресії Росії</w:t>
      </w:r>
      <w:r>
        <w:rPr>
          <w:i/>
        </w:rPr>
        <w:t xml:space="preserve"> або Як Україні не програти інформаційну війну?</w:t>
      </w:r>
      <w:r>
        <w:rPr/>
        <w:t xml:space="preserve"> [Електронний ресурс]. – Режим доступу: http://sprotyv.info/ru/news/kiev/</w:t>
      </w:r>
      <w:r>
        <w:rPr>
          <w:lang w:val="en-US"/>
        </w:rPr>
        <w:t>gibridnye</w:t>
      </w:r>
      <w:r>
        <w:rPr/>
        <w:t>-</w:t>
      </w:r>
      <w:r>
        <w:rPr>
          <w:lang w:val="en-US"/>
        </w:rPr>
        <w:t>rychagi</w:t>
      </w:r>
      <w:r>
        <w:rPr/>
        <w:t>-</w:t>
      </w:r>
      <w:r>
        <w:rPr>
          <w:lang w:val="en-US"/>
        </w:rPr>
        <w:t>informacionno</w:t>
      </w:r>
      <w:r>
        <w:rPr/>
        <w:t xml:space="preserve"> </w:t>
      </w:r>
      <w:r>
        <w:rPr>
          <w:lang w:val="en-US"/>
        </w:rPr>
        <w:t>y</w:t>
      </w:r>
      <w:r>
        <w:rPr/>
        <w:t>-</w:t>
      </w:r>
      <w:r>
        <w:rPr>
          <w:lang w:val="en-US"/>
        </w:rPr>
        <w:t>agressii</w:t>
      </w:r>
      <w:r>
        <w:rPr/>
        <w:t>-</w:t>
      </w:r>
      <w:r>
        <w:rPr>
          <w:lang w:val="en-US"/>
        </w:rPr>
        <w:t>rossii</w:t>
      </w:r>
      <w:r>
        <w:rPr/>
        <w:t>-</w:t>
      </w:r>
      <w:r>
        <w:rPr>
          <w:lang w:val="en-US"/>
        </w:rPr>
        <w:t>ili</w:t>
      </w:r>
      <w:r>
        <w:rPr/>
        <w:t>-</w:t>
      </w:r>
      <w:r>
        <w:rPr>
          <w:lang w:val="en-US"/>
        </w:rPr>
        <w:t>kak</w:t>
      </w:r>
      <w:r>
        <w:rPr/>
        <w:t>-</w:t>
      </w:r>
      <w:r>
        <w:rPr>
          <w:lang w:val="en-US"/>
        </w:rPr>
        <w:t>ukraine</w:t>
      </w:r>
      <w:r>
        <w:rPr/>
        <w:t>-</w:t>
      </w:r>
      <w:r>
        <w:rPr>
          <w:lang w:val="en-US"/>
        </w:rPr>
        <w:t>ne</w:t>
      </w:r>
      <w:r>
        <w:rPr/>
        <w:t>-</w:t>
      </w:r>
      <w:r>
        <w:rPr>
          <w:lang w:val="en-US"/>
        </w:rPr>
        <w:t>proigrat</w:t>
      </w:r>
    </w:p>
    <w:p>
      <w:pPr>
        <w:pStyle w:val="NoSpacing"/>
        <w:ind w:firstLine="709"/>
        <w:rPr/>
      </w:pPr>
      <w:r>
        <w:rPr>
          <w:lang w:val="uk-UA"/>
        </w:rPr>
        <w:t xml:space="preserve">Мартинюк В. (2018) </w:t>
      </w:r>
      <w:r>
        <w:rPr>
          <w:i/>
        </w:rPr>
        <w:t>Гібридні загрози Україні і суспільна безпека. Досвід ЄС і Східного партнерства.</w:t>
      </w:r>
      <w:r>
        <w:rPr/>
        <w:t xml:space="preserve"> Аналітичний документ. 105 с.</w:t>
      </w:r>
    </w:p>
    <w:p>
      <w:pPr>
        <w:pStyle w:val="NoSpacing"/>
        <w:ind w:firstLine="709"/>
        <w:rPr/>
      </w:pPr>
      <w:r>
        <w:rPr/>
        <w:t xml:space="preserve">Горбань Ю. </w:t>
      </w:r>
      <w:r>
        <w:rPr>
          <w:lang w:val="uk-UA"/>
        </w:rPr>
        <w:t xml:space="preserve">(2015) </w:t>
      </w:r>
      <w:r>
        <w:rPr>
          <w:i/>
        </w:rPr>
        <w:t xml:space="preserve">Інформаційна війна проти України та засоби її ведення. </w:t>
      </w:r>
      <w:r>
        <w:rPr/>
        <w:t>Вісник Національної академії державного управління при Президентові України. Вип. 1. С. 136-141.</w:t>
      </w:r>
    </w:p>
    <w:p>
      <w:pPr>
        <w:pStyle w:val="NoSpacing"/>
        <w:ind w:firstLine="709"/>
        <w:rPr>
          <w:lang w:val="uk-UA"/>
        </w:rPr>
      </w:pPr>
      <w:r>
        <w:rPr/>
        <w:t xml:space="preserve">Горбулін В. </w:t>
      </w:r>
      <w:r>
        <w:rPr>
          <w:lang w:val="uk-UA"/>
        </w:rPr>
        <w:t xml:space="preserve">(2020) </w:t>
      </w:r>
      <w:r>
        <w:rPr>
          <w:i/>
        </w:rPr>
        <w:t>«Гібридна війна» як ключовий інструмент російської геостратегії реваншу.</w:t>
      </w:r>
      <w:r>
        <w:rPr/>
        <w:t xml:space="preserve"> </w:t>
      </w:r>
      <w:r>
        <w:rPr>
          <w:lang w:val="uk-UA"/>
        </w:rPr>
        <w:t xml:space="preserve"> – 19 с.</w:t>
      </w:r>
    </w:p>
    <w:p>
      <w:pPr>
        <w:pStyle w:val="NoSpacing"/>
        <w:ind w:firstLine="709"/>
        <w:rPr>
          <w:lang w:val="uk-UA"/>
        </w:rPr>
      </w:pPr>
      <w:r>
        <w:rPr>
          <w:lang w:val="uk-UA"/>
        </w:rPr>
        <w:t xml:space="preserve">Гусаров В. (2018) </w:t>
      </w:r>
      <w:r>
        <w:rPr>
          <w:i/>
          <w:lang w:val="uk-UA"/>
        </w:rPr>
        <w:t>Гібридні важелі інформаційної агресії Росії або як Україні не програти інформаційну війну</w:t>
      </w:r>
      <w:r>
        <w:rPr>
          <w:lang w:val="uk-UA"/>
        </w:rPr>
        <w:t>. – 26 с.</w:t>
      </w:r>
    </w:p>
    <w:p>
      <w:pPr>
        <w:pStyle w:val="NoSpacing"/>
        <w:ind w:firstLine="709"/>
        <w:rPr>
          <w:lang w:val="uk-UA"/>
        </w:rPr>
      </w:pPr>
      <w:r>
        <w:rPr>
          <w:lang w:val="uk-UA"/>
        </w:rPr>
        <w:t xml:space="preserve">Дмитренко М. (2017) </w:t>
      </w:r>
      <w:r>
        <w:rPr>
          <w:i/>
          <w:lang w:val="uk-UA"/>
        </w:rPr>
        <w:t xml:space="preserve">Проблемні питання інформаційної безпеки України. </w:t>
      </w:r>
      <w:r>
        <w:rPr>
          <w:lang w:val="uk-UA"/>
        </w:rPr>
        <w:t>Міжнародні відносини. Серія Політичні науки. -  № 17. С. 236–243.</w:t>
      </w:r>
    </w:p>
    <w:p>
      <w:pPr>
        <w:pStyle w:val="NoSpacing"/>
        <w:ind w:firstLine="709"/>
        <w:rPr>
          <w:lang w:val="uk-UA" w:eastAsia="zh-CN"/>
        </w:rPr>
      </w:pPr>
      <w:r>
        <w:rPr>
          <w:i/>
          <w:lang w:val="uk-UA"/>
        </w:rPr>
        <w:t>Доктрина інформаційної безпеки України</w:t>
      </w:r>
      <w:r>
        <w:rPr>
          <w:lang w:val="uk-UA"/>
        </w:rPr>
        <w:t xml:space="preserve"> (2017): затверджено Указом Президента України від 25 лютого 2017 р. № 47/2017. </w:t>
      </w:r>
      <w:hyperlink r:id="rId2">
        <w:r>
          <w:rPr>
            <w:lang w:val="uk-UA"/>
          </w:rPr>
          <w:t>URL:http://zakon.rada.gov.ua/laws/show/47/2017</w:t>
        </w:r>
      </w:hyperlink>
      <w:r>
        <w:rPr>
          <w:lang w:val="uk-UA"/>
        </w:rPr>
        <w:t>.</w:t>
      </w:r>
    </w:p>
    <w:p>
      <w:pPr>
        <w:pStyle w:val="NoSpacing"/>
        <w:ind w:firstLine="709"/>
        <w:rPr>
          <w:lang w:val="uk-UA" w:eastAsia="zh-CN"/>
        </w:rPr>
      </w:pPr>
      <w:r>
        <w:rPr>
          <w:lang w:val="uk-UA" w:eastAsia="zh-CN"/>
        </w:rPr>
        <w:t xml:space="preserve">Дрешпак В. (2014) </w:t>
      </w:r>
      <w:r>
        <w:rPr>
          <w:i/>
          <w:lang w:val="uk-UA" w:eastAsia="zh-CN"/>
        </w:rPr>
        <w:t xml:space="preserve">Періоди розвитку державної інформаційної політики України: зміст і хронологічні межі </w:t>
      </w:r>
      <w:r>
        <w:rPr>
          <w:lang w:val="uk-UA" w:eastAsia="zh-CN"/>
        </w:rPr>
        <w:t xml:space="preserve">// Державне управління та місцеве самоврядування.- Вип. 1. - С. 3-14. - </w:t>
      </w:r>
    </w:p>
    <w:p>
      <w:pPr>
        <w:pStyle w:val="NoSpacing"/>
        <w:ind w:firstLine="709"/>
        <w:rPr>
          <w:lang w:val="uk-UA"/>
        </w:rPr>
      </w:pPr>
      <w:r>
        <w:rPr>
          <w:lang w:val="uk-UA"/>
        </w:rPr>
        <w:t xml:space="preserve">Дрепшак В. (2013) </w:t>
      </w:r>
      <w:r>
        <w:rPr>
          <w:i/>
          <w:lang w:val="uk-UA"/>
        </w:rPr>
        <w:t>Становлення державної інформаційної політики України: зміст і хронологічні межі основних періодів.</w:t>
      </w:r>
      <w:r>
        <w:rPr>
          <w:lang w:val="uk-UA"/>
        </w:rPr>
        <w:t xml:space="preserve"> - Д.: ДРІДУ НАДУ, 2013. – Вип.4(19). – С. 3- 13.</w:t>
      </w:r>
    </w:p>
    <w:p>
      <w:pPr>
        <w:pStyle w:val="NoSpacing"/>
        <w:ind w:firstLine="709"/>
        <w:rPr>
          <w:lang w:val="uk-UA"/>
        </w:rPr>
      </w:pPr>
      <w:r>
        <w:rPr>
          <w:lang w:val="uk-UA"/>
        </w:rPr>
        <w:t xml:space="preserve">Задірака В.К. (2014) </w:t>
      </w:r>
      <w:r>
        <w:rPr>
          <w:i/>
          <w:lang w:val="uk-UA"/>
        </w:rPr>
        <w:t>Сучасні методи розв’язання задач інформаційної безпеки. Вісник НАН України</w:t>
      </w:r>
      <w:r>
        <w:rPr>
          <w:lang w:val="uk-UA"/>
        </w:rPr>
        <w:t>. № 5. С. 65–69.</w:t>
      </w:r>
    </w:p>
    <w:p>
      <w:pPr>
        <w:pStyle w:val="NoSpacing"/>
        <w:ind w:firstLine="709"/>
        <w:rPr/>
      </w:pPr>
      <w:r>
        <w:rPr>
          <w:lang w:val="uk-UA"/>
        </w:rPr>
        <w:t xml:space="preserve">Закон України </w:t>
      </w:r>
      <w:r>
        <w:rPr/>
        <w:t>«Про інформацію» [Електронний ресурс]. — Режим доступу : http://zakon5.rada.gov.ua/ laws/show/2657-12</w:t>
      </w:r>
    </w:p>
    <w:p>
      <w:pPr>
        <w:pStyle w:val="NoSpacing"/>
        <w:ind w:firstLine="709"/>
        <w:rPr/>
      </w:pPr>
      <w:r>
        <w:rPr/>
        <w:t xml:space="preserve">Конах В. К. </w:t>
      </w:r>
      <w:r>
        <w:rPr>
          <w:lang w:val="uk-UA"/>
        </w:rPr>
        <w:t xml:space="preserve">(2013) </w:t>
      </w:r>
      <w:r>
        <w:rPr>
          <w:i/>
        </w:rPr>
        <w:t>Національний інформаційний простір України: проблеми формування та регулювання</w:t>
      </w:r>
      <w:r>
        <w:rPr>
          <w:lang w:val="uk-UA"/>
        </w:rPr>
        <w:t xml:space="preserve">. </w:t>
      </w:r>
      <w:r>
        <w:rPr/>
        <w:t>- № 2. - С. 97 - 103.</w:t>
      </w:r>
    </w:p>
    <w:p>
      <w:pPr>
        <w:pStyle w:val="NoSpacing"/>
        <w:ind w:firstLine="709"/>
        <w:rPr>
          <w:lang w:val="uk-UA"/>
        </w:rPr>
      </w:pPr>
      <w:r>
        <w:rPr>
          <w:lang w:val="uk-UA"/>
        </w:rPr>
        <w:t xml:space="preserve">Косогов О.М., Сірик А.О. (2017) </w:t>
      </w:r>
      <w:r>
        <w:rPr>
          <w:i/>
          <w:lang w:val="uk-UA"/>
        </w:rPr>
        <w:t>Завдання захисту національного інформаційного простору за досвідом ведення гібридної війни РФ на Сході України. Системи озброєння і військова техніка</w:t>
      </w:r>
      <w:r>
        <w:rPr>
          <w:lang w:val="uk-UA"/>
        </w:rPr>
        <w:t>. С. 38–41.</w:t>
      </w:r>
    </w:p>
    <w:p>
      <w:pPr>
        <w:pStyle w:val="NoSpacing"/>
        <w:ind w:firstLine="709"/>
        <w:rPr>
          <w:lang w:val="uk-UA"/>
        </w:rPr>
      </w:pPr>
      <w:r>
        <w:rPr>
          <w:lang w:val="uk-UA"/>
        </w:rPr>
        <w:t xml:space="preserve">Кулеба Д. (2015) </w:t>
      </w:r>
      <w:r>
        <w:rPr>
          <w:i/>
          <w:lang w:val="uk-UA"/>
        </w:rPr>
        <w:t>Публічна дипломатія - нова зброя України в умовах гібридної війни</w:t>
      </w:r>
      <w:r>
        <w:rPr>
          <w:lang w:val="uk-UA"/>
        </w:rPr>
        <w:t xml:space="preserve">. [Електронний ресурс]. - Режим доступу: </w:t>
      </w:r>
      <w:r>
        <w:rPr/>
        <w:t>http</w:t>
      </w:r>
      <w:r>
        <w:rPr>
          <w:lang w:val="uk-UA"/>
        </w:rPr>
        <w:t>://</w:t>
      </w:r>
      <w:r>
        <w:rPr/>
        <w:t>www</w:t>
      </w:r>
      <w:r>
        <w:rPr>
          <w:lang w:val="uk-UA"/>
        </w:rPr>
        <w:t>.</w:t>
      </w:r>
      <w:r>
        <w:rPr/>
        <w:t>eurointegration</w:t>
      </w:r>
      <w:r>
        <w:rPr>
          <w:lang w:val="uk-UA"/>
        </w:rPr>
        <w:t>.</w:t>
      </w:r>
      <w:r>
        <w:rPr/>
        <w:t>com</w:t>
      </w:r>
      <w:r>
        <w:rPr>
          <w:lang w:val="uk-UA"/>
        </w:rPr>
        <w:t>.</w:t>
      </w:r>
      <w:r>
        <w:rPr/>
        <w:t>ua</w:t>
      </w:r>
      <w:r>
        <w:rPr>
          <w:lang w:val="uk-UA"/>
        </w:rPr>
        <w:t>/</w:t>
      </w:r>
      <w:r>
        <w:rPr/>
        <w:t>experts</w:t>
      </w:r>
      <w:r>
        <w:rPr>
          <w:lang w:val="uk-UA"/>
        </w:rPr>
        <w:t>/2015/09/23/7038633/</w:t>
      </w:r>
      <w:r>
        <w:rPr/>
        <w:t>view</w:t>
      </w:r>
      <w:r>
        <w:rPr>
          <w:lang w:val="uk-UA"/>
        </w:rPr>
        <w:t>_</w:t>
      </w:r>
      <w:r>
        <w:rPr/>
        <w:t>print</w:t>
      </w:r>
      <w:r>
        <w:rPr>
          <w:lang w:val="uk-UA"/>
        </w:rPr>
        <w:t>/</w:t>
      </w:r>
    </w:p>
    <w:p>
      <w:pPr>
        <w:pStyle w:val="NoSpacing"/>
        <w:ind w:firstLine="709"/>
        <w:rPr>
          <w:lang w:val="uk-UA"/>
        </w:rPr>
      </w:pPr>
      <w:r>
        <w:rPr>
          <w:lang w:val="uk-UA"/>
        </w:rPr>
        <w:t xml:space="preserve">Кресіна І. (2019) </w:t>
      </w:r>
      <w:r>
        <w:rPr>
          <w:i/>
          <w:lang w:val="uk-UA"/>
        </w:rPr>
        <w:t xml:space="preserve">Реінтеграція як складова державної етнонаціональної політики: актуальність дослідження та імплементації </w:t>
      </w:r>
      <w:r>
        <w:rPr>
          <w:lang w:val="uk-UA"/>
        </w:rPr>
        <w:t>// Держава і право: Політичні науки. - Вип.73. -С.61-73.</w:t>
      </w:r>
    </w:p>
    <w:p>
      <w:pPr>
        <w:pStyle w:val="NoSpacing"/>
        <w:ind w:firstLine="709"/>
        <w:rPr>
          <w:lang w:val="uk-UA"/>
        </w:rPr>
      </w:pPr>
      <w:r>
        <w:rPr>
          <w:lang w:val="uk-UA"/>
        </w:rPr>
        <w:t xml:space="preserve">Малий М. (2019) </w:t>
      </w:r>
      <w:r>
        <w:rPr>
          <w:i/>
          <w:lang w:val="uk-UA"/>
        </w:rPr>
        <w:t xml:space="preserve">Інформаційна політика держави: стан і стратегія розвитку </w:t>
      </w:r>
      <w:r>
        <w:rPr>
          <w:lang w:val="uk-UA"/>
        </w:rPr>
        <w:t xml:space="preserve">/ Інститут журналістики. - </w:t>
      </w:r>
      <w:r>
        <w:rPr/>
        <w:t>URL</w:t>
      </w:r>
      <w:r>
        <w:rPr>
          <w:lang w:val="uk-UA"/>
        </w:rPr>
        <w:t xml:space="preserve">: </w:t>
      </w:r>
      <w:r>
        <w:rPr/>
        <w:t>http</w:t>
      </w:r>
      <w:r>
        <w:rPr>
          <w:lang w:val="uk-UA"/>
        </w:rPr>
        <w:t>://</w:t>
      </w:r>
      <w:r>
        <w:rPr/>
        <w:t>journlib</w:t>
      </w:r>
      <w:r>
        <w:rPr>
          <w:lang w:val="uk-UA"/>
        </w:rPr>
        <w:t>.</w:t>
      </w:r>
      <w:r>
        <w:rPr/>
        <w:t>univ</w:t>
      </w:r>
      <w:r>
        <w:rPr>
          <w:lang w:val="uk-UA"/>
        </w:rPr>
        <w:t>.</w:t>
      </w:r>
      <w:r>
        <w:rPr/>
        <w:t>kiev</w:t>
      </w:r>
      <w:r>
        <w:rPr>
          <w:lang w:val="uk-UA"/>
        </w:rPr>
        <w:t xml:space="preserve">. </w:t>
      </w:r>
      <w:r>
        <w:rPr/>
        <w:t>ua</w:t>
      </w:r>
      <w:r>
        <w:rPr>
          <w:lang w:val="uk-UA"/>
        </w:rPr>
        <w:t>/</w:t>
      </w:r>
      <w:r>
        <w:rPr/>
        <w:t>index</w:t>
      </w:r>
      <w:r>
        <w:rPr>
          <w:lang w:val="uk-UA"/>
        </w:rPr>
        <w:t>.</w:t>
      </w:r>
      <w:r>
        <w:rPr/>
        <w:t>php</w:t>
      </w:r>
      <w:r>
        <w:rPr>
          <w:lang w:val="uk-UA"/>
        </w:rPr>
        <w:t>?</w:t>
      </w:r>
      <w:r>
        <w:rPr/>
        <w:t>act</w:t>
      </w:r>
      <w:r>
        <w:rPr>
          <w:lang w:val="uk-UA"/>
        </w:rPr>
        <w:t>=</w:t>
      </w:r>
      <w:r>
        <w:rPr/>
        <w:t>article</w:t>
      </w:r>
      <w:r>
        <w:rPr>
          <w:lang w:val="uk-UA"/>
        </w:rPr>
        <w:t>&amp;</w:t>
      </w:r>
      <w:r>
        <w:rPr/>
        <w:t>article</w:t>
      </w:r>
      <w:r>
        <w:rPr>
          <w:lang w:val="uk-UA"/>
        </w:rPr>
        <w:t>=1341 (дата звернення 12.05.2017).</w:t>
      </w:r>
    </w:p>
    <w:p>
      <w:pPr>
        <w:pStyle w:val="NoSpacing"/>
        <w:ind w:firstLine="709"/>
        <w:rPr>
          <w:lang w:val="uk-UA"/>
        </w:rPr>
      </w:pPr>
      <w:r>
        <w:rPr>
          <w:lang w:val="uk-UA"/>
        </w:rPr>
        <w:t xml:space="preserve">Міністерство інформаційної політики України (2014) </w:t>
      </w:r>
      <w:r>
        <w:rPr>
          <w:i/>
          <w:lang w:val="uk-UA"/>
        </w:rPr>
        <w:t xml:space="preserve">Концепція реформи урядових комунікацій </w:t>
      </w:r>
      <w:r>
        <w:rPr>
          <w:lang w:val="uk-UA"/>
        </w:rPr>
        <w:t xml:space="preserve">[Електронний ресурс]. — Режим доступу : </w:t>
      </w:r>
      <w:r>
        <w:rPr/>
        <w:t>http</w:t>
      </w:r>
      <w:r>
        <w:rPr>
          <w:lang w:val="uk-UA"/>
        </w:rPr>
        <w:t>://</w:t>
      </w:r>
      <w:r>
        <w:rPr/>
        <w:t>mip</w:t>
      </w:r>
      <w:r>
        <w:rPr>
          <w:lang w:val="uk-UA"/>
        </w:rPr>
        <w:t>.</w:t>
      </w:r>
      <w:r>
        <w:rPr/>
        <w:t>gov</w:t>
      </w:r>
      <w:r>
        <w:rPr>
          <w:lang w:val="uk-UA"/>
        </w:rPr>
        <w:t>.</w:t>
      </w:r>
      <w:r>
        <w:rPr/>
        <w:t>ua</w:t>
      </w:r>
      <w:r>
        <w:rPr>
          <w:lang w:val="uk-UA"/>
        </w:rPr>
        <w:t xml:space="preserve">/ </w:t>
      </w:r>
      <w:r>
        <w:rPr/>
        <w:t>documents</w:t>
      </w:r>
      <w:r>
        <w:rPr>
          <w:lang w:val="uk-UA"/>
        </w:rPr>
        <w:t>/56.</w:t>
      </w:r>
      <w:r>
        <w:rPr/>
        <w:t>html</w:t>
      </w:r>
    </w:p>
    <w:p>
      <w:pPr>
        <w:pStyle w:val="NoSpacing"/>
        <w:ind w:firstLine="709"/>
        <w:rPr>
          <w:lang w:val="uk-UA"/>
        </w:rPr>
      </w:pPr>
      <w:r>
        <w:rPr>
          <w:lang w:val="uk-UA"/>
        </w:rPr>
        <w:t xml:space="preserve">Мірошниченко В. (2020) </w:t>
      </w:r>
      <w:r>
        <w:rPr>
          <w:i/>
          <w:lang w:val="uk-UA"/>
        </w:rPr>
        <w:t xml:space="preserve">Актуальні орієнтири державної політики щодо тимчасової окупації Автономної Республіки Крим та м. Севастополя. Київ, </w:t>
      </w:r>
      <w:r>
        <w:rPr>
          <w:lang w:val="en-US"/>
        </w:rPr>
        <w:t>URL</w:t>
      </w:r>
      <w:r>
        <w:rPr>
          <w:lang w:val="uk-UA"/>
        </w:rPr>
        <w:t xml:space="preserve">: </w:t>
      </w:r>
      <w:r>
        <w:rPr>
          <w:lang w:val="en-US"/>
        </w:rPr>
        <w:t>http</w:t>
      </w:r>
      <w:r>
        <w:rPr>
          <w:lang w:val="uk-UA"/>
        </w:rPr>
        <w:t>://</w:t>
      </w:r>
      <w:r>
        <w:rPr>
          <w:lang w:val="en-US"/>
        </w:rPr>
        <w:t>www</w:t>
      </w:r>
      <w:r>
        <w:rPr>
          <w:lang w:val="uk-UA"/>
        </w:rPr>
        <w:t>.</w:t>
      </w:r>
      <w:r>
        <w:rPr>
          <w:lang w:val="en-US"/>
        </w:rPr>
        <w:t>ppu</w:t>
      </w:r>
      <w:r>
        <w:rPr>
          <w:lang w:val="uk-UA"/>
        </w:rPr>
        <w:t>.</w:t>
      </w:r>
      <w:r>
        <w:rPr>
          <w:lang w:val="en-US"/>
        </w:rPr>
        <w:t>gov</w:t>
      </w:r>
      <w:r>
        <w:rPr>
          <w:lang w:val="uk-UA"/>
        </w:rPr>
        <w:t>.</w:t>
      </w:r>
      <w:r>
        <w:rPr>
          <w:lang w:val="en-US"/>
        </w:rPr>
        <w:t>ua</w:t>
      </w:r>
      <w:r>
        <w:rPr>
          <w:lang w:val="uk-UA"/>
        </w:rPr>
        <w:t>/</w:t>
      </w:r>
      <w:r>
        <w:rPr>
          <w:lang w:val="en-US"/>
        </w:rPr>
        <w:t>wp</w:t>
      </w:r>
      <w:r>
        <w:rPr>
          <w:lang w:val="uk-UA"/>
        </w:rPr>
        <w:t>-</w:t>
      </w:r>
      <w:r>
        <w:rPr>
          <w:lang w:val="en-US"/>
        </w:rPr>
        <w:t>content</w:t>
      </w:r>
      <w:r>
        <w:rPr>
          <w:lang w:val="uk-UA"/>
        </w:rPr>
        <w:t>/</w:t>
      </w:r>
      <w:r>
        <w:rPr>
          <w:lang w:val="en-US"/>
        </w:rPr>
        <w:t>uploads</w:t>
      </w:r>
      <w:r>
        <w:rPr>
          <w:lang w:val="uk-UA"/>
        </w:rPr>
        <w:t>/2020/11/</w:t>
      </w:r>
      <w:r>
        <w:rPr>
          <w:lang w:val="en-US"/>
        </w:rPr>
        <w:t>Posibnyk</w:t>
      </w:r>
      <w:r>
        <w:rPr>
          <w:lang w:val="uk-UA"/>
        </w:rPr>
        <w:t>.</w:t>
      </w:r>
      <w:r>
        <w:rPr>
          <w:lang w:val="en-US"/>
        </w:rPr>
        <w:t>pdf</w:t>
      </w:r>
      <w:r>
        <w:rPr>
          <w:lang w:val="uk-UA"/>
        </w:rPr>
        <w:t>.</w:t>
      </w:r>
    </w:p>
    <w:p>
      <w:pPr>
        <w:pStyle w:val="NoSpacing"/>
        <w:ind w:firstLine="709"/>
        <w:rPr/>
      </w:pPr>
      <w:r>
        <w:rPr/>
        <w:t xml:space="preserve">Брижко </w:t>
      </w:r>
      <w:r>
        <w:rPr>
          <w:lang w:val="uk-UA"/>
        </w:rPr>
        <w:t xml:space="preserve">В., </w:t>
      </w:r>
      <w:r>
        <w:rPr/>
        <w:t>Цимбалюк</w:t>
      </w:r>
      <w:r>
        <w:rPr>
          <w:lang w:val="uk-UA"/>
        </w:rPr>
        <w:t xml:space="preserve"> В.,</w:t>
      </w:r>
      <w:r>
        <w:rPr/>
        <w:t xml:space="preserve"> Швець</w:t>
      </w:r>
      <w:r>
        <w:rPr>
          <w:lang w:val="uk-UA"/>
        </w:rPr>
        <w:t xml:space="preserve"> М.</w:t>
      </w:r>
      <w:r>
        <w:rPr/>
        <w:t xml:space="preserve"> </w:t>
      </w:r>
      <w:r>
        <w:rPr>
          <w:lang w:val="uk-UA"/>
        </w:rPr>
        <w:t xml:space="preserve">(2016) </w:t>
      </w:r>
      <w:r>
        <w:rPr>
          <w:i/>
        </w:rPr>
        <w:t>Нормативно-правові та методологічні засади упорядкування інформаційних відносин : наук.-метод. посіб</w:t>
      </w:r>
      <w:r>
        <w:rPr/>
        <w:t>.</w:t>
      </w:r>
      <w:r>
        <w:rPr>
          <w:lang w:val="uk-UA"/>
        </w:rPr>
        <w:t xml:space="preserve"> </w:t>
      </w:r>
      <w:r>
        <w:rPr/>
        <w:t>– К. : ТОВ «Пан Тот». – 324 с.</w:t>
      </w:r>
    </w:p>
    <w:p>
      <w:pPr>
        <w:pStyle w:val="NoSpacing"/>
        <w:ind w:firstLine="709"/>
        <w:rPr/>
      </w:pPr>
      <w:r>
        <w:rPr/>
        <w:t xml:space="preserve">Пілат М. </w:t>
      </w:r>
      <w:r>
        <w:rPr>
          <w:lang w:val="uk-UA"/>
        </w:rPr>
        <w:t xml:space="preserve">(2013) </w:t>
      </w:r>
      <w:r>
        <w:rPr>
          <w:i/>
        </w:rPr>
        <w:t xml:space="preserve">Інформаційні впливи та інформаційні війни: сутність понять та їхній зв’язок в інформаційну епоху. Вісник Львівського університету. </w:t>
      </w:r>
      <w:r>
        <w:rPr/>
        <w:t>Серія міжнародні відносини. Вип. 32. С. 185-190.</w:t>
      </w:r>
    </w:p>
    <w:p>
      <w:pPr>
        <w:pStyle w:val="NoSpacing"/>
        <w:ind w:firstLine="709"/>
        <w:rPr/>
      </w:pPr>
      <w:r>
        <w:rPr>
          <w:color w:val="080707"/>
        </w:rPr>
        <w:t xml:space="preserve">Потапенко Я.О. П’ята російсько-українська війна: від майдану до східного фронту (оцінки, підходи, інтерпретації). Переяслав-Хмельницький: «Видавництво КСВ», </w:t>
      </w:r>
      <w:r>
        <w:rPr>
          <w:color w:val="080707"/>
          <w:lang w:eastAsia="en-US"/>
        </w:rPr>
        <w:t xml:space="preserve">2016. 304 </w:t>
      </w:r>
      <w:r>
        <w:rPr>
          <w:color w:val="080707"/>
        </w:rPr>
        <w:t>с.</w:t>
      </w:r>
    </w:p>
    <w:p>
      <w:pPr>
        <w:pStyle w:val="NoSpacing"/>
        <w:ind w:firstLine="709"/>
        <w:rPr>
          <w:lang w:val="uk-UA"/>
        </w:rPr>
      </w:pPr>
      <w:r>
        <w:rPr/>
        <w:t xml:space="preserve">Почепцов Г. </w:t>
      </w:r>
      <w:r>
        <w:rPr>
          <w:lang w:val="uk-UA"/>
        </w:rPr>
        <w:t xml:space="preserve">(2018) </w:t>
      </w:r>
      <w:r>
        <w:rPr/>
        <w:t xml:space="preserve">Інформаційна політика: базові принципи / Media Sapiens.URL:http://osvita.mediasapiens.ua/ethics/manipulation/informatsiyna_politika_bazovi_printsipi/ </w:t>
      </w:r>
    </w:p>
    <w:p>
      <w:pPr>
        <w:pStyle w:val="NoSpacing"/>
        <w:ind w:firstLine="709"/>
        <w:rPr>
          <w:lang w:val="uk-UA"/>
        </w:rPr>
      </w:pPr>
      <w:r>
        <w:rPr>
          <w:i/>
          <w:lang w:val="uk-UA"/>
        </w:rPr>
        <w:t>Проблеми інформаційного законодавства України в сфері створення, поширення та використання інформації та шляхи їх вирішення. Аналітична записка:</w:t>
      </w:r>
      <w:r>
        <w:rPr>
          <w:lang w:val="uk-UA"/>
        </w:rPr>
        <w:t xml:space="preserve"> (2018) Національний інститут стратегічних досліджень при Президентові України [Електронний ресурс]. – Режим доступу: http://www.niss.gov.ua/articles/1189/</w:t>
      </w:r>
    </w:p>
    <w:p>
      <w:pPr>
        <w:pStyle w:val="NoSpacing"/>
        <w:ind w:firstLine="709"/>
        <w:rPr>
          <w:lang w:val="uk-UA"/>
        </w:rPr>
      </w:pPr>
      <w:r>
        <w:rPr>
          <w:i/>
          <w:lang w:val="uk-UA"/>
        </w:rPr>
        <w:t xml:space="preserve">Про внесення змін до деяких законів України щодо захисту інформаційного телерадіопростору України: Закон України // Відомості Верховної Ради України. </w:t>
      </w:r>
      <w:r>
        <w:rPr>
          <w:lang w:val="uk-UA"/>
        </w:rPr>
        <w:t>(2015) - №18. - ст. 131.</w:t>
      </w:r>
    </w:p>
    <w:p>
      <w:pPr>
        <w:pStyle w:val="NoSpacing"/>
        <w:ind w:firstLine="709"/>
        <w:rPr/>
      </w:pPr>
      <w:r>
        <w:rPr>
          <w:i/>
          <w:lang w:val="uk-UA"/>
        </w:rPr>
        <w:t>Про затвердження плану заходів з реалізації Концепції популяризації України у світі та просування інтересів України у світовому інформаційному просторі :</w:t>
      </w:r>
      <w:r>
        <w:rPr>
          <w:lang w:val="uk-UA"/>
        </w:rPr>
        <w:t xml:space="preserve"> Розпорядження Кабінету міністрів України від 07.06.2017 № 383-р. </w:t>
      </w:r>
      <w:r>
        <w:rPr/>
        <w:t xml:space="preserve">[Електронний ресурс]. - Режим доступу: </w:t>
      </w:r>
      <w:hyperlink r:id="rId3">
        <w:r>
          <w:rPr/>
          <w:t>http://zakon3.rada.gov.ua/laws/show/383-2017-%D1%80</w:t>
        </w:r>
      </w:hyperlink>
      <w:r>
        <w:rPr/>
        <w:t>.</w:t>
      </w:r>
    </w:p>
    <w:p>
      <w:pPr>
        <w:pStyle w:val="NoSpacing"/>
        <w:ind w:firstLine="709"/>
        <w:rPr/>
      </w:pPr>
      <w:r>
        <w:rPr>
          <w:i/>
        </w:rPr>
        <w:t xml:space="preserve">Про рішення Ради національної безпеки і оборони України від 6 травня 2015 року «Про Стратегію національної безпеки України» </w:t>
      </w:r>
      <w:r>
        <w:rPr/>
        <w:t>: Указ Президента України від 26.05.2015 р. № 287/2015 [Електронний ресурс].</w:t>
      </w:r>
      <w:r>
        <w:rPr>
          <w:lang w:eastAsia="zh-CN"/>
        </w:rPr>
        <w:t xml:space="preserve"> </w:t>
      </w:r>
      <w:r>
        <w:rPr/>
        <w:t>Режим</w:t>
      </w:r>
      <w:r>
        <w:rPr>
          <w:lang w:eastAsia="zh-CN"/>
        </w:rPr>
        <w:t xml:space="preserve"> </w:t>
      </w:r>
      <w:r>
        <w:rPr/>
        <w:t>доступу:</w:t>
      </w:r>
      <w:r>
        <w:rPr>
          <w:lang w:eastAsia="zh-CN"/>
        </w:rPr>
        <w:t xml:space="preserve"> </w:t>
      </w:r>
      <w:r>
        <w:rPr/>
        <w:t>http://</w:t>
      </w:r>
      <w:r>
        <w:rPr>
          <w:lang w:val="en-US"/>
        </w:rPr>
        <w:t>zakon</w:t>
      </w:r>
      <w:r>
        <w:rPr/>
        <w:t>4.</w:t>
      </w:r>
      <w:r>
        <w:rPr>
          <w:lang w:val="en-US"/>
        </w:rPr>
        <w:t>rada</w:t>
      </w:r>
      <w:r>
        <w:rPr/>
        <w:t>.</w:t>
      </w:r>
      <w:r>
        <w:rPr>
          <w:lang w:val="en-US"/>
        </w:rPr>
        <w:t>gov</w:t>
      </w:r>
      <w:r>
        <w:rPr/>
        <w:t>.</w:t>
      </w:r>
      <w:r>
        <w:rPr>
          <w:lang w:val="en-US"/>
        </w:rPr>
        <w:t>ua</w:t>
      </w:r>
      <w:r>
        <w:rPr/>
        <w:t>/</w:t>
      </w:r>
      <w:r>
        <w:rPr>
          <w:lang w:val="en-US"/>
        </w:rPr>
        <w:t>laws</w:t>
      </w:r>
      <w:r>
        <w:rPr/>
        <w:t>/</w:t>
      </w:r>
      <w:r>
        <w:rPr>
          <w:lang w:val="en-US"/>
        </w:rPr>
        <w:t>show</w:t>
      </w:r>
      <w:r>
        <w:rPr/>
        <w:t>/287/2015#</w:t>
      </w:r>
      <w:r>
        <w:rPr>
          <w:lang w:val="en-US"/>
        </w:rPr>
        <w:t>Find</w:t>
      </w:r>
    </w:p>
    <w:p>
      <w:pPr>
        <w:pStyle w:val="NoSpacing"/>
        <w:ind w:firstLine="709"/>
        <w:rPr>
          <w:lang w:val="uk-UA" w:eastAsia="zh-CN"/>
        </w:rPr>
      </w:pPr>
      <w:r>
        <w:rPr>
          <w:i/>
        </w:rPr>
        <w:t>Про схвалення Стратегії інформаційної реінтеграції Автономної Республіки Крим і м. Севастополя.</w:t>
      </w:r>
      <w:r>
        <w:rPr/>
        <w:t xml:space="preserve"> URL: https://zakon.rada.gov.ua/laws/show/1100-2018-%D1%80 </w:t>
      </w:r>
    </w:p>
    <w:p>
      <w:pPr>
        <w:pStyle w:val="NoSpacing"/>
        <w:ind w:firstLine="709"/>
        <w:rPr>
          <w:lang w:eastAsia="zh-CN"/>
        </w:rPr>
      </w:pPr>
      <w:r>
        <w:rPr>
          <w:i/>
          <w:lang w:eastAsia="zh-CN"/>
        </w:rPr>
        <w:t>Про стан інформаційного простору Автономної Республіки Крим : рішення колегії Державного комітету телебачення і радіомовлення України від 29.05.</w:t>
      </w:r>
      <w:r>
        <w:rPr>
          <w:i/>
          <w:lang w:val="uk-UA" w:eastAsia="zh-CN"/>
        </w:rPr>
        <w:t>1</w:t>
      </w:r>
      <w:r>
        <w:rPr>
          <w:i/>
          <w:lang w:eastAsia="zh-CN"/>
        </w:rPr>
        <w:t>8р. № 6/19 [</w:t>
      </w:r>
      <w:r>
        <w:rPr>
          <w:lang w:eastAsia="zh-CN"/>
        </w:rPr>
        <w:t>Електронний ресурс]. –Режим доступу: http://comin.kmu.gov.ua/control/</w:t>
      </w:r>
      <w:r>
        <w:rPr>
          <w:lang w:val="en-US" w:eastAsia="zh-CN"/>
        </w:rPr>
        <w:t>uk</w:t>
      </w:r>
      <w:r>
        <w:rPr>
          <w:lang w:eastAsia="zh-CN"/>
        </w:rPr>
        <w:t>/</w:t>
      </w:r>
      <w:r>
        <w:rPr>
          <w:lang w:val="en-US" w:eastAsia="zh-CN"/>
        </w:rPr>
        <w:t>publish</w:t>
      </w:r>
      <w:r>
        <w:rPr>
          <w:lang w:eastAsia="zh-CN"/>
        </w:rPr>
        <w:t>/</w:t>
      </w:r>
      <w:r>
        <w:rPr>
          <w:lang w:val="en-US" w:eastAsia="zh-CN"/>
        </w:rPr>
        <w:t>printable</w:t>
      </w:r>
      <w:r>
        <w:rPr>
          <w:lang w:eastAsia="zh-CN"/>
        </w:rPr>
        <w:t>_</w:t>
      </w:r>
      <w:r>
        <w:rPr>
          <w:lang w:val="en-US" w:eastAsia="zh-CN"/>
        </w:rPr>
        <w:t>article</w:t>
      </w:r>
      <w:r>
        <w:rPr>
          <w:lang w:eastAsia="zh-CN"/>
        </w:rPr>
        <w:t>?</w:t>
      </w:r>
      <w:r>
        <w:rPr>
          <w:lang w:val="en-US" w:eastAsia="zh-CN"/>
        </w:rPr>
        <w:t>art</w:t>
      </w:r>
      <w:r>
        <w:rPr>
          <w:lang w:eastAsia="zh-CN"/>
        </w:rPr>
        <w:t>_</w:t>
      </w:r>
      <w:r>
        <w:rPr>
          <w:lang w:val="en-US" w:eastAsia="zh-CN"/>
        </w:rPr>
        <w:t>id</w:t>
      </w:r>
      <w:r>
        <w:rPr>
          <w:lang w:eastAsia="zh-CN"/>
        </w:rPr>
        <w:t>=64968</w:t>
      </w:r>
    </w:p>
    <w:p>
      <w:pPr>
        <w:pStyle w:val="NoSpacing"/>
        <w:ind w:firstLine="709"/>
        <w:rPr/>
      </w:pPr>
      <w:r>
        <w:rPr>
          <w:i/>
        </w:rPr>
        <w:t xml:space="preserve">Світова гібридна війна: Український фронт. </w:t>
      </w:r>
      <w:r>
        <w:rPr/>
        <w:t>Національний інститут стратегічних досліджень. Київ, 2017. 496 с.</w:t>
      </w:r>
    </w:p>
    <w:p>
      <w:pPr>
        <w:pStyle w:val="NoSpacing"/>
        <w:ind w:firstLine="709"/>
        <w:rPr>
          <w:i/>
          <w:i/>
        </w:rPr>
      </w:pPr>
      <w:r>
        <w:rPr>
          <w:i/>
        </w:rPr>
        <w:t>Указ Президента України «Про рішення Ради національної безпеки і оборони України від 27 січня 2016 року «Про Стратегію кібербезпеки України»».</w:t>
      </w:r>
    </w:p>
    <w:p>
      <w:pPr>
        <w:pStyle w:val="NoSpacing"/>
        <w:ind w:firstLine="709"/>
        <w:rPr>
          <w:i/>
          <w:i/>
          <w:lang w:val="uk-UA"/>
        </w:rPr>
      </w:pPr>
      <w:r>
        <w:rPr>
          <w:i/>
        </w:rPr>
        <w:t>Указ Президента України «Про рішення Ради національної безпеки і оборони України від 29 грудня 2016 року «Про Доктрину інформаційної безпеки України».</w:t>
      </w:r>
    </w:p>
    <w:p>
      <w:pPr>
        <w:pStyle w:val="NoSpacing"/>
        <w:ind w:firstLine="709"/>
        <w:rPr>
          <w:lang w:eastAsia="zh-CN"/>
        </w:rPr>
      </w:pPr>
      <w:r>
        <w:rPr/>
        <w:t xml:space="preserve">Шотурма Н. В. </w:t>
      </w:r>
      <w:r>
        <w:rPr>
          <w:lang w:val="uk-UA"/>
        </w:rPr>
        <w:t xml:space="preserve">(2015) </w:t>
      </w:r>
      <w:r>
        <w:rPr>
          <w:i/>
        </w:rPr>
        <w:t>Періодизація становлення державної інформаційної політики України: зміст та хронологія</w:t>
      </w:r>
      <w:r>
        <w:rPr>
          <w:i/>
          <w:lang w:val="uk-UA"/>
        </w:rPr>
        <w:t>.</w:t>
      </w:r>
      <w:r>
        <w:rPr>
          <w:lang w:val="uk-UA"/>
        </w:rPr>
        <w:t xml:space="preserve"> </w:t>
      </w:r>
      <w:r>
        <w:rPr/>
        <w:t>Прикарпатський вісник НТШ. Думка / ред. І. Монолатій. – Івано-Франківськ,</w:t>
      </w:r>
      <w:r>
        <w:rPr>
          <w:lang w:val="uk-UA"/>
        </w:rPr>
        <w:t xml:space="preserve"> </w:t>
      </w:r>
      <w:r>
        <w:rPr/>
        <w:t>– Вип. 3 (31). – С. 46–55.</w:t>
      </w:r>
    </w:p>
    <w:p>
      <w:pPr>
        <w:pStyle w:val="NoSpacing"/>
        <w:ind w:firstLine="709"/>
        <w:rPr>
          <w:lang w:val="uk-UA" w:eastAsia="zh-CN"/>
        </w:rPr>
      </w:pPr>
      <w:r>
        <w:rPr>
          <w:lang w:eastAsia="zh-CN"/>
        </w:rPr>
        <w:t xml:space="preserve">Явір </w:t>
      </w:r>
      <w:r>
        <w:rPr>
          <w:lang w:val="uk-UA" w:eastAsia="zh-CN"/>
        </w:rPr>
        <w:t>В (2017)</w:t>
      </w:r>
      <w:r>
        <w:rPr>
          <w:lang w:eastAsia="zh-CN"/>
        </w:rPr>
        <w:t xml:space="preserve"> </w:t>
      </w:r>
      <w:r>
        <w:rPr>
          <w:i/>
          <w:lang w:eastAsia="zh-CN"/>
        </w:rPr>
        <w:t>Роль інформаційної політики в реінтеграції України</w:t>
      </w:r>
      <w:r>
        <w:rPr>
          <w:lang w:val="uk-UA" w:eastAsia="zh-CN"/>
        </w:rPr>
        <w:t>. Гілея: науковий вісник. 2017. Вип. 121 (6). С. 239-242.</w:t>
      </w:r>
    </w:p>
    <w:p>
      <w:pPr>
        <w:pStyle w:val="NoSpacing"/>
        <w:ind w:firstLine="709"/>
        <w:rPr>
          <w:lang w:val="en-US" w:eastAsia="zh-CN"/>
        </w:rPr>
      </w:pPr>
      <w:r>
        <w:rPr>
          <w:lang w:val="uk-UA" w:eastAsia="zh-CN"/>
        </w:rPr>
        <w:t xml:space="preserve">Явір В. (2018) </w:t>
      </w:r>
      <w:r>
        <w:rPr>
          <w:i/>
          <w:lang w:val="uk-UA" w:eastAsia="zh-CN"/>
        </w:rPr>
        <w:t>Етнополітична інтеграція та дезінтеграція у сучасному світі: політико-правовий концепт: монографія.</w:t>
      </w:r>
      <w:r>
        <w:rPr>
          <w:lang w:val="uk-UA" w:eastAsia="zh-CN"/>
        </w:rPr>
        <w:t xml:space="preserve"> </w:t>
      </w:r>
      <w:r>
        <w:rPr>
          <w:lang w:eastAsia="zh-CN"/>
        </w:rPr>
        <w:t>Київ</w:t>
      </w:r>
      <w:r>
        <w:rPr>
          <w:lang w:val="en-US" w:eastAsia="zh-CN"/>
        </w:rPr>
        <w:t xml:space="preserve">: </w:t>
      </w:r>
      <w:r>
        <w:rPr>
          <w:lang w:eastAsia="zh-CN"/>
        </w:rPr>
        <w:t>Логос</w:t>
      </w:r>
      <w:r>
        <w:rPr>
          <w:lang w:val="en-US" w:eastAsia="zh-CN"/>
        </w:rPr>
        <w:t xml:space="preserve">, 2018. 468 </w:t>
      </w:r>
      <w:r>
        <w:rPr>
          <w:lang w:eastAsia="zh-CN"/>
        </w:rPr>
        <w:t>с</w:t>
      </w:r>
      <w:r>
        <w:rPr>
          <w:lang w:val="en-US" w:eastAsia="zh-CN"/>
        </w:rPr>
        <w:t>.</w:t>
      </w:r>
    </w:p>
    <w:p>
      <w:pPr>
        <w:pStyle w:val="NoSpacing"/>
        <w:ind w:firstLine="709"/>
        <w:rPr>
          <w:lang w:val="en-US" w:eastAsia="zh-CN"/>
        </w:rPr>
      </w:pPr>
      <w:r>
        <w:rPr>
          <w:lang w:val="en-US" w:eastAsia="zh-CN"/>
        </w:rPr>
        <w:t xml:space="preserve">Bock A., Henneberg I., &amp; Plank F. (2015) </w:t>
      </w:r>
      <w:r>
        <w:rPr>
          <w:i/>
          <w:lang w:val="en-US" w:eastAsia="zh-CN"/>
        </w:rPr>
        <w:t>If you compress the spring, it will snap back hard. The Ukrainian crisis and the balance of threat.</w:t>
      </w:r>
      <w:r>
        <w:rPr>
          <w:lang w:val="en-US" w:eastAsia="zh-CN"/>
        </w:rPr>
        <w:t xml:space="preserve"> International Journal.. Vol. 70. The Past in International Statecraft. Р. 101–109</w:t>
      </w:r>
    </w:p>
    <w:p>
      <w:pPr>
        <w:pStyle w:val="NoSpacing"/>
        <w:ind w:firstLine="709"/>
        <w:rPr>
          <w:lang w:val="en-US"/>
        </w:rPr>
      </w:pPr>
      <w:r>
        <w:rPr>
          <w:lang w:val="en-US"/>
        </w:rPr>
        <w:t xml:space="preserve">European Parliament (2014), </w:t>
      </w:r>
      <w:r>
        <w:rPr>
          <w:i/>
          <w:lang w:val="en-US"/>
        </w:rPr>
        <w:t>Recent developments in Ukraine: threats to the functioning of democratic institutions/ Resolution 1988 (2014) Final version.</w:t>
      </w:r>
      <w:r>
        <w:rPr>
          <w:lang w:val="en-US"/>
        </w:rPr>
        <w:t xml:space="preserve"> URL:http://assembly.coe.int/nw/xml/XRef/Xref-XML2HTML-en.asp?fileid=20873&amp;lang=en (accessed: 20.12.2014).</w:t>
      </w:r>
    </w:p>
    <w:p>
      <w:pPr>
        <w:pStyle w:val="NoSpacing"/>
        <w:ind w:firstLine="709"/>
        <w:rPr>
          <w:lang w:val="uk-UA"/>
        </w:rPr>
      </w:pPr>
      <w:r>
        <w:rPr>
          <w:lang w:val="en-US"/>
        </w:rPr>
        <w:t xml:space="preserve">European Parliament (2018). </w:t>
      </w:r>
      <w:r>
        <w:rPr>
          <w:i/>
          <w:lang w:val="en-US"/>
        </w:rPr>
        <w:t>European Parliament resolution of 25 October 2018 on the situation in the Sea of Azov (2018/2870(RSP)).</w:t>
      </w:r>
      <w:r>
        <w:rPr>
          <w:lang w:val="en-US"/>
        </w:rPr>
        <w:t xml:space="preserve"> URL: https://www.europarl.europa.eu/doceo/document/TA-8-2018-0435_ EN.html?redirect (accessed: 23.11.2018).</w:t>
      </w:r>
    </w:p>
    <w:p>
      <w:pPr>
        <w:pStyle w:val="NoSpacing"/>
        <w:ind w:firstLine="709"/>
        <w:rPr>
          <w:lang w:val="en-US" w:eastAsia="zh-CN"/>
        </w:rPr>
      </w:pPr>
      <w:r>
        <w:rPr>
          <w:lang w:val="en-US"/>
        </w:rPr>
        <w:t xml:space="preserve">European Court of Human Rights (2021), </w:t>
      </w:r>
      <w:r>
        <w:rPr>
          <w:i/>
          <w:lang w:val="en-US"/>
        </w:rPr>
        <w:t>Complaints brought by Ukraine against Russia concerning a pattern</w:t>
      </w:r>
      <w:r>
        <w:rPr>
          <w:i/>
          <w:lang w:val="uk-UA"/>
        </w:rPr>
        <w:t xml:space="preserve"> </w:t>
      </w:r>
      <w:r>
        <w:rPr>
          <w:i/>
          <w:lang w:val="en-US"/>
        </w:rPr>
        <w:t xml:space="preserve">of human rights violations in Crimea declared partly admissible. </w:t>
      </w:r>
      <w:r>
        <w:rPr>
          <w:lang w:val="en-US"/>
        </w:rPr>
        <w:t>Press release. issued by the Registrar of the Court.</w:t>
      </w:r>
      <w:r>
        <w:rPr>
          <w:lang w:val="uk-UA"/>
        </w:rPr>
        <w:t xml:space="preserve"> </w:t>
      </w:r>
      <w:r>
        <w:rPr>
          <w:lang w:val="en-US"/>
        </w:rPr>
        <w:t xml:space="preserve">ECHR 010/. URL: </w:t>
      </w:r>
      <w:r>
        <w:fldChar w:fldCharType="begin"/>
      </w:r>
      <w:r>
        <w:rPr>
          <w:lang w:val="en-US"/>
        </w:rPr>
        <w:instrText> HYPERLINK "https://hudoc.echr.coe.int/eng-press" \l "{"itemid":["003-6904972-9271650"]}"</w:instrText>
      </w:r>
      <w:r>
        <w:rPr>
          <w:lang w:val="en-US"/>
        </w:rPr>
        <w:fldChar w:fldCharType="separate"/>
      </w:r>
      <w:r>
        <w:rPr>
          <w:lang w:val="en-US"/>
        </w:rPr>
        <w:t>https://hudoc.echr.coe.int/eng-press#{%22itemid%22:[%22003-6904972-9271650%22]}</w:t>
      </w:r>
      <w:r>
        <w:rPr>
          <w:lang w:val="en-US"/>
        </w:rPr>
        <w:fldChar w:fldCharType="end"/>
      </w:r>
    </w:p>
    <w:p>
      <w:pPr>
        <w:pStyle w:val="NoSpacing"/>
        <w:ind w:firstLine="709"/>
        <w:rPr>
          <w:lang w:val="en-US"/>
        </w:rPr>
      </w:pPr>
      <w:r>
        <w:rPr>
          <w:lang w:val="en-US"/>
        </w:rPr>
        <w:t xml:space="preserve">General Assembly of the United Nations (2014). </w:t>
      </w:r>
      <w:r>
        <w:rPr>
          <w:i/>
          <w:lang w:val="en-US"/>
        </w:rPr>
        <w:t>Resolution adopted by the General Assembly on 27 March 2014 [without reference to a Main Committee (A/68/L.39 and Add.1)] 68/262. Territorial integrity of Ukraine</w:t>
      </w:r>
      <w:r>
        <w:rPr>
          <w:lang w:val="en-US"/>
        </w:rPr>
        <w:t>. URL:https://www.un.org/en/ga/search/view_doc.asp?symbol=A/RES/68/262 (accessed: 05.12.2014).</w:t>
      </w:r>
    </w:p>
    <w:p>
      <w:pPr>
        <w:pStyle w:val="NoSpacing"/>
        <w:ind w:firstLine="709"/>
        <w:rPr>
          <w:lang w:val="en-US"/>
        </w:rPr>
      </w:pPr>
      <w:r>
        <w:rPr>
          <w:lang w:val="en-US"/>
        </w:rPr>
        <w:t xml:space="preserve">General Assembly of the United Nations (2020). </w:t>
      </w:r>
      <w:r>
        <w:rPr>
          <w:i/>
          <w:lang w:val="en-US"/>
        </w:rPr>
        <w:t>Resolution adopted by the General Assembly on 7 December 2020 [without reference to a Main Committee (A/75/L.38/Rev.1 and A/75/L.38/Rev.1/Add.1)] 75/29. Problem of the militarization of the Autonomous Republic of Crimea and the city of Sevastopol, Ukraine, as well as parts of the Black Sea and the Sea of Azov.</w:t>
      </w:r>
      <w:r>
        <w:rPr>
          <w:lang w:val="en-US"/>
        </w:rPr>
        <w:t xml:space="preserve"> URL: https://undocs.org/en/A/RES/75/29 (accessed: 25.12.2020).</w:t>
      </w:r>
    </w:p>
    <w:p>
      <w:pPr>
        <w:pStyle w:val="NoSpacing"/>
        <w:ind w:firstLine="709"/>
        <w:rPr>
          <w:lang w:val="en-US"/>
        </w:rPr>
      </w:pPr>
      <w:r>
        <w:rPr>
          <w:lang w:val="en-US"/>
        </w:rPr>
        <w:t xml:space="preserve">Jaitner M. </w:t>
      </w:r>
      <w:r>
        <w:rPr>
          <w:lang w:val="en-US" w:eastAsia="zh-CN"/>
        </w:rPr>
        <w:t xml:space="preserve">(2019) </w:t>
      </w:r>
      <w:r>
        <w:rPr>
          <w:i/>
          <w:lang w:val="en-US"/>
        </w:rPr>
        <w:t>Russian Information Warfare:Lessons from Ukraine</w:t>
      </w:r>
      <w:r>
        <w:rPr>
          <w:lang w:val="en-US"/>
        </w:rPr>
        <w:t>,     56 p.</w:t>
      </w:r>
    </w:p>
    <w:p>
      <w:pPr>
        <w:pStyle w:val="NoSpacing"/>
        <w:ind w:firstLine="709"/>
        <w:rPr>
          <w:lang w:val="en-US" w:eastAsia="zh-CN"/>
        </w:rPr>
      </w:pPr>
      <w:r>
        <w:rPr>
          <w:color w:val="080707"/>
          <w:lang w:val="en-US"/>
        </w:rPr>
        <w:t>Marcin Kosienkowski, William Schreiber &amp; Joyce Hahn. (2018) Social Media in the Service of Territorial Reintegration in the Post</w:t>
      </w:r>
      <w:r>
        <w:rPr>
          <w:color w:val="080707"/>
          <w:lang w:val="uk-UA"/>
        </w:rPr>
        <w:t>-</w:t>
      </w:r>
      <w:r>
        <w:rPr>
          <w:color w:val="080707"/>
          <w:lang w:val="en-US"/>
        </w:rPr>
        <w:t xml:space="preserve">Soviet Area. URL: </w:t>
      </w:r>
      <w:hyperlink r:id="rId4">
        <w:r>
          <w:rPr>
            <w:color w:val="080707"/>
            <w:lang w:val="en-US"/>
          </w:rPr>
          <w:t>https://cutt.ly/uaXeE5T</w:t>
        </w:r>
      </w:hyperlink>
    </w:p>
    <w:p>
      <w:pPr>
        <w:pStyle w:val="NoSpacing"/>
        <w:ind w:firstLine="709"/>
        <w:rPr>
          <w:lang w:val="en-US" w:eastAsia="zh-CN"/>
        </w:rPr>
      </w:pPr>
      <w:r>
        <w:rPr>
          <w:lang w:val="en-US" w:eastAsia="zh-CN"/>
        </w:rPr>
        <w:t xml:space="preserve">Mearsheimer, J. J. (1994) </w:t>
      </w:r>
      <w:r>
        <w:rPr>
          <w:i/>
          <w:lang w:val="en-US" w:eastAsia="zh-CN"/>
        </w:rPr>
        <w:t>The False Promise of International Institutions.</w:t>
      </w:r>
      <w:r>
        <w:rPr>
          <w:lang w:val="en-US" w:eastAsia="zh-CN"/>
        </w:rPr>
        <w:t xml:space="preserve"> International Security 19(3): 5–49.</w:t>
      </w:r>
    </w:p>
    <w:p>
      <w:pPr>
        <w:pStyle w:val="NoSpacing"/>
        <w:ind w:firstLine="709"/>
        <w:rPr>
          <w:lang w:val="en-US" w:eastAsia="zh-CN"/>
        </w:rPr>
      </w:pPr>
      <w:r>
        <w:rPr>
          <w:lang w:val="en-US" w:eastAsia="zh-CN"/>
        </w:rPr>
        <w:t xml:space="preserve">Morgenthau, H. J. (1973) </w:t>
      </w:r>
      <w:r>
        <w:rPr>
          <w:i/>
          <w:lang w:val="en-US" w:eastAsia="zh-CN"/>
        </w:rPr>
        <w:t>Politics Among Nations: The Struggle For Power and Peace</w:t>
      </w:r>
      <w:r>
        <w:rPr>
          <w:lang w:val="en-US" w:eastAsia="zh-CN"/>
        </w:rPr>
        <w:t>. 5th Edition. New York:</w:t>
      </w:r>
    </w:p>
    <w:p>
      <w:pPr>
        <w:pStyle w:val="NoSpacing"/>
        <w:ind w:firstLine="709"/>
        <w:rPr>
          <w:lang w:val="en-US" w:eastAsia="zh-CN"/>
        </w:rPr>
      </w:pPr>
      <w:r>
        <w:rPr>
          <w:lang w:val="en-US" w:eastAsia="zh-CN"/>
        </w:rPr>
        <w:t xml:space="preserve">Nye, J. S. (1990) </w:t>
      </w:r>
      <w:r>
        <w:rPr>
          <w:i/>
          <w:lang w:val="en-US" w:eastAsia="zh-CN"/>
        </w:rPr>
        <w:t>Soft Power.</w:t>
      </w:r>
      <w:r>
        <w:rPr>
          <w:lang w:val="en-US" w:eastAsia="zh-CN"/>
        </w:rPr>
        <w:t xml:space="preserve"> Foreign Policy 80: 153–171.</w:t>
      </w:r>
    </w:p>
    <w:p>
      <w:pPr>
        <w:pStyle w:val="NoSpacing"/>
        <w:ind w:firstLine="709"/>
        <w:rPr>
          <w:lang w:val="en-US" w:eastAsia="zh-CN"/>
        </w:rPr>
      </w:pPr>
      <w:r>
        <w:rPr>
          <w:lang w:val="en-US" w:eastAsia="zh-CN"/>
        </w:rPr>
        <w:t xml:space="preserve">Kenneth N. Waltz. (1979) </w:t>
      </w:r>
      <w:r>
        <w:rPr>
          <w:i/>
          <w:lang w:val="en-US" w:eastAsia="zh-CN"/>
        </w:rPr>
        <w:t>Theory of International Politics.</w:t>
      </w:r>
      <w:r>
        <w:rPr>
          <w:lang w:val="en-US" w:eastAsia="zh-CN"/>
        </w:rPr>
        <w:t xml:space="preserve"> Reading, Mass.: Addison-Wesley Publishing. </w:t>
      </w:r>
    </w:p>
    <w:p>
      <w:pPr>
        <w:pStyle w:val="NoSpacing"/>
        <w:tabs>
          <w:tab w:val="clear" w:pos="708"/>
          <w:tab w:val="left" w:pos="284" w:leader="none"/>
        </w:tabs>
        <w:ind w:left="567" w:hanging="567"/>
        <w:rPr>
          <w:lang w:val="en-US" w:eastAsia="zh-CN"/>
        </w:rPr>
      </w:pPr>
      <w:r>
        <w:rPr/>
      </w:r>
    </w:p>
    <w:sectPr>
      <w:type w:val="nextPage"/>
      <w:pgSz w:w="11906" w:h="16838"/>
      <w:pgMar w:left="1985" w:right="849" w:header="0" w:top="1134" w:footer="0" w:bottom="1276"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swiss"/>
    <w:pitch w:val="variable"/>
  </w:font>
  <w:font w:name="Cambria">
    <w:charset w:val="cc"/>
    <w:family w:val="roman"/>
    <w:pitch w:val="variable"/>
  </w:font>
  <w:font w:name="SchoolBookC">
    <w:charset w:val="cc"/>
    <w:family w:val="roman"/>
    <w:pitch w:val="variable"/>
  </w:font>
</w:fonts>
</file>

<file path=word/settings.xml><?xml version="1.0" encoding="utf-8"?>
<w:settings xmlns:w="http://schemas.openxmlformats.org/wordprocessingml/2006/main">
  <w:zoom w:percent="81"/>
  <w:defaultTabStop w:val="708"/>
  <w:autoHyphenation w:val="true"/>
  <w:compat>
    <w:compatSetting w:name="compatibilityMode" w:uri="http://schemas.microsoft.com/office/word" w:val="12"/>
  </w:compat>
  <w:themeFontLang w:val="ru-RU"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宋体" w:cs="" w:asciiTheme="minorHAnsi" w:cstheme="minorBidi" w:eastAsiaTheme="minorEastAsia" w:hAnsiTheme="minorHAnsi"/>
        <w:sz w:val="22"/>
        <w:szCs w:val="22"/>
        <w:lang w:val="ru-RU" w:eastAsia="zh-CN"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d67ed3"/>
    <w:pPr>
      <w:widowControl/>
      <w:bidi w:val="0"/>
      <w:spacing w:lineRule="auto" w:line="276" w:before="0" w:after="200"/>
      <w:jc w:val="left"/>
    </w:pPr>
    <w:rPr>
      <w:rFonts w:ascii="Calibri" w:hAnsi="Calibri" w:eastAsia="宋体" w:cs="" w:asciiTheme="minorHAnsi" w:cstheme="minorBidi" w:eastAsiaTheme="minorEastAsia" w:hAnsiTheme="minorHAnsi"/>
      <w:color w:val="auto"/>
      <w:kern w:val="0"/>
      <w:sz w:val="22"/>
      <w:szCs w:val="22"/>
      <w:lang w:eastAsia="ru-RU" w:val="ru-RU" w:bidi="ar-SA"/>
    </w:rPr>
  </w:style>
  <w:style w:type="paragraph" w:styleId="1">
    <w:name w:val="Heading 1"/>
    <w:basedOn w:val="Normal"/>
    <w:next w:val="Normal"/>
    <w:link w:val="10"/>
    <w:uiPriority w:val="9"/>
    <w:qFormat/>
    <w:rsid w:val="00d67ed3"/>
    <w:pPr>
      <w:keepNext w:val="true"/>
      <w:keepLines/>
      <w:spacing w:lineRule="auto" w:line="360" w:before="0" w:after="160"/>
      <w:outlineLvl w:val="0"/>
    </w:pPr>
    <w:rPr>
      <w:rFonts w:ascii="Times New Roman" w:hAnsi="Times New Roman" w:eastAsia="宋体" w:cs="" w:cstheme="majorBidi" w:eastAsiaTheme="majorEastAsia"/>
      <w:b/>
      <w:bCs/>
      <w:sz w:val="28"/>
      <w:szCs w:val="28"/>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uiPriority w:val="9"/>
    <w:qFormat/>
    <w:rsid w:val="00d67ed3"/>
    <w:rPr>
      <w:rFonts w:ascii="Times New Roman" w:hAnsi="Times New Roman" w:eastAsia="宋体" w:cs="" w:cstheme="majorBidi" w:eastAsiaTheme="majorEastAsia"/>
      <w:b/>
      <w:bCs/>
      <w:sz w:val="28"/>
      <w:szCs w:val="28"/>
      <w:lang w:eastAsia="ru-RU"/>
    </w:rPr>
  </w:style>
  <w:style w:type="character" w:styleId="Style13">
    <w:name w:val="Интернет-ссылка"/>
    <w:basedOn w:val="DefaultParagraphFont"/>
    <w:uiPriority w:val="99"/>
    <w:unhideWhenUsed/>
    <w:rsid w:val="00d67ed3"/>
    <w:rPr>
      <w:color w:val="0000FF" w:themeColor="hyperlink"/>
      <w:u w:val="single"/>
    </w:rPr>
  </w:style>
  <w:style w:type="character" w:styleId="Style14" w:customStyle="1">
    <w:name w:val="Текст выноски Знак"/>
    <w:basedOn w:val="DefaultParagraphFont"/>
    <w:link w:val="a6"/>
    <w:uiPriority w:val="99"/>
    <w:semiHidden/>
    <w:qFormat/>
    <w:rsid w:val="00d67ed3"/>
    <w:rPr>
      <w:rFonts w:ascii="Tahoma" w:hAnsi="Tahoma" w:cs="Tahoma"/>
      <w:sz w:val="16"/>
      <w:szCs w:val="16"/>
      <w:lang w:eastAsia="ru-RU"/>
    </w:rPr>
  </w:style>
  <w:style w:type="character" w:styleId="A6" w:customStyle="1">
    <w:name w:val="A6"/>
    <w:uiPriority w:val="99"/>
    <w:qFormat/>
    <w:rsid w:val="00d1091c"/>
    <w:rPr>
      <w:rFonts w:cs="SchoolBookC"/>
      <w:color w:val="000000"/>
      <w:sz w:val="19"/>
      <w:szCs w:val="19"/>
    </w:rPr>
  </w:style>
  <w:style w:type="character" w:styleId="Style15">
    <w:name w:val="Ссылка указателя"/>
    <w:qFormat/>
    <w:rPr/>
  </w:style>
  <w:style w:type="paragraph" w:styleId="Style16">
    <w:name w:val="Заголовок"/>
    <w:basedOn w:val="Normal"/>
    <w:next w:val="Style17"/>
    <w:qFormat/>
    <w:pPr>
      <w:keepNext w:val="true"/>
      <w:spacing w:before="240" w:after="120"/>
    </w:pPr>
    <w:rPr>
      <w:rFonts w:ascii="Liberation Sans" w:hAnsi="Liberation Sans" w:eastAsia="Microsoft YaHei" w:cs="Ari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Arial"/>
    </w:rPr>
  </w:style>
  <w:style w:type="paragraph" w:styleId="Style19">
    <w:name w:val="Caption"/>
    <w:basedOn w:val="Normal"/>
    <w:qFormat/>
    <w:pPr>
      <w:suppressLineNumbers/>
      <w:spacing w:before="120" w:after="120"/>
    </w:pPr>
    <w:rPr>
      <w:rFonts w:cs="Arial"/>
      <w:i/>
      <w:iCs/>
      <w:sz w:val="24"/>
      <w:szCs w:val="24"/>
    </w:rPr>
  </w:style>
  <w:style w:type="paragraph" w:styleId="Style20">
    <w:name w:val="Указатель"/>
    <w:basedOn w:val="Normal"/>
    <w:qFormat/>
    <w:pPr>
      <w:suppressLineNumbers/>
    </w:pPr>
    <w:rPr>
      <w:rFonts w:cs="Arial"/>
    </w:rPr>
  </w:style>
  <w:style w:type="paragraph" w:styleId="NoSpacing">
    <w:name w:val="No Spacing"/>
    <w:uiPriority w:val="1"/>
    <w:qFormat/>
    <w:rsid w:val="00d67ed3"/>
    <w:pPr>
      <w:widowControl/>
      <w:bidi w:val="0"/>
      <w:spacing w:lineRule="auto" w:line="360" w:before="0" w:after="0"/>
      <w:jc w:val="both"/>
    </w:pPr>
    <w:rPr>
      <w:rFonts w:ascii="Times New Roman" w:hAnsi="Times New Roman" w:eastAsia="宋体" w:cs="" w:cstheme="minorBidi" w:eastAsiaTheme="minorEastAsia"/>
      <w:color w:val="auto"/>
      <w:kern w:val="0"/>
      <w:sz w:val="28"/>
      <w:szCs w:val="22"/>
      <w:lang w:eastAsia="ru-RU" w:val="ru-RU" w:bidi="ar-SA"/>
    </w:rPr>
  </w:style>
  <w:style w:type="paragraph" w:styleId="TOCHeading">
    <w:name w:val="TOC Heading"/>
    <w:basedOn w:val="1"/>
    <w:next w:val="Normal"/>
    <w:uiPriority w:val="39"/>
    <w:semiHidden/>
    <w:unhideWhenUsed/>
    <w:qFormat/>
    <w:rsid w:val="00d67ed3"/>
    <w:pPr>
      <w:spacing w:lineRule="auto" w:line="276" w:before="480" w:after="0"/>
    </w:pPr>
    <w:rPr>
      <w:rFonts w:ascii="Cambria" w:hAnsi="Cambria" w:asciiTheme="majorHAnsi" w:hAnsiTheme="majorHAnsi"/>
      <w:color w:val="365F91" w:themeColor="accent1" w:themeShade="bf"/>
      <w:lang w:eastAsia="en-US"/>
    </w:rPr>
  </w:style>
  <w:style w:type="paragraph" w:styleId="12">
    <w:name w:val="TOC 1"/>
    <w:basedOn w:val="Normal"/>
    <w:next w:val="Normal"/>
    <w:autoRedefine/>
    <w:uiPriority w:val="39"/>
    <w:unhideWhenUsed/>
    <w:rsid w:val="006625f6"/>
    <w:pPr>
      <w:tabs>
        <w:tab w:val="clear" w:pos="708"/>
        <w:tab w:val="right" w:pos="9062" w:leader="dot"/>
      </w:tabs>
      <w:spacing w:before="0" w:after="100"/>
      <w:jc w:val="both"/>
    </w:pPr>
    <w:rPr>
      <w:rFonts w:ascii="Times New Roman" w:hAnsi="Times New Roman" w:cs="Times New Roman"/>
      <w:sz w:val="28"/>
      <w:szCs w:val="28"/>
      <w:lang w:val="uk-UA"/>
    </w:rPr>
  </w:style>
  <w:style w:type="paragraph" w:styleId="BalloonText">
    <w:name w:val="Balloon Text"/>
    <w:basedOn w:val="Normal"/>
    <w:link w:val="a7"/>
    <w:uiPriority w:val="99"/>
    <w:semiHidden/>
    <w:unhideWhenUsed/>
    <w:qFormat/>
    <w:rsid w:val="00d67ed3"/>
    <w:pPr>
      <w:spacing w:lineRule="auto" w:line="240" w:before="0" w:after="0"/>
    </w:pPr>
    <w:rPr>
      <w:rFonts w:ascii="Tahoma" w:hAnsi="Tahoma" w:cs="Tahoma"/>
      <w:sz w:val="16"/>
      <w:szCs w:val="16"/>
    </w:rPr>
  </w:style>
  <w:style w:type="paragraph" w:styleId="Default" w:customStyle="1">
    <w:name w:val="Default"/>
    <w:qFormat/>
    <w:rsid w:val="00d95296"/>
    <w:pPr>
      <w:widowControl/>
      <w:bidi w:val="0"/>
      <w:spacing w:lineRule="auto" w:line="240" w:before="0" w:after="0"/>
      <w:jc w:val="left"/>
    </w:pPr>
    <w:rPr>
      <w:rFonts w:ascii="Times New Roman" w:hAnsi="Times New Roman" w:cs="Times New Roman" w:eastAsia="宋体"/>
      <w:color w:val="000000"/>
      <w:kern w:val="0"/>
      <w:sz w:val="24"/>
      <w:szCs w:val="24"/>
      <w:lang w:val="ru-RU" w:eastAsia="zh-CN" w:bidi="ar-SA"/>
    </w:rPr>
  </w:style>
  <w:style w:type="paragraph" w:styleId="Pa8" w:customStyle="1">
    <w:name w:val="Pa8"/>
    <w:basedOn w:val="Default"/>
    <w:next w:val="Default"/>
    <w:uiPriority w:val="99"/>
    <w:qFormat/>
    <w:rsid w:val="00d35372"/>
    <w:pPr>
      <w:spacing w:lineRule="atLeast" w:line="221"/>
    </w:pPr>
    <w:rPr>
      <w:color w:val="auto"/>
    </w:rPr>
  </w:style>
  <w:style w:type="paragraph" w:styleId="Pa3" w:customStyle="1">
    <w:name w:val="Pa3"/>
    <w:basedOn w:val="Default"/>
    <w:next w:val="Default"/>
    <w:uiPriority w:val="99"/>
    <w:qFormat/>
    <w:rsid w:val="00d1091c"/>
    <w:pPr>
      <w:spacing w:lineRule="atLeast" w:line="241"/>
    </w:pPr>
    <w:rPr>
      <w:rFonts w:ascii="SchoolBookC" w:hAnsi="SchoolBookC" w:cs="" w:cstheme="minorBidi"/>
      <w:color w:val="auto"/>
    </w:rPr>
  </w:style>
  <w:style w:type="paragraph" w:styleId="ListParagraph">
    <w:name w:val="List Paragraph"/>
    <w:basedOn w:val="Normal"/>
    <w:uiPriority w:val="34"/>
    <w:qFormat/>
    <w:rsid w:val="00e92d50"/>
    <w:pPr>
      <w:spacing w:before="0" w:after="200"/>
      <w:ind w:left="720" w:hanging="0"/>
      <w:contextualSpacing/>
    </w:pPr>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url:http://zakon.rada.gov.ua/laws/show/47/2017" TargetMode="External"/><Relationship Id="rId3" Type="http://schemas.openxmlformats.org/officeDocument/2006/relationships/hyperlink" Target="http://zakon3.rada.gov.ua/laws/show/383-2017-&#1088;" TargetMode="External"/><Relationship Id="rId4" Type="http://schemas.openxmlformats.org/officeDocument/2006/relationships/hyperlink" Target="https://cutt.ly/uaXeE5T" TargetMode="Externa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88E2BB-731D-4A28-8FA4-59CACB4E1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Application>LibreOffice/7.0.2.2$Windows_X86_64 LibreOffice_project/8349ace3c3162073abd90d81fd06dcfb6b36b994</Application>
  <Pages>14</Pages>
  <Words>2750</Words>
  <Characters>19353</Characters>
  <CharactersWithSpaces>22168</CharactersWithSpaces>
  <Paragraphs>130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2021-12-10T17:56:00Z</dcterms:created>
  <dc:creator>MAKSIM</dc:creator>
  <dc:description/>
  <dc:language>ru-RU</dc:language>
  <cp:lastModifiedBy/>
  <dcterms:modified xsi:type="dcterms:W3CDTF">2022-08-23T20:57:40Z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