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маркетингу та </w:t>
      </w:r>
      <w:r w:rsidRPr="00AC5C7E">
        <w:rPr>
          <w:rFonts w:ascii="Times New Roman" w:eastAsia="Calibri" w:hAnsi="Times New Roman" w:cs="Times New Roman"/>
          <w:sz w:val="28"/>
          <w:szCs w:val="28"/>
        </w:rPr>
        <w:t>бізнес-адміністрування</w:t>
      </w: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C5C7E" w:rsidRPr="00AC5C7E" w:rsidRDefault="00AC5C7E" w:rsidP="00AC5C7E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32"/>
          <w:szCs w:val="28"/>
          <w:lang w:val="ru-RU" w:eastAsia="ru-RU"/>
        </w:rPr>
      </w:pPr>
      <w:proofErr w:type="spellStart"/>
      <w:r w:rsidRPr="00AC5C7E">
        <w:rPr>
          <w:rFonts w:ascii="Times New Roman" w:eastAsia="Times New Roman" w:hAnsi="Times New Roman" w:cs="Times New Roman"/>
          <w:b/>
          <w:sz w:val="32"/>
          <w:szCs w:val="28"/>
          <w:lang w:val="ru-RU" w:eastAsia="ru-RU"/>
        </w:rPr>
        <w:t>Дипломна</w:t>
      </w:r>
      <w:proofErr w:type="spellEnd"/>
      <w:r w:rsidRPr="00AC5C7E">
        <w:rPr>
          <w:rFonts w:ascii="Times New Roman" w:eastAsia="Times New Roman" w:hAnsi="Times New Roman" w:cs="Times New Roman"/>
          <w:b/>
          <w:sz w:val="32"/>
          <w:szCs w:val="28"/>
          <w:lang w:val="ru-RU" w:eastAsia="ru-RU"/>
        </w:rPr>
        <w:t xml:space="preserve"> робота</w:t>
      </w:r>
    </w:p>
    <w:p w:rsidR="00AC5C7E" w:rsidRPr="00AC5C7E" w:rsidRDefault="00AC5C7E" w:rsidP="00AC5C7E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</w:rPr>
        <w:t>«Використання балансового методу як інструменту антикризової стратегії держави»</w:t>
      </w: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Using the balance method as a tool for crisis strategy of the state»</w:t>
      </w:r>
    </w:p>
    <w:p w:rsidR="00AC5C7E" w:rsidRPr="00AC5C7E" w:rsidRDefault="00AC5C7E" w:rsidP="00AC5C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C5C7E" w:rsidRPr="00AC5C7E" w:rsidRDefault="00AC5C7E" w:rsidP="00AC5C7E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C5C7E" w:rsidRPr="00AC5C7E" w:rsidRDefault="00AC5C7E" w:rsidP="00AC5C7E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5C7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здобуття ступеня вищої освіти «магістр»</w:t>
      </w:r>
    </w:p>
    <w:p w:rsidR="00AC5C7E" w:rsidRPr="00AC5C7E" w:rsidRDefault="00AC5C7E" w:rsidP="00AC5C7E">
      <w:pPr>
        <w:tabs>
          <w:tab w:val="left" w:pos="5796"/>
        </w:tabs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C5C7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AC5C7E" w:rsidRPr="00AC5C7E" w:rsidRDefault="00AC5C7E" w:rsidP="00AC5C7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C5C7E" w:rsidRPr="00AC5C7E" w:rsidRDefault="00AC5C7E" w:rsidP="00AC5C7E">
      <w:pPr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Виконав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денної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AC5C7E" w:rsidRPr="00AC5C7E" w:rsidRDefault="00AC5C7E" w:rsidP="00AC5C7E">
      <w:pPr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</w:rPr>
        <w:t>спеціальність 073 Менеджмент</w:t>
      </w:r>
    </w:p>
    <w:p w:rsidR="00AC5C7E" w:rsidRPr="00AC5C7E" w:rsidRDefault="00AC5C7E" w:rsidP="00AC5C7E">
      <w:pPr>
        <w:tabs>
          <w:tab w:val="left" w:pos="6012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ab/>
      </w:r>
    </w:p>
    <w:p w:rsidR="00AC5C7E" w:rsidRPr="00AC5C7E" w:rsidRDefault="00AC5C7E" w:rsidP="00AC5C7E">
      <w:pPr>
        <w:spacing w:after="0" w:line="240" w:lineRule="auto"/>
        <w:ind w:left="4395"/>
        <w:rPr>
          <w:rFonts w:ascii="Times New Roman" w:eastAsia="Calibri" w:hAnsi="Times New Roman" w:cs="Times New Roman"/>
          <w:b/>
          <w:sz w:val="28"/>
          <w:szCs w:val="28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</w:rPr>
        <w:t>Юдина Катерина В’ячеславівна</w:t>
      </w:r>
    </w:p>
    <w:p w:rsidR="00AC5C7E" w:rsidRPr="00AC5C7E" w:rsidRDefault="00AC5C7E" w:rsidP="00AC5C7E">
      <w:pPr>
        <w:tabs>
          <w:tab w:val="left" w:pos="5580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</w:rPr>
        <w:tab/>
      </w:r>
    </w:p>
    <w:p w:rsidR="00AC5C7E" w:rsidRPr="00AC5C7E" w:rsidRDefault="00AC5C7E" w:rsidP="00AC5C7E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керівник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AC5C7E" w:rsidRPr="00AC5C7E" w:rsidRDefault="00AC5C7E" w:rsidP="00AC5C7E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к.е.н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доцент </w:t>
      </w:r>
      <w:r w:rsidRPr="00AC5C7E">
        <w:rPr>
          <w:rFonts w:ascii="Times New Roman" w:eastAsia="Calibri" w:hAnsi="Times New Roman" w:cs="Times New Roman"/>
          <w:sz w:val="28"/>
          <w:szCs w:val="28"/>
        </w:rPr>
        <w:t>Єгорова-Гудкова Т.І.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AC5C7E" w:rsidRPr="00AC5C7E" w:rsidRDefault="00AC5C7E" w:rsidP="00AC5C7E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</w:p>
    <w:p w:rsidR="00AC5C7E" w:rsidRPr="00AC5C7E" w:rsidRDefault="00AC5C7E" w:rsidP="00AC5C7E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 </w:t>
      </w:r>
    </w:p>
    <w:p w:rsidR="00AC5C7E" w:rsidRPr="00AC5C7E" w:rsidRDefault="00AC5C7E" w:rsidP="00AC5C7E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д.е.н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, проф.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Горняк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О.В.</w:t>
      </w:r>
    </w:p>
    <w:p w:rsidR="00AC5C7E" w:rsidRPr="00AC5C7E" w:rsidRDefault="00AC5C7E" w:rsidP="00AC5C7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5C7E" w:rsidRPr="00AC5C7E" w:rsidRDefault="00AC5C7E" w:rsidP="00AC5C7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5C7E" w:rsidRPr="00AC5C7E" w:rsidRDefault="00AC5C7E" w:rsidP="00AC5C7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C5C7E" w:rsidRPr="00AC5C7E" w:rsidRDefault="00AC5C7E" w:rsidP="00AC5C7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tbl>
      <w:tblPr>
        <w:tblStyle w:val="a3"/>
        <w:tblW w:w="9809" w:type="dxa"/>
        <w:tblInd w:w="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70"/>
        <w:gridCol w:w="4839"/>
      </w:tblGrid>
      <w:tr w:rsidR="00AC5C7E" w:rsidRPr="00AC5C7E" w:rsidTr="00AC5C7E">
        <w:trPr>
          <w:trHeight w:val="3868"/>
        </w:trPr>
        <w:tc>
          <w:tcPr>
            <w:tcW w:w="49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C5C7E" w:rsidRPr="00AC5C7E" w:rsidRDefault="00AC5C7E" w:rsidP="00AC5C7E">
            <w:pPr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AC5C7E" w:rsidRPr="00AC5C7E" w:rsidRDefault="00AC5C7E" w:rsidP="00AC5C7E">
            <w:pPr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 xml:space="preserve">протоколом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AC5C7E" w:rsidRPr="00AC5C7E" w:rsidRDefault="00AC5C7E" w:rsidP="00AC5C7E">
            <w:pPr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 xml:space="preserve">№ ___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________ 2018 р. </w:t>
            </w:r>
          </w:p>
          <w:p w:rsidR="00AC5C7E" w:rsidRPr="00AC5C7E" w:rsidRDefault="00AC5C7E" w:rsidP="00AC5C7E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AC5C7E" w:rsidRPr="00AC5C7E" w:rsidRDefault="00AC5C7E" w:rsidP="00AC5C7E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AC5C7E" w:rsidRPr="00AC5C7E" w:rsidRDefault="00AC5C7E" w:rsidP="00AC5C7E">
            <w:pPr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 xml:space="preserve">_________   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д.е</w:t>
            </w:r>
            <w:proofErr w:type="gramStart"/>
            <w:r w:rsidRPr="00AC5C7E">
              <w:rPr>
                <w:rFonts w:ascii="Times New Roman" w:hAnsi="Times New Roman"/>
                <w:sz w:val="28"/>
                <w:szCs w:val="28"/>
              </w:rPr>
              <w:t>.н</w:t>
            </w:r>
            <w:proofErr w:type="spellEnd"/>
            <w:proofErr w:type="gram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, проф.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Садченко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О.В.</w:t>
            </w:r>
          </w:p>
          <w:p w:rsidR="00AC5C7E" w:rsidRPr="00AC5C7E" w:rsidRDefault="00AC5C7E" w:rsidP="00AC5C7E">
            <w:pPr>
              <w:outlineLvl w:val="1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AC5C7E">
              <w:rPr>
                <w:rFonts w:ascii="Times New Roman" w:hAnsi="Times New Roman"/>
                <w:bCs/>
                <w:sz w:val="20"/>
                <w:szCs w:val="20"/>
              </w:rPr>
              <w:t xml:space="preserve">      (</w:t>
            </w:r>
            <w:proofErr w:type="spellStart"/>
            <w:proofErr w:type="gramStart"/>
            <w:r w:rsidRPr="00AC5C7E">
              <w:rPr>
                <w:rFonts w:ascii="Times New Roman" w:hAnsi="Times New Roman"/>
                <w:bCs/>
                <w:sz w:val="20"/>
                <w:szCs w:val="20"/>
              </w:rPr>
              <w:t>п</w:t>
            </w:r>
            <w:proofErr w:type="gramEnd"/>
            <w:r w:rsidRPr="00AC5C7E">
              <w:rPr>
                <w:rFonts w:ascii="Times New Roman" w:hAnsi="Times New Roman"/>
                <w:bCs/>
                <w:sz w:val="20"/>
                <w:szCs w:val="20"/>
              </w:rPr>
              <w:t>ідпис</w:t>
            </w:r>
            <w:proofErr w:type="spellEnd"/>
            <w:r w:rsidRPr="00AC5C7E">
              <w:rPr>
                <w:rFonts w:ascii="Times New Roman" w:hAnsi="Times New Roman"/>
                <w:bCs/>
                <w:sz w:val="20"/>
                <w:szCs w:val="20"/>
              </w:rPr>
              <w:t>)</w:t>
            </w:r>
            <w:r w:rsidRPr="00AC5C7E">
              <w:rPr>
                <w:rFonts w:ascii="Times New Roman" w:hAnsi="Times New Roman"/>
                <w:bCs/>
                <w:sz w:val="20"/>
                <w:szCs w:val="20"/>
              </w:rPr>
              <w:tab/>
            </w:r>
          </w:p>
        </w:tc>
        <w:tc>
          <w:tcPr>
            <w:tcW w:w="483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AC5C7E" w:rsidRPr="00AC5C7E" w:rsidRDefault="00AC5C7E" w:rsidP="00AC5C7E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ЕК № ___</w:t>
            </w:r>
          </w:p>
          <w:p w:rsidR="00AC5C7E" w:rsidRPr="00AC5C7E" w:rsidRDefault="00AC5C7E" w:rsidP="00AC5C7E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________ 2018 р., протокол № ___</w:t>
            </w:r>
          </w:p>
          <w:p w:rsidR="00AC5C7E" w:rsidRPr="00AC5C7E" w:rsidRDefault="00AC5C7E" w:rsidP="00AC5C7E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AC5C7E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AC5C7E" w:rsidRPr="00AC5C7E" w:rsidRDefault="00AC5C7E" w:rsidP="00AC5C7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C5C7E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AC5C7E"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 w:rsidRPr="00AC5C7E">
              <w:rPr>
                <w:rFonts w:ascii="Times New Roman" w:hAnsi="Times New Roman"/>
                <w:sz w:val="20"/>
                <w:szCs w:val="20"/>
              </w:rPr>
              <w:t xml:space="preserve"> шкалою, шкалою ЕСТ</w:t>
            </w:r>
            <w:proofErr w:type="gramStart"/>
            <w:r w:rsidRPr="00AC5C7E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proofErr w:type="gramEnd"/>
            <w:r w:rsidRPr="00AC5C7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AC5C7E"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 w:rsidRPr="00AC5C7E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AC5C7E" w:rsidRPr="00AC5C7E" w:rsidRDefault="00AC5C7E" w:rsidP="00AC5C7E">
            <w:pPr>
              <w:tabs>
                <w:tab w:val="right" w:pos="4783"/>
              </w:tabs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>Голова ЕК</w:t>
            </w:r>
            <w:r w:rsidRPr="00AC5C7E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AC5C7E" w:rsidRPr="00AC5C7E" w:rsidRDefault="00AC5C7E" w:rsidP="00AC5C7E">
            <w:pPr>
              <w:tabs>
                <w:tab w:val="left" w:pos="1446"/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r w:rsidRPr="00AC5C7E">
              <w:rPr>
                <w:rFonts w:ascii="Times New Roman" w:hAnsi="Times New Roman"/>
                <w:sz w:val="28"/>
                <w:szCs w:val="28"/>
              </w:rPr>
              <w:t xml:space="preserve">_________   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д.е</w:t>
            </w:r>
            <w:proofErr w:type="gramStart"/>
            <w:r w:rsidRPr="00AC5C7E">
              <w:rPr>
                <w:rFonts w:ascii="Times New Roman" w:hAnsi="Times New Roman"/>
                <w:sz w:val="28"/>
                <w:szCs w:val="28"/>
              </w:rPr>
              <w:t>.н</w:t>
            </w:r>
            <w:proofErr w:type="spellEnd"/>
            <w:proofErr w:type="gram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, проф. </w:t>
            </w:r>
            <w:proofErr w:type="spellStart"/>
            <w:r w:rsidRPr="00AC5C7E">
              <w:rPr>
                <w:rFonts w:ascii="Times New Roman" w:hAnsi="Times New Roman"/>
                <w:sz w:val="28"/>
                <w:szCs w:val="28"/>
              </w:rPr>
              <w:t>Кузнєцов</w:t>
            </w:r>
            <w:proofErr w:type="spellEnd"/>
            <w:r w:rsidRPr="00AC5C7E">
              <w:rPr>
                <w:rFonts w:ascii="Times New Roman" w:hAnsi="Times New Roman"/>
                <w:sz w:val="28"/>
                <w:szCs w:val="28"/>
              </w:rPr>
              <w:t xml:space="preserve"> Е.А.</w:t>
            </w:r>
          </w:p>
          <w:p w:rsidR="00AC5C7E" w:rsidRPr="00AC5C7E" w:rsidRDefault="00AC5C7E" w:rsidP="00AC5C7E">
            <w:pPr>
              <w:tabs>
                <w:tab w:val="left" w:pos="1446"/>
                <w:tab w:val="right" w:pos="4462"/>
              </w:tabs>
              <w:rPr>
                <w:rFonts w:ascii="Times New Roman" w:hAnsi="Times New Roman"/>
                <w:bCs/>
                <w:sz w:val="20"/>
                <w:szCs w:val="20"/>
              </w:rPr>
            </w:pPr>
            <w:r w:rsidRPr="00AC5C7E">
              <w:rPr>
                <w:rFonts w:ascii="Times New Roman" w:hAnsi="Times New Roman"/>
                <w:b/>
                <w:sz w:val="20"/>
                <w:szCs w:val="20"/>
              </w:rPr>
              <w:t xml:space="preserve">    </w:t>
            </w:r>
            <w:r w:rsidRPr="00AC5C7E">
              <w:rPr>
                <w:rFonts w:ascii="Times New Roman" w:hAnsi="Times New Roman"/>
                <w:sz w:val="20"/>
                <w:szCs w:val="20"/>
              </w:rPr>
              <w:t xml:space="preserve">  (</w:t>
            </w:r>
            <w:proofErr w:type="spellStart"/>
            <w:proofErr w:type="gramStart"/>
            <w:r w:rsidRPr="00AC5C7E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AC5C7E">
              <w:rPr>
                <w:rFonts w:ascii="Times New Roman" w:hAnsi="Times New Roman"/>
                <w:sz w:val="20"/>
                <w:szCs w:val="20"/>
              </w:rPr>
              <w:t>ідпис</w:t>
            </w:r>
            <w:proofErr w:type="spellEnd"/>
            <w:r w:rsidRPr="00AC5C7E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</w:tbl>
    <w:p w:rsidR="00AC5C7E" w:rsidRPr="00AC5C7E" w:rsidRDefault="00AC5C7E" w:rsidP="00AC5C7E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2018</w:t>
      </w:r>
    </w:p>
    <w:p w:rsidR="00075E5E" w:rsidRDefault="00075E5E"/>
    <w:p w:rsidR="00AC5C7E" w:rsidRDefault="00AC5C7E"/>
    <w:p w:rsidR="00AC5C7E" w:rsidRPr="00AC5C7E" w:rsidRDefault="00AC5C7E" w:rsidP="00AC5C7E">
      <w:pPr>
        <w:tabs>
          <w:tab w:val="left" w:pos="3252"/>
          <w:tab w:val="center" w:pos="4394"/>
        </w:tabs>
        <w:spacing w:after="0" w:line="360" w:lineRule="auto"/>
        <w:ind w:right="566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СОДЕРЖАНИЕ</w:t>
      </w:r>
    </w:p>
    <w:p w:rsidR="00AC5C7E" w:rsidRPr="00AC5C7E" w:rsidRDefault="00AC5C7E" w:rsidP="00AC5C7E">
      <w:pPr>
        <w:spacing w:after="0" w:line="360" w:lineRule="auto"/>
        <w:ind w:right="566"/>
        <w:jc w:val="center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ВВЕДЕНИЕ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4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numPr>
          <w:ilvl w:val="0"/>
          <w:numId w:val="1"/>
        </w:numPr>
        <w:tabs>
          <w:tab w:val="left" w:leader="hyphen" w:pos="8789"/>
        </w:tabs>
        <w:spacing w:after="0" w:line="360" w:lineRule="auto"/>
        <w:ind w:right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РАЗДЕЛ 1 ПОНЯТИЕ БАЛАНСОВОГО МЕТОДА, ПРИМЕНЕНИЕ, МОДЕЛИ И ИСТОРИЯ РАЗВИТИЯ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7</w:t>
      </w:r>
    </w:p>
    <w:p w:rsidR="00AC5C7E" w:rsidRPr="00AC5C7E" w:rsidRDefault="00AC5C7E" w:rsidP="00AC5C7E">
      <w:pPr>
        <w:numPr>
          <w:ilvl w:val="1"/>
          <w:numId w:val="2"/>
        </w:numPr>
        <w:tabs>
          <w:tab w:val="left" w:leader="hyphen" w:pos="8789"/>
        </w:tabs>
        <w:spacing w:after="0" w:line="360" w:lineRule="auto"/>
        <w:ind w:left="1134" w:right="566" w:hanging="42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Балансовый метод и виды балансов 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7</w:t>
      </w:r>
    </w:p>
    <w:p w:rsidR="00AC5C7E" w:rsidRPr="00AC5C7E" w:rsidRDefault="00AC5C7E" w:rsidP="00AC5C7E">
      <w:pPr>
        <w:numPr>
          <w:ilvl w:val="1"/>
          <w:numId w:val="2"/>
        </w:numPr>
        <w:tabs>
          <w:tab w:val="left" w:leader="hyphen" w:pos="8789"/>
        </w:tabs>
        <w:spacing w:after="0" w:line="360" w:lineRule="auto"/>
        <w:ind w:left="1134" w:right="566" w:hanging="43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История развития балансового метода 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16</w:t>
      </w:r>
    </w:p>
    <w:p w:rsidR="00AC5C7E" w:rsidRPr="00AC5C7E" w:rsidRDefault="00AC5C7E" w:rsidP="00AC5C7E">
      <w:pPr>
        <w:numPr>
          <w:ilvl w:val="1"/>
          <w:numId w:val="2"/>
        </w:numPr>
        <w:tabs>
          <w:tab w:val="left" w:leader="hyphen" w:pos="8789"/>
        </w:tabs>
        <w:spacing w:after="0" w:line="360" w:lineRule="auto"/>
        <w:ind w:left="1134" w:right="566" w:hanging="43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Балансовые модели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21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right="141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РАЗДЕЛ 2 АНАЛИЗ ПРИМЕНЕНИЯ БАЛАНСОВОГО МЕТОДА В МИРОВОЙ ПРАКТИКЕ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27</w:t>
      </w:r>
    </w:p>
    <w:p w:rsidR="00AC5C7E" w:rsidRPr="00AC5C7E" w:rsidRDefault="00AC5C7E" w:rsidP="00AC5C7E">
      <w:pPr>
        <w:numPr>
          <w:ilvl w:val="0"/>
          <w:numId w:val="3"/>
        </w:numPr>
        <w:tabs>
          <w:tab w:val="left" w:leader="hyphen" w:pos="8789"/>
        </w:tabs>
        <w:spacing w:after="0" w:line="360" w:lineRule="auto"/>
        <w:ind w:left="1066" w:right="566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Балансовый метод как инструмент ценообразования в Норвегии 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27</w:t>
      </w:r>
    </w:p>
    <w:p w:rsidR="00AC5C7E" w:rsidRPr="00AC5C7E" w:rsidRDefault="00AC5C7E" w:rsidP="00AC5C7E">
      <w:pPr>
        <w:numPr>
          <w:ilvl w:val="0"/>
          <w:numId w:val="3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Балансы народного хозяйства в СССР 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32</w:t>
      </w:r>
    </w:p>
    <w:p w:rsidR="00AC5C7E" w:rsidRPr="00AC5C7E" w:rsidRDefault="00AC5C7E" w:rsidP="00AC5C7E">
      <w:pPr>
        <w:numPr>
          <w:ilvl w:val="0"/>
          <w:numId w:val="3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Межотраслевые балансы в экономике Европы и США</w:t>
      </w: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40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РАЗДЕЛ 3 ИСПОЛЬЗОВАНИЕ МЕЖОТРАСЛЕВЫХ БАЛАНСОВ КАК ИНСТРУМЕНТА АНТИКРИЗИСНОГО СТРАТЕГИЧЕСКОГО ПЛАНИРОВАНИЯ НА ПРИМЕРЕ УКРАИНЫ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51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3.1 Система национальных счетов в Украине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51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left="1276" w:right="566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3.2 Использование модели «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затраты-выпуск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» в экономическом анализе и стратегическом планировании в Украине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55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ind w:left="709"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3.3 Преимущества и недостатки балансового метода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64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ВЫВОДЫ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69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СПИСОК ИСПОЛЬЗОВАННЫХ ИСТОЧНИКОВ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ab/>
        <w:t>73</w:t>
      </w:r>
    </w:p>
    <w:p w:rsidR="00AC5C7E" w:rsidRPr="00AC5C7E" w:rsidRDefault="00AC5C7E" w:rsidP="00AC5C7E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ВВЕДЕНИЕ</w:t>
      </w:r>
    </w:p>
    <w:p w:rsidR="00AC5C7E" w:rsidRPr="00AC5C7E" w:rsidRDefault="00AC5C7E" w:rsidP="00AC5C7E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Актуальность темы исследования.</w:t>
      </w:r>
      <w:r w:rsidRPr="00AC5C7E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Украины, которая сравнительно недавно обрела независимость, вопросы экономического развития и стратегического планирования обладают повышенной важностью, именно поэтому так важно исследовать влияние всех возможных факторов на данный показатель, с целью определить оптимальный путь экономического развития страны в будущем. Для конкретной дипломной работы было выбрано исследование такого инструмента, как балансовый метод и его использование в антикризисном стратегическом планировании и прогнозировании, результаты которого показали, насколько изменение подхода к данному инструменту и к подходу к управлению им может положительно отразиться на экономике страны. 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Балансовый метод для экономической политики играет ключевую роль.  Прежде всего, балансовый метод позволяет управлять структурными пропорциями национальной экономики, поддерживая оптимальные пропорции между производящими отраслями и отраслями сферы услуг. Поддержание в структуре ВВП оптимальной пропорции производящих отраслей и отраслей сферы услуг является основой сохранения национальной экономической безопасности и антикризисной политики.</w:t>
      </w:r>
    </w:p>
    <w:p w:rsidR="00AC5C7E" w:rsidRPr="00AC5C7E" w:rsidRDefault="00AC5C7E" w:rsidP="00AC5C7E">
      <w:pPr>
        <w:spacing w:before="100" w:beforeAutospacing="1" w:after="0" w:line="360" w:lineRule="auto"/>
        <w:ind w:right="283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История располагает многочисленными примерами, которые подтверждают следующую закономерность: как только либеральная экономическая политика дает сбой, ей на помощь приходит государство, усиливая контроль в экономической среде. Так было в США после «ревущих 20-х» и последующим «Новым курсом» Ф. Рузвельта. Помимо этого, балансовые методы активно использовались государствами для </w:t>
      </w: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выхода из экономического кризиса настигшего их после Второй Мировой Войны. Южная Корея преодолевала финансовый кризис после войны с севером с помощью разработки межотраслевых таблиц. Создатель модели межотраслевых балансов В.В. Леонтьев сравнивал экономику с яхтой, где парус является частной инициативой, а руль принадлежит государственному регулированию. 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Объектом данной дипломной работы является балансовый метод и его модели.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Предметом исследования дипломной работы является использование балансового метода как инструмента антикризисной стратегии государства.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Цель дипломной работы: исследование использования балансового метода как инструмента экономического анализа, антикризисного стратегического планирования и прогнозирования.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Задачи, которые были поставлены в написании дипломной работы: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Охарактеризовать само понятие балансового метода и его виды</w:t>
      </w:r>
      <w:r w:rsidRPr="00AC5C7E">
        <w:rPr>
          <w:rFonts w:ascii="Times New Roman" w:eastAsia="Calibri" w:hAnsi="Times New Roman" w:cs="Times New Roman"/>
          <w:sz w:val="28"/>
          <w:szCs w:val="28"/>
        </w:rPr>
        <w:t>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Проследить историю возникновения и развития балансового метода</w:t>
      </w:r>
      <w:r w:rsidRPr="00AC5C7E">
        <w:rPr>
          <w:rFonts w:ascii="Times New Roman" w:eastAsia="Calibri" w:hAnsi="Times New Roman" w:cs="Times New Roman"/>
          <w:sz w:val="28"/>
          <w:szCs w:val="28"/>
        </w:rPr>
        <w:t>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Рассмотреть существующие модели балансового метода;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Проанализировать опыт использования балансового метода в других странах;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Исследовать систему национальных счетов и ее развитие в Украине;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Исследовать использование межотраслевых балансов как инструментов экономической политики Украины;</w:t>
      </w:r>
    </w:p>
    <w:p w:rsidR="00AC5C7E" w:rsidRPr="00AC5C7E" w:rsidRDefault="00AC5C7E" w:rsidP="00AC5C7E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Вывести преимущества и недостатки использования балансового метода</w:t>
      </w:r>
      <w:r w:rsidRPr="00AC5C7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первом разделе происходит определение балансового метода как расчетно-аналитического и экономико-математического метода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планирования, описываются виды и модели, прослеживается возникновение и развитие данного термина.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втором разделе рассматривается опыт использования различных балансовых моделей в опыте других стран: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ценообразование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основанное на балансовом методе в Норвегии, составление натуральных балансов в СССР, а также межотраслевые и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межпродуктовые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балансы в системе национальных счетов Европы и США.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 третьем разделе анализируется система национальных счетов Украины, исследуется полезность использования межотраслевых балансов в антикризисном стратегическом планировании, анализируются основные преимущества и недостатки балансового метода.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При написании работы были использованы такие методы исследования как: анализ литературных источников, периодических изданий, сравнение и проведение аналогий, метод сбора первичной и вторичной информации, методы статистического анализа, а также обобщение изученного материала.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Структура работы: Дипломная работа состоит из вступления, трех разделов, выводов и списка использованных источников. </w:t>
      </w:r>
    </w:p>
    <w:p w:rsidR="00AC5C7E" w:rsidRPr="00AC5C7E" w:rsidRDefault="00AC5C7E" w:rsidP="00AC5C7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Default="00AC5C7E">
      <w:pPr>
        <w:rPr>
          <w:lang w:val="ru-RU"/>
        </w:rPr>
      </w:pPr>
    </w:p>
    <w:p w:rsidR="00AC5C7E" w:rsidRPr="00AC5C7E" w:rsidRDefault="00AC5C7E" w:rsidP="00AC5C7E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Балансовый метод как составляющая экономико-математического моделирования может играть ключевую роль в экономической антикризисной политике, так как способен стать информационной базой для основных элементов реализации антикризисной стратегии.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Система межотраслевых балансов в экономике страны является системообразующим фактором для макроэкономических показателей разных уровней:</w:t>
      </w:r>
    </w:p>
    <w:p w:rsidR="00AC5C7E" w:rsidRPr="00AC5C7E" w:rsidRDefault="00AC5C7E" w:rsidP="00AC5C7E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Отраслевых;</w:t>
      </w:r>
    </w:p>
    <w:p w:rsidR="00AC5C7E" w:rsidRPr="00AC5C7E" w:rsidRDefault="00AC5C7E" w:rsidP="00AC5C7E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Территориальных;</w:t>
      </w:r>
    </w:p>
    <w:p w:rsidR="00AC5C7E" w:rsidRPr="00AC5C7E" w:rsidRDefault="00AC5C7E" w:rsidP="00AC5C7E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Внешнеэкономических.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Балансовый метод позволяет совершить мониторинг основных экономических и финансовых показателей и оценить экономические процессы. При помощи балансовых систем возможно прогнозирование изменений происходящих как во внешней, так и во внутренней среде, выбор оптимального варианта действий и снижения рисков.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Балансовый метод представляет данные в виде таблиц, в которых мы можем наблюдать противоположную по смыслу друг другу информацию, которая путем расчетом балансируется. К основным его видам относят:</w:t>
      </w:r>
    </w:p>
    <w:p w:rsidR="00AC5C7E" w:rsidRPr="00AC5C7E" w:rsidRDefault="00AC5C7E" w:rsidP="00AC5C7E">
      <w:pPr>
        <w:numPr>
          <w:ilvl w:val="0"/>
          <w:numId w:val="6"/>
        </w:numPr>
        <w:spacing w:after="0" w:line="360" w:lineRule="auto"/>
        <w:ind w:left="0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частные материальные, трудовые и финансовые балансы для народного хозяйства и отдельных отраслей;</w:t>
      </w:r>
    </w:p>
    <w:p w:rsidR="00AC5C7E" w:rsidRPr="00AC5C7E" w:rsidRDefault="00AC5C7E" w:rsidP="00AC5C7E">
      <w:pPr>
        <w:numPr>
          <w:ilvl w:val="0"/>
          <w:numId w:val="6"/>
        </w:numPr>
        <w:spacing w:after="0" w:line="360" w:lineRule="auto"/>
        <w:ind w:left="0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межотраслевые балансы;</w:t>
      </w:r>
    </w:p>
    <w:p w:rsidR="00AC5C7E" w:rsidRPr="00AC5C7E" w:rsidRDefault="00AC5C7E" w:rsidP="00AC5C7E">
      <w:pPr>
        <w:numPr>
          <w:ilvl w:val="0"/>
          <w:numId w:val="6"/>
        </w:numPr>
        <w:spacing w:after="0" w:line="360" w:lineRule="auto"/>
        <w:ind w:left="0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матричные</w:t>
      </w:r>
      <w:proofErr w:type="gramEnd"/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техпромфинпланы</w:t>
      </w:r>
      <w:proofErr w:type="spellEnd"/>
      <w:r w:rsidRPr="00AC5C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предприятий и фирм.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Если говорить о государственном регулировании и планировании на уровне государства, то наиболее распространенной балансовой системой является модель «</w:t>
      </w:r>
      <w:proofErr w:type="gramStart"/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затраты-выпуск</w:t>
      </w:r>
      <w:proofErr w:type="gramEnd"/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», за что ее создатель В. Леонтьев получил Нобелевскую премию в 1973 году. Данная модель была создана США с целью вывода страны их экономического кризиса 30-х годов, после чего данный опыт был перенят другими странами. На сегодняшний день данная </w:t>
      </w: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модель активно используется государствами мира в системе национальных счетов, а также в качестве составляющей более сложных и многофакторных макроэкономических моделей стратегического планирования.</w:t>
      </w:r>
    </w:p>
    <w:p w:rsidR="00AC5C7E" w:rsidRPr="00AC5C7E" w:rsidRDefault="00AC5C7E" w:rsidP="00AC5C7E">
      <w:pPr>
        <w:spacing w:before="100" w:beforeAutospacing="1"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Так, например, Норвегия в 80-х годах прошлого века использовала данную модель в интеграции с собственной моделью инфляции для прогнозирования изменения цен в краткосрочном периоде. СССР на основе данной модели составляла балансы народного хозяйства, а также пятилетние планы развития экономики. Странами Европы модель межотраслевого баланса применяется в контексте системы национальных счетов, а также помимо этого на основе балансового метода разработана модель </w:t>
      </w: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FIDELIO</w:t>
      </w: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которая интегрирует в себе потребление, производство, рынок труда, сферу международной торговли и окружающей среды, выводя между всеми факторами соответствующие взаимосвязи. 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 Украине межотраслевые балансы входят в систему национальных счетов, такое решение было введено постановлением Кабинета Министров Украины от 28.12.1992 г. №727 «О внедрении системы национальных счетов». Последняя программа по развитию системы была принята на период до 2010 года, а само применение межотраслевых балансов в качестве инструмента анализа и планирования носит рекомендательный характер, не имея под собой актуальной методологической базы.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Модель межотраслевых балансов даже в самом простом ее воплощении способна стать полезным инструментом государственной экономической политики. В первую очередь, как инструмент глубокого экономического анализа, отображающий межотраслевые связи, пропорции и структуру национального производства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наглядного примера была использована межотраслевая модель Украины за 2016 год. На основе анализа технических коэффициентов, мы можем сделать выводы об изменениях показателей под влиянием технического прогресса, улучшения организацией производства и ряда других причин. В частности, что касается Украины, в подавляющей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большинстве отраслей коэффициент полных затрат увеличился, что свидетельствует о снижении эффективности национального производства.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основе полученных данных мы можем видеть, какие отрасли нуждаются в реконструкции и модернизации, а также получить наглядную обратную связь об уже проведенных мерах экономического стимулирования. 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Также был приведен пример построения простой прогнозной модели, отображающей рост производства по отраслям с целью снижения импорта на 10%. а основе межотраслевых балансов можно строить более сложные и многофакторные модели стратегического планирования и прогнозирования. Даже такая простая модель, основанная всего на двух факторах, способна наглядно продемонстрировать производственные взаимосвязи и их использование в целях составления прогнозов и антикризисного стратегического планирования.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Данная модель имеет ряд недостатков и ограничений, однако все они преодолимы посредством увеличение уровня осведомленности субъектов анализа о пользе данного инструмента, а также интеграцией данного метода в более сложные и многофакторные модели планирования и прогнозирования.</w:t>
      </w:r>
    </w:p>
    <w:p w:rsidR="00AC5C7E" w:rsidRPr="00AC5C7E" w:rsidRDefault="00AC5C7E" w:rsidP="00AC5C7E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Межотраслевые балансы имеют понятный и простой алгоритм построения, при этом обладая высокой степенью информационного обеспечения. Данный инструмент позволяет обеспечить целостность антикризисного стратегического планирования на всех уровнях управления государством.</w:t>
      </w:r>
    </w:p>
    <w:p w:rsidR="00AC5C7E" w:rsidRPr="00AC5C7E" w:rsidRDefault="00AC5C7E" w:rsidP="00AC5C7E">
      <w:pPr>
        <w:spacing w:before="100" w:beforeAutospacing="1" w:after="0"/>
        <w:ind w:right="283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данный момент Украина находится в кризисном состоянии, которое вызвано военными действиями на востоке страны. Межотраслевые балансы доказали свое преимущество в экономическом планировании в условиях ограниченных ресурсов.  С помощью модели межотраслевых балансов возможно выявление </w:t>
      </w:r>
      <w:bookmarkStart w:id="0" w:name="_GoBack"/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структурных диспропорции, которые в свою очередь оказывают влияние на экономическую эффективность отрасли. Модель отображает логически выстроенные и простые для </w:t>
      </w:r>
      <w:proofErr w:type="gramStart"/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восприятия</w:t>
      </w:r>
      <w:proofErr w:type="gramEnd"/>
      <w:r w:rsidRPr="00AC5C7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данные для повышения эффективности системы, демонстрируя отраслевые зависимости и взаимосвязи.  </w:t>
      </w:r>
    </w:p>
    <w:bookmarkEnd w:id="0"/>
    <w:p w:rsidR="00AC5C7E" w:rsidRPr="00AC5C7E" w:rsidRDefault="00AC5C7E" w:rsidP="00AC5C7E">
      <w:pPr>
        <w:spacing w:after="0"/>
        <w:rPr>
          <w:rFonts w:ascii="Times New Roman" w:eastAsia="Calibri" w:hAnsi="Times New Roman" w:cs="Times New Roman"/>
          <w:sz w:val="28"/>
          <w:szCs w:val="28"/>
          <w:lang w:val="ru-RU"/>
        </w:rPr>
        <w:sectPr w:rsidR="00AC5C7E" w:rsidRPr="00AC5C7E">
          <w:pgSz w:w="11906" w:h="16838"/>
          <w:pgMar w:top="1134" w:right="850" w:bottom="1134" w:left="1701" w:header="708" w:footer="708" w:gutter="0"/>
          <w:cols w:space="720"/>
        </w:sectPr>
      </w:pPr>
    </w:p>
    <w:p w:rsidR="00AC5C7E" w:rsidRPr="00AC5C7E" w:rsidRDefault="00AC5C7E" w:rsidP="00AC5C7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СПИСОК ИСПОЛЬЗОВАННЫХ ИСТОЧНИКОВ</w:t>
      </w:r>
    </w:p>
    <w:p w:rsidR="00AC5C7E" w:rsidRPr="00AC5C7E" w:rsidRDefault="00AC5C7E" w:rsidP="00AC5C7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Аганбегян А. Г. Экономико-математический анализ межотраслевого баланса СССР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монография. Москва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Мысль, 1968. 357 с.  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Антонова Н.Б., Хорошко О.Б. Государственное регулирование национальной экономики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учебное пособие. Минск, 2009. 253 с. 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Бойко А.А.  Методы стратегического планирования инновационного воспроизводства основных производственных фондов. Вестник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Себирского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государственного аэрокосмического университета им. М.Ф.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Решетнева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Сер. Экономика, 2011.  №22. С. 158-163.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Бойчук М.,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Шмурыгина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Н.А.  Моделирование и оптимизация статистического межотраслевого баланса с опозданием. Вестник ТДТУ, 2009. №1. С. 200. 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Величко М.В., Ефимов В.А., </w:t>
      </w:r>
      <w:proofErr w:type="spell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Зазнобин</w:t>
      </w:r>
      <w:proofErr w:type="spell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В.М. Экономика инновационного развития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монография. Санкт-Петербург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СПб ГАУ, 2015. 386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Вивальнюк</w:t>
      </w:r>
      <w:proofErr w:type="spell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Л.М. Элементы линейного программирования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учебное пособие. Киев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Высшая школа, 1995. 161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Владимирова Л.П. Прогнозирование и планирование в условиях рынка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учебное пособие. 2-е издание. Москва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ИПУ РАН, 2007. 187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Деордица</w:t>
      </w:r>
      <w:proofErr w:type="spell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Ю.С., Нефедов Ю.М. Исследование операций в планировании и управлении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учебное пособие. Киев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Высшая  школа, 1999. 192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Дуброва Т.А. Прогнозирование социальных и экономических процессов. Москва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Маркет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ДС, 2010. 239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Ефимов Н.В. Квадратичные формы и матрицы. Москва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Физматлит</w:t>
      </w:r>
      <w:proofErr w:type="spell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, 2012. 168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Историк-экономист С.Я. Боровой и проблемы современной истории экономики: монография /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Зверяков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М.И.,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Уперенко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Н.Л., Подгорный А.З. и др. Одесса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Бахва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, 2013 . 276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Концепция развития системы национальных счетов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утверждено Кабинетом Министров Украины от 25.07.2002 г. №413-р.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6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http://zakon.rada.gov.ua/laws/show/413-2002-%D1%80</w:t>
        </w:r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  24.08.18)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Коваль Е.М. Модель «затраты-выпуск» в системе национальных счетов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учебное пособие. Киев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НУБИП, 2013. 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Коссов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В. Межотраслевой баланс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монография.  Москва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Экономика, 2011. 226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AC5C7E">
        <w:rPr>
          <w:rFonts w:ascii="Calibri" w:eastAsia="Calibri" w:hAnsi="Calibri" w:cs="Times New Roman"/>
          <w:bCs/>
          <w:i/>
          <w:iCs/>
          <w:sz w:val="28"/>
          <w:szCs w:val="28"/>
          <w:shd w:val="clear" w:color="auto" w:fill="FFFFFF"/>
          <w:lang w:val="ru-RU"/>
        </w:rPr>
        <w:t>Костин В</w:t>
      </w:r>
      <w:r w:rsidRPr="00AC5C7E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.</w:t>
      </w:r>
      <w:r w:rsidRPr="00AC5C7E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/>
        </w:rPr>
        <w:t>А</w:t>
      </w:r>
      <w:r w:rsidRPr="00AC5C7E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. </w:t>
      </w:r>
      <w:r w:rsidRPr="00AC5C7E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/>
        </w:rPr>
        <w:t>Теория управления</w:t>
      </w:r>
      <w:proofErr w:type="gramStart"/>
      <w:r w:rsidRPr="00AC5C7E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учебное пособие. Екатеринбург: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УрАГС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2007. 224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Кузубов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М.В.,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Овандер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Н.Л. Оценка структурных изменений в экономике Украины и их оптимизация. Актуальные проблемы экономики,  2010.  №9. С. 66-75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Куприянов Ю.В. Балансовый метод стратегического планирования в промышленной политике. Журнал Мир новой экономики, 2015. №3. С.81</w:t>
      </w:r>
    </w:p>
    <w:p w:rsidR="00AC5C7E" w:rsidRPr="00AC5C7E" w:rsidRDefault="00AC5C7E" w:rsidP="00AC5C7E">
      <w:pPr>
        <w:numPr>
          <w:ilvl w:val="0"/>
          <w:numId w:val="7"/>
        </w:numPr>
        <w:spacing w:after="150" w:line="360" w:lineRule="auto"/>
        <w:ind w:left="426"/>
        <w:contextualSpacing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Кузык</w:t>
      </w:r>
      <w:proofErr w:type="spell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Б.Н., </w:t>
      </w:r>
      <w:proofErr w:type="spell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Кушлин</w:t>
      </w:r>
      <w:proofErr w:type="spell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В.И., </w:t>
      </w:r>
      <w:proofErr w:type="spell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Яковец</w:t>
      </w:r>
      <w:proofErr w:type="spell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Ю.В. Прогнозирование, стратегическое планирование и национальное программирование</w:t>
      </w:r>
      <w:proofErr w:type="gram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:</w:t>
      </w:r>
      <w:proofErr w:type="gram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учебное пособие. Москва</w:t>
      </w:r>
      <w:proofErr w:type="gram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:</w:t>
      </w:r>
      <w:proofErr w:type="gram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Экономика, 2011. 604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Леонтьев В. В. Экономические эссе. Теория. Исследования. Факты и политика. Москва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Политиздат, 1990. 210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Лотов А.В. Введение в экономико-математическое моделирование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монография. Москва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Наука, 1984. 418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Малькевич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Н.Д.,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Зенчук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Н.Р. Прогнозирование и планирование в экономике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монография.  Гомель: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БелГУТ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2007. 523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Математические методы и модели в планировании и управлении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сборник задач. Киев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Высшая школа, 2000. 214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Методологические рекомендации по расчету уровня экономической безопасности Украины</w:t>
      </w:r>
      <w:proofErr w:type="gram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проект / Министерство </w:t>
      </w:r>
      <w:proofErr w:type="spellStart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экономразвития</w:t>
      </w:r>
      <w:proofErr w:type="spellEnd"/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URL</w:t>
      </w:r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 </w:t>
      </w:r>
      <w:hyperlink r:id="rId7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ukrstat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metod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polog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metod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doc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/2013/398/398_2013.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</w:t>
        </w:r>
        <w:proofErr w:type="spellEnd"/>
      </w:hyperlink>
      <w:r w:rsidRPr="00AC5C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(Дата обращения 12.06.18)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Методологические положения обновленной системы национальных счетов 2008 года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утверждено приказом Государственной службы статистики Украины от 17.12.2013 №398</w:t>
      </w: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8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ukrstat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metod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polog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metod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doc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/2013/398/398_2013.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</w:t>
        </w:r>
        <w:proofErr w:type="spellEnd"/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  16.07.18)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Методические положения Госплана СССР по составлению планового баланса народного хозяйства СССР и союзных республик. Москва, 1967</w:t>
      </w:r>
    </w:p>
    <w:p w:rsidR="00AC5C7E" w:rsidRPr="00AC5C7E" w:rsidRDefault="00AC5C7E" w:rsidP="00AC5C7E">
      <w:pPr>
        <w:numPr>
          <w:ilvl w:val="0"/>
          <w:numId w:val="7"/>
        </w:numPr>
        <w:tabs>
          <w:tab w:val="left" w:pos="9000"/>
          <w:tab w:val="left" w:pos="9720"/>
        </w:tabs>
        <w:spacing w:after="0" w:line="360" w:lineRule="auto"/>
        <w:ind w:left="426" w:right="283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Национальные счета. </w:t>
      </w:r>
      <w:r w:rsidRPr="00AC5C7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Государственная служба статистики Украины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веб-сайт.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9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ukrstat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 10.08.18)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Национальные счета Украины за 2018 год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статистический бюллетень. Киев, 2018. 153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Общая характеристика таблиц «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затраты-выпуск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как экономико-математической модели экономики. </w:t>
      </w:r>
      <w:r w:rsidRPr="00AC5C7E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Министерство экономического развития и торговли Украины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веб-сайт.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10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me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Documents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lang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=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uk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&amp;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id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=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0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e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5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176-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f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2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4-4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47-9478-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ad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73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f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5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48915</w:t>
        </w:r>
      </w:hyperlink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 w:righ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О внедрении системы национальных счетов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утверждено постановление  КМУ от 28.12.1992 г. №727.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11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http://zakon.rada.gov.ua/laws/show/727-92-%D0%BF</w:t>
        </w:r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 16.07.18)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 w:right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Программа развития системы национальных счетов на период до 2010 года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утверждено постановлением КМУ от 07.04.2003 №475.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12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zakon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rada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laws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show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/475-2003-%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0%</w:t>
        </w:r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BF</w:t>
        </w:r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 18.07.18)</w:t>
      </w:r>
    </w:p>
    <w:p w:rsidR="00AC5C7E" w:rsidRPr="00AC5C7E" w:rsidRDefault="00AC5C7E" w:rsidP="00AC5C7E">
      <w:pPr>
        <w:numPr>
          <w:ilvl w:val="0"/>
          <w:numId w:val="7"/>
        </w:numPr>
        <w:spacing w:after="150" w:line="360" w:lineRule="auto"/>
        <w:ind w:left="426"/>
        <w:contextualSpacing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Сазонов В. Прогнозирование и планирование в условиях рынка: учебное пособие.  Владивосток</w:t>
      </w:r>
      <w:proofErr w:type="gramStart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:</w:t>
      </w:r>
      <w:proofErr w:type="gram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ТИДОТ ДВГУ, 2001. 257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Стратегия развития государственной статистики на период до 2012 года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утверждено распоряжением КМУ от 05.11.2008г. №1413-р</w:t>
      </w:r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hyperlink r:id="rId13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http://zakon.rada.gov.ua/laws/show/1413-2008-%D1%80</w:t>
        </w:r>
      </w:hyperlink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(Дата обращения: 24.06.18)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Таблица «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затраты-выпуск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» Украины за 2016 год в основных ценах: статистический сборник.  Киев, 2018. 41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Таблица «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затраты-выпуск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» Украины за 2015 год в основных ценах: статистический сборник. Киев, 2017. 35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Терехов Л.Л., Куценко В.А., Сиднев С.П. Экономико-математические методы и модели планирования в управлении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учебное пособие. Киев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Высшая школа, 1994. 407 с.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Юдина Е.В.,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Гармидер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 Применение межотраслевых балансов в Украине как инструмента экономического анализа и стратегического планирования. Современные тенденции в экономике и управлении: материалы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научно-практической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., 2018.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Akhabbar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Amanar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  </w:t>
      </w:r>
      <w:r w:rsidRPr="00AC5C7E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  <w:lang w:val="en-US"/>
        </w:rPr>
        <w:t>Research in the History of Economic Thought and Methodology A Research Annual</w:t>
      </w:r>
      <w:r w:rsidRPr="00AC5C7E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. 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2014. Vol. 32. P. 299-348 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>Akhabbar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, Gabrielle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>Antille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, Emilio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>Fontela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Input-output in Europe: Trends in research and applications.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OEconomia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journal. 2009. Vol. 3. P. 73-98.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Bjerkholt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Olav.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Experiences in using input-output techniques for price calculation.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Oslo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Central Bureau of Statistics, 1983. 197 p.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Building the System of National Accounts - supply and use tables.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Eurostat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веб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сайт</w:t>
      </w: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 URL : https://ec.europa.eu/eurostat/Building_the_SNAs_Accounts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</w:pPr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Karen J. Horowitz, Mark A.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Plantong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, Concepts and Methods of the U.S. Input-Output Accounts. / 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U.S. Bureau of Economic Analysis. Washington, 2006. 266 p.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FIDELIO 1: Fully Interregional Dynamic Econometric Long-term Input-Output Model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For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EU27. Kurt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Kratena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Gerhard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Streicher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Umed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Temurshoev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others. Luxembourg: Publications Office of the European Union, 2013. 284 p.</w:t>
      </w:r>
    </w:p>
    <w:p w:rsidR="00AC5C7E" w:rsidRPr="00AC5C7E" w:rsidRDefault="00AC5C7E" w:rsidP="00AC5C7E">
      <w:pPr>
        <w:numPr>
          <w:ilvl w:val="0"/>
          <w:numId w:val="7"/>
        </w:numPr>
        <w:spacing w:after="150" w:line="360" w:lineRule="auto"/>
        <w:ind w:left="426"/>
        <w:contextualSpacing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</w:pP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Input-Output Accounts Data. </w:t>
      </w:r>
      <w:r w:rsidRPr="00AC5C7E">
        <w:rPr>
          <w:rFonts w:ascii="Times New Roman" w:eastAsia="Times New Roman" w:hAnsi="Times New Roman" w:cs="Times New Roman"/>
          <w:i/>
          <w:kern w:val="36"/>
          <w:sz w:val="28"/>
          <w:szCs w:val="28"/>
          <w:lang w:val="en-US" w:eastAsia="ru-RU"/>
        </w:rPr>
        <w:t xml:space="preserve">U.S. Bureau of Economic </w:t>
      </w:r>
      <w:proofErr w:type="gramStart"/>
      <w:r w:rsidRPr="00AC5C7E">
        <w:rPr>
          <w:rFonts w:ascii="Times New Roman" w:eastAsia="Times New Roman" w:hAnsi="Times New Roman" w:cs="Times New Roman"/>
          <w:i/>
          <w:kern w:val="36"/>
          <w:sz w:val="28"/>
          <w:szCs w:val="28"/>
          <w:lang w:val="en-US" w:eastAsia="ru-RU"/>
        </w:rPr>
        <w:t>Analysis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:</w:t>
      </w:r>
      <w:proofErr w:type="gramEnd"/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веб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-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сайт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. URL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: </w:t>
      </w:r>
      <w:hyperlink r:id="rId14" w:history="1"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https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www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bea</w:t>
        </w:r>
        <w:proofErr w:type="spellEnd"/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gov</w:t>
        </w:r>
        <w:proofErr w:type="spellEnd"/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industry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input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-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output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-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accounts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-</w:t>
        </w:r>
        <w:r w:rsidRPr="00AC5C7E">
          <w:rPr>
            <w:rFonts w:ascii="Times New Roman" w:eastAsia="Times New Roman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data</w:t>
        </w:r>
      </w:hyperlink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(Дата обращения: 18.08.18)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Jensen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, I.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Leontief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Open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Production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Model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or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Input-Output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AC5C7E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Redwoods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веб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сайт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URL : </w:t>
      </w:r>
      <w:hyperlink r:id="rId15" w:history="1">
        <w:r w:rsidRPr="00AC5C7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http://www.wassily.leontief.net/PDF/lapaper.pdf</w:t>
        </w:r>
      </w:hyperlink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5C7E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Leontief W</w:t>
      </w:r>
      <w:r w:rsidRPr="00AC5C7E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. 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Quantitative Input and Output Relations in the Economic System of the United States. Review of Economics and Statistics. 1936. Vol. 18. № 3.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Leondef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W.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futurw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wodd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economy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York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Oxford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University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>, 1977. 110 p.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Liv H. Simpson. Norwegian Methodology for Supply and Use Tables and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InputOutput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Tables.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Oslo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Statistics Norway. 2009. 135 p.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lastRenderedPageBreak/>
        <w:t>MillerR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E., 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BlairP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>.  D .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nput-Output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C7E"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Foundations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Extensions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2nd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ed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Cambridge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: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Cambridge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University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</w:rPr>
        <w:t>, 2009. XXXII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. 392 p.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Review of national supply, use and input-output </w:t>
      </w:r>
      <w:proofErr w:type="gram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tables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compilation. </w:t>
      </w:r>
      <w:proofErr w:type="gramStart"/>
      <w:r w:rsidRPr="00AC5C7E">
        <w:rPr>
          <w:rFonts w:ascii="Times New Roman" w:eastAsia="Calibri" w:hAnsi="Times New Roman" w:cs="Times New Roman"/>
          <w:i/>
          <w:sz w:val="28"/>
          <w:szCs w:val="28"/>
          <w:lang w:val="en-US"/>
        </w:rPr>
        <w:t>Eurostat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веб-сайт.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ec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europa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eurostat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Review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national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use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_-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input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output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tables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compilation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(Дата обращения: 23.08.18)</w:t>
      </w:r>
    </w:p>
    <w:p w:rsidR="00AC5C7E" w:rsidRPr="00AC5C7E" w:rsidRDefault="00AC5C7E" w:rsidP="00AC5C7E">
      <w:pPr>
        <w:numPr>
          <w:ilvl w:val="0"/>
          <w:numId w:val="7"/>
        </w:numPr>
        <w:spacing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Supply and use tables. </w:t>
      </w:r>
      <w:proofErr w:type="gramStart"/>
      <w:r w:rsidRPr="00AC5C7E">
        <w:rPr>
          <w:rFonts w:ascii="Times New Roman" w:eastAsia="Calibri" w:hAnsi="Times New Roman" w:cs="Times New Roman"/>
          <w:i/>
          <w:sz w:val="28"/>
          <w:szCs w:val="28"/>
          <w:lang w:val="en-US"/>
        </w:rPr>
        <w:t>Eurostat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веб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сайт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. URL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ec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europa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eurostat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index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php</w:t>
      </w:r>
      <w:proofErr w:type="spellEnd"/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Supply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use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tables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_-_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input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output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AC5C7E">
        <w:rPr>
          <w:rFonts w:ascii="Times New Roman" w:eastAsia="Calibri" w:hAnsi="Times New Roman" w:cs="Times New Roman"/>
          <w:sz w:val="28"/>
          <w:szCs w:val="28"/>
          <w:lang w:val="en-US"/>
        </w:rPr>
        <w:t>analysis</w:t>
      </w:r>
      <w:r w:rsidRPr="00AC5C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C5C7E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(Дата обращения: 23.08.18)</w:t>
      </w:r>
    </w:p>
    <w:p w:rsidR="00AC5C7E" w:rsidRPr="00AC5C7E" w:rsidRDefault="00AC5C7E">
      <w:pPr>
        <w:rPr>
          <w:lang w:val="ru-RU"/>
        </w:rPr>
      </w:pPr>
    </w:p>
    <w:sectPr w:rsidR="00AC5C7E" w:rsidRPr="00AC5C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51E58"/>
    <w:multiLevelType w:val="hybridMultilevel"/>
    <w:tmpl w:val="B6B2574A"/>
    <w:lvl w:ilvl="0" w:tplc="418E75B2">
      <w:numFmt w:val="bullet"/>
      <w:lvlText w:val=""/>
      <w:lvlJc w:val="left"/>
      <w:pPr>
        <w:ind w:left="1788" w:hanging="360"/>
      </w:pPr>
      <w:rPr>
        <w:rFonts w:ascii="Symbol" w:eastAsia="Calibri" w:hAnsi="Symbol" w:cs="Times New Roman" w:hint="default"/>
      </w:rPr>
    </w:lvl>
    <w:lvl w:ilvl="1" w:tplc="04190003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>
    <w:nsid w:val="30A61007"/>
    <w:multiLevelType w:val="hybridMultilevel"/>
    <w:tmpl w:val="1E169B0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3F35ED6"/>
    <w:multiLevelType w:val="hybridMultilevel"/>
    <w:tmpl w:val="0C766B7A"/>
    <w:lvl w:ilvl="0" w:tplc="A8FE90E2">
      <w:start w:val="1"/>
      <w:numFmt w:val="decimal"/>
      <w:lvlText w:val="2.%1"/>
      <w:lvlJc w:val="left"/>
      <w:pPr>
        <w:ind w:left="1495" w:hanging="360"/>
      </w:pPr>
    </w:lvl>
    <w:lvl w:ilvl="1" w:tplc="04190019">
      <w:start w:val="1"/>
      <w:numFmt w:val="lowerLetter"/>
      <w:lvlText w:val="%2."/>
      <w:lvlJc w:val="left"/>
      <w:pPr>
        <w:ind w:left="2215" w:hanging="360"/>
      </w:pPr>
    </w:lvl>
    <w:lvl w:ilvl="2" w:tplc="0419001B">
      <w:start w:val="1"/>
      <w:numFmt w:val="lowerRoman"/>
      <w:lvlText w:val="%3."/>
      <w:lvlJc w:val="right"/>
      <w:pPr>
        <w:ind w:left="2935" w:hanging="180"/>
      </w:pPr>
    </w:lvl>
    <w:lvl w:ilvl="3" w:tplc="0419000F">
      <w:start w:val="1"/>
      <w:numFmt w:val="decimal"/>
      <w:lvlText w:val="%4."/>
      <w:lvlJc w:val="left"/>
      <w:pPr>
        <w:ind w:left="3655" w:hanging="360"/>
      </w:pPr>
    </w:lvl>
    <w:lvl w:ilvl="4" w:tplc="04190019">
      <w:start w:val="1"/>
      <w:numFmt w:val="lowerLetter"/>
      <w:lvlText w:val="%5."/>
      <w:lvlJc w:val="left"/>
      <w:pPr>
        <w:ind w:left="4375" w:hanging="360"/>
      </w:pPr>
    </w:lvl>
    <w:lvl w:ilvl="5" w:tplc="0419001B">
      <w:start w:val="1"/>
      <w:numFmt w:val="lowerRoman"/>
      <w:lvlText w:val="%6."/>
      <w:lvlJc w:val="right"/>
      <w:pPr>
        <w:ind w:left="5095" w:hanging="180"/>
      </w:pPr>
    </w:lvl>
    <w:lvl w:ilvl="6" w:tplc="0419000F">
      <w:start w:val="1"/>
      <w:numFmt w:val="decimal"/>
      <w:lvlText w:val="%7."/>
      <w:lvlJc w:val="left"/>
      <w:pPr>
        <w:ind w:left="5815" w:hanging="360"/>
      </w:pPr>
    </w:lvl>
    <w:lvl w:ilvl="7" w:tplc="04190019">
      <w:start w:val="1"/>
      <w:numFmt w:val="lowerLetter"/>
      <w:lvlText w:val="%8."/>
      <w:lvlJc w:val="left"/>
      <w:pPr>
        <w:ind w:left="6535" w:hanging="360"/>
      </w:pPr>
    </w:lvl>
    <w:lvl w:ilvl="8" w:tplc="0419001B">
      <w:start w:val="1"/>
      <w:numFmt w:val="lowerRoman"/>
      <w:lvlText w:val="%9."/>
      <w:lvlJc w:val="right"/>
      <w:pPr>
        <w:ind w:left="7255" w:hanging="180"/>
      </w:pPr>
    </w:lvl>
  </w:abstractNum>
  <w:abstractNum w:abstractNumId="3">
    <w:nsid w:val="5EAD5646"/>
    <w:multiLevelType w:val="multilevel"/>
    <w:tmpl w:val="F790F28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5" w:hanging="360"/>
      </w:pPr>
    </w:lvl>
    <w:lvl w:ilvl="2">
      <w:start w:val="1"/>
      <w:numFmt w:val="decimal"/>
      <w:lvlText w:val="%1.%2.%3"/>
      <w:lvlJc w:val="left"/>
      <w:pPr>
        <w:ind w:left="2130" w:hanging="720"/>
      </w:pPr>
    </w:lvl>
    <w:lvl w:ilvl="3">
      <w:start w:val="1"/>
      <w:numFmt w:val="decimal"/>
      <w:lvlText w:val="%1.%2.%3.%4"/>
      <w:lvlJc w:val="left"/>
      <w:pPr>
        <w:ind w:left="2835" w:hanging="720"/>
      </w:pPr>
    </w:lvl>
    <w:lvl w:ilvl="4">
      <w:start w:val="1"/>
      <w:numFmt w:val="decimal"/>
      <w:lvlText w:val="%1.%2.%3.%4.%5"/>
      <w:lvlJc w:val="left"/>
      <w:pPr>
        <w:ind w:left="3900" w:hanging="1080"/>
      </w:pPr>
    </w:lvl>
    <w:lvl w:ilvl="5">
      <w:start w:val="1"/>
      <w:numFmt w:val="decimal"/>
      <w:lvlText w:val="%1.%2.%3.%4.%5.%6"/>
      <w:lvlJc w:val="left"/>
      <w:pPr>
        <w:ind w:left="4605" w:hanging="1080"/>
      </w:pPr>
    </w:lvl>
    <w:lvl w:ilvl="6">
      <w:start w:val="1"/>
      <w:numFmt w:val="decimal"/>
      <w:lvlText w:val="%1.%2.%3.%4.%5.%6.%7"/>
      <w:lvlJc w:val="left"/>
      <w:pPr>
        <w:ind w:left="5670" w:hanging="1440"/>
      </w:pPr>
    </w:lvl>
    <w:lvl w:ilvl="7">
      <w:start w:val="1"/>
      <w:numFmt w:val="decimal"/>
      <w:lvlText w:val="%1.%2.%3.%4.%5.%6.%7.%8"/>
      <w:lvlJc w:val="left"/>
      <w:pPr>
        <w:ind w:left="6375" w:hanging="1440"/>
      </w:pPr>
    </w:lvl>
    <w:lvl w:ilvl="8">
      <w:start w:val="1"/>
      <w:numFmt w:val="decimal"/>
      <w:lvlText w:val="%1.%2.%3.%4.%5.%6.%7.%8.%9"/>
      <w:lvlJc w:val="left"/>
      <w:pPr>
        <w:ind w:left="7440" w:hanging="1800"/>
      </w:pPr>
    </w:lvl>
  </w:abstractNum>
  <w:abstractNum w:abstractNumId="4">
    <w:nsid w:val="642E7C7E"/>
    <w:multiLevelType w:val="hybridMultilevel"/>
    <w:tmpl w:val="6F98BD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BF13A2"/>
    <w:multiLevelType w:val="hybridMultilevel"/>
    <w:tmpl w:val="E3EED4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F7247B"/>
    <w:multiLevelType w:val="multilevel"/>
    <w:tmpl w:val="EEDC33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71B"/>
    <w:rsid w:val="00075E5E"/>
    <w:rsid w:val="0008371B"/>
    <w:rsid w:val="00AC5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5C7E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5C7E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9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/metod_polog/metod_doc/2013/398/398_2013.htm" TargetMode="External"/><Relationship Id="rId13" Type="http://schemas.openxmlformats.org/officeDocument/2006/relationships/hyperlink" Target="http://zakon.rada.gov.ua/laws/show/1413-2008-%D1%8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krstat.gov.ua/metod_polog/metod_doc/2013/398/398_2013.htm" TargetMode="External"/><Relationship Id="rId12" Type="http://schemas.openxmlformats.org/officeDocument/2006/relationships/hyperlink" Target="http://zakon.rada.gov.ua/laws/show/475-2003-%D0%B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laws/show/413-2002-%D1%80" TargetMode="External"/><Relationship Id="rId11" Type="http://schemas.openxmlformats.org/officeDocument/2006/relationships/hyperlink" Target="http://zakon.rada.gov.ua/laws/show/727-92-%D0%B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wassily.leontief.net/PDF/lapaper.pdf" TargetMode="External"/><Relationship Id="rId10" Type="http://schemas.openxmlformats.org/officeDocument/2006/relationships/hyperlink" Target="http://www.me.gov.ua/Documents/lang=uk-UA&amp;id=b0e5c176-f2c4-4b47-9478-ad73f5d4891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krstat.gov.ua/" TargetMode="External"/><Relationship Id="rId14" Type="http://schemas.openxmlformats.org/officeDocument/2006/relationships/hyperlink" Target="https://www.bea.gov/industry/input-output-accounts-dat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12224</Words>
  <Characters>6969</Characters>
  <Application>Microsoft Office Word</Application>
  <DocSecurity>0</DocSecurity>
  <Lines>58</Lines>
  <Paragraphs>38</Paragraphs>
  <ScaleCrop>false</ScaleCrop>
  <Company/>
  <LinksUpToDate>false</LinksUpToDate>
  <CharactersWithSpaces>19155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2019-12-05T11:13:00Z</dcterms:created>
  <dcterms:modified xsi:type="dcterms:W3CDTF">2019-12-05T11:15:00Z</dcterms:modified>
</cp:coreProperties>
</file>