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2F1B" w:rsidRPr="005B2F1B" w:rsidRDefault="005B2F1B" w:rsidP="005B2F1B">
      <w:pPr>
        <w:pBdr>
          <w:bottom w:val="single" w:sz="4" w:space="1" w:color="auto"/>
        </w:pBd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5B2F1B" w:rsidRPr="005B2F1B" w:rsidRDefault="005B2F1B" w:rsidP="005B2F1B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5B2F1B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5B2F1B" w:rsidRPr="005B2F1B" w:rsidRDefault="005B2F1B" w:rsidP="005B2F1B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Інститут соціальних наук</w:t>
      </w:r>
    </w:p>
    <w:p w:rsidR="005B2F1B" w:rsidRPr="005B2F1B" w:rsidRDefault="005B2F1B" w:rsidP="005B2F1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5B2F1B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5B2F1B" w:rsidRPr="005B2F1B" w:rsidRDefault="005B2F1B" w:rsidP="005B2F1B">
      <w:pPr>
        <w:pBdr>
          <w:bottom w:val="single" w:sz="4" w:space="1" w:color="auto"/>
        </w:pBdr>
        <w:spacing w:before="240" w:after="0" w:line="240" w:lineRule="auto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міжнародних відносин</w:t>
      </w:r>
    </w:p>
    <w:p w:rsidR="005B2F1B" w:rsidRPr="005B2F1B" w:rsidRDefault="005B2F1B" w:rsidP="005B2F1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5B2F1B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(повна назва кафедри)</w:t>
      </w:r>
    </w:p>
    <w:p w:rsidR="005B2F1B" w:rsidRPr="005B2F1B" w:rsidRDefault="005B2F1B" w:rsidP="005B2F1B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5B2F1B" w:rsidRPr="005B2F1B" w:rsidRDefault="005B2F1B" w:rsidP="005B2F1B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 w:rsidRPr="005B2F1B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5B2F1B" w:rsidRPr="005B2F1B" w:rsidRDefault="005B2F1B" w:rsidP="005B2F1B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бакалавра</w:t>
      </w:r>
    </w:p>
    <w:p w:rsidR="005B2F1B" w:rsidRPr="005B2F1B" w:rsidRDefault="005B2F1B" w:rsidP="005B2F1B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B2F1B" w:rsidRPr="005B2F1B" w:rsidRDefault="005B2F1B" w:rsidP="005B2F1B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5B2F1B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«Зовнішня політика ФРН за часів канцлера Г. Коля»</w:t>
      </w:r>
    </w:p>
    <w:p w:rsidR="005B2F1B" w:rsidRPr="005B2F1B" w:rsidRDefault="005B2F1B" w:rsidP="005B2F1B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5B2F1B" w:rsidRPr="005B2F1B" w:rsidRDefault="005B2F1B" w:rsidP="005B2F1B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  <w:r w:rsidRPr="005B2F1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«</w:t>
      </w:r>
      <w:r w:rsidRPr="005B2F1B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Foreign Policy in FRG during the reign of H. Kohl</w:t>
      </w:r>
      <w:r w:rsidRPr="005B2F1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»</w:t>
      </w:r>
    </w:p>
    <w:p w:rsidR="005B2F1B" w:rsidRPr="005B2F1B" w:rsidRDefault="005B2F1B" w:rsidP="005B2F1B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</w:p>
    <w:p w:rsidR="005B2F1B" w:rsidRPr="005B2F1B" w:rsidRDefault="005B2F1B" w:rsidP="005B2F1B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5B2F1B" w:rsidRPr="005B2F1B" w:rsidRDefault="005B2F1B" w:rsidP="005B2F1B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Виконав: студент 4  курсу</w:t>
      </w:r>
    </w:p>
    <w:p w:rsidR="005B2F1B" w:rsidRPr="005B2F1B" w:rsidRDefault="005B2F1B" w:rsidP="005B2F1B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денної форми навчання</w:t>
      </w:r>
    </w:p>
    <w:p w:rsidR="005B2F1B" w:rsidRPr="005B2F1B" w:rsidRDefault="005B2F1B" w:rsidP="005B2F1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напряму підготовки </w:t>
      </w:r>
    </w:p>
    <w:p w:rsidR="005B2F1B" w:rsidRPr="005B2F1B" w:rsidRDefault="005B2F1B" w:rsidP="005B2F1B">
      <w:pPr>
        <w:spacing w:after="0" w:line="240" w:lineRule="auto"/>
        <w:ind w:left="2124" w:firstLine="708"/>
        <w:outlineLvl w:val="0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6.030201  Міжнародні відносини</w:t>
      </w:r>
    </w:p>
    <w:p w:rsidR="005B2F1B" w:rsidRPr="005B2F1B" w:rsidRDefault="005B2F1B" w:rsidP="005B2F1B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(шифр і назва напряму підготовки або спеціальності)</w:t>
      </w:r>
    </w:p>
    <w:p w:rsidR="005B2F1B" w:rsidRPr="005B2F1B" w:rsidRDefault="005B2F1B" w:rsidP="005B2F1B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5B2F1B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Паламарчук Роман Олегович</w:t>
      </w:r>
    </w:p>
    <w:p w:rsidR="005B2F1B" w:rsidRPr="005B2F1B" w:rsidRDefault="005B2F1B" w:rsidP="005B2F1B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5B2F1B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5B2F1B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5B2F1B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5B2F1B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  <w:t>(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прізвище,ім’я,по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-батькові)</w:t>
      </w:r>
    </w:p>
    <w:p w:rsidR="005B2F1B" w:rsidRPr="005B2F1B" w:rsidRDefault="005B2F1B" w:rsidP="005B2F1B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</w:p>
    <w:p w:rsidR="005B2F1B" w:rsidRPr="005B2F1B" w:rsidRDefault="005B2F1B" w:rsidP="005B2F1B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5B2F1B" w:rsidRPr="005B2F1B" w:rsidRDefault="005B2F1B" w:rsidP="005B2F1B">
      <w:pPr>
        <w:spacing w:after="0" w:line="360" w:lineRule="auto"/>
        <w:ind w:left="2124" w:firstLine="708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Керівник: </w:t>
      </w:r>
      <w:r w:rsidRPr="005B2F1B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к. 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політ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. н</w:t>
      </w:r>
      <w:r w:rsidRPr="005B2F1B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., 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викл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. Максименко І.В.</w:t>
      </w:r>
    </w:p>
    <w:p w:rsidR="005B2F1B" w:rsidRPr="005B2F1B" w:rsidRDefault="005B2F1B" w:rsidP="005B2F1B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5B2F1B">
        <w:rPr>
          <w:rFonts w:ascii="Times New Roman" w:eastAsia="Times New Roman" w:hAnsi="Times New Roman" w:cs="Times New Roman"/>
          <w:sz w:val="20"/>
          <w:szCs w:val="20"/>
          <w:lang w:eastAsia="ru-RU"/>
        </w:rPr>
        <w:t>науковий ступінь, вчене звання, прізвище та ініціали, підпис)</w:t>
      </w:r>
    </w:p>
    <w:p w:rsidR="005B2F1B" w:rsidRPr="005B2F1B" w:rsidRDefault="005B2F1B" w:rsidP="005B2F1B">
      <w:pPr>
        <w:tabs>
          <w:tab w:val="left" w:pos="5245"/>
          <w:tab w:val="right" w:pos="9355"/>
        </w:tabs>
        <w:spacing w:before="120"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Рецензент: </w:t>
      </w:r>
      <w:r w:rsidRPr="005B2F1B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к. 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політ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. н., доц</w:t>
      </w:r>
      <w:proofErr w:type="gramStart"/>
      <w:r w:rsidRPr="005B2F1B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.</w:t>
      </w:r>
      <w:r w:rsidRPr="005B2F1B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В</w:t>
      </w:r>
      <w:proofErr w:type="gramEnd"/>
      <w:r w:rsidRPr="005B2F1B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ойтович О.І.</w:t>
      </w:r>
    </w:p>
    <w:p w:rsidR="005B2F1B" w:rsidRPr="005B2F1B" w:rsidRDefault="005B2F1B" w:rsidP="005B2F1B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(</w:t>
      </w:r>
      <w:r w:rsidRPr="005B2F1B">
        <w:rPr>
          <w:rFonts w:ascii="Times New Roman" w:eastAsia="Times New Roman" w:hAnsi="Times New Roman" w:cs="Times New Roman"/>
          <w:sz w:val="20"/>
          <w:szCs w:val="20"/>
          <w:lang w:eastAsia="ru-RU"/>
        </w:rPr>
        <w:t>науковий ступінь, вчене звання, прізвище та ініціали)</w:t>
      </w:r>
    </w:p>
    <w:p w:rsidR="005B2F1B" w:rsidRPr="005B2F1B" w:rsidRDefault="005B2F1B" w:rsidP="005B2F1B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B2F1B" w:rsidRPr="005B2F1B" w:rsidRDefault="005B2F1B" w:rsidP="005B2F1B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B2F1B" w:rsidRPr="005B2F1B" w:rsidRDefault="005B2F1B" w:rsidP="005B2F1B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5B2F1B" w:rsidRPr="005B2F1B" w:rsidTr="007D37C3">
        <w:trPr>
          <w:jc w:val="center"/>
        </w:trPr>
        <w:tc>
          <w:tcPr>
            <w:tcW w:w="4967" w:type="dxa"/>
            <w:hideMark/>
          </w:tcPr>
          <w:p w:rsidR="005B2F1B" w:rsidRPr="005B2F1B" w:rsidRDefault="005B2F1B" w:rsidP="005B2F1B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B2F1B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5B2F1B" w:rsidRPr="005B2F1B" w:rsidRDefault="005B2F1B" w:rsidP="005B2F1B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B2F1B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5B2F1B" w:rsidRPr="005B2F1B" w:rsidRDefault="005B2F1B" w:rsidP="005B2F1B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B2F1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від ___________ р. </w:t>
            </w:r>
          </w:p>
          <w:p w:rsidR="005B2F1B" w:rsidRPr="005B2F1B" w:rsidRDefault="005B2F1B" w:rsidP="005B2F1B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B2F1B"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5B2F1B" w:rsidRPr="005B2F1B" w:rsidRDefault="005B2F1B" w:rsidP="005B2F1B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5B2F1B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5B2F1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Брусиловська О.І.</w:t>
            </w:r>
          </w:p>
          <w:p w:rsidR="005B2F1B" w:rsidRPr="005B2F1B" w:rsidRDefault="005B2F1B" w:rsidP="005B2F1B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5B2F1B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5B2F1B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5B2F1B" w:rsidRPr="005B2F1B" w:rsidRDefault="005B2F1B" w:rsidP="005B2F1B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B2F1B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№_____</w:t>
            </w:r>
          </w:p>
          <w:p w:rsidR="005B2F1B" w:rsidRPr="005B2F1B" w:rsidRDefault="005B2F1B" w:rsidP="005B2F1B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B2F1B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№ ___ від ____________ р.</w:t>
            </w:r>
            <w:r w:rsidRPr="005B2F1B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5B2F1B" w:rsidRPr="005B2F1B" w:rsidRDefault="005B2F1B" w:rsidP="005B2F1B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B2F1B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5B2F1B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5B2F1B">
              <w:rPr>
                <w:rFonts w:ascii="Times New Roman" w:eastAsia="Times New Roman" w:hAnsi="Times New Roman" w:cs="Times New Roman"/>
                <w:sz w:val="28"/>
                <w:szCs w:val="28"/>
              </w:rPr>
              <w:t>___/____</w:t>
            </w:r>
          </w:p>
          <w:p w:rsidR="005B2F1B" w:rsidRPr="005B2F1B" w:rsidRDefault="005B2F1B" w:rsidP="005B2F1B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5B2F1B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шкалою, шкалою ЕСТS, бали)</w:t>
            </w:r>
          </w:p>
          <w:p w:rsidR="005B2F1B" w:rsidRPr="005B2F1B" w:rsidRDefault="005B2F1B" w:rsidP="005B2F1B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B2F1B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5B2F1B" w:rsidRPr="005B2F1B" w:rsidRDefault="005B2F1B" w:rsidP="005B2F1B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5B2F1B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5B2F1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Брусиловська О.І.</w:t>
            </w:r>
          </w:p>
          <w:p w:rsidR="005B2F1B" w:rsidRPr="005B2F1B" w:rsidRDefault="005B2F1B" w:rsidP="005B2F1B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B2F1B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5B2F1B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5B2F1B" w:rsidRPr="005B2F1B" w:rsidTr="007D37C3">
        <w:trPr>
          <w:jc w:val="center"/>
        </w:trPr>
        <w:tc>
          <w:tcPr>
            <w:tcW w:w="4967" w:type="dxa"/>
          </w:tcPr>
          <w:p w:rsidR="005B2F1B" w:rsidRPr="005B2F1B" w:rsidRDefault="005B2F1B" w:rsidP="005B2F1B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5B2F1B" w:rsidRPr="005B2F1B" w:rsidRDefault="005B2F1B" w:rsidP="005B2F1B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5B2F1B" w:rsidRPr="005B2F1B" w:rsidRDefault="005B2F1B" w:rsidP="005B2F1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B2F1B" w:rsidRPr="005B2F1B" w:rsidRDefault="005B2F1B" w:rsidP="005B2F1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B2F1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 – 2017</w:t>
      </w:r>
    </w:p>
    <w:p w:rsidR="003B4FC4" w:rsidRDefault="003B4FC4" w:rsidP="005B2F1B">
      <w:pPr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5B2F1B" w:rsidRPr="005B2F1B" w:rsidRDefault="005B2F1B" w:rsidP="005B2F1B">
      <w:pPr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bookmarkStart w:id="0" w:name="_GoBack"/>
      <w:bookmarkEnd w:id="0"/>
      <w:r w:rsidRPr="005B2F1B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>СОДЕРЖАНИЕ</w:t>
      </w:r>
    </w:p>
    <w:p w:rsidR="005B2F1B" w:rsidRPr="005B2F1B" w:rsidRDefault="005B2F1B" w:rsidP="005B2F1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B2F1B" w:rsidRPr="005B2F1B" w:rsidRDefault="005B2F1B" w:rsidP="005B2F1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Введение…………………………………………………………….……...……..3</w:t>
      </w:r>
    </w:p>
    <w:p w:rsidR="005B2F1B" w:rsidRPr="005B2F1B" w:rsidRDefault="005B2F1B" w:rsidP="005B2F1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Глава 1</w:t>
      </w: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Формирование внешнеполитического курс Г. Коля: ключевые факторы  и направления.…</w:t>
      </w: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</w:t>
      </w: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…………………………………………….....…….6</w:t>
      </w:r>
    </w:p>
    <w:p w:rsidR="005B2F1B" w:rsidRPr="005B2F1B" w:rsidRDefault="005B2F1B" w:rsidP="005B2F1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Глава 2. </w:t>
      </w: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Новая восточная политика при Г. Коле</w:t>
      </w: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……………………………...18</w:t>
      </w:r>
    </w:p>
    <w:p w:rsidR="005B2F1B" w:rsidRPr="005B2F1B" w:rsidRDefault="005B2F1B" w:rsidP="005B2F1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Глава 3. Республика Германия в 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евроинтеграционных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процессах………......38</w:t>
      </w:r>
    </w:p>
    <w:p w:rsidR="005B2F1B" w:rsidRPr="005B2F1B" w:rsidRDefault="005B2F1B" w:rsidP="005B2F1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Заключение……………………………………………………………………….52</w:t>
      </w:r>
    </w:p>
    <w:p w:rsidR="005B2F1B" w:rsidRPr="005B2F1B" w:rsidRDefault="005B2F1B" w:rsidP="005B2F1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Список изученных источников……..……….…………….…………….........</w:t>
      </w: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>...</w:t>
      </w: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56</w:t>
      </w:r>
    </w:p>
    <w:p w:rsidR="005B2F1B" w:rsidRPr="005B2F1B" w:rsidRDefault="005B2F1B" w:rsidP="005B2F1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5B2F1B" w:rsidRPr="005B2F1B" w:rsidRDefault="005B2F1B" w:rsidP="005B2F1B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br w:type="page"/>
      </w:r>
    </w:p>
    <w:p w:rsidR="005B2F1B" w:rsidRPr="005B2F1B" w:rsidRDefault="005B2F1B" w:rsidP="005B2F1B">
      <w:pPr>
        <w:spacing w:after="0" w:line="360" w:lineRule="auto"/>
        <w:ind w:firstLine="709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>Введение</w:t>
      </w:r>
    </w:p>
    <w:p w:rsidR="005B2F1B" w:rsidRPr="005B2F1B" w:rsidRDefault="005B2F1B" w:rsidP="005B2F1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Темой данной дипломной работы является условия и результаты внешнеполитической деятельности Гельмута Коля на должности канцлера Федеративной Республики Германия и как следствие человека, который объединил не только два народа, но и весь континент. </w:t>
      </w:r>
    </w:p>
    <w:p w:rsidR="005B2F1B" w:rsidRPr="005B2F1B" w:rsidRDefault="005B2F1B" w:rsidP="005B2F1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Создание единой Германии стало одним из заметных политических событий конца XX века означавшее государственное воссоединение немецкого народа, а также - важные перемены в его экономической, общественной и политической жизни. В центре Европы появилось государство с </w:t>
      </w:r>
      <w:proofErr w:type="gram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гораздо большим</w:t>
      </w:r>
      <w:proofErr w:type="gram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потенциалом, у которого стали складываться новые отношения с соседями. В результате возникла другая ситуация в НАТО и ЕЭС, а также - произошли большие изменения во всём комплексе российско-германских отношений. </w:t>
      </w:r>
    </w:p>
    <w:p w:rsidR="005B2F1B" w:rsidRPr="005B2F1B" w:rsidRDefault="005B2F1B" w:rsidP="005B2F1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Актуальность данной темы  определяется,  ролью единой Германии в современном мире, а также тем, что Германия являлась локомотивом общей  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евроинтеграционной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политики, который смог создать единое  экономически-социальное пространство на территории Европы. Нельзя не осознавать всю весомость единой Германии, как одно из главных мест </w:t>
      </w:r>
      <w:proofErr w:type="gram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</w:t>
      </w:r>
      <w:proofErr w:type="gram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континенте в силу уникальности своего географического и военно-стратегического положения. Её роль в западноевропейских экономических и военно-политических союзах будет возрастать 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тк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экономически и политически имеет все предпосылки для того, чтобы занять одно из ведущих мест в мире. </w:t>
      </w:r>
    </w:p>
    <w:p w:rsidR="005B2F1B" w:rsidRPr="005B2F1B" w:rsidRDefault="005B2F1B" w:rsidP="005B2F1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Целью данной дипломной работы является комплексное исследование внешнеполитической деятельности, канцлера Германии Гельмута Коля во время становления и единения немецкого общества, а так же создания Европейского союза.</w:t>
      </w:r>
    </w:p>
    <w:p w:rsidR="005B2F1B" w:rsidRPr="005B2F1B" w:rsidRDefault="005B2F1B" w:rsidP="005B2F1B">
      <w:pPr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Для достижения цели были поставлены следующие исследовательские задачи: </w:t>
      </w:r>
    </w:p>
    <w:p w:rsidR="005B2F1B" w:rsidRPr="005B2F1B" w:rsidRDefault="005B2F1B" w:rsidP="005B2F1B">
      <w:pPr>
        <w:spacing w:after="0" w:line="360" w:lineRule="auto"/>
        <w:ind w:left="851" w:hanging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1. Определить основные векторы развития внешнеполитического ведомства ФРГ и её эволюцию в течени</w:t>
      </w:r>
      <w:proofErr w:type="gram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proofErr w:type="gram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срока правления канцлера.</w:t>
      </w:r>
    </w:p>
    <w:p w:rsidR="005B2F1B" w:rsidRPr="005B2F1B" w:rsidRDefault="005B2F1B" w:rsidP="005B2F1B">
      <w:pPr>
        <w:spacing w:after="0" w:line="360" w:lineRule="auto"/>
        <w:ind w:left="851" w:hanging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2. Дать оценку роли ФРГ в геополитических изменениях 80-хх - 90-хх годах и выявить основные причины влияния интересов Западной Германии на «восточном»  направлении.</w:t>
      </w:r>
    </w:p>
    <w:p w:rsidR="005B2F1B" w:rsidRPr="005B2F1B" w:rsidRDefault="005B2F1B" w:rsidP="005B2F1B">
      <w:pPr>
        <w:spacing w:after="0" w:line="360" w:lineRule="auto"/>
        <w:ind w:left="851" w:hanging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3. Проанализировать причины успешной экономической и политической консолидации Европейских государств Германией при создании Единого Европейского Союза.</w:t>
      </w:r>
    </w:p>
    <w:p w:rsidR="005B2F1B" w:rsidRPr="005B2F1B" w:rsidRDefault="005B2F1B" w:rsidP="005B2F1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Для написания данной работы были изучены источники, среди которых можно выделить несколько групп.</w:t>
      </w:r>
    </w:p>
    <w:p w:rsidR="005B2F1B" w:rsidRPr="005B2F1B" w:rsidRDefault="005B2F1B" w:rsidP="005B2F1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Первую группу источников составляют работы, который дают общий анализ внешней и внутренний политики ФРГ, фундамент и базис, </w:t>
      </w:r>
      <w:proofErr w:type="gram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</w:t>
      </w:r>
      <w:proofErr w:type="gram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которых</w:t>
      </w:r>
      <w:proofErr w:type="gram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уже стоится рассмотрение отдельных элементов структуры Германии. Работа Н.В. Павлова [25] предоставила автору достаточное количество </w:t>
      </w:r>
      <w:proofErr w:type="gram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информацию про</w:t>
      </w:r>
      <w:proofErr w:type="gram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основные направления развития внешней политики Германии в </w:t>
      </w:r>
      <w:r w:rsidRPr="005B2F1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XX</w:t>
      </w: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веке. Работа </w:t>
      </w: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>С.В</w:t>
      </w: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Кондратюка </w:t>
      </w: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[18] также помогла автору в общем анализе поведения Объединенной Германии на международной арене. Также следует отметить работу </w:t>
      </w:r>
      <w:r w:rsidRPr="005B2F1B">
        <w:rPr>
          <w:rFonts w:ascii="Times New Roman" w:eastAsia="Arial Unicode MS" w:hAnsi="Times New Roman" w:cs="Times New Roman"/>
          <w:sz w:val="28"/>
          <w:szCs w:val="28"/>
          <w:lang w:val="ru-RU" w:eastAsia="ru-RU"/>
        </w:rPr>
        <w:t>И.Ф Максимычева</w:t>
      </w: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[22]</w:t>
      </w:r>
      <w:r w:rsidRPr="005B2F1B">
        <w:rPr>
          <w:rFonts w:ascii="Times New Roman" w:eastAsia="Arial Unicode MS" w:hAnsi="Times New Roman" w:cs="Times New Roman"/>
          <w:sz w:val="28"/>
          <w:szCs w:val="28"/>
          <w:lang w:val="ru-RU" w:eastAsia="ru-RU"/>
        </w:rPr>
        <w:t xml:space="preserve">, </w:t>
      </w: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которой дан исчерпывающий анализ отношениям и противоречиям Германии и СССР.</w:t>
      </w:r>
    </w:p>
    <w:p w:rsidR="005B2F1B" w:rsidRPr="005B2F1B" w:rsidRDefault="005B2F1B" w:rsidP="005B2F1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Вторую группу составляют позиции современников событий, которые отображают прозападную точку зрения. Так 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Бэвери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Кроуфорд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[40]</w:t>
      </w:r>
      <w:r w:rsidRPr="005B2F1B">
        <w:rPr>
          <w:rFonts w:ascii="Times New Roman" w:eastAsia="Arial Unicode MS" w:hAnsi="Times New Roman" w:cs="Times New Roman"/>
          <w:sz w:val="28"/>
          <w:szCs w:val="28"/>
          <w:lang w:val="ru-RU" w:eastAsia="ru-RU"/>
        </w:rPr>
        <w:t xml:space="preserve">, </w:t>
      </w: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снабдили автора важной информацией касательно американского видения опасностей в Европе в связи с объединением Западной и Восточной Германии, а робота 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Хэдьги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Хафтендорн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[44]</w:t>
      </w:r>
      <w:r w:rsidRPr="005B2F1B">
        <w:rPr>
          <w:rFonts w:ascii="Times New Roman" w:eastAsia="Arial Unicode MS" w:hAnsi="Times New Roman" w:cs="Times New Roman"/>
          <w:sz w:val="28"/>
          <w:szCs w:val="28"/>
          <w:lang w:val="ru-RU" w:eastAsia="ru-RU"/>
        </w:rPr>
        <w:t xml:space="preserve">, </w:t>
      </w: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дала чёткое представление внутри-социальных противоречий, которые пришлись на немецкое общество после подписания Маастрихтского договора.</w:t>
      </w:r>
    </w:p>
    <w:p w:rsidR="005B2F1B" w:rsidRPr="005B2F1B" w:rsidRDefault="005B2F1B" w:rsidP="005B2F1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Третью группу составляют источники, в которых был дан анализ конкретным событиям, связанных внутри- и внешнеполитической деятельностью </w:t>
      </w:r>
      <w:proofErr w:type="gram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партии</w:t>
      </w:r>
      <w:proofErr w:type="gram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которой состоял Коль. Так, Р. Кальдера[16]</w:t>
      </w:r>
      <w:r w:rsidRPr="005B2F1B">
        <w:rPr>
          <w:rFonts w:ascii="Times New Roman" w:eastAsia="Arial Unicode MS" w:hAnsi="Times New Roman" w:cs="Times New Roman"/>
          <w:sz w:val="28"/>
          <w:szCs w:val="28"/>
          <w:lang w:val="ru-RU" w:eastAsia="ru-RU"/>
        </w:rPr>
        <w:t xml:space="preserve">, </w:t>
      </w: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описывал специфику христианской демократической партии. Работа Д.М. 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Диманиса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[7]</w:t>
      </w:r>
      <w:r w:rsidRPr="005B2F1B">
        <w:rPr>
          <w:rFonts w:ascii="Times New Roman" w:eastAsia="Arial Unicode MS" w:hAnsi="Times New Roman" w:cs="Times New Roman"/>
          <w:sz w:val="28"/>
          <w:szCs w:val="28"/>
          <w:lang w:val="ru-RU" w:eastAsia="ru-RU"/>
        </w:rPr>
        <w:t xml:space="preserve">, </w:t>
      </w: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создала видимые очерки  партийной системы Восточной Германии и основные тенденции её развития.</w:t>
      </w:r>
    </w:p>
    <w:p w:rsidR="005B2F1B" w:rsidRPr="005B2F1B" w:rsidRDefault="005B2F1B" w:rsidP="005B2F1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Тема дипломной работы подразумевает под собой определенные хронологические рамки – с 1980 г. по 1999 г. В 1980 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</w:t>
      </w:r>
      <w:proofErr w:type="gram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.р</w:t>
      </w:r>
      <w:proofErr w:type="gram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адикальное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изменение методов ведение партийной деятельности, которая в будущем способствовала росту будущего канцлера. В 1999 г. ознаменовался вводом в оборот евро, как единой валюты, что является одной из заслуг канцлера Коля.</w:t>
      </w:r>
    </w:p>
    <w:p w:rsidR="005B2F1B" w:rsidRPr="005B2F1B" w:rsidRDefault="005B2F1B" w:rsidP="005B2F1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Данная дипломная работа состоит из трёх глав.</w:t>
      </w:r>
    </w:p>
    <w:p w:rsidR="005B2F1B" w:rsidRPr="005B2F1B" w:rsidRDefault="005B2F1B" w:rsidP="005B2F1B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первой главе делается акцент на атлантической ориентированности </w:t>
      </w:r>
      <w:proofErr w:type="gram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германии</w:t>
      </w:r>
      <w:proofErr w:type="gram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но в тоже время активное сотрудничеством с СССР и развёртыванием политики «перестройки» сводила на нет конфронтацию прошлых лет.</w:t>
      </w:r>
    </w:p>
    <w:p w:rsidR="005B2F1B" w:rsidRPr="005B2F1B" w:rsidRDefault="005B2F1B" w:rsidP="005B2F1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 второй главе анализируются, особенности восточной политики и почему так важно было для Германии после развала СССР и ОВД закрепится в восточно-европейском регионе.</w:t>
      </w:r>
    </w:p>
    <w:p w:rsidR="005B2F1B" w:rsidRPr="005B2F1B" w:rsidRDefault="005B2F1B" w:rsidP="005B2F1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третьей главе автором были исследованы, принципы становления и разногласия "единых" взглядом стран Европы по отношению к созданию ЕС.</w:t>
      </w:r>
    </w:p>
    <w:p w:rsidR="00BD2C30" w:rsidRDefault="00BD2C30">
      <w:pPr>
        <w:rPr>
          <w:lang w:val="ru-RU"/>
        </w:rPr>
      </w:pPr>
    </w:p>
    <w:p w:rsidR="005B2F1B" w:rsidRDefault="005B2F1B">
      <w:pPr>
        <w:rPr>
          <w:lang w:val="ru-RU"/>
        </w:rPr>
      </w:pPr>
    </w:p>
    <w:p w:rsidR="005B2F1B" w:rsidRDefault="005B2F1B">
      <w:pPr>
        <w:rPr>
          <w:lang w:val="ru-RU"/>
        </w:rPr>
      </w:pPr>
    </w:p>
    <w:p w:rsidR="005B2F1B" w:rsidRDefault="005B2F1B">
      <w:pPr>
        <w:rPr>
          <w:lang w:val="ru-RU"/>
        </w:rPr>
      </w:pPr>
    </w:p>
    <w:p w:rsidR="005B2F1B" w:rsidRDefault="005B2F1B">
      <w:pPr>
        <w:rPr>
          <w:lang w:val="ru-RU"/>
        </w:rPr>
      </w:pPr>
    </w:p>
    <w:p w:rsidR="005B2F1B" w:rsidRDefault="005B2F1B">
      <w:pPr>
        <w:rPr>
          <w:lang w:val="ru-RU"/>
        </w:rPr>
      </w:pPr>
    </w:p>
    <w:p w:rsidR="005B2F1B" w:rsidRDefault="005B2F1B">
      <w:pPr>
        <w:rPr>
          <w:lang w:val="ru-RU"/>
        </w:rPr>
      </w:pPr>
    </w:p>
    <w:p w:rsidR="005B2F1B" w:rsidRDefault="005B2F1B">
      <w:pPr>
        <w:rPr>
          <w:lang w:val="ru-RU"/>
        </w:rPr>
      </w:pPr>
    </w:p>
    <w:p w:rsidR="005B2F1B" w:rsidRDefault="005B2F1B">
      <w:pPr>
        <w:rPr>
          <w:lang w:val="ru-RU"/>
        </w:rPr>
      </w:pPr>
    </w:p>
    <w:p w:rsidR="005B2F1B" w:rsidRDefault="005B2F1B">
      <w:pPr>
        <w:rPr>
          <w:lang w:val="ru-RU"/>
        </w:rPr>
      </w:pPr>
    </w:p>
    <w:p w:rsidR="005B2F1B" w:rsidRDefault="005B2F1B">
      <w:pPr>
        <w:rPr>
          <w:lang w:val="ru-RU"/>
        </w:rPr>
      </w:pPr>
    </w:p>
    <w:p w:rsidR="005B2F1B" w:rsidRDefault="005B2F1B">
      <w:pPr>
        <w:rPr>
          <w:lang w:val="ru-RU"/>
        </w:rPr>
      </w:pPr>
    </w:p>
    <w:p w:rsidR="005B2F1B" w:rsidRDefault="005B2F1B">
      <w:pPr>
        <w:rPr>
          <w:lang w:val="ru-RU"/>
        </w:rPr>
      </w:pPr>
    </w:p>
    <w:p w:rsidR="005B2F1B" w:rsidRDefault="005B2F1B">
      <w:pPr>
        <w:rPr>
          <w:lang w:val="ru-RU"/>
        </w:rPr>
      </w:pPr>
    </w:p>
    <w:p w:rsidR="005B2F1B" w:rsidRDefault="005B2F1B">
      <w:pPr>
        <w:rPr>
          <w:lang w:val="ru-RU"/>
        </w:rPr>
      </w:pPr>
    </w:p>
    <w:p w:rsidR="005B2F1B" w:rsidRDefault="005B2F1B">
      <w:pPr>
        <w:rPr>
          <w:lang w:val="ru-RU"/>
        </w:rPr>
      </w:pPr>
    </w:p>
    <w:p w:rsidR="005B2F1B" w:rsidRPr="005B2F1B" w:rsidRDefault="005B2F1B" w:rsidP="005B2F1B">
      <w:pPr>
        <w:spacing w:after="0" w:line="360" w:lineRule="auto"/>
        <w:ind w:firstLine="709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>Заключение</w:t>
      </w:r>
    </w:p>
    <w:p w:rsidR="005B2F1B" w:rsidRPr="005B2F1B" w:rsidRDefault="005B2F1B" w:rsidP="005B2F1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«Эпоха Коля» - это самое длительное правление канцлера в послевоенной истории ФРГ. Объявив себя политическим наследником курса Аденауэра, Коль укрепил взаимоотношения с США, что давало возможность делать более резкие выпады в сторону Советского Союза. В </w:t>
      </w:r>
      <w:proofErr w:type="gram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тоже самое</w:t>
      </w:r>
      <w:proofErr w:type="gram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время «восточная политика» набирала обороты и в 18985 году уже можно было говорить о первых значительных результатах новоизбранного канцлера. Так уже велись разговоры с Эрихом 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Хонеккером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президентом ГДР, без участия СССР о будущем решении немецкого вопроса, как такового.</w:t>
      </w:r>
    </w:p>
    <w:p w:rsidR="005B2F1B" w:rsidRPr="005B2F1B" w:rsidRDefault="005B2F1B" w:rsidP="005B2F1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сознании немцев национальная идея постепенно оттесняла все остальное  на задний  план.  Решающую роль в изменении  настроения населения сыграла «германская политика» правительства ФРГ, которое целенаправленно форсировало реализацию своих стратегических целей по поглощению  Германской Демократической  Республики.</w:t>
      </w:r>
    </w:p>
    <w:p w:rsidR="005B2F1B" w:rsidRPr="005B2F1B" w:rsidRDefault="005B2F1B" w:rsidP="005B2F1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 исчезновением ГДР и  исчезает </w:t>
      </w:r>
      <w:proofErr w:type="gram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классический</w:t>
      </w:r>
      <w:proofErr w:type="gram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«баланса сил».  Но он  скорее трансформируется  в другое измерение, и показатели его сейчас совсем иные. С этой точки зрения объединение  Германии — очевидный  пример реализации  на практике принципа  «баланса  сил»,  когда  сильное  и  могущественное  в экономическом,  морально-психологическом  и  только  потом  уже  в военно-политическом отношении государство становится инициатором, движущей силой, а затем и едва ли не единственной стороной, нарастившей в результате объединения и без того немалый вес. Опираясь на свое политическое и экономическое влияние в Европе и мире, применяя при  этом  умело  построенную  тактику,  Бонн  успешно  реализовал стратегическую  цель  своей  «германской  политики»  —  достижение единства  немцев  на  западногерманских  условиях.  В  результате  акта присоединения ФРГ как субъект международного права сохранилась и расширилась, ГДР же свою 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правосубъектность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утратила. При этом важно отметить, что произошло объединение не «железом и кровью», а мирным путем, не в ходе борьбы за передел  мира, а в результате доброй  воли  и согласия  всех  заинтересованных  сторон.  В  послевоенной  истории Европы объединение ФРГ и ГДР явилось, по </w:t>
      </w: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существу, первым примером решения  крупнейших  и  сложнейших  международных  проблем  без конфронтации, в духе доверия, взаимопонимания и сотрудничества.</w:t>
      </w:r>
    </w:p>
    <w:p w:rsidR="005B2F1B" w:rsidRPr="005B2F1B" w:rsidRDefault="005B2F1B" w:rsidP="005B2F1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 всем при этом не последнюю роль сыграла личность самого 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Г.Коля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который, завоевав симпатии и доверие руководителей ведущих мировых  держав,  смог  осторожно  ввести  процесс  германского объединения  в  контролируемые  оптимальные  рамки,  избежав непредсказуемого развития событий.</w:t>
      </w:r>
    </w:p>
    <w:p w:rsidR="005B2F1B" w:rsidRPr="005B2F1B" w:rsidRDefault="005B2F1B" w:rsidP="005B2F1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Но одним из основных противоречий немецкой внешней политики начала 90-х  годов  было  несоответствие  новых  качественных  параметров немецкого  государства  и  нового  мироустройства  традиционным представлениям эпохи биполярного мира и вытекавшим из них старым внешнеполитическим концепциям. Противоречие это снималось в ходе оперативной  внешней  политики  на  тех  направлениях,  где  она  не затрагивала  стратегически  важные для  всего  Запада  приоритеты,  на новых  пространствах, предоставляющих для  Германии  шанс  к политическому лидерству.  В  политической  науке тогда лишь начиналась осторожная дискуссия о «возросшей ответственности» Германии, о необходимости 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дефинировать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национальные интересы.</w:t>
      </w:r>
    </w:p>
    <w:p w:rsidR="005B2F1B" w:rsidRPr="005B2F1B" w:rsidRDefault="005B2F1B" w:rsidP="005B2F1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Новые  национально-государственные  интересы  неизбежно должны были найти отражение и в такой важной доминанте немецкой политики,  как  развитие  процессов  европейского  единства.  Однако европейская политика,  по крайней  </w:t>
      </w:r>
      <w:proofErr w:type="gram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мере</w:t>
      </w:r>
      <w:proofErr w:type="gram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для  Германии, это есть нечто большее, чем просто внешняя политика начала 90-х годов. ХДС выступал за  «федеративное  государство»  Европы  с  тем,  чтобы  «не  допустить сползания  европейской  политики  к  классической  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национально­государственной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политике договоров».  Выступая  за  «федеративное государство»,  ХДС  тем  самым  подчеркивал,  что  выступает  против брюссельского  централизма,  склонного  к  созданию  единого европейского 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супергосударства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5B2F1B" w:rsidRPr="005B2F1B" w:rsidRDefault="005B2F1B" w:rsidP="005B2F1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Если исторически сложившиеся трансатлантические связи не претерпели существенных изменений и лишь претерпели малозаметную «эрозию»  </w:t>
      </w: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вследствие  проблем  с  самоидентификацией  немцев после национального воссоединения, то комплекс отношений с постсоциалистическими государствами стал резко менять свою конфигурацию, расслаиваться на различные направления, которые получили разную приоритетность.</w:t>
      </w:r>
    </w:p>
    <w:p w:rsidR="005B2F1B" w:rsidRPr="005B2F1B" w:rsidRDefault="005B2F1B" w:rsidP="005B2F1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Если  суммировать  модификацию  германской  внешней политики в период перехода от Бонна к Берлину (1991  —  1998 гг.) в ее взаимосвязи с внутриполитическим  контекстом, то можно выделить следующие характерные черты:</w:t>
      </w:r>
    </w:p>
    <w:p w:rsidR="005B2F1B" w:rsidRPr="005B2F1B" w:rsidRDefault="005B2F1B" w:rsidP="005B2F1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Во-первых, правительство  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Г.Коля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ввело  в  оборот  понятие  «новой»  или «возросшей»  ответственности  государства,  которая  имела  в своей  основе  преимущественно  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пространственно­географический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фактор  и  являлась  первым  шагом  на  пути формирования новой германской геополитики.</w:t>
      </w:r>
    </w:p>
    <w:p w:rsidR="005B2F1B" w:rsidRPr="005B2F1B" w:rsidRDefault="005B2F1B" w:rsidP="005B2F1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Во-вторых, правящая элита впервые после второй мировой войны пред­приняла попытку сформулировать «национальные интересы», которые должны были быть интегрированы в схему </w:t>
      </w:r>
      <w:proofErr w:type="gram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сбаланси­рованных</w:t>
      </w:r>
      <w:proofErr w:type="gram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общеевропейских интересов. А это имело целью </w:t>
      </w:r>
      <w:proofErr w:type="gram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рас­ширение</w:t>
      </w:r>
      <w:proofErr w:type="gram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компетенции Германии и увеличение ее полномочий в  определении  политического  курса  Европейского  союза  в целом.</w:t>
      </w:r>
    </w:p>
    <w:p w:rsidR="005B2F1B" w:rsidRPr="005B2F1B" w:rsidRDefault="005B2F1B" w:rsidP="005B2F1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В-третьих, произошла трансформация  «восточной  политики»,  в рамках которой первостепенное внимание начало уделяться бывшим социалистически соседям ФРГ — потенциальным кандидатам на  вступление  в  ЕС  и  НАТО.  Что  касается  России  во внешнеполитической  доктрине  ФРГ  в  1991  —  1998  гг.,  то германская  политика  в  отношении  России  взяла  за  основу принцип «вовлечение, а не исключение». Это подразумевало поддержку Российской Федерации в ее стремлении вступить в международные организации, являющиеся составными частями западной структуры союзов.</w:t>
      </w:r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cr/>
      </w:r>
    </w:p>
    <w:p w:rsidR="005B2F1B" w:rsidRPr="005B2F1B" w:rsidRDefault="005B2F1B" w:rsidP="005B2F1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B2F1B" w:rsidRPr="005B2F1B" w:rsidRDefault="005B2F1B" w:rsidP="005B2F1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B2F1B" w:rsidRPr="005B2F1B" w:rsidRDefault="005B2F1B" w:rsidP="005B2F1B">
      <w:pPr>
        <w:spacing w:after="160" w:line="259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5B2F1B" w:rsidRPr="005B2F1B" w:rsidRDefault="005B2F1B" w:rsidP="005B2F1B">
      <w:pPr>
        <w:spacing w:after="160" w:line="259" w:lineRule="auto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 xml:space="preserve">                           </w:t>
      </w:r>
      <w:r w:rsidRPr="005B2F1B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Список изученных  источников</w:t>
      </w:r>
    </w:p>
    <w:p w:rsidR="005B2F1B" w:rsidRPr="005B2F1B" w:rsidRDefault="005B2F1B" w:rsidP="005B2F1B">
      <w:pPr>
        <w:numPr>
          <w:ilvl w:val="0"/>
          <w:numId w:val="1"/>
        </w:numPr>
        <w:tabs>
          <w:tab w:val="left" w:pos="39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Ахтамзян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А.А. Федеративная Республика Германия в конце ХХ </w:t>
      </w:r>
      <w:proofErr w:type="gram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// Новая и новейшая история. — М.: 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Росспэн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2002.</w:t>
      </w:r>
      <w:r w:rsidRPr="005B2F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5B2F1B">
        <w:rPr>
          <w:rFonts w:ascii="Times New Roman" w:eastAsia="Arial Unicode MS" w:hAnsi="Times New Roman" w:cs="Times New Roman"/>
          <w:sz w:val="28"/>
          <w:szCs w:val="28"/>
          <w:lang w:val="ru-RU" w:eastAsia="ru-RU"/>
        </w:rPr>
        <w:t xml:space="preserve"> 108 с.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Бонвеч</w:t>
      </w:r>
      <w:proofErr w:type="spellEnd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Б. История Германии. Том 2. От создания Германской империи до начала XXI века </w:t>
      </w: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— М</w:t>
      </w:r>
      <w:r w:rsidRPr="005B2F1B">
        <w:rPr>
          <w:rFonts w:ascii="Times New Roman" w:eastAsia="Arial Unicode MS" w:hAnsi="Times New Roman" w:cs="Times New Roman"/>
          <w:sz w:val="28"/>
          <w:szCs w:val="28"/>
          <w:lang w:val="ru-RU"/>
        </w:rPr>
        <w:t xml:space="preserve">.:КДУ, 2008. </w:t>
      </w:r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5B2F1B">
        <w:rPr>
          <w:rFonts w:ascii="Times New Roman" w:eastAsia="Arial Unicode MS" w:hAnsi="Times New Roman" w:cs="Times New Roman"/>
          <w:sz w:val="28"/>
          <w:szCs w:val="28"/>
          <w:lang w:val="ru-RU"/>
        </w:rPr>
        <w:t>964 с.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Брусиловська О. І. Посткомуністична Східна Європа: зовнішні впливи, внутрішні зміни. – Одеса: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Астропринт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>, 2007. – 352 с.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Ватлин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А.Ю. Германия в XX веке — М.: Российская политическая энциклопедия (РОССПЭН), 2002. — 336 с.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Воробьева Л.М.  Германо-российское  партнерство  после  объединения  Германии — М.</w:t>
      </w:r>
      <w:r w:rsidRPr="005B2F1B">
        <w:rPr>
          <w:rFonts w:ascii="Times New Roman" w:eastAsia="Calibri" w:hAnsi="Times New Roman" w:cs="Times New Roman"/>
          <w:sz w:val="28"/>
          <w:szCs w:val="28"/>
        </w:rPr>
        <w:t>:</w:t>
      </w: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2000. — 237 -  259 с.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Воробьева Л.М.  Внешняя  политика  ФРГ на пороге  XXI  века.  —  М.: </w:t>
      </w:r>
    </w:p>
    <w:p w:rsidR="005B2F1B" w:rsidRPr="005B2F1B" w:rsidRDefault="005B2F1B" w:rsidP="005B2F1B">
      <w:pPr>
        <w:spacing w:line="360" w:lineRule="auto"/>
        <w:ind w:left="720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РИСИ, 2000. — 356 с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Диманис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 М.Д. Партийная система Восточной Германии: основные тенденции развития и ее специфические черты.</w:t>
      </w:r>
      <w:r w:rsidRPr="005B2F1B">
        <w:rPr>
          <w:rFonts w:ascii="Calibri" w:eastAsia="Calibri" w:hAnsi="Calibri" w:cs="Times New Roman"/>
          <w:sz w:val="28"/>
          <w:szCs w:val="28"/>
          <w:lang w:val="ru-RU"/>
        </w:rPr>
        <w:t xml:space="preserve"> //</w:t>
      </w: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Объединенная Германия: десять лет. — М.: ИНИОН, 2001, с. 112</w:t>
      </w:r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132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Диманис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 Партийно-политическая система Германии в 90-х гг. </w:t>
      </w:r>
      <w:proofErr w:type="gram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—М</w:t>
      </w:r>
      <w:proofErr w:type="gram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5B2F1B">
        <w:rPr>
          <w:rFonts w:ascii="Times New Roman" w:eastAsia="Calibri" w:hAnsi="Times New Roman" w:cs="Times New Roman"/>
          <w:sz w:val="28"/>
          <w:szCs w:val="28"/>
        </w:rPr>
        <w:t>:</w:t>
      </w: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1998. —</w:t>
      </w:r>
      <w:r w:rsidRPr="005B2F1B">
        <w:rPr>
          <w:rFonts w:ascii="Times New Roman" w:eastAsia="Times New Roman" w:hAnsi="Times New Roman" w:cs="Times New Roman"/>
          <w:color w:val="545454"/>
          <w:sz w:val="28"/>
          <w:szCs w:val="28"/>
          <w:shd w:val="clear" w:color="auto" w:fill="FFFFFF"/>
          <w:lang w:val="ru-RU"/>
        </w:rPr>
        <w:t> </w:t>
      </w: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79с.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Ламперт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А.В. Социальная рыночная экономика: Германский путь. — М.</w:t>
      </w:r>
      <w:r w:rsidRPr="005B2F1B">
        <w:rPr>
          <w:rFonts w:ascii="Times New Roman" w:eastAsia="Calibri" w:hAnsi="Times New Roman" w:cs="Times New Roman"/>
          <w:sz w:val="28"/>
          <w:szCs w:val="28"/>
        </w:rPr>
        <w:t>:</w:t>
      </w: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1993.</w:t>
      </w:r>
      <w:r w:rsidRPr="005B2F1B">
        <w:rPr>
          <w:rFonts w:ascii="Times New Roman" w:eastAsia="Times New Roman" w:hAnsi="Times New Roman" w:cs="Times New Roman"/>
          <w:bCs/>
          <w:color w:val="545454"/>
          <w:sz w:val="28"/>
          <w:szCs w:val="28"/>
          <w:shd w:val="clear" w:color="auto" w:fill="FFFFFF"/>
          <w:lang w:val="ru-RU"/>
        </w:rPr>
        <w:t xml:space="preserve"> </w:t>
      </w: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—</w:t>
      </w:r>
      <w:r w:rsidRPr="005B2F1B">
        <w:rPr>
          <w:rFonts w:ascii="Times New Roman" w:eastAsia="Times New Roman" w:hAnsi="Times New Roman" w:cs="Times New Roman"/>
          <w:color w:val="545454"/>
          <w:sz w:val="28"/>
          <w:szCs w:val="28"/>
          <w:shd w:val="clear" w:color="auto" w:fill="FFFFFF"/>
          <w:lang w:val="ru-RU"/>
        </w:rPr>
        <w:t> </w:t>
      </w: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224 с.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Грабарчук</w:t>
      </w:r>
      <w:proofErr w:type="spellEnd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 xml:space="preserve">, Г.Б. </w:t>
      </w:r>
      <w:proofErr w:type="spellStart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Відносини</w:t>
      </w:r>
      <w:proofErr w:type="spellEnd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 xml:space="preserve"> ФРН-НДР: </w:t>
      </w:r>
      <w:proofErr w:type="spellStart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від</w:t>
      </w:r>
      <w:proofErr w:type="spellEnd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 xml:space="preserve"> </w:t>
      </w:r>
      <w:proofErr w:type="spellStart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визнання</w:t>
      </w:r>
      <w:proofErr w:type="spellEnd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 xml:space="preserve"> до </w:t>
      </w:r>
      <w:proofErr w:type="spellStart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єднання</w:t>
      </w:r>
      <w:proofErr w:type="spellEnd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 xml:space="preserve">  – К.</w:t>
      </w:r>
      <w:r w:rsidRPr="005B2F1B">
        <w:rPr>
          <w:rFonts w:ascii="Times New Roman" w:eastAsia="Calibri" w:hAnsi="Times New Roman" w:cs="Times New Roman"/>
          <w:sz w:val="28"/>
          <w:szCs w:val="28"/>
        </w:rPr>
        <w:t>:</w:t>
      </w:r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AFAFA"/>
          <w:lang w:val="ru-RU"/>
        </w:rPr>
        <w:t>, 1994. – 50 с.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Гутник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 В.П. Неравномерность развития экономики Германии // Мировая экономика: тенденции 90-х годов / Ред.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И.С.Королев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. М.: Наука, 1991, с. 34</w:t>
      </w:r>
      <w:r w:rsidRPr="005B2F1B">
        <w:rPr>
          <w:rFonts w:ascii="Times New Roman" w:eastAsia="Calibri" w:hAnsi="Times New Roman" w:cs="Times New Roman"/>
          <w:sz w:val="28"/>
          <w:szCs w:val="28"/>
        </w:rPr>
        <w:t>–38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Дипломатический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словарь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>. -  М.: «Наука». Т.1 ,1984. -  422 с.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Завадски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  К. 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обеспечения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будущего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. 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Основные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 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моменты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5B2F1B" w:rsidRPr="005B2F1B" w:rsidRDefault="005B2F1B" w:rsidP="005B2F1B">
      <w:pPr>
        <w:spacing w:line="360" w:lineRule="auto"/>
        <w:ind w:left="720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немецкой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политики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развития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 в 90-х годах. -   Бонн: 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Интер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Национес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, </w:t>
      </w:r>
    </w:p>
    <w:p w:rsidR="005B2F1B" w:rsidRPr="005B2F1B" w:rsidRDefault="005B2F1B" w:rsidP="005B2F1B">
      <w:pPr>
        <w:spacing w:line="360" w:lineRule="auto"/>
        <w:ind w:left="720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специальная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 тема,  1993. —  15 с.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Зидентоп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Л. Демократия в Европе / Пер. с англ.; Под ред. В.Л. 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Иноземцева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М.: Логос, 2001. – 360 с. 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lastRenderedPageBreak/>
        <w:t>Ішенгер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 В. Контури нової європейської </w:t>
      </w:r>
      <w:r w:rsidRPr="005B2F1B">
        <w:rPr>
          <w:rFonts w:ascii="Times New Roman" w:eastAsia="Calibri" w:hAnsi="Times New Roman" w:cs="Times New Roman"/>
          <w:spacing w:val="18"/>
          <w:sz w:val="28"/>
          <w:szCs w:val="28"/>
        </w:rPr>
        <w:t>зовнішньої</w:t>
      </w:r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 політики ФРН // Німеччина. – 1999.– №10. – С.18-21.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Кальдера Р. Специфика христианской демократии. </w:t>
      </w:r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М.: Наука, 1992. 102 с.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Кондратюк С.В. До питання про європейську політику ФРН // Дослідження світової політики: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Зб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. наук. пр. – К.: Інститут світової економіки та міжнародних відносин НАН України, 2002. – Вип.21. – С.42-46. 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B2F1B">
        <w:rPr>
          <w:rFonts w:ascii="Times New Roman" w:eastAsia="Calibri" w:hAnsi="Times New Roman" w:cs="Times New Roman"/>
          <w:sz w:val="28"/>
          <w:szCs w:val="28"/>
        </w:rPr>
        <w:t>Кондратюк С.В. Європейська політика об'єднаної Німеччини: Монографія. —К.: 2008. — 264 с.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Кремер И.С. ФРГ: этапы “восточной политики”. – М.: Международные отношения, 1986. – 222 с. 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gram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Кривонос</w:t>
      </w:r>
      <w:proofErr w:type="gram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Р.А.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Німеччина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структурі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європейської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співпраці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Р.А. Кривонос. – К.</w:t>
      </w:r>
      <w:r w:rsidRPr="005B2F1B">
        <w:rPr>
          <w:rFonts w:ascii="Times New Roman" w:eastAsia="Calibri" w:hAnsi="Times New Roman" w:cs="Times New Roman"/>
          <w:sz w:val="28"/>
          <w:szCs w:val="28"/>
        </w:rPr>
        <w:t>:</w:t>
      </w: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2004. – 166 с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Кудряченко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А.І.Європейська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 політика Федеративної Республіки Німеччини (1970 – 1990рр.). – К.: Наукова думка, 1996.– 240 с.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B2F1B">
        <w:rPr>
          <w:rFonts w:ascii="Times New Roman" w:eastAsia="Arial Unicode MS" w:hAnsi="Times New Roman" w:cs="Times New Roman"/>
          <w:sz w:val="28"/>
          <w:szCs w:val="28"/>
          <w:lang w:val="ru-RU"/>
        </w:rPr>
        <w:t xml:space="preserve">Максимычев И.Ф. Российско-германские отношения: формирование, состояние, перспективы. - М.: Институт Европы РАН, 1997. </w:t>
      </w:r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5B2F1B">
        <w:rPr>
          <w:rFonts w:ascii="Times New Roman" w:eastAsia="Arial Unicode MS" w:hAnsi="Times New Roman" w:cs="Times New Roman"/>
          <w:sz w:val="28"/>
          <w:szCs w:val="28"/>
          <w:lang w:val="ru-RU"/>
        </w:rPr>
        <w:t>53 с.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Максимычев И.Ф. Объединенная Германия как фактор европейской безопасности. М.</w:t>
      </w:r>
      <w:r w:rsidRPr="005B2F1B">
        <w:rPr>
          <w:rFonts w:ascii="Times New Roman" w:eastAsia="Calibri" w:hAnsi="Times New Roman" w:cs="Times New Roman"/>
          <w:sz w:val="28"/>
          <w:szCs w:val="28"/>
        </w:rPr>
        <w:t>:</w:t>
      </w: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1997. </w:t>
      </w:r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–  </w:t>
      </w: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42 с.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Мартанс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 С</w:t>
      </w: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«Берлинское поколение». Германия глазами французов //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>deutschebotschaft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>moskau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>ru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>ru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</w:t>
      </w:r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>library</w:t>
      </w: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>internationale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>politik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/2000-09/</w:t>
      </w:r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>article</w:t>
      </w: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04. </w:t>
      </w:r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>html</w:t>
      </w: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Павлов Н. В. Внешняя политика ФРГ: концепции и реалии 80-х  годов. — М.: Международные отношения, 1989. — 256 с.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Павлов Н. В., Новиков А. А. Внешняя политика ФРГ от Аденауэра до Шредера. -  М.</w:t>
      </w:r>
      <w:r w:rsidRPr="005B2F1B">
        <w:rPr>
          <w:rFonts w:ascii="Times New Roman" w:eastAsia="Calibri" w:hAnsi="Times New Roman" w:cs="Times New Roman"/>
          <w:sz w:val="28"/>
          <w:szCs w:val="28"/>
        </w:rPr>
        <w:t>:</w:t>
      </w: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ЗАО «Московские учебники - 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СиДиПресс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», 2005. </w:t>
      </w:r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608 с.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Погорлецкий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А.И. Экономика и экономическая политика Германии в ХХ веке. СПб</w:t>
      </w:r>
      <w:proofErr w:type="gram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.: </w:t>
      </w:r>
      <w:proofErr w:type="gram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Михайлов, 2001. — 182 с.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Пфлюгер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Ф. Европа должна стать мировой державой. Президентство Германии в Совете ЕС: координирующая политика // </w:t>
      </w:r>
      <w:r w:rsidRPr="005B2F1B">
        <w:rPr>
          <w:rFonts w:ascii="Times New Roman" w:eastAsia="Calibri" w:hAnsi="Times New Roman" w:cs="Times New Roman"/>
          <w:spacing w:val="-8"/>
          <w:sz w:val="28"/>
          <w:szCs w:val="28"/>
          <w:lang w:val="ru-RU"/>
        </w:rPr>
        <w:t>І</w:t>
      </w:r>
      <w:proofErr w:type="spellStart"/>
      <w:r w:rsidRPr="005B2F1B">
        <w:rPr>
          <w:rFonts w:ascii="Times New Roman" w:eastAsia="Calibri" w:hAnsi="Times New Roman" w:cs="Times New Roman"/>
          <w:spacing w:val="-8"/>
          <w:sz w:val="28"/>
          <w:szCs w:val="28"/>
          <w:lang w:val="en-US"/>
        </w:rPr>
        <w:t>nternationale</w:t>
      </w:r>
      <w:proofErr w:type="spellEnd"/>
      <w:r w:rsidRPr="005B2F1B">
        <w:rPr>
          <w:rFonts w:ascii="Times New Roman" w:eastAsia="Calibri" w:hAnsi="Times New Roman" w:cs="Times New Roman"/>
          <w:spacing w:val="-8"/>
          <w:sz w:val="28"/>
          <w:szCs w:val="28"/>
          <w:lang w:val="ru-RU"/>
        </w:rPr>
        <w:t xml:space="preserve"> </w:t>
      </w:r>
      <w:proofErr w:type="spellStart"/>
      <w:r w:rsidRPr="005B2F1B">
        <w:rPr>
          <w:rFonts w:ascii="Times New Roman" w:eastAsia="Calibri" w:hAnsi="Times New Roman" w:cs="Times New Roman"/>
          <w:spacing w:val="-8"/>
          <w:sz w:val="28"/>
          <w:szCs w:val="28"/>
          <w:lang w:val="en-US"/>
        </w:rPr>
        <w:t>Politik</w:t>
      </w:r>
      <w:proofErr w:type="spellEnd"/>
      <w:r w:rsidRPr="005B2F1B">
        <w:rPr>
          <w:rFonts w:ascii="Times New Roman" w:eastAsia="Calibri" w:hAnsi="Times New Roman" w:cs="Times New Roman"/>
          <w:spacing w:val="-8"/>
          <w:sz w:val="28"/>
          <w:szCs w:val="28"/>
          <w:lang w:val="ru-RU"/>
        </w:rPr>
        <w:t xml:space="preserve"> (на рус</w:t>
      </w:r>
      <w:proofErr w:type="gramStart"/>
      <w:r w:rsidRPr="005B2F1B">
        <w:rPr>
          <w:rFonts w:ascii="Times New Roman" w:eastAsia="Calibri" w:hAnsi="Times New Roman" w:cs="Times New Roman"/>
          <w:spacing w:val="-8"/>
          <w:sz w:val="28"/>
          <w:szCs w:val="28"/>
          <w:lang w:val="ru-RU"/>
        </w:rPr>
        <w:t>.</w:t>
      </w:r>
      <w:proofErr w:type="gramEnd"/>
      <w:r w:rsidRPr="005B2F1B">
        <w:rPr>
          <w:rFonts w:ascii="Times New Roman" w:eastAsia="Calibri" w:hAnsi="Times New Roman" w:cs="Times New Roman"/>
          <w:spacing w:val="-8"/>
          <w:sz w:val="28"/>
          <w:szCs w:val="28"/>
          <w:lang w:val="ru-RU"/>
        </w:rPr>
        <w:t xml:space="preserve"> </w:t>
      </w:r>
      <w:proofErr w:type="gramStart"/>
      <w:r w:rsidRPr="005B2F1B">
        <w:rPr>
          <w:rFonts w:ascii="Times New Roman" w:eastAsia="Calibri" w:hAnsi="Times New Roman" w:cs="Times New Roman"/>
          <w:spacing w:val="-8"/>
          <w:sz w:val="28"/>
          <w:szCs w:val="28"/>
          <w:lang w:val="ru-RU"/>
        </w:rPr>
        <w:t>я</w:t>
      </w:r>
      <w:proofErr w:type="gramEnd"/>
      <w:r w:rsidRPr="005B2F1B">
        <w:rPr>
          <w:rFonts w:ascii="Times New Roman" w:eastAsia="Calibri" w:hAnsi="Times New Roman" w:cs="Times New Roman"/>
          <w:spacing w:val="-8"/>
          <w:sz w:val="28"/>
          <w:szCs w:val="28"/>
          <w:lang w:val="ru-RU"/>
        </w:rPr>
        <w:t>зыке). – 1999. – № 1. – С.46-53.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B2F1B">
        <w:rPr>
          <w:rFonts w:ascii="Times New Roman" w:eastAsia="Calibri" w:hAnsi="Times New Roman" w:cs="Times New Roman"/>
          <w:spacing w:val="-8"/>
          <w:sz w:val="28"/>
          <w:szCs w:val="28"/>
          <w:lang w:val="ru-RU"/>
        </w:rPr>
        <w:t>Ребрин</w:t>
      </w:r>
      <w:proofErr w:type="spellEnd"/>
      <w:r w:rsidRPr="005B2F1B">
        <w:rPr>
          <w:rFonts w:ascii="Times New Roman" w:eastAsia="Calibri" w:hAnsi="Times New Roman" w:cs="Times New Roman"/>
          <w:spacing w:val="-8"/>
          <w:sz w:val="28"/>
          <w:szCs w:val="28"/>
          <w:lang w:val="ru-RU"/>
        </w:rPr>
        <w:t xml:space="preserve"> В.П. Проблемы европейской безопасности и политика ФРГ. – М.: Наука, 1986. – 216 с.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Сокольский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  С. 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Германия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: 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выборы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  в бундестаг//  Год 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планеты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.  —  М.: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Республика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>,  1995. — С. 390 — 393.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5B2F1B">
        <w:rPr>
          <w:rFonts w:ascii="Times New Roman" w:eastAsia="Calibri" w:hAnsi="Times New Roman" w:cs="Times New Roman"/>
          <w:color w:val="000000"/>
          <w:sz w:val="28"/>
          <w:szCs w:val="28"/>
        </w:rPr>
        <w:t>Степанов В. Бундесрат і зовнішня політика ФРН. // Політика і час.</w:t>
      </w:r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 —</w:t>
      </w:r>
      <w:r w:rsidRPr="005B2F1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№ 8, 2005. </w:t>
      </w:r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–  </w:t>
      </w:r>
      <w:r w:rsidRPr="005B2F1B">
        <w:rPr>
          <w:rFonts w:ascii="Times New Roman" w:eastAsia="Calibri" w:hAnsi="Times New Roman" w:cs="Times New Roman"/>
          <w:color w:val="000000"/>
          <w:sz w:val="28"/>
          <w:szCs w:val="28"/>
        </w:rPr>
        <w:t>50</w:t>
      </w:r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5B2F1B">
        <w:rPr>
          <w:rFonts w:ascii="Times New Roman" w:eastAsia="Calibri" w:hAnsi="Times New Roman" w:cs="Times New Roman"/>
          <w:color w:val="000000"/>
          <w:sz w:val="28"/>
          <w:szCs w:val="28"/>
        </w:rPr>
        <w:t>57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Стержнева</w:t>
      </w:r>
      <w:proofErr w:type="spellEnd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М. Германия и Европейский Союз. </w:t>
      </w:r>
      <w:r w:rsidRPr="005B2F1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// </w:t>
      </w:r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Объединенная Германия в Европе и мире. </w:t>
      </w:r>
      <w:r w:rsidRPr="005B2F1B">
        <w:rPr>
          <w:rFonts w:ascii="Times New Roman" w:eastAsia="Calibri" w:hAnsi="Times New Roman" w:cs="Times New Roman"/>
          <w:sz w:val="28"/>
          <w:szCs w:val="28"/>
        </w:rPr>
        <w:t>—</w:t>
      </w:r>
      <w:r w:rsidRPr="005B2F1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М.</w:t>
      </w:r>
      <w:r w:rsidRPr="005B2F1B">
        <w:rPr>
          <w:rFonts w:ascii="Times New Roman" w:eastAsia="Calibri" w:hAnsi="Times New Roman" w:cs="Times New Roman"/>
          <w:sz w:val="28"/>
          <w:szCs w:val="28"/>
        </w:rPr>
        <w:t>:</w:t>
      </w:r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1994.</w:t>
      </w:r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43 </w:t>
      </w:r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66 с.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Стойко Е. «Взросление» Германии // Мировые дискуссии. – 22-28 октября 2001 года. – №41(127). – С.3-5.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5B2F1B">
        <w:rPr>
          <w:rFonts w:ascii="Times New Roman" w:eastAsia="Calibri" w:hAnsi="Times New Roman" w:cs="Times New Roman"/>
          <w:sz w:val="28"/>
          <w:szCs w:val="28"/>
        </w:rPr>
        <w:t>Сушко</w:t>
      </w:r>
      <w:r w:rsidRPr="005B2F1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O</w:t>
      </w:r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. Розширення Європейського Союзу: сценарії для нових незалежних держав // Дослідження світової політики: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Зб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>. наук. пр. – К.: Інститут світової економіки та міжнародних відносин НАН України. – Вип.20. – С. 52-59.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Урьяс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Ю.П. Механизм государственной власти ФРГ. </w:t>
      </w:r>
      <w:proofErr w:type="gram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—М</w:t>
      </w:r>
      <w:proofErr w:type="gram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.: Ур68 Наука, 1988.— 192 с.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Филитов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А.М. Германский вопрос: от раскола к объединению. Новое прочтение. – М.: Международные отношения, 1993. – 240 с. 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proofErr w:type="gram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Фр</w:t>
      </w:r>
      <w:proofErr w:type="gram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ітц-Ваннаме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Й.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Європа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завтра //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Німеччина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. – 2002. – №2. – С.6-9.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Цедилина</w:t>
      </w:r>
      <w:proofErr w:type="spellEnd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Е. Германия и проблема европейской безопасности. В кн.: Объединенная Германия в Европе и мире. М.</w:t>
      </w:r>
      <w:r w:rsidRPr="005B2F1B">
        <w:rPr>
          <w:rFonts w:ascii="Times New Roman" w:eastAsia="Calibri" w:hAnsi="Times New Roman" w:cs="Times New Roman"/>
          <w:sz w:val="28"/>
          <w:szCs w:val="28"/>
        </w:rPr>
        <w:t>:</w:t>
      </w:r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1994, 67 </w:t>
      </w:r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88 с.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Шенаев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В.Н. Западная Европа: парадоксы регулирования /. – М., – 1988</w:t>
      </w:r>
      <w:r w:rsidRPr="005B2F1B">
        <w:rPr>
          <w:rFonts w:ascii="Times New Roman" w:eastAsia="Calibri" w:hAnsi="Times New Roman" w:cs="Times New Roman"/>
          <w:sz w:val="28"/>
          <w:szCs w:val="28"/>
          <w:lang w:val="de-DE"/>
        </w:rPr>
        <w:t>. – 90 c</w:t>
      </w: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Crawford,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>Bevery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Power and German Foreign Policy: Embedded Hegemony in Europe.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New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York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NY: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Palgrave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Macmillan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2007. </w:t>
      </w:r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>– 420 p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>D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de-DE"/>
        </w:rPr>
        <w:t>eutschland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</w:t>
      </w:r>
      <w:proofErr w:type="gramStart"/>
      <w:r w:rsidRPr="005B2F1B">
        <w:rPr>
          <w:rFonts w:ascii="Times New Roman" w:eastAsia="Calibri" w:hAnsi="Times New Roman" w:cs="Times New Roman"/>
          <w:sz w:val="28"/>
          <w:szCs w:val="28"/>
          <w:lang w:val="de-DE"/>
        </w:rPr>
        <w:t>ist</w:t>
      </w:r>
      <w:proofErr w:type="gramEnd"/>
      <w:r w:rsidRPr="005B2F1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eine Nation westlichen Typs geworden. In Interview mit den Koordinator für die deutsch-französischen Zusammenarbeit Rudolf von </w:t>
      </w:r>
      <w:r w:rsidRPr="005B2F1B">
        <w:rPr>
          <w:rFonts w:ascii="Times New Roman" w:eastAsia="Calibri" w:hAnsi="Times New Roman" w:cs="Times New Roman"/>
          <w:sz w:val="28"/>
          <w:szCs w:val="28"/>
          <w:lang w:val="de-DE"/>
        </w:rPr>
        <w:lastRenderedPageBreak/>
        <w:t xml:space="preserve">Thadden in der Frankfurter Rundschau 10.Juni 2000 </w:t>
      </w:r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// </w:t>
      </w:r>
      <w:hyperlink r:id="rId6" w:history="1">
        <w:r w:rsidRPr="005B2F1B">
          <w:rPr>
            <w:rFonts w:ascii="Times New Roman" w:eastAsia="Calibri" w:hAnsi="Times New Roman" w:cs="Times New Roman"/>
            <w:sz w:val="28"/>
            <w:szCs w:val="28"/>
            <w:lang w:val="en-US"/>
          </w:rPr>
          <w:t>www.auswaertiges-amt.de/</w:t>
        </w:r>
      </w:hyperlink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www/de/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>infoservice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/ausgabe.htm 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Frankfurter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Allgemeine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Zeitung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>.</w:t>
      </w:r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5B2F1B">
        <w:rPr>
          <w:rFonts w:ascii="Times New Roman" w:eastAsia="Calibri" w:hAnsi="Times New Roman" w:cs="Times New Roman"/>
          <w:sz w:val="28"/>
          <w:szCs w:val="28"/>
        </w:rPr>
        <w:t xml:space="preserve">2003, 24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</w:rPr>
        <w:t>Juli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</w:rPr>
        <w:t>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5B2F1B">
        <w:rPr>
          <w:rFonts w:ascii="Times New Roman" w:eastAsia="Calibri" w:hAnsi="Times New Roman" w:cs="Times New Roman"/>
          <w:spacing w:val="-8"/>
          <w:sz w:val="28"/>
          <w:szCs w:val="28"/>
          <w:lang w:val="en-US"/>
        </w:rPr>
        <w:t>G</w:t>
      </w:r>
      <w:proofErr w:type="spellStart"/>
      <w:r w:rsidRPr="005B2F1B">
        <w:rPr>
          <w:rFonts w:ascii="Times New Roman" w:eastAsia="Calibri" w:hAnsi="Times New Roman" w:cs="Times New Roman"/>
          <w:spacing w:val="-8"/>
          <w:sz w:val="28"/>
          <w:szCs w:val="28"/>
          <w:lang w:val="ru-RU"/>
        </w:rPr>
        <w:t>аг</w:t>
      </w:r>
      <w:proofErr w:type="spellEnd"/>
      <w:r w:rsidRPr="005B2F1B">
        <w:rPr>
          <w:rFonts w:ascii="Times New Roman" w:eastAsia="Calibri" w:hAnsi="Times New Roman" w:cs="Times New Roman"/>
          <w:spacing w:val="-8"/>
          <w:sz w:val="28"/>
          <w:szCs w:val="28"/>
          <w:lang w:val="en-US"/>
        </w:rPr>
        <w:t xml:space="preserve">ton </w:t>
      </w:r>
      <w:r w:rsidRPr="005B2F1B">
        <w:rPr>
          <w:rFonts w:ascii="Times New Roman" w:eastAsia="Calibri" w:hAnsi="Times New Roman" w:cs="Times New Roman"/>
          <w:spacing w:val="-8"/>
          <w:sz w:val="28"/>
          <w:szCs w:val="28"/>
          <w:lang w:val="ru-RU"/>
        </w:rPr>
        <w:t>А</w:t>
      </w:r>
      <w:proofErr w:type="spellStart"/>
      <w:r w:rsidRPr="005B2F1B">
        <w:rPr>
          <w:rFonts w:ascii="Times New Roman" w:eastAsia="Calibri" w:hAnsi="Times New Roman" w:cs="Times New Roman"/>
          <w:spacing w:val="-8"/>
          <w:sz w:val="28"/>
          <w:szCs w:val="28"/>
          <w:lang w:val="en-US"/>
        </w:rPr>
        <w:t>sh</w:t>
      </w:r>
      <w:proofErr w:type="spellEnd"/>
      <w:r w:rsidRPr="005B2F1B">
        <w:rPr>
          <w:rFonts w:ascii="Times New Roman" w:eastAsia="Calibri" w:hAnsi="Times New Roman" w:cs="Times New Roman"/>
          <w:spacing w:val="-8"/>
          <w:sz w:val="28"/>
          <w:szCs w:val="28"/>
          <w:lang w:val="en-US"/>
        </w:rPr>
        <w:t xml:space="preserve"> T. Germany’s </w:t>
      </w:r>
      <w:proofErr w:type="gramStart"/>
      <w:r w:rsidRPr="005B2F1B">
        <w:rPr>
          <w:rFonts w:ascii="Times New Roman" w:eastAsia="Calibri" w:hAnsi="Times New Roman" w:cs="Times New Roman"/>
          <w:spacing w:val="-8"/>
          <w:sz w:val="28"/>
          <w:szCs w:val="28"/>
          <w:lang w:val="en-US"/>
        </w:rPr>
        <w:t>Choice  /</w:t>
      </w:r>
      <w:proofErr w:type="gramEnd"/>
      <w:r w:rsidRPr="005B2F1B">
        <w:rPr>
          <w:rFonts w:ascii="Times New Roman" w:eastAsia="Calibri" w:hAnsi="Times New Roman" w:cs="Times New Roman"/>
          <w:spacing w:val="-8"/>
          <w:sz w:val="28"/>
          <w:szCs w:val="28"/>
          <w:lang w:val="en-US"/>
        </w:rPr>
        <w:t>/</w:t>
      </w:r>
      <w:r w:rsidRPr="005B2F1B">
        <w:rPr>
          <w:rFonts w:ascii="Times New Roman" w:eastAsia="Calibri" w:hAnsi="Times New Roman" w:cs="Times New Roman"/>
          <w:spacing w:val="-4"/>
          <w:sz w:val="28"/>
          <w:szCs w:val="28"/>
          <w:lang w:val="en-US"/>
        </w:rPr>
        <w:t xml:space="preserve"> Foreign Affairs. – 1994.</w:t>
      </w:r>
      <w:r w:rsidRPr="005B2F1B">
        <w:rPr>
          <w:rFonts w:ascii="Times New Roman" w:eastAsia="Calibri" w:hAnsi="Times New Roman" w:cs="Times New Roman"/>
          <w:spacing w:val="-4"/>
          <w:sz w:val="28"/>
          <w:szCs w:val="28"/>
          <w:lang w:val="de-DE"/>
        </w:rPr>
        <w:t xml:space="preserve"> – </w:t>
      </w:r>
      <w:r w:rsidRPr="005B2F1B">
        <w:rPr>
          <w:rFonts w:ascii="Times New Roman" w:eastAsia="Calibri" w:hAnsi="Times New Roman" w:cs="Times New Roman"/>
          <w:spacing w:val="-4"/>
          <w:sz w:val="28"/>
          <w:szCs w:val="28"/>
          <w:lang w:val="en-US"/>
        </w:rPr>
        <w:t xml:space="preserve">Vol.73. – №4 – </w:t>
      </w:r>
      <w:r w:rsidRPr="005B2F1B">
        <w:rPr>
          <w:rFonts w:ascii="Times New Roman" w:eastAsia="Calibri" w:hAnsi="Times New Roman" w:cs="Times New Roman"/>
          <w:spacing w:val="11"/>
          <w:sz w:val="28"/>
          <w:szCs w:val="28"/>
          <w:lang w:val="ru-RU"/>
        </w:rPr>
        <w:t>Р</w:t>
      </w:r>
      <w:r w:rsidRPr="005B2F1B">
        <w:rPr>
          <w:rFonts w:ascii="Times New Roman" w:eastAsia="Calibri" w:hAnsi="Times New Roman" w:cs="Times New Roman"/>
          <w:spacing w:val="11"/>
          <w:sz w:val="28"/>
          <w:szCs w:val="28"/>
          <w:lang w:val="en-US"/>
        </w:rPr>
        <w:t>.</w:t>
      </w:r>
      <w:r w:rsidRPr="005B2F1B">
        <w:rPr>
          <w:rFonts w:ascii="Times New Roman" w:eastAsia="Calibri" w:hAnsi="Times New Roman" w:cs="Times New Roman"/>
          <w:spacing w:val="11"/>
          <w:sz w:val="28"/>
          <w:szCs w:val="28"/>
          <w:lang w:val="de-DE"/>
        </w:rPr>
        <w:t>65</w:t>
      </w:r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5B2F1B">
        <w:rPr>
          <w:rFonts w:ascii="Times New Roman" w:eastAsia="Calibri" w:hAnsi="Times New Roman" w:cs="Times New Roman"/>
          <w:spacing w:val="11"/>
          <w:sz w:val="28"/>
          <w:szCs w:val="28"/>
          <w:lang w:val="de-DE"/>
        </w:rPr>
        <w:t>81</w:t>
      </w:r>
      <w:r w:rsidRPr="005B2F1B">
        <w:rPr>
          <w:rFonts w:ascii="Times New Roman" w:eastAsia="Calibri" w:hAnsi="Times New Roman" w:cs="Times New Roman"/>
          <w:spacing w:val="-4"/>
          <w:sz w:val="28"/>
          <w:szCs w:val="28"/>
          <w:lang w:val="en-US"/>
        </w:rPr>
        <w:t>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Helga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>Haftendorn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>. Coming of Age: German Foreign Policy after reuniting/</w:t>
      </w:r>
      <w:proofErr w:type="gramStart"/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>..</w:t>
      </w:r>
      <w:proofErr w:type="gramEnd"/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Lanham: Rowman &amp; Littlefield Publishers, 2006. –13 p</w:t>
      </w:r>
      <w:proofErr w:type="gramStart"/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>..</w:t>
      </w:r>
      <w:proofErr w:type="gramEnd"/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Kerry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>Longhurst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Germany and the Use of Force: The Evolution of German Security Policy 1990-2003.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Manchester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Manchester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University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Press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ru-RU"/>
        </w:rPr>
        <w:t>, 2004.</w:t>
      </w:r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>. –21 p.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Kohl H.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>Deutschlands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>Zukunft</w:t>
      </w:r>
      <w:proofErr w:type="spellEnd"/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Europa:</w:t>
      </w:r>
      <w:r w:rsidRPr="005B2F1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</w:t>
      </w:r>
      <w:proofErr w:type="gramStart"/>
      <w:r w:rsidRPr="005B2F1B">
        <w:rPr>
          <w:rFonts w:ascii="Times New Roman" w:eastAsia="Calibri" w:hAnsi="Times New Roman" w:cs="Times New Roman"/>
          <w:sz w:val="28"/>
          <w:szCs w:val="28"/>
          <w:lang w:val="de-DE"/>
        </w:rPr>
        <w:t>Reden</w:t>
      </w:r>
      <w:proofErr w:type="gramEnd"/>
      <w:r w:rsidRPr="005B2F1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und Beiträge des Kanzlers</w:t>
      </w:r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Herford, 2001. – 758 S. 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Opitz</w:t>
      </w:r>
      <w:proofErr w:type="spellEnd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, P. J. </w:t>
      </w:r>
      <w:r w:rsidRPr="005B2F1B">
        <w:rPr>
          <w:rFonts w:ascii="Times New Roman" w:eastAsia="Calibri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 xml:space="preserve">Die </w:t>
      </w:r>
      <w:proofErr w:type="spellStart"/>
      <w:r w:rsidRPr="005B2F1B">
        <w:rPr>
          <w:rFonts w:ascii="Times New Roman" w:eastAsia="Calibri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>Vereinten</w:t>
      </w:r>
      <w:proofErr w:type="spellEnd"/>
      <w:r w:rsidRPr="005B2F1B">
        <w:rPr>
          <w:rFonts w:ascii="Times New Roman" w:eastAsia="Calibri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5B2F1B">
        <w:rPr>
          <w:rFonts w:ascii="Times New Roman" w:eastAsia="Calibri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>Nationen</w:t>
      </w:r>
      <w:proofErr w:type="spellEnd"/>
      <w:r w:rsidRPr="005B2F1B">
        <w:rPr>
          <w:rFonts w:ascii="Times New Roman" w:eastAsia="Calibri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 xml:space="preserve">: Geschichte, </w:t>
      </w:r>
      <w:proofErr w:type="spellStart"/>
      <w:r w:rsidRPr="005B2F1B">
        <w:rPr>
          <w:rFonts w:ascii="Times New Roman" w:eastAsia="Calibri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>Struktur</w:t>
      </w:r>
      <w:proofErr w:type="spellEnd"/>
      <w:r w:rsidRPr="005B2F1B">
        <w:rPr>
          <w:rFonts w:ascii="Times New Roman" w:eastAsia="Calibri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 xml:space="preserve">, </w:t>
      </w:r>
      <w:proofErr w:type="spellStart"/>
      <w:r w:rsidRPr="005B2F1B">
        <w:rPr>
          <w:rFonts w:ascii="Times New Roman" w:eastAsia="Calibri" w:hAnsi="Times New Roman" w:cs="Times New Roman"/>
          <w:iCs/>
          <w:color w:val="000000"/>
          <w:sz w:val="28"/>
          <w:szCs w:val="28"/>
          <w:shd w:val="clear" w:color="auto" w:fill="FFFFFF"/>
          <w:lang w:val="en-US"/>
        </w:rPr>
        <w:t>Perspektiven</w:t>
      </w:r>
      <w:proofErr w:type="spellEnd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5th ed. </w:t>
      </w:r>
      <w:proofErr w:type="spellStart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München</w:t>
      </w:r>
      <w:proofErr w:type="spellEnd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Germany: </w:t>
      </w:r>
      <w:proofErr w:type="spellStart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Bayerische</w:t>
      </w:r>
      <w:proofErr w:type="spellEnd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Landeszentrale</w:t>
      </w:r>
      <w:proofErr w:type="spellEnd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für</w:t>
      </w:r>
      <w:proofErr w:type="spellEnd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politische</w:t>
      </w:r>
      <w:proofErr w:type="spellEnd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Bildungsarbeit</w:t>
      </w:r>
      <w:proofErr w:type="spellEnd"/>
      <w:r w:rsidRPr="005B2F1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2007. </w:t>
      </w:r>
      <w:r w:rsidRPr="005B2F1B">
        <w:rPr>
          <w:rFonts w:ascii="Times New Roman" w:eastAsia="Calibri" w:hAnsi="Times New Roman" w:cs="Times New Roman"/>
          <w:sz w:val="28"/>
          <w:szCs w:val="28"/>
          <w:lang w:val="en-US"/>
        </w:rPr>
        <w:t>– 56 p.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B2F1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Paul Taggart „Conclusion: Opposing Europe? Three Patterns of Party Competition over Europe‟, Volume 1: Case Studies and Country Surveys (Oxford: Oxford University Press), 2008.71–94 p.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B2F1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Putnam, R. D. “Diplomacy and Domestic Politics: The Logic of Two-Level Games.” </w:t>
      </w:r>
      <w:r w:rsidRPr="005B2F1B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val="en-US" w:eastAsia="ru-RU"/>
        </w:rPr>
        <w:t>International Organization</w:t>
      </w:r>
      <w:r w:rsidRPr="005B2F1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, 1998. 427–460 p.</w:t>
      </w:r>
    </w:p>
    <w:p w:rsidR="005B2F1B" w:rsidRPr="005B2F1B" w:rsidRDefault="005B2F1B" w:rsidP="005B2F1B">
      <w:pPr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Smyser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W.R. The German Economy: Colossus at the </w:t>
      </w:r>
      <w:proofErr w:type="spellStart"/>
      <w:r w:rsidRPr="005B2F1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Grossroads</w:t>
      </w:r>
      <w:proofErr w:type="spellEnd"/>
      <w:r w:rsidRPr="005B2F1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New York: St. Martin’s Press, 1993. – 420 p.</w:t>
      </w:r>
    </w:p>
    <w:p w:rsidR="005B2F1B" w:rsidRPr="005B2F1B" w:rsidRDefault="005B2F1B" w:rsidP="005B2F1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5B2F1B" w:rsidRPr="005B2F1B" w:rsidRDefault="005B2F1B" w:rsidP="005B2F1B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5B2F1B" w:rsidRPr="005B2F1B" w:rsidRDefault="005B2F1B">
      <w:pPr>
        <w:rPr>
          <w:lang w:val="en-US"/>
        </w:rPr>
      </w:pPr>
    </w:p>
    <w:sectPr w:rsidR="005B2F1B" w:rsidRPr="005B2F1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BB6ABC"/>
    <w:multiLevelType w:val="hybridMultilevel"/>
    <w:tmpl w:val="3B767250"/>
    <w:lvl w:ilvl="0" w:tplc="EAC8BEC0">
      <w:start w:val="1"/>
      <w:numFmt w:val="decimal"/>
      <w:lvlText w:val="%1."/>
      <w:lvlJc w:val="left"/>
      <w:pPr>
        <w:ind w:left="720" w:hanging="360"/>
      </w:pPr>
      <w:rPr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2C4B"/>
    <w:rsid w:val="00022C4B"/>
    <w:rsid w:val="003B4FC4"/>
    <w:rsid w:val="005B2F1B"/>
    <w:rsid w:val="00BD2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uswaertiges-amt.de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11424</Words>
  <Characters>6512</Characters>
  <Application>Microsoft Office Word</Application>
  <DocSecurity>0</DocSecurity>
  <Lines>54</Lines>
  <Paragraphs>35</Paragraphs>
  <ScaleCrop>false</ScaleCrop>
  <Company/>
  <LinksUpToDate>false</LinksUpToDate>
  <CharactersWithSpaces>17901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2018-04-23T08:50:00Z</dcterms:created>
  <dcterms:modified xsi:type="dcterms:W3CDTF">2018-04-23T08:52:00Z</dcterms:modified>
</cp:coreProperties>
</file>