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6C7C" w:rsidRDefault="00ED7E82">
      <w:pPr>
        <w:spacing w:after="0" w:line="360" w:lineRule="auto"/>
        <w:ind w:firstLine="566"/>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МІНІСТЕРСТВО НАУКИ І ОСВІТИ УКРАЇНИ</w:t>
      </w:r>
    </w:p>
    <w:p w:rsidR="00C66C7C" w:rsidRDefault="00ED7E82">
      <w:pPr>
        <w:spacing w:after="0" w:line="360" w:lineRule="auto"/>
        <w:ind w:firstLine="566"/>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Одеський національний університет імені І.І.Мечникова</w:t>
      </w:r>
    </w:p>
    <w:p w:rsidR="00C66C7C" w:rsidRDefault="00ED7E82">
      <w:pPr>
        <w:spacing w:after="0" w:line="360" w:lineRule="auto"/>
        <w:ind w:firstLine="566"/>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Факультет романо-германської філології</w:t>
      </w:r>
    </w:p>
    <w:p w:rsidR="00C66C7C" w:rsidRDefault="00ED7E82">
      <w:pPr>
        <w:spacing w:after="0" w:line="360" w:lineRule="auto"/>
        <w:ind w:firstLine="566"/>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педагогіки</w:t>
      </w:r>
    </w:p>
    <w:p w:rsidR="00C66C7C" w:rsidRDefault="00ED7E82">
      <w:pPr>
        <w:spacing w:after="0" w:line="360" w:lineRule="auto"/>
        <w:ind w:firstLine="566"/>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C66C7C" w:rsidRDefault="00ED7E82">
      <w:pPr>
        <w:spacing w:after="0" w:line="360" w:lineRule="auto"/>
        <w:ind w:firstLine="566"/>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C66C7C" w:rsidRDefault="00ED7E82">
      <w:pPr>
        <w:spacing w:after="0" w:line="360" w:lineRule="auto"/>
        <w:ind w:firstLine="566"/>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Дипломна робота</w:t>
      </w:r>
    </w:p>
    <w:p w:rsidR="00C66C7C" w:rsidRDefault="00ED7E82">
      <w:pPr>
        <w:spacing w:after="0" w:line="360" w:lineRule="auto"/>
        <w:ind w:firstLine="566"/>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ШЛЯХИ ОПТИМІЗАЦІЇ УПРАВЛІННЯ ОСВІТНІМ ПРОЦЕСОМ У ЗАКЛАДАХ ВИЩОЇ ОСВІТИ </w:t>
      </w:r>
    </w:p>
    <w:p w:rsidR="00C66C7C" w:rsidRDefault="00ED7E82">
      <w:pPr>
        <w:spacing w:after="0" w:line="360" w:lineRule="auto"/>
        <w:ind w:firstLine="566"/>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C66C7C" w:rsidRDefault="00ED7E82">
      <w:pPr>
        <w:spacing w:after="0" w:line="360" w:lineRule="auto"/>
        <w:ind w:firstLine="566"/>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Ways of optimization of education process management in higher education institutions </w:t>
      </w:r>
    </w:p>
    <w:p w:rsidR="00C66C7C" w:rsidRDefault="00ED7E82">
      <w:pPr>
        <w:spacing w:after="0" w:line="360" w:lineRule="auto"/>
        <w:ind w:firstLine="566"/>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«магістр»</w:t>
      </w:r>
    </w:p>
    <w:p w:rsidR="00C66C7C" w:rsidRDefault="00ED7E82">
      <w:pPr>
        <w:spacing w:after="0" w:line="312" w:lineRule="auto"/>
        <w:ind w:firstLine="566"/>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011 Освітні педагогічні науки</w:t>
      </w:r>
    </w:p>
    <w:p w:rsidR="00C66C7C" w:rsidRDefault="00ED7E82">
      <w:pPr>
        <w:spacing w:after="0" w:line="360" w:lineRule="auto"/>
        <w:ind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C66C7C" w:rsidRDefault="00ED7E82">
      <w:pPr>
        <w:spacing w:after="0" w:line="360" w:lineRule="auto"/>
        <w:ind w:left="3120" w:hanging="25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Виконала: студентка денної форми навчання</w:t>
      </w:r>
    </w:p>
    <w:p w:rsidR="00C66C7C" w:rsidRDefault="00ED7E82">
      <w:pPr>
        <w:spacing w:after="0" w:line="360" w:lineRule="auto"/>
        <w:ind w:left="3120" w:hanging="25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спеціалізації «Освітній менеджмент у вищій школі»</w:t>
      </w:r>
    </w:p>
    <w:p w:rsidR="00C66C7C" w:rsidRDefault="00ED7E82">
      <w:pPr>
        <w:spacing w:after="0" w:line="360" w:lineRule="auto"/>
        <w:ind w:left="3120" w:hanging="255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Леонова Олена Володимирівна</w:t>
      </w:r>
    </w:p>
    <w:p w:rsidR="00C66C7C" w:rsidRDefault="00ED7E82">
      <w:pPr>
        <w:spacing w:after="0" w:line="360" w:lineRule="auto"/>
        <w:ind w:left="3120" w:hanging="255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Керівник: д.пед.н., доц. Аннєнкова І.П. ________</w:t>
      </w:r>
    </w:p>
    <w:p w:rsidR="00C66C7C" w:rsidRDefault="00ED7E82">
      <w:pPr>
        <w:spacing w:after="0" w:line="360" w:lineRule="auto"/>
        <w:ind w:left="3120" w:hanging="255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Рецензент: </w:t>
      </w:r>
      <w:r>
        <w:rPr>
          <w:rFonts w:ascii="Times New Roman" w:eastAsia="Times New Roman" w:hAnsi="Times New Roman" w:cs="Times New Roman"/>
          <w:sz w:val="28"/>
          <w:szCs w:val="28"/>
          <w:highlight w:val="white"/>
        </w:rPr>
        <w:t>д.п.н., проф. Гладкова В. М.</w:t>
      </w:r>
    </w:p>
    <w:p w:rsidR="00C66C7C" w:rsidRDefault="00ED7E82">
      <w:pPr>
        <w:spacing w:after="0" w:line="360" w:lineRule="auto"/>
        <w:ind w:left="3820" w:hanging="32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C66C7C" w:rsidRDefault="00ED7E82">
      <w:pPr>
        <w:spacing w:after="0"/>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                       Захищено на засіданні ЕК №_6_</w:t>
      </w:r>
    </w:p>
    <w:p w:rsidR="00C66C7C" w:rsidRDefault="00ED7E82">
      <w:pPr>
        <w:spacing w:after="0"/>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                   протокол № ___ від ___________</w:t>
      </w:r>
    </w:p>
    <w:p w:rsidR="00C66C7C" w:rsidRDefault="00ED7E82">
      <w:pPr>
        <w:spacing w:after="0"/>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____ від_______________                      Оцінка ____________/_____/_____</w:t>
      </w:r>
    </w:p>
    <w:p w:rsidR="00C66C7C" w:rsidRDefault="00ED7E82">
      <w:pPr>
        <w:spacing w:after="0"/>
        <w:ind w:firstLine="566"/>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(за національною шкалою, ECTS, бали)</w:t>
      </w:r>
    </w:p>
    <w:p w:rsidR="00C66C7C" w:rsidRDefault="00ED7E82">
      <w:pPr>
        <w:spacing w:after="0"/>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                                          Голова ЕК</w:t>
      </w:r>
    </w:p>
    <w:p w:rsidR="00727CE0" w:rsidRDefault="00ED7E82">
      <w:pPr>
        <w:spacing w:after="0"/>
        <w:ind w:firstLine="566"/>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__________ Цокур О.С.                             </w:t>
      </w:r>
      <w:r>
        <w:rPr>
          <w:rFonts w:ascii="Times New Roman" w:eastAsia="Times New Roman" w:hAnsi="Times New Roman" w:cs="Times New Roman"/>
          <w:sz w:val="28"/>
          <w:szCs w:val="28"/>
        </w:rPr>
        <w:tab/>
        <w:t xml:space="preserve">_____________ Князян М.О </w:t>
      </w:r>
    </w:p>
    <w:p w:rsidR="00727CE0" w:rsidRDefault="00727CE0">
      <w:pPr>
        <w:spacing w:after="0"/>
        <w:ind w:firstLine="566"/>
        <w:jc w:val="center"/>
        <w:rPr>
          <w:rFonts w:ascii="Times New Roman" w:eastAsia="Times New Roman" w:hAnsi="Times New Roman" w:cs="Times New Roman"/>
          <w:sz w:val="28"/>
          <w:szCs w:val="28"/>
        </w:rPr>
      </w:pPr>
    </w:p>
    <w:p w:rsidR="00727CE0" w:rsidRDefault="00727CE0">
      <w:pPr>
        <w:spacing w:after="0"/>
        <w:ind w:firstLine="566"/>
        <w:jc w:val="center"/>
        <w:rPr>
          <w:rFonts w:ascii="Times New Roman" w:eastAsia="Times New Roman" w:hAnsi="Times New Roman" w:cs="Times New Roman"/>
          <w:sz w:val="28"/>
          <w:szCs w:val="28"/>
        </w:rPr>
      </w:pPr>
    </w:p>
    <w:p w:rsidR="00727CE0" w:rsidRDefault="00727CE0">
      <w:pPr>
        <w:spacing w:after="0"/>
        <w:ind w:firstLine="566"/>
        <w:jc w:val="center"/>
        <w:rPr>
          <w:rFonts w:ascii="Times New Roman" w:eastAsia="Times New Roman" w:hAnsi="Times New Roman" w:cs="Times New Roman"/>
          <w:sz w:val="28"/>
          <w:szCs w:val="28"/>
        </w:rPr>
      </w:pPr>
    </w:p>
    <w:p w:rsidR="00C66C7C" w:rsidRDefault="00ED7E82">
      <w:pPr>
        <w:spacing w:after="0"/>
        <w:ind w:firstLine="566"/>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Одеса 2018</w:t>
      </w:r>
    </w:p>
    <w:p w:rsidR="00727CE0" w:rsidRDefault="00727CE0">
      <w:pPr>
        <w:spacing w:after="0" w:line="360" w:lineRule="auto"/>
        <w:ind w:firstLine="566"/>
        <w:jc w:val="center"/>
        <w:rPr>
          <w:rFonts w:ascii="Times New Roman" w:eastAsia="Times New Roman" w:hAnsi="Times New Roman" w:cs="Times New Roman"/>
          <w:sz w:val="28"/>
          <w:szCs w:val="28"/>
        </w:rPr>
      </w:pPr>
    </w:p>
    <w:p w:rsidR="00C66C7C" w:rsidRDefault="00ED7E82">
      <w:pPr>
        <w:spacing w:after="0" w:line="360" w:lineRule="auto"/>
        <w:ind w:firstLine="566"/>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АНОТАЦІЯ</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Леонова О. В. Шляхи оптимізації управління освітнім процесом у закладах вищої освіти: Магістерська робота за спеціальністю 011 Освітні, педагогічні науки (спеціалізація – Освітній менеджмент у вищій школі). – Одеса: Одеський національний університет імені І.І. Мечникова, 2018. – 80с.</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магістерській роботі досліджено проблему управління освітнім процесом у сучасних закладах вищої освіти. Визначено сутність поняття «управління освітою». Запропоновано шляхи оптимізації управління освітнім процесом на підставі досвіду організації освітнього процесу у закладах вищої освіти в інших країнах світу. Виявлено та обґрунтовано сім засобів ефективного покращення управління освітнім процесом, які спонукають як викладачів, так і студентів до творчого підходу в своїй праці, а також сприяють підвищенню статуса закладу вищої освіти на ринку вищої освіти: вільний вибір студентами предметів, що вивчаються; колективні проектні роботи; співпраця з підприємствами щодо фінансування проектів / студентів; діджиталізація ЗВО; дистанційне навчання; освітній туризм для викладачів. В умовах динамічності і невизначеності зовнішнього середовища ЗВО необхідно адекватно реагувати на мінливі освітні потреби суспільства і запити економіки, враховувати їх різноманіття (стати студіючою організацією), але при цьому, як педагогічній системі, здійснювати функцію передачі існуючої культури і формування її майбутнього стану. Розуміння освітнього процесу ЗВО як відкритої системи, що самоорганізується, яка знаходиться в постійному інформаційному обміні з єдиним інформаційним простором, зумовило появу потреби в ініціюванні механізмів управління, що активують її саморозвиток.</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підґрунті проведеного експеримента, виявлено, що студенти більшістю готові та відкриті до запропонованих змін в управлінні освітнім процесом. </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Ключові слова: управління, управління освітою, вища освіта, система освіти, досвід зарубіжних країн, заклад вищої освіти, оптимізація управління освітнім процесом, готовність.</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C66C7C" w:rsidRDefault="00ED7E82">
      <w:pPr>
        <w:spacing w:after="0" w:line="360" w:lineRule="auto"/>
        <w:ind w:firstLine="566"/>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SUMMARY</w:t>
      </w:r>
    </w:p>
    <w:p w:rsidR="00C66C7C" w:rsidRDefault="00C66C7C">
      <w:pPr>
        <w:spacing w:after="0" w:line="360" w:lineRule="auto"/>
        <w:ind w:firstLine="566"/>
        <w:jc w:val="both"/>
        <w:rPr>
          <w:rFonts w:ascii="Times New Roman" w:eastAsia="Times New Roman" w:hAnsi="Times New Roman" w:cs="Times New Roman"/>
          <w:sz w:val="28"/>
          <w:szCs w:val="28"/>
        </w:rPr>
      </w:pP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Leonova O. V. Ways of optimization of educational process management in institutions of higher education: Master's work in specialty 011 Educational, pedagogical sciences (specialization - Educational management in higher institution). - Odessa: Odessa National University named after II Mechnikov, 2018. - 80p.</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In the master's work the problem of management of educational process in modern institutions of higher education is researched. The essence of the concept of "education management" is determined. The ways of optimization of management of educational process based on the experience of organization of educational process in institutions of higher education in other countries of the world are offered. Seven means of effective improvement of educational process management, which prompt both teachers and students to the creative approach in their work, are revealed and substantiated, as well as they contribute to the improvement of the status of the institution of higher education on the market of higher education: the free choice of students of study subjects; collective project work; cooperation with enterprises on financing projects / students; digitalization of institutions of higher education; distance learning; educational tourism for teachers. In conditions of dynamism and uncertainty of the external environment, the institution of higher education needs to respond adequately to changing educational needs of the society and the demands of the economy, to take into account their diversity (to become a student organization), but, as a pedagogical system, to carry out the function of transferring the existing culture and forming its future state. Understanding the educational process of the institute of higher education as an open system which is self-organizing, is in a constant information </w:t>
      </w:r>
      <w:r>
        <w:rPr>
          <w:rFonts w:ascii="Times New Roman" w:eastAsia="Times New Roman" w:hAnsi="Times New Roman" w:cs="Times New Roman"/>
          <w:sz w:val="28"/>
          <w:szCs w:val="28"/>
        </w:rPr>
        <w:lastRenderedPageBreak/>
        <w:t>exchange with a single informational space, has led to the emergence of the need to initiate management mechanisms that activate its self-development.</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On the basis of the conducted experiment, it was discovered that most students are ready and open to the proposed changes in the management of the educational process.</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Key words: management, education management, higher education, educational system, experience of foreign countries, institution of higher education, optimization of educational process management, readiness.</w:t>
      </w:r>
    </w:p>
    <w:p w:rsidR="00C66C7C" w:rsidRDefault="00C66C7C">
      <w:pPr>
        <w:spacing w:after="0" w:line="360" w:lineRule="auto"/>
        <w:ind w:firstLine="566"/>
        <w:jc w:val="both"/>
        <w:rPr>
          <w:rFonts w:ascii="Times New Roman" w:eastAsia="Times New Roman" w:hAnsi="Times New Roman" w:cs="Times New Roman"/>
          <w:b/>
          <w:sz w:val="28"/>
          <w:szCs w:val="28"/>
        </w:rPr>
      </w:pPr>
    </w:p>
    <w:p w:rsidR="00C66C7C" w:rsidRDefault="00ED7E82">
      <w:pPr>
        <w:spacing w:after="0" w:line="360" w:lineRule="auto"/>
        <w:ind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C66C7C" w:rsidRDefault="00C66C7C">
      <w:pPr>
        <w:spacing w:after="0" w:line="501" w:lineRule="auto"/>
        <w:ind w:firstLine="566"/>
        <w:jc w:val="both"/>
        <w:rPr>
          <w:rFonts w:ascii="Times New Roman" w:eastAsia="Times New Roman" w:hAnsi="Times New Roman" w:cs="Times New Roman"/>
          <w:b/>
          <w:sz w:val="28"/>
          <w:szCs w:val="28"/>
        </w:rPr>
      </w:pPr>
    </w:p>
    <w:p w:rsidR="00C66C7C" w:rsidRDefault="00C66C7C">
      <w:pPr>
        <w:pBdr>
          <w:top w:val="nil"/>
          <w:left w:val="nil"/>
          <w:bottom w:val="nil"/>
          <w:right w:val="nil"/>
          <w:between w:val="nil"/>
        </w:pBdr>
        <w:spacing w:after="0" w:line="360" w:lineRule="auto"/>
        <w:ind w:firstLine="566"/>
        <w:jc w:val="both"/>
        <w:rPr>
          <w:rFonts w:ascii="Times New Roman" w:eastAsia="Times New Roman" w:hAnsi="Times New Roman" w:cs="Times New Roman"/>
          <w:b/>
          <w:sz w:val="28"/>
          <w:szCs w:val="28"/>
        </w:rPr>
      </w:pPr>
    </w:p>
    <w:p w:rsidR="00C66C7C" w:rsidRDefault="00C66C7C">
      <w:pPr>
        <w:spacing w:after="0" w:line="501" w:lineRule="auto"/>
        <w:ind w:firstLine="566"/>
        <w:jc w:val="both"/>
        <w:rPr>
          <w:rFonts w:ascii="Times New Roman" w:eastAsia="Times New Roman" w:hAnsi="Times New Roman" w:cs="Times New Roman"/>
          <w:b/>
          <w:sz w:val="28"/>
          <w:szCs w:val="28"/>
        </w:rPr>
      </w:pPr>
    </w:p>
    <w:p w:rsidR="00C66C7C" w:rsidRDefault="00C66C7C">
      <w:pPr>
        <w:spacing w:after="0" w:line="501" w:lineRule="auto"/>
        <w:ind w:firstLine="566"/>
        <w:jc w:val="both"/>
        <w:rPr>
          <w:rFonts w:ascii="Times New Roman" w:eastAsia="Times New Roman" w:hAnsi="Times New Roman" w:cs="Times New Roman"/>
          <w:b/>
          <w:sz w:val="28"/>
          <w:szCs w:val="28"/>
        </w:rPr>
      </w:pPr>
    </w:p>
    <w:p w:rsidR="00C66C7C" w:rsidRDefault="00C66C7C">
      <w:pPr>
        <w:spacing w:after="0" w:line="501" w:lineRule="auto"/>
        <w:ind w:firstLine="566"/>
        <w:jc w:val="both"/>
        <w:rPr>
          <w:rFonts w:ascii="Times New Roman" w:eastAsia="Times New Roman" w:hAnsi="Times New Roman" w:cs="Times New Roman"/>
          <w:b/>
          <w:sz w:val="28"/>
          <w:szCs w:val="28"/>
        </w:rPr>
      </w:pPr>
    </w:p>
    <w:p w:rsidR="00C66C7C" w:rsidRDefault="00C66C7C">
      <w:pPr>
        <w:spacing w:after="0" w:line="501" w:lineRule="auto"/>
        <w:ind w:firstLine="566"/>
        <w:jc w:val="both"/>
        <w:rPr>
          <w:rFonts w:ascii="Times New Roman" w:eastAsia="Times New Roman" w:hAnsi="Times New Roman" w:cs="Times New Roman"/>
          <w:b/>
          <w:sz w:val="28"/>
          <w:szCs w:val="28"/>
        </w:rPr>
      </w:pPr>
    </w:p>
    <w:p w:rsidR="00C66C7C" w:rsidRDefault="00C66C7C">
      <w:pPr>
        <w:spacing w:after="0" w:line="501" w:lineRule="auto"/>
        <w:ind w:firstLine="566"/>
        <w:jc w:val="both"/>
        <w:rPr>
          <w:rFonts w:ascii="Times New Roman" w:eastAsia="Times New Roman" w:hAnsi="Times New Roman" w:cs="Times New Roman"/>
          <w:b/>
          <w:sz w:val="28"/>
          <w:szCs w:val="28"/>
        </w:rPr>
      </w:pPr>
    </w:p>
    <w:p w:rsidR="00C66C7C" w:rsidRDefault="00C66C7C">
      <w:pPr>
        <w:spacing w:after="0" w:line="501" w:lineRule="auto"/>
        <w:ind w:firstLine="566"/>
        <w:rPr>
          <w:rFonts w:ascii="Times New Roman" w:eastAsia="Times New Roman" w:hAnsi="Times New Roman" w:cs="Times New Roman"/>
          <w:b/>
          <w:sz w:val="28"/>
          <w:szCs w:val="28"/>
        </w:rPr>
      </w:pPr>
    </w:p>
    <w:p w:rsidR="00C66C7C" w:rsidRDefault="00C66C7C">
      <w:pPr>
        <w:spacing w:after="0" w:line="501" w:lineRule="auto"/>
        <w:ind w:firstLine="566"/>
        <w:rPr>
          <w:rFonts w:ascii="Times New Roman" w:eastAsia="Times New Roman" w:hAnsi="Times New Roman" w:cs="Times New Roman"/>
          <w:b/>
          <w:sz w:val="28"/>
          <w:szCs w:val="28"/>
        </w:rPr>
      </w:pPr>
    </w:p>
    <w:p w:rsidR="00ED7E82" w:rsidRDefault="00ED7E82">
      <w:pPr>
        <w:spacing w:after="0" w:line="501" w:lineRule="auto"/>
        <w:ind w:firstLine="566"/>
        <w:jc w:val="center"/>
        <w:rPr>
          <w:rFonts w:ascii="Times New Roman" w:eastAsia="Times New Roman" w:hAnsi="Times New Roman" w:cs="Times New Roman"/>
          <w:sz w:val="28"/>
          <w:szCs w:val="28"/>
        </w:rPr>
      </w:pPr>
    </w:p>
    <w:p w:rsidR="00ED7E82" w:rsidRDefault="00ED7E82">
      <w:pPr>
        <w:spacing w:after="0" w:line="501" w:lineRule="auto"/>
        <w:ind w:firstLine="566"/>
        <w:jc w:val="center"/>
        <w:rPr>
          <w:rFonts w:ascii="Times New Roman" w:eastAsia="Times New Roman" w:hAnsi="Times New Roman" w:cs="Times New Roman"/>
          <w:sz w:val="28"/>
          <w:szCs w:val="28"/>
        </w:rPr>
      </w:pPr>
    </w:p>
    <w:p w:rsidR="00ED7E82" w:rsidRDefault="00ED7E82">
      <w:pPr>
        <w:spacing w:after="0" w:line="501" w:lineRule="auto"/>
        <w:ind w:firstLine="566"/>
        <w:jc w:val="center"/>
        <w:rPr>
          <w:rFonts w:ascii="Times New Roman" w:eastAsia="Times New Roman" w:hAnsi="Times New Roman" w:cs="Times New Roman"/>
          <w:sz w:val="28"/>
          <w:szCs w:val="28"/>
        </w:rPr>
      </w:pPr>
    </w:p>
    <w:p w:rsidR="00ED7E82" w:rsidRDefault="00ED7E82">
      <w:pPr>
        <w:spacing w:after="0" w:line="501" w:lineRule="auto"/>
        <w:ind w:firstLine="566"/>
        <w:jc w:val="center"/>
        <w:rPr>
          <w:rFonts w:ascii="Times New Roman" w:eastAsia="Times New Roman" w:hAnsi="Times New Roman" w:cs="Times New Roman"/>
          <w:sz w:val="28"/>
          <w:szCs w:val="28"/>
        </w:rPr>
      </w:pPr>
    </w:p>
    <w:p w:rsidR="00ED7E82" w:rsidRDefault="00ED7E82">
      <w:pPr>
        <w:spacing w:after="0" w:line="501" w:lineRule="auto"/>
        <w:ind w:firstLine="566"/>
        <w:jc w:val="center"/>
        <w:rPr>
          <w:rFonts w:ascii="Times New Roman" w:eastAsia="Times New Roman" w:hAnsi="Times New Roman" w:cs="Times New Roman"/>
          <w:sz w:val="28"/>
          <w:szCs w:val="28"/>
        </w:rPr>
      </w:pPr>
    </w:p>
    <w:p w:rsidR="00ED7E82" w:rsidRDefault="00ED7E82">
      <w:pPr>
        <w:spacing w:after="0" w:line="501" w:lineRule="auto"/>
        <w:ind w:firstLine="566"/>
        <w:jc w:val="center"/>
        <w:rPr>
          <w:rFonts w:ascii="Times New Roman" w:eastAsia="Times New Roman" w:hAnsi="Times New Roman" w:cs="Times New Roman"/>
          <w:sz w:val="28"/>
          <w:szCs w:val="28"/>
        </w:rPr>
      </w:pPr>
    </w:p>
    <w:p w:rsidR="00727CE0" w:rsidRPr="00B503E9" w:rsidRDefault="00727CE0" w:rsidP="00727CE0">
      <w:pPr>
        <w:jc w:val="center"/>
        <w:rPr>
          <w:rFonts w:ascii="Times New Roman" w:hAnsi="Times New Roman" w:cs="Times New Roman"/>
          <w:b/>
          <w:sz w:val="28"/>
          <w:szCs w:val="28"/>
          <w:lang w:val="ru-RU"/>
        </w:rPr>
      </w:pPr>
      <w:r w:rsidRPr="00B503E9">
        <w:rPr>
          <w:rFonts w:ascii="Times New Roman" w:hAnsi="Times New Roman" w:cs="Times New Roman"/>
          <w:b/>
          <w:sz w:val="28"/>
          <w:szCs w:val="28"/>
          <w:lang w:val="ru-RU"/>
        </w:rPr>
        <w:lastRenderedPageBreak/>
        <w:t>ЗМІ</w:t>
      </w:r>
      <w:proofErr w:type="gramStart"/>
      <w:r w:rsidRPr="00B503E9">
        <w:rPr>
          <w:rFonts w:ascii="Times New Roman" w:hAnsi="Times New Roman" w:cs="Times New Roman"/>
          <w:b/>
          <w:sz w:val="28"/>
          <w:szCs w:val="28"/>
          <w:lang w:val="ru-RU"/>
        </w:rPr>
        <w:t>СТ</w:t>
      </w:r>
      <w:proofErr w:type="gramEnd"/>
    </w:p>
    <w:p w:rsidR="00727CE0" w:rsidRPr="00B503E9" w:rsidRDefault="00727CE0" w:rsidP="00727CE0">
      <w:pPr>
        <w:rPr>
          <w:rFonts w:ascii="Times New Roman" w:hAnsi="Times New Roman" w:cs="Times New Roman"/>
          <w:sz w:val="28"/>
          <w:szCs w:val="28"/>
          <w:lang w:val="ru-RU"/>
        </w:rPr>
      </w:pPr>
      <w:r w:rsidRPr="00B503E9">
        <w:rPr>
          <w:rFonts w:ascii="Times New Roman" w:hAnsi="Times New Roman" w:cs="Times New Roman"/>
          <w:sz w:val="28"/>
          <w:szCs w:val="28"/>
          <w:lang w:val="ru-RU"/>
        </w:rPr>
        <w:t xml:space="preserve"> </w:t>
      </w:r>
    </w:p>
    <w:p w:rsidR="00727CE0" w:rsidRDefault="00727CE0" w:rsidP="00727CE0">
      <w:pPr>
        <w:rPr>
          <w:rFonts w:ascii="Times New Roman" w:hAnsi="Times New Roman" w:cs="Times New Roman"/>
          <w:sz w:val="28"/>
          <w:szCs w:val="28"/>
          <w:lang w:val="ru-RU"/>
        </w:rPr>
      </w:pPr>
      <w:proofErr w:type="gramStart"/>
      <w:r w:rsidRPr="00B503E9">
        <w:rPr>
          <w:rFonts w:ascii="Times New Roman" w:hAnsi="Times New Roman" w:cs="Times New Roman"/>
          <w:sz w:val="28"/>
          <w:szCs w:val="28"/>
          <w:lang w:val="ru-RU"/>
        </w:rPr>
        <w:t>ВСТУП</w:t>
      </w:r>
      <w:proofErr w:type="gramEnd"/>
      <w:r>
        <w:rPr>
          <w:rFonts w:ascii="Times New Roman" w:hAnsi="Times New Roman" w:cs="Times New Roman"/>
          <w:sz w:val="28"/>
          <w:szCs w:val="28"/>
        </w:rPr>
        <w:t>___________________________________________________________6</w:t>
      </w:r>
      <w:r w:rsidRPr="00B503E9">
        <w:rPr>
          <w:rFonts w:ascii="Times New Roman" w:hAnsi="Times New Roman" w:cs="Times New Roman"/>
          <w:sz w:val="28"/>
          <w:szCs w:val="28"/>
          <w:lang w:val="ru-RU"/>
        </w:rPr>
        <w:t xml:space="preserve"> </w:t>
      </w:r>
    </w:p>
    <w:p w:rsidR="00727CE0" w:rsidRPr="00B503E9" w:rsidRDefault="00727CE0" w:rsidP="00727CE0">
      <w:pPr>
        <w:rPr>
          <w:rFonts w:ascii="Times New Roman" w:hAnsi="Times New Roman" w:cs="Times New Roman"/>
          <w:sz w:val="28"/>
          <w:szCs w:val="28"/>
          <w:lang w:val="ru-RU"/>
        </w:rPr>
      </w:pPr>
      <w:r w:rsidRPr="00B503E9">
        <w:rPr>
          <w:rFonts w:ascii="Times New Roman" w:hAnsi="Times New Roman" w:cs="Times New Roman"/>
          <w:sz w:val="28"/>
          <w:szCs w:val="28"/>
          <w:lang w:val="ru-RU"/>
        </w:rPr>
        <w:t>РОЗДІЛ 1. ТЕОРЕТИЧНІ ОСНОВИ УПРАВЛІННЯ ОСВІТНІМ ПРОЦЕСОМ У ЗВО</w:t>
      </w:r>
      <w:r w:rsidRPr="00B503E9">
        <w:rPr>
          <w:rFonts w:ascii="Times New Roman" w:hAnsi="Times New Roman" w:cs="Times New Roman"/>
          <w:sz w:val="28"/>
          <w:szCs w:val="28"/>
          <w:lang w:val="ru-RU"/>
        </w:rPr>
        <w:tab/>
        <w:t xml:space="preserve"> </w:t>
      </w:r>
    </w:p>
    <w:p w:rsidR="00727CE0" w:rsidRPr="00B503E9" w:rsidRDefault="00727CE0" w:rsidP="00727CE0">
      <w:pPr>
        <w:rPr>
          <w:rFonts w:ascii="Times New Roman" w:hAnsi="Times New Roman" w:cs="Times New Roman"/>
          <w:sz w:val="28"/>
          <w:szCs w:val="28"/>
          <w:lang w:val="ru-RU"/>
        </w:rPr>
      </w:pPr>
      <w:r w:rsidRPr="00B503E9">
        <w:rPr>
          <w:rFonts w:ascii="Times New Roman" w:hAnsi="Times New Roman" w:cs="Times New Roman"/>
          <w:sz w:val="28"/>
          <w:szCs w:val="28"/>
          <w:lang w:val="ru-RU"/>
        </w:rPr>
        <w:t xml:space="preserve">1.1.    Аналіз поняттєво-категорійного апарату </w:t>
      </w:r>
      <w:proofErr w:type="gramStart"/>
      <w:r w:rsidRPr="00B503E9">
        <w:rPr>
          <w:rFonts w:ascii="Times New Roman" w:hAnsi="Times New Roman" w:cs="Times New Roman"/>
          <w:sz w:val="28"/>
          <w:szCs w:val="28"/>
          <w:lang w:val="ru-RU"/>
        </w:rPr>
        <w:t>досл</w:t>
      </w:r>
      <w:proofErr w:type="gramEnd"/>
      <w:r w:rsidRPr="00B503E9">
        <w:rPr>
          <w:rFonts w:ascii="Times New Roman" w:hAnsi="Times New Roman" w:cs="Times New Roman"/>
          <w:sz w:val="28"/>
          <w:szCs w:val="28"/>
          <w:lang w:val="ru-RU"/>
        </w:rPr>
        <w:t>ідження_______________</w:t>
      </w:r>
      <w:r w:rsidRPr="00727CE0">
        <w:rPr>
          <w:rFonts w:ascii="Times New Roman" w:hAnsi="Times New Roman" w:cs="Times New Roman"/>
          <w:sz w:val="28"/>
          <w:szCs w:val="28"/>
          <w:lang w:val="ru-RU"/>
        </w:rPr>
        <w:t>_______________________________________</w:t>
      </w:r>
      <w:r w:rsidRPr="00B503E9">
        <w:rPr>
          <w:rFonts w:ascii="Times New Roman" w:hAnsi="Times New Roman" w:cs="Times New Roman"/>
          <w:sz w:val="28"/>
          <w:szCs w:val="28"/>
          <w:lang w:val="ru-RU"/>
        </w:rPr>
        <w:t>11</w:t>
      </w:r>
    </w:p>
    <w:p w:rsidR="00727CE0" w:rsidRPr="00B503E9" w:rsidRDefault="00727CE0" w:rsidP="00727CE0">
      <w:pPr>
        <w:rPr>
          <w:rFonts w:ascii="Times New Roman" w:hAnsi="Times New Roman" w:cs="Times New Roman"/>
          <w:sz w:val="28"/>
          <w:szCs w:val="28"/>
          <w:lang w:val="ru-RU"/>
        </w:rPr>
      </w:pPr>
      <w:r w:rsidRPr="00B503E9">
        <w:rPr>
          <w:rFonts w:ascii="Times New Roman" w:hAnsi="Times New Roman" w:cs="Times New Roman"/>
          <w:sz w:val="28"/>
          <w:szCs w:val="28"/>
          <w:lang w:val="ru-RU"/>
        </w:rPr>
        <w:t>1.2.    Аналіз досвіду удосконалення управління освітою в Україні та за кордоном________________________________________________________19</w:t>
      </w:r>
    </w:p>
    <w:p w:rsidR="00727CE0" w:rsidRPr="00B503E9" w:rsidRDefault="00727CE0" w:rsidP="00727CE0">
      <w:pPr>
        <w:rPr>
          <w:rFonts w:ascii="Times New Roman" w:hAnsi="Times New Roman" w:cs="Times New Roman"/>
          <w:sz w:val="28"/>
          <w:szCs w:val="28"/>
          <w:lang w:val="ru-RU"/>
        </w:rPr>
      </w:pPr>
      <w:r w:rsidRPr="00B503E9">
        <w:rPr>
          <w:rFonts w:ascii="Times New Roman" w:hAnsi="Times New Roman" w:cs="Times New Roman"/>
          <w:sz w:val="28"/>
          <w:szCs w:val="28"/>
          <w:lang w:val="ru-RU"/>
        </w:rPr>
        <w:t>ВИС</w:t>
      </w:r>
      <w:r>
        <w:rPr>
          <w:rFonts w:ascii="Times New Roman" w:hAnsi="Times New Roman" w:cs="Times New Roman"/>
          <w:sz w:val="28"/>
          <w:szCs w:val="28"/>
          <w:lang w:val="ru-RU"/>
        </w:rPr>
        <w:t>НОВКИ ДО РОЗДІЛУ</w:t>
      </w:r>
      <w:r w:rsidRPr="00727CE0">
        <w:rPr>
          <w:rFonts w:ascii="Times New Roman" w:hAnsi="Times New Roman" w:cs="Times New Roman"/>
          <w:sz w:val="28"/>
          <w:szCs w:val="28"/>
          <w:lang w:val="ru-RU"/>
        </w:rPr>
        <w:t xml:space="preserve"> </w:t>
      </w:r>
      <w:r w:rsidRPr="00B503E9">
        <w:rPr>
          <w:rFonts w:ascii="Times New Roman" w:hAnsi="Times New Roman" w:cs="Times New Roman"/>
          <w:sz w:val="28"/>
          <w:szCs w:val="28"/>
          <w:lang w:val="ru-RU"/>
        </w:rPr>
        <w:t>1________________________________________</w:t>
      </w:r>
      <w:r>
        <w:rPr>
          <w:rFonts w:ascii="Times New Roman" w:hAnsi="Times New Roman" w:cs="Times New Roman"/>
          <w:sz w:val="28"/>
          <w:szCs w:val="28"/>
        </w:rPr>
        <w:t>_</w:t>
      </w:r>
      <w:r w:rsidRPr="00727CE0">
        <w:rPr>
          <w:rFonts w:ascii="Times New Roman" w:hAnsi="Times New Roman" w:cs="Times New Roman"/>
          <w:sz w:val="28"/>
          <w:szCs w:val="28"/>
          <w:lang w:val="ru-RU"/>
        </w:rPr>
        <w:t>______________________</w:t>
      </w:r>
      <w:r w:rsidRPr="00B503E9">
        <w:rPr>
          <w:rFonts w:ascii="Times New Roman" w:hAnsi="Times New Roman" w:cs="Times New Roman"/>
          <w:sz w:val="28"/>
          <w:szCs w:val="28"/>
          <w:lang w:val="ru-RU"/>
        </w:rPr>
        <w:t>36</w:t>
      </w:r>
    </w:p>
    <w:p w:rsidR="00727CE0" w:rsidRPr="00B503E9" w:rsidRDefault="00727CE0" w:rsidP="00727CE0">
      <w:pPr>
        <w:rPr>
          <w:rFonts w:ascii="Times New Roman" w:hAnsi="Times New Roman" w:cs="Times New Roman"/>
          <w:sz w:val="28"/>
          <w:szCs w:val="28"/>
          <w:lang w:val="ru-RU"/>
        </w:rPr>
      </w:pPr>
      <w:r w:rsidRPr="00B503E9">
        <w:rPr>
          <w:rFonts w:ascii="Times New Roman" w:hAnsi="Times New Roman" w:cs="Times New Roman"/>
          <w:sz w:val="28"/>
          <w:szCs w:val="28"/>
          <w:lang w:val="ru-RU"/>
        </w:rPr>
        <w:t>СПИСОК ВИКОРИСТАНИХ ДЖЕРЕЛ ДО РОЗДІЛУ 1_______________</w:t>
      </w:r>
      <w:r w:rsidRPr="00727CE0">
        <w:rPr>
          <w:rFonts w:ascii="Times New Roman" w:hAnsi="Times New Roman" w:cs="Times New Roman"/>
          <w:sz w:val="28"/>
          <w:szCs w:val="28"/>
          <w:lang w:val="ru-RU"/>
        </w:rPr>
        <w:t>_____________________________________________</w:t>
      </w:r>
      <w:r w:rsidRPr="00B503E9">
        <w:rPr>
          <w:rFonts w:ascii="Times New Roman" w:hAnsi="Times New Roman" w:cs="Times New Roman"/>
          <w:sz w:val="28"/>
          <w:szCs w:val="28"/>
          <w:lang w:val="ru-RU"/>
        </w:rPr>
        <w:t>___39</w:t>
      </w:r>
    </w:p>
    <w:p w:rsidR="00727CE0" w:rsidRPr="00B503E9" w:rsidRDefault="00727CE0" w:rsidP="00727CE0">
      <w:pPr>
        <w:rPr>
          <w:rFonts w:ascii="Times New Roman" w:hAnsi="Times New Roman" w:cs="Times New Roman"/>
          <w:sz w:val="28"/>
          <w:szCs w:val="28"/>
          <w:lang w:val="ru-RU"/>
        </w:rPr>
      </w:pPr>
      <w:r w:rsidRPr="00B503E9">
        <w:rPr>
          <w:rFonts w:ascii="Times New Roman" w:hAnsi="Times New Roman" w:cs="Times New Roman"/>
          <w:sz w:val="28"/>
          <w:szCs w:val="28"/>
          <w:lang w:val="ru-RU"/>
        </w:rPr>
        <w:t>РОЗДІЛ 2. ПРАКТИКА УПРАВЛІННЯ ОСВІТНІМ ПРОЦЕСОМ У ЗВО</w:t>
      </w:r>
      <w:r w:rsidRPr="00B503E9">
        <w:rPr>
          <w:rFonts w:ascii="Times New Roman" w:hAnsi="Times New Roman" w:cs="Times New Roman"/>
          <w:sz w:val="28"/>
          <w:szCs w:val="28"/>
          <w:lang w:val="ru-RU"/>
        </w:rPr>
        <w:tab/>
        <w:t xml:space="preserve"> </w:t>
      </w:r>
    </w:p>
    <w:p w:rsidR="00727CE0" w:rsidRPr="00B503E9" w:rsidRDefault="00727CE0" w:rsidP="00727CE0">
      <w:pPr>
        <w:rPr>
          <w:rFonts w:ascii="Times New Roman" w:hAnsi="Times New Roman" w:cs="Times New Roman"/>
          <w:sz w:val="28"/>
          <w:szCs w:val="28"/>
          <w:lang w:val="ru-RU"/>
        </w:rPr>
      </w:pPr>
      <w:r w:rsidRPr="00B503E9">
        <w:rPr>
          <w:rFonts w:ascii="Times New Roman" w:hAnsi="Times New Roman" w:cs="Times New Roman"/>
          <w:sz w:val="28"/>
          <w:szCs w:val="28"/>
          <w:lang w:val="ru-RU"/>
        </w:rPr>
        <w:t>2.1.    Аналіз сучасного стану упр</w:t>
      </w:r>
      <w:r>
        <w:rPr>
          <w:rFonts w:ascii="Times New Roman" w:hAnsi="Times New Roman" w:cs="Times New Roman"/>
          <w:sz w:val="28"/>
          <w:szCs w:val="28"/>
          <w:lang w:val="ru-RU"/>
        </w:rPr>
        <w:t>авління освітнім процесом у ЗВО___</w:t>
      </w:r>
      <w:r w:rsidRPr="00727CE0">
        <w:rPr>
          <w:rFonts w:ascii="Times New Roman" w:hAnsi="Times New Roman" w:cs="Times New Roman"/>
          <w:sz w:val="28"/>
          <w:szCs w:val="28"/>
          <w:lang w:val="ru-RU"/>
        </w:rPr>
        <w:t>____________________________________________________</w:t>
      </w:r>
      <w:r>
        <w:rPr>
          <w:rFonts w:ascii="Times New Roman" w:hAnsi="Times New Roman" w:cs="Times New Roman"/>
          <w:sz w:val="28"/>
          <w:szCs w:val="28"/>
          <w:lang w:val="ru-RU"/>
        </w:rPr>
        <w:t>_____43</w:t>
      </w:r>
    </w:p>
    <w:p w:rsidR="00727CE0" w:rsidRPr="00B503E9" w:rsidRDefault="00727CE0" w:rsidP="00727CE0">
      <w:pPr>
        <w:rPr>
          <w:rFonts w:ascii="Times New Roman" w:hAnsi="Times New Roman" w:cs="Times New Roman"/>
          <w:sz w:val="28"/>
          <w:szCs w:val="28"/>
          <w:lang w:val="ru-RU"/>
        </w:rPr>
      </w:pPr>
      <w:r w:rsidRPr="00B503E9">
        <w:rPr>
          <w:rFonts w:ascii="Times New Roman" w:hAnsi="Times New Roman" w:cs="Times New Roman"/>
          <w:sz w:val="28"/>
          <w:szCs w:val="28"/>
          <w:lang w:val="ru-RU"/>
        </w:rPr>
        <w:t>2.2.    Рекомендації щодо оптимізації управління освітнім процесом у ЗВО_</w:t>
      </w:r>
      <w:r w:rsidRPr="00727CE0">
        <w:rPr>
          <w:rFonts w:ascii="Times New Roman" w:hAnsi="Times New Roman" w:cs="Times New Roman"/>
          <w:sz w:val="28"/>
          <w:szCs w:val="28"/>
          <w:lang w:val="ru-RU"/>
        </w:rPr>
        <w:t>__________________________________________________________</w:t>
      </w:r>
      <w:r w:rsidRPr="00B503E9">
        <w:rPr>
          <w:rFonts w:ascii="Times New Roman" w:hAnsi="Times New Roman" w:cs="Times New Roman"/>
          <w:sz w:val="28"/>
          <w:szCs w:val="28"/>
          <w:lang w:val="ru-RU"/>
        </w:rPr>
        <w:t>_49</w:t>
      </w:r>
    </w:p>
    <w:p w:rsidR="00727CE0" w:rsidRPr="00B503E9" w:rsidRDefault="00727CE0" w:rsidP="00727CE0">
      <w:pPr>
        <w:rPr>
          <w:rFonts w:ascii="Times New Roman" w:hAnsi="Times New Roman" w:cs="Times New Roman"/>
          <w:sz w:val="28"/>
          <w:szCs w:val="28"/>
          <w:lang w:val="ru-RU"/>
        </w:rPr>
      </w:pPr>
      <w:r w:rsidRPr="00B503E9">
        <w:rPr>
          <w:rFonts w:ascii="Times New Roman" w:hAnsi="Times New Roman" w:cs="Times New Roman"/>
          <w:sz w:val="28"/>
          <w:szCs w:val="28"/>
          <w:lang w:val="ru-RU"/>
        </w:rPr>
        <w:t>ВИСНОВКИ ДО РОЗДІЛУ 2___</w:t>
      </w:r>
      <w:r w:rsidRPr="004E4F05">
        <w:rPr>
          <w:rFonts w:ascii="Times New Roman" w:hAnsi="Times New Roman" w:cs="Times New Roman"/>
          <w:sz w:val="28"/>
          <w:szCs w:val="28"/>
          <w:lang w:val="ru-RU"/>
        </w:rPr>
        <w:t>______________________</w:t>
      </w:r>
      <w:r w:rsidRPr="00B503E9">
        <w:rPr>
          <w:rFonts w:ascii="Times New Roman" w:hAnsi="Times New Roman" w:cs="Times New Roman"/>
          <w:sz w:val="28"/>
          <w:szCs w:val="28"/>
          <w:lang w:val="ru-RU"/>
        </w:rPr>
        <w:t>______________________________________67</w:t>
      </w:r>
    </w:p>
    <w:p w:rsidR="00727CE0" w:rsidRPr="00B503E9" w:rsidRDefault="00727CE0" w:rsidP="00727CE0">
      <w:pPr>
        <w:rPr>
          <w:rFonts w:ascii="Times New Roman" w:hAnsi="Times New Roman" w:cs="Times New Roman"/>
          <w:sz w:val="28"/>
          <w:szCs w:val="28"/>
          <w:lang w:val="ru-RU"/>
        </w:rPr>
      </w:pPr>
      <w:r w:rsidRPr="00B503E9">
        <w:rPr>
          <w:rFonts w:ascii="Times New Roman" w:hAnsi="Times New Roman" w:cs="Times New Roman"/>
          <w:sz w:val="28"/>
          <w:szCs w:val="28"/>
          <w:lang w:val="ru-RU"/>
        </w:rPr>
        <w:t>СПИСОК</w:t>
      </w:r>
      <w:r>
        <w:rPr>
          <w:rFonts w:ascii="Times New Roman" w:hAnsi="Times New Roman" w:cs="Times New Roman"/>
          <w:sz w:val="28"/>
          <w:szCs w:val="28"/>
          <w:lang w:val="ru-RU"/>
        </w:rPr>
        <w:t xml:space="preserve"> ВИКОРИСТАНИХ ДЖЕРЕЛ ДО РОЗДІЛУ </w:t>
      </w:r>
      <w:r w:rsidRPr="00B503E9">
        <w:rPr>
          <w:rFonts w:ascii="Times New Roman" w:hAnsi="Times New Roman" w:cs="Times New Roman"/>
          <w:sz w:val="28"/>
          <w:szCs w:val="28"/>
          <w:lang w:val="ru-RU"/>
        </w:rPr>
        <w:t>2</w:t>
      </w:r>
      <w:r>
        <w:rPr>
          <w:rFonts w:ascii="Times New Roman" w:hAnsi="Times New Roman" w:cs="Times New Roman"/>
          <w:sz w:val="28"/>
          <w:szCs w:val="28"/>
          <w:lang w:val="ru-RU"/>
        </w:rPr>
        <w:t>__________________</w:t>
      </w:r>
      <w:r w:rsidRPr="00727CE0">
        <w:rPr>
          <w:rFonts w:ascii="Times New Roman" w:hAnsi="Times New Roman" w:cs="Times New Roman"/>
          <w:sz w:val="28"/>
          <w:szCs w:val="28"/>
          <w:lang w:val="ru-RU"/>
        </w:rPr>
        <w:t>_____________________________________________</w:t>
      </w:r>
      <w:r w:rsidRPr="00B503E9">
        <w:rPr>
          <w:rFonts w:ascii="Times New Roman" w:hAnsi="Times New Roman" w:cs="Times New Roman"/>
          <w:sz w:val="28"/>
          <w:szCs w:val="28"/>
          <w:lang w:val="ru-RU"/>
        </w:rPr>
        <w:t>70</w:t>
      </w:r>
    </w:p>
    <w:p w:rsidR="00727CE0" w:rsidRPr="00B503E9" w:rsidRDefault="00727CE0" w:rsidP="00727CE0">
      <w:pPr>
        <w:rPr>
          <w:rFonts w:ascii="Times New Roman" w:hAnsi="Times New Roman" w:cs="Times New Roman"/>
          <w:sz w:val="28"/>
          <w:szCs w:val="28"/>
        </w:rPr>
      </w:pPr>
      <w:r w:rsidRPr="00B503E9">
        <w:rPr>
          <w:rFonts w:ascii="Times New Roman" w:hAnsi="Times New Roman" w:cs="Times New Roman"/>
          <w:sz w:val="28"/>
          <w:szCs w:val="28"/>
        </w:rPr>
        <w:t>ВИСНОВКИ</w:t>
      </w:r>
      <w:r>
        <w:rPr>
          <w:rFonts w:ascii="Times New Roman" w:hAnsi="Times New Roman" w:cs="Times New Roman"/>
          <w:sz w:val="28"/>
          <w:szCs w:val="28"/>
        </w:rPr>
        <w:t>_____________________________________________________73</w:t>
      </w:r>
    </w:p>
    <w:p w:rsidR="00727CE0" w:rsidRPr="00B503E9" w:rsidRDefault="00727CE0" w:rsidP="00727CE0">
      <w:pPr>
        <w:rPr>
          <w:rFonts w:ascii="Times New Roman" w:hAnsi="Times New Roman" w:cs="Times New Roman"/>
          <w:sz w:val="28"/>
          <w:szCs w:val="28"/>
        </w:rPr>
      </w:pPr>
      <w:r w:rsidRPr="00B503E9">
        <w:rPr>
          <w:rFonts w:ascii="Times New Roman" w:hAnsi="Times New Roman" w:cs="Times New Roman"/>
          <w:sz w:val="28"/>
          <w:szCs w:val="28"/>
        </w:rPr>
        <w:t>ДОДА</w:t>
      </w:r>
      <w:r>
        <w:rPr>
          <w:rFonts w:ascii="Times New Roman" w:hAnsi="Times New Roman" w:cs="Times New Roman"/>
          <w:sz w:val="28"/>
          <w:szCs w:val="28"/>
        </w:rPr>
        <w:t>ТКИ_______________________________________________________76</w:t>
      </w:r>
    </w:p>
    <w:p w:rsidR="00727CE0" w:rsidRDefault="00727CE0">
      <w:pPr>
        <w:spacing w:after="0" w:line="360" w:lineRule="auto"/>
        <w:ind w:firstLine="566"/>
        <w:jc w:val="center"/>
        <w:rPr>
          <w:rFonts w:ascii="Times New Roman" w:eastAsia="Times New Roman" w:hAnsi="Times New Roman" w:cs="Times New Roman"/>
          <w:b/>
          <w:sz w:val="28"/>
          <w:szCs w:val="28"/>
        </w:rPr>
      </w:pPr>
    </w:p>
    <w:p w:rsidR="00727CE0" w:rsidRDefault="00727CE0">
      <w:pPr>
        <w:spacing w:after="0" w:line="360" w:lineRule="auto"/>
        <w:ind w:firstLine="566"/>
        <w:jc w:val="center"/>
        <w:rPr>
          <w:rFonts w:ascii="Times New Roman" w:eastAsia="Times New Roman" w:hAnsi="Times New Roman" w:cs="Times New Roman"/>
          <w:b/>
          <w:sz w:val="28"/>
          <w:szCs w:val="28"/>
        </w:rPr>
      </w:pPr>
    </w:p>
    <w:p w:rsidR="00727CE0" w:rsidRDefault="00727CE0">
      <w:pPr>
        <w:spacing w:after="0" w:line="360" w:lineRule="auto"/>
        <w:ind w:firstLine="566"/>
        <w:jc w:val="center"/>
        <w:rPr>
          <w:rFonts w:ascii="Times New Roman" w:eastAsia="Times New Roman" w:hAnsi="Times New Roman" w:cs="Times New Roman"/>
          <w:b/>
          <w:sz w:val="28"/>
          <w:szCs w:val="28"/>
        </w:rPr>
      </w:pPr>
    </w:p>
    <w:p w:rsidR="00727CE0" w:rsidRDefault="00727CE0">
      <w:pPr>
        <w:spacing w:after="0" w:line="360" w:lineRule="auto"/>
        <w:ind w:firstLine="566"/>
        <w:jc w:val="center"/>
        <w:rPr>
          <w:rFonts w:ascii="Times New Roman" w:eastAsia="Times New Roman" w:hAnsi="Times New Roman" w:cs="Times New Roman"/>
          <w:b/>
          <w:sz w:val="28"/>
          <w:szCs w:val="28"/>
        </w:rPr>
      </w:pPr>
    </w:p>
    <w:p w:rsidR="00C66C7C" w:rsidRDefault="00ED7E82">
      <w:pPr>
        <w:spacing w:after="0" w:line="360" w:lineRule="auto"/>
        <w:ind w:firstLine="566"/>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rsidR="00C66C7C" w:rsidRDefault="00C66C7C">
      <w:pPr>
        <w:spacing w:after="0" w:line="360" w:lineRule="auto"/>
        <w:ind w:firstLine="566"/>
        <w:jc w:val="both"/>
        <w:rPr>
          <w:rFonts w:ascii="Times New Roman" w:eastAsia="Times New Roman" w:hAnsi="Times New Roman" w:cs="Times New Roman"/>
          <w:sz w:val="28"/>
          <w:szCs w:val="28"/>
        </w:rPr>
      </w:pP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Сьогодні освіту сприймаю</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ть як один із найважли</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віших факторів забезпеч</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ення сталого і високоеф</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ективного розвитку суспільс</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тва, задоволе</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ння сучасних і майбутні</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х потреб людства, розв’язання економіч</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них, соціальн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их, екологіч</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них та інших проблем.</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даними американського дослідницького центру Фонд Спадщини (The Heritage Foundation) разом із газетою The Wall Street Journal, у 2018 році Україна зайняла 150-е місце з 180 країн у рейтингу економічної свободи та знаходиться у групі країн із переважно невільною економікою [32]. Одним з найголовніших факторів розвитку економіки є якість людського капіталу та розвиток суспільства в цілому. Це питання вирішує сучасна система освіти. </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Ситуація на вітчизня</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ному ринку освітніх послуг стає все більш напружен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ою. Так, з одного боку, на ринок виходить все більше і більше комерцій</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них ЗВО, що, хоча поки і поступаю</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ться престиже</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м державни</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м ЗВО, проте завдяки мобільно</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сті поступов</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о збільшую</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ть свою частку. З іншого боку – криза в економіц</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і привела до різкого відтоку кваліфік</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ованих кадрів у більш оплачува</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ні галузі економік</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и. Особливо це стосуєть</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ся молодих кадрів. З третього боку – Україна підписал</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а Болонськ</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у декларац</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ію, що несе для вітчизня</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ного ринку освітніх послуг як позитивн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і, так і негативн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і сторони. І, перш за все, це цілком нові вимоги до структур</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и та суті освітніх програм. Все це породжує проблему пошуку нових джерел підвищен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ня конкурен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тоспроможності ЗВО для виживанн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я у конкурен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тному середови</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щі, що постійно ускладню</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ється, ЗВО необхідн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о розробля</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ти і впровадж</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увати сучасні теоретич</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ні та методоло</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гічні основи управлін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ня.</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Багато наукових дослідже</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нь присвяче</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но питанню управлін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ня закладам</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и освіти. Зокрема, загальні положенн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я теорії управлін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ня висвітле</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ні у працях М. Альберта, А. Маслоу, Ф. Тейлора, А. Файоля та ін. Теоретич</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ні наробки з питань процесу управлін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ня ЗНЗ знайшли відображ</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 xml:space="preserve">ення у В. Бондаря, Л. </w:t>
      </w:r>
      <w:r>
        <w:rPr>
          <w:rFonts w:ascii="Times New Roman" w:eastAsia="Times New Roman" w:hAnsi="Times New Roman" w:cs="Times New Roman"/>
          <w:sz w:val="28"/>
          <w:szCs w:val="28"/>
        </w:rPr>
        <w:lastRenderedPageBreak/>
        <w:t>Ващенко, Л. Даниленк</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о, Г. Єльников</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ої, В. Маслова, О. Мойсєєва, В. Пікельно</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ї, М. Поташник</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а, В. Сімонова, П. Третьяко</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ва, Т. Шамової та ін.</w:t>
      </w:r>
    </w:p>
    <w:p w:rsidR="00C66C7C" w:rsidRDefault="00ED7E82">
      <w:pPr>
        <w:spacing w:after="0" w:line="360" w:lineRule="auto"/>
        <w:ind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Аналіз наукових джерел та емпіричних матеріалів, вивчення сучасного досвіду управління освітнім процесом у закладах вищої освіти засвідчили наявність </w:t>
      </w:r>
      <w:r>
        <w:rPr>
          <w:rFonts w:ascii="Times New Roman" w:eastAsia="Times New Roman" w:hAnsi="Times New Roman" w:cs="Times New Roman"/>
          <w:sz w:val="28"/>
          <w:szCs w:val="28"/>
          <w:highlight w:val="white"/>
        </w:rPr>
        <w:t>суперечностей, що потребують результативного вирішення, зокрема, між змістом навчання і виховання, що детермінується соціумом, та відчуттям вільного вибору того, хто навчається (В. Лютай, Ш. Амонішвілі), розрив між кваліфікаційними характеристиками, яким мають відповідати випускники ЗВО України, та реальними потребами суспільства і вимогами ринкової економіки (В. Ярошовець, С. Клепко), суперечність між політико-економічними та освітньо-культурними інтересами вітчизняної еліти (), суперечності в теоретико-методологічних засадах реформування вищої освіти в сучасній Україні (В. Кремень, В. Андрущенко, М. Михальченко) [27, 11, 12, 20, 15, 1].</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Актуальність дослідження, необхідність усунення означених суперечностей зумовили вибір теми дослідження «Шляхи оптимізації управління освітнім процесом у ЗВО».</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Зв’язок роботи з науковими планами та темами. Дослідження виконано згідно з темою, передбаченою планом науково-дослідницької роботи Одеського національного університету імені І. І. Мечникова «</w:t>
      </w:r>
      <w:r>
        <w:rPr>
          <w:rFonts w:ascii="Times New Roman" w:eastAsia="Times New Roman" w:hAnsi="Times New Roman" w:cs="Times New Roman"/>
          <w:sz w:val="28"/>
          <w:szCs w:val="28"/>
          <w:highlight w:val="white"/>
        </w:rPr>
        <w:t>Університетська педагогічна освіта: історія, теорія і перспективи розвитку в умовах глобалізації</w:t>
      </w:r>
      <w:r>
        <w:rPr>
          <w:rFonts w:ascii="Times New Roman" w:eastAsia="Times New Roman" w:hAnsi="Times New Roman" w:cs="Times New Roman"/>
          <w:sz w:val="28"/>
          <w:szCs w:val="28"/>
        </w:rPr>
        <w:t xml:space="preserve">» (державний реєстраційний номер </w:t>
      </w:r>
      <w:r>
        <w:rPr>
          <w:rFonts w:ascii="Times New Roman" w:eastAsia="Times New Roman" w:hAnsi="Times New Roman" w:cs="Times New Roman"/>
          <w:sz w:val="28"/>
          <w:szCs w:val="28"/>
          <w:highlight w:val="white"/>
        </w:rPr>
        <w:t>0107U003865</w:t>
      </w:r>
      <w:r>
        <w:rPr>
          <w:rFonts w:ascii="Times New Roman" w:eastAsia="Times New Roman" w:hAnsi="Times New Roman" w:cs="Times New Roman"/>
          <w:sz w:val="28"/>
          <w:szCs w:val="28"/>
        </w:rPr>
        <w:t>). Автором досліджувався аспект проблеми пов'язаний з визначенням сутності, класифікацією та розробленням інтрументарію для моніторингу процесу формування готовності до використання інноваційних технологій навчання іноземної мови в освітньому процесі закладу вищої освіти.</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Мета </w:t>
      </w:r>
      <w:r>
        <w:rPr>
          <w:rFonts w:ascii="Times New Roman" w:eastAsia="Times New Roman" w:hAnsi="Times New Roman" w:cs="Times New Roman"/>
          <w:sz w:val="28"/>
          <w:szCs w:val="28"/>
        </w:rPr>
        <w:t>дипломно</w:t>
      </w:r>
      <w:r>
        <w:rPr>
          <w:rFonts w:ascii="Times New Roman" w:eastAsia="Times New Roman" w:hAnsi="Times New Roman" w:cs="Times New Roman"/>
          <w:b/>
          <w:sz w:val="2"/>
          <w:szCs w:val="2"/>
        </w:rPr>
        <w:t>ֺ</w:t>
      </w:r>
      <w:r>
        <w:rPr>
          <w:rFonts w:ascii="Times New Roman" w:eastAsia="Times New Roman" w:hAnsi="Times New Roman" w:cs="Times New Roman"/>
          <w:sz w:val="28"/>
          <w:szCs w:val="28"/>
        </w:rPr>
        <w:t>ї роботи полягає у визначен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ні та теоретичному обґрунтуванні шляхів оптиміза</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ції управлiн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ня освітнім процесом у закладах вищої освіти.</w:t>
      </w:r>
      <w:r>
        <w:rPr>
          <w:rFonts w:ascii="Times New Roman" w:eastAsia="Times New Roman" w:hAnsi="Times New Roman" w:cs="Times New Roman"/>
          <w:sz w:val="2"/>
          <w:szCs w:val="2"/>
        </w:rPr>
        <w:t>ֺ</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Об’єкт дослідже</w:t>
      </w:r>
      <w:r>
        <w:rPr>
          <w:rFonts w:ascii="Times New Roman" w:eastAsia="Times New Roman" w:hAnsi="Times New Roman" w:cs="Times New Roman"/>
          <w:b/>
          <w:sz w:val="2"/>
          <w:szCs w:val="2"/>
        </w:rPr>
        <w:t>ֺ</w:t>
      </w:r>
      <w:r>
        <w:rPr>
          <w:rFonts w:ascii="Times New Roman" w:eastAsia="Times New Roman" w:hAnsi="Times New Roman" w:cs="Times New Roman"/>
          <w:b/>
          <w:sz w:val="28"/>
          <w:szCs w:val="28"/>
        </w:rPr>
        <w:t>ння:</w:t>
      </w:r>
      <w:r>
        <w:rPr>
          <w:rFonts w:ascii="Times New Roman" w:eastAsia="Times New Roman" w:hAnsi="Times New Roman" w:cs="Times New Roman"/>
          <w:sz w:val="28"/>
          <w:szCs w:val="28"/>
        </w:rPr>
        <w:t xml:space="preserve"> управління освітнім процесом у закладах вищої освіти.</w:t>
      </w:r>
      <w:r>
        <w:rPr>
          <w:rFonts w:ascii="Times New Roman" w:eastAsia="Times New Roman" w:hAnsi="Times New Roman" w:cs="Times New Roman"/>
          <w:sz w:val="2"/>
          <w:szCs w:val="2"/>
        </w:rPr>
        <w:t>ֺ</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 дослідже</w:t>
      </w:r>
      <w:r>
        <w:rPr>
          <w:rFonts w:ascii="Times New Roman" w:eastAsia="Times New Roman" w:hAnsi="Times New Roman" w:cs="Times New Roman"/>
          <w:b/>
          <w:sz w:val="2"/>
          <w:szCs w:val="2"/>
        </w:rPr>
        <w:t>ֺ</w:t>
      </w:r>
      <w:r>
        <w:rPr>
          <w:rFonts w:ascii="Times New Roman" w:eastAsia="Times New Roman" w:hAnsi="Times New Roman" w:cs="Times New Roman"/>
          <w:b/>
          <w:sz w:val="28"/>
          <w:szCs w:val="28"/>
        </w:rPr>
        <w:t>ння:</w:t>
      </w:r>
      <w:r>
        <w:rPr>
          <w:rFonts w:ascii="Times New Roman" w:eastAsia="Times New Roman" w:hAnsi="Times New Roman" w:cs="Times New Roman"/>
          <w:sz w:val="28"/>
          <w:szCs w:val="28"/>
        </w:rPr>
        <w:t xml:space="preserve"> шляхи оптиміза</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ції управлiн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ня освітнім процесом у закладах вищої освіти.</w:t>
      </w:r>
      <w:r>
        <w:rPr>
          <w:rFonts w:ascii="Times New Roman" w:eastAsia="Times New Roman" w:hAnsi="Times New Roman" w:cs="Times New Roman"/>
          <w:sz w:val="2"/>
          <w:szCs w:val="2"/>
        </w:rPr>
        <w:t>ֺ</w:t>
      </w:r>
    </w:p>
    <w:p w:rsidR="00C66C7C" w:rsidRDefault="00ED7E82">
      <w:pPr>
        <w:spacing w:after="0" w:line="360" w:lineRule="auto"/>
        <w:ind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дослідже</w:t>
      </w:r>
      <w:r>
        <w:rPr>
          <w:rFonts w:ascii="Times New Roman" w:eastAsia="Times New Roman" w:hAnsi="Times New Roman" w:cs="Times New Roman"/>
          <w:b/>
          <w:sz w:val="2"/>
          <w:szCs w:val="2"/>
        </w:rPr>
        <w:t>ֺ</w:t>
      </w:r>
      <w:r>
        <w:rPr>
          <w:rFonts w:ascii="Times New Roman" w:eastAsia="Times New Roman" w:hAnsi="Times New Roman" w:cs="Times New Roman"/>
          <w:b/>
          <w:sz w:val="28"/>
          <w:szCs w:val="28"/>
        </w:rPr>
        <w:t>ння:</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На основі аналізу філософської, психологічної та педагогічної літератури  уточнити сутність управлін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ня освітнім процесом у ЗВО.</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Визначит</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и основні підходи до управлін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ня освітнім процесом у ЗВО.</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Проаналізувати досвід управління освітнім процесом у ЗВО.</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Визначити шляхи оптиміза</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ції управлiн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ня освітнім процесом у ЗВО.</w:t>
      </w:r>
    </w:p>
    <w:p w:rsidR="00C66C7C" w:rsidRDefault="00ED7E82">
      <w:pPr>
        <w:spacing w:after="0" w:line="360" w:lineRule="auto"/>
        <w:ind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Методи дослідже</w:t>
      </w:r>
      <w:r>
        <w:rPr>
          <w:rFonts w:ascii="Times New Roman" w:eastAsia="Times New Roman" w:hAnsi="Times New Roman" w:cs="Times New Roman"/>
          <w:b/>
          <w:sz w:val="2"/>
          <w:szCs w:val="2"/>
        </w:rPr>
        <w:t>ֺ</w:t>
      </w:r>
      <w:r>
        <w:rPr>
          <w:rFonts w:ascii="Times New Roman" w:eastAsia="Times New Roman" w:hAnsi="Times New Roman" w:cs="Times New Roman"/>
          <w:b/>
          <w:sz w:val="28"/>
          <w:szCs w:val="28"/>
        </w:rPr>
        <w:t xml:space="preserve">ння. </w:t>
      </w:r>
      <w:r>
        <w:rPr>
          <w:rFonts w:ascii="Times New Roman" w:eastAsia="Times New Roman" w:hAnsi="Times New Roman" w:cs="Times New Roman"/>
          <w:sz w:val="28"/>
          <w:szCs w:val="28"/>
        </w:rPr>
        <w:t>В ході написанн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я роботи нами було використ</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ано ряд наукових методів дослідже</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ння, а саме: теоретичний аналіз сучасног</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о стану розробки досліджу</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ваної проблеми, системни</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й аналіз, емпіричні: спостереження та експеримент.</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Методологічною основою дослідження є фундаментальні теорії наукового пізнання, принципи і методи діалектико-матеріалістичного, системного, діяльнісного, антропосоціального, критеріального, технологічного, кваліметричного підходів, основні положення гуманістичної філософії та педагогіки.</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Теоретичну основу дослідження становлять: фундаментальні ідеї системного (В. Афанасьєв, І. Блауберг, Б. Юдін), синергетичного (В. Буданов, О. Князєва, С. Курдюмов, І. Пригожин) та інформатичного (О. Гончарова, О. Матвієнко, М. Цивін) підходів; концептуальні положення сучасної філософії освіти (В. Андрущенко, Б. Гершунський, І. Зязюн, Б. Коротяєв, В. Кремень, В. Курило, С. Савченко); теорія і практика вимірювань у педагогіці (О. Адаменко, Дж. Гласс, Д. Новиков, О. Сидоренко, С. Стивенс, Л. Панченко).</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Поставлені завдання обумовили вибір методів дослідження:</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r>
      <w:r>
        <w:rPr>
          <w:rFonts w:ascii="Times New Roman" w:eastAsia="Times New Roman" w:hAnsi="Times New Roman" w:cs="Times New Roman"/>
          <w:i/>
          <w:sz w:val="28"/>
          <w:szCs w:val="28"/>
        </w:rPr>
        <w:t xml:space="preserve">теоретичні: </w:t>
      </w:r>
      <w:r>
        <w:rPr>
          <w:rFonts w:ascii="Times New Roman" w:eastAsia="Times New Roman" w:hAnsi="Times New Roman" w:cs="Times New Roman"/>
          <w:sz w:val="28"/>
          <w:szCs w:val="28"/>
        </w:rPr>
        <w:t xml:space="preserve">аналіз, синтез, індукція, дедукція, порівняння концептуальних положень науково-педагогічної літератури з метою </w:t>
      </w:r>
      <w:r>
        <w:rPr>
          <w:rFonts w:ascii="Times New Roman" w:eastAsia="Times New Roman" w:hAnsi="Times New Roman" w:cs="Times New Roman"/>
          <w:sz w:val="28"/>
          <w:szCs w:val="28"/>
        </w:rPr>
        <w:lastRenderedPageBreak/>
        <w:t>з’ясування розробленості проблеми дослідження, визначення її теоретико-методологічних засад і ключових понять дипломної роботи; екстрапoляційний метод, узагальнення, порівняння, систематизація для пoширення виснoвків, здoбутих у результаті аналізу викoристаних джерел, практичного досвіду управління освітою у зарубіжних країнах на визначення шляхів вдосконалення управління освітнім процесом у вітчизняних ЗВО;</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r>
      <w:r>
        <w:rPr>
          <w:rFonts w:ascii="Times New Roman" w:eastAsia="Times New Roman" w:hAnsi="Times New Roman" w:cs="Times New Roman"/>
          <w:i/>
          <w:sz w:val="28"/>
          <w:szCs w:val="28"/>
        </w:rPr>
        <w:t xml:space="preserve">емпіричні: </w:t>
      </w:r>
      <w:r>
        <w:rPr>
          <w:rFonts w:ascii="Times New Roman" w:eastAsia="Times New Roman" w:hAnsi="Times New Roman" w:cs="Times New Roman"/>
          <w:sz w:val="28"/>
          <w:szCs w:val="28"/>
        </w:rPr>
        <w:t xml:space="preserve">педагогічні спостереження; анкетування; </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r>
      <w:r>
        <w:rPr>
          <w:rFonts w:ascii="Times New Roman" w:eastAsia="Times New Roman" w:hAnsi="Times New Roman" w:cs="Times New Roman"/>
          <w:i/>
          <w:sz w:val="28"/>
          <w:szCs w:val="28"/>
        </w:rPr>
        <w:t xml:space="preserve">статистичні: </w:t>
      </w:r>
      <w:r>
        <w:rPr>
          <w:rFonts w:ascii="Times New Roman" w:eastAsia="Times New Roman" w:hAnsi="Times New Roman" w:cs="Times New Roman"/>
          <w:sz w:val="28"/>
          <w:szCs w:val="28"/>
        </w:rPr>
        <w:t>методи математичної та статистичної обробки отриманих даних.</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Експериментальна база дослідження. В експериментальній роботі брали участь студенти Одеського національного університету імені І.І. Мечникова.</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w:t>
      </w:r>
      <w:r>
        <w:rPr>
          <w:rFonts w:ascii="Times New Roman" w:eastAsia="Times New Roman" w:hAnsi="Times New Roman" w:cs="Times New Roman"/>
          <w:i/>
          <w:sz w:val="28"/>
          <w:szCs w:val="28"/>
        </w:rPr>
        <w:t>першому</w:t>
      </w:r>
      <w:r>
        <w:rPr>
          <w:rFonts w:ascii="Times New Roman" w:eastAsia="Times New Roman" w:hAnsi="Times New Roman" w:cs="Times New Roman"/>
          <w:sz w:val="28"/>
          <w:szCs w:val="28"/>
        </w:rPr>
        <w:t xml:space="preserve"> етапі здійснено аналіз наукової, теоретичної та методичної літератури за обраною темою; визначено об’єкт, предмет, мету,  завдання і методи дослідження.</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w:t>
      </w:r>
      <w:r>
        <w:rPr>
          <w:rFonts w:ascii="Times New Roman" w:eastAsia="Times New Roman" w:hAnsi="Times New Roman" w:cs="Times New Roman"/>
          <w:i/>
          <w:sz w:val="28"/>
          <w:szCs w:val="28"/>
        </w:rPr>
        <w:t>другому</w:t>
      </w:r>
      <w:r>
        <w:rPr>
          <w:rFonts w:ascii="Times New Roman" w:eastAsia="Times New Roman" w:hAnsi="Times New Roman" w:cs="Times New Roman"/>
          <w:sz w:val="28"/>
          <w:szCs w:val="28"/>
        </w:rPr>
        <w:t xml:space="preserve"> етапі визначено та обґрунтовано компоненти модернізації сучасного процесу управління освітою, проведено констатувальний експеримент з метою отримання діагностичної інформації про стан задоволеності якістю освіти та інтерес до запропонованих компонентів модернізації процесу управління освітою у здобувачів вищої освіти.</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w:t>
      </w:r>
      <w:r>
        <w:rPr>
          <w:rFonts w:ascii="Times New Roman" w:eastAsia="Times New Roman" w:hAnsi="Times New Roman" w:cs="Times New Roman"/>
          <w:i/>
          <w:sz w:val="28"/>
          <w:szCs w:val="28"/>
        </w:rPr>
        <w:t>третьому</w:t>
      </w:r>
      <w:r>
        <w:rPr>
          <w:rFonts w:ascii="Times New Roman" w:eastAsia="Times New Roman" w:hAnsi="Times New Roman" w:cs="Times New Roman"/>
          <w:sz w:val="28"/>
          <w:szCs w:val="28"/>
        </w:rPr>
        <w:t xml:space="preserve"> етапі здійснено статистичну обробку результатів експериментального дослідження; узагальнено результати дослідження.</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Елементи наукової новизни дослідження полягають в тому, що:</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уточнено й конкретизовано</w:t>
      </w:r>
      <w:r>
        <w:rPr>
          <w:rFonts w:ascii="Times New Roman" w:eastAsia="Times New Roman" w:hAnsi="Times New Roman" w:cs="Times New Roman"/>
          <w:sz w:val="28"/>
          <w:szCs w:val="28"/>
        </w:rPr>
        <w:t xml:space="preserve"> зміст понять “управління”, “управління освітою”, “управління освітнім процесом”;</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-подальшого розвитку набули </w:t>
      </w:r>
      <w:r>
        <w:rPr>
          <w:rFonts w:ascii="Times New Roman" w:eastAsia="Times New Roman" w:hAnsi="Times New Roman" w:cs="Times New Roman"/>
          <w:sz w:val="28"/>
          <w:szCs w:val="28"/>
        </w:rPr>
        <w:t>шляхи оптиміза</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ції управлiн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 xml:space="preserve">ня освітнім процесом у ЗВО з урахуванням досвіду різних країн, зокрема США, КНР, Південна Корея, Великобританія; </w:t>
      </w:r>
    </w:p>
    <w:p w:rsidR="00C66C7C" w:rsidRDefault="00ED7E82">
      <w:pPr>
        <w:spacing w:after="0" w:line="360" w:lineRule="auto"/>
        <w:ind w:firstLine="566"/>
        <w:jc w:val="both"/>
        <w:rPr>
          <w:rFonts w:ascii="Times New Roman" w:eastAsia="Times New Roman" w:hAnsi="Times New Roman" w:cs="Times New Roman"/>
          <w:sz w:val="28"/>
          <w:szCs w:val="28"/>
          <w:shd w:val="clear" w:color="auto" w:fill="F6B26B"/>
        </w:rPr>
      </w:pP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удосконалено</w:t>
      </w:r>
      <w:r>
        <w:rPr>
          <w:rFonts w:ascii="Times New Roman" w:eastAsia="Times New Roman" w:hAnsi="Times New Roman" w:cs="Times New Roman"/>
          <w:sz w:val="28"/>
          <w:szCs w:val="28"/>
        </w:rPr>
        <w:t xml:space="preserve"> та доповнено методи управління освітнім процесом у ЗВО.</w:t>
      </w:r>
      <w:r>
        <w:rPr>
          <w:rFonts w:ascii="Times New Roman" w:eastAsia="Times New Roman" w:hAnsi="Times New Roman" w:cs="Times New Roman"/>
          <w:sz w:val="28"/>
          <w:szCs w:val="28"/>
          <w:shd w:val="clear" w:color="auto" w:fill="F6B26B"/>
        </w:rPr>
        <w:t xml:space="preserve"> </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Практичне значення дослідження полягає у виявленні шляхів оптимізації управління освітнім процесом у ЗВО України на основі досвіду інших країн та діагностуванні відношення студентів українського ЗВО до деяких з них. Дослідницькі матеріали можуть стати у нагоді для подальших наукових пошуків з проблеми оптимізації управління освітнім процесом у ЗВО України.</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Вірогідність результатів дослідження забезпечено теоретичною обґрунтованістю вихідних положень; використанням апробованого діагнотиного інструментарію; застосуванням комплексу взаємопов’язаних методів наукового пізнання, адекватних меті, об`єкту, предмету і завданням дослідження, якісним і кількісним аналізом експериментальних даних.</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Апробація результатів дослідження. Основні положення та результати проведеного дослідження були предметом опитування студентів різних факультетів ОНУ імені І.І.Мечникова.</w:t>
      </w:r>
    </w:p>
    <w:p w:rsidR="00C66C7C" w:rsidRDefault="00ED7E82">
      <w:pPr>
        <w:spacing w:after="0" w:line="360" w:lineRule="auto"/>
        <w:ind w:firstLine="566"/>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Структура й обсяг дипломної роботи. Структура роботи складається з анотації, вступу, двох розділів, висновків до розділів, загальних висновків, списку використаних джерел </w:t>
      </w:r>
      <w:r>
        <w:rPr>
          <w:rFonts w:ascii="Times New Roman" w:eastAsia="Times New Roman" w:hAnsi="Times New Roman" w:cs="Times New Roman"/>
          <w:sz w:val="28"/>
          <w:szCs w:val="28"/>
          <w:shd w:val="clear" w:color="auto" w:fill="F9CB9C"/>
        </w:rPr>
        <w:t>(</w:t>
      </w:r>
      <w:r w:rsidRPr="00ED7E82">
        <w:rPr>
          <w:rFonts w:ascii="Times New Roman" w:eastAsia="Times New Roman" w:hAnsi="Times New Roman" w:cs="Times New Roman"/>
          <w:sz w:val="28"/>
          <w:szCs w:val="28"/>
          <w:shd w:val="clear" w:color="auto" w:fill="F9CB9C"/>
        </w:rPr>
        <w:t>56</w:t>
      </w:r>
      <w:r>
        <w:rPr>
          <w:rFonts w:ascii="Times New Roman" w:eastAsia="Times New Roman" w:hAnsi="Times New Roman" w:cs="Times New Roman"/>
          <w:sz w:val="28"/>
          <w:szCs w:val="28"/>
          <w:shd w:val="clear" w:color="auto" w:fill="F9CB9C"/>
        </w:rPr>
        <w:t xml:space="preserve"> найменувань</w:t>
      </w:r>
      <w:r>
        <w:rPr>
          <w:rFonts w:ascii="Times New Roman" w:eastAsia="Times New Roman" w:hAnsi="Times New Roman" w:cs="Times New Roman"/>
          <w:sz w:val="28"/>
          <w:szCs w:val="28"/>
        </w:rPr>
        <w:t xml:space="preserve">),  додатку,  рисунків. Повний обсяг магістерської становить </w:t>
      </w:r>
      <w:r w:rsidR="00727CE0">
        <w:rPr>
          <w:rFonts w:ascii="Times New Roman" w:eastAsia="Times New Roman" w:hAnsi="Times New Roman" w:cs="Times New Roman"/>
          <w:sz w:val="28"/>
          <w:szCs w:val="28"/>
          <w:shd w:val="clear" w:color="auto" w:fill="F9CB9C"/>
        </w:rPr>
        <w:t>78</w:t>
      </w:r>
      <w:r w:rsidRPr="00ED7E82">
        <w:rPr>
          <w:rFonts w:ascii="Times New Roman" w:eastAsia="Times New Roman" w:hAnsi="Times New Roman" w:cs="Times New Roman"/>
          <w:sz w:val="28"/>
          <w:szCs w:val="28"/>
          <w:shd w:val="clear" w:color="auto" w:fill="F9CB9C"/>
        </w:rPr>
        <w:t xml:space="preserve"> сторінок</w:t>
      </w:r>
      <w:r>
        <w:rPr>
          <w:rFonts w:ascii="Times New Roman" w:eastAsia="Times New Roman" w:hAnsi="Times New Roman" w:cs="Times New Roman"/>
          <w:sz w:val="28"/>
          <w:szCs w:val="28"/>
        </w:rPr>
        <w:t xml:space="preserve"> друкованого тексту.</w:t>
      </w: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left="1440" w:hanging="873"/>
        <w:rPr>
          <w:rFonts w:ascii="Times New Roman" w:eastAsia="Times New Roman" w:hAnsi="Times New Roman" w:cs="Times New Roman"/>
          <w:b/>
          <w:sz w:val="28"/>
          <w:szCs w:val="28"/>
        </w:rPr>
      </w:pPr>
    </w:p>
    <w:p w:rsidR="00C66C7C" w:rsidRDefault="00ED7E82">
      <w:pPr>
        <w:spacing w:after="0" w:line="360" w:lineRule="auto"/>
        <w:ind w:left="1440" w:hanging="873"/>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ВИКОРИСТАНИХ ДЖЕРЕЛ ДО РОЗДІЛУ 1</w:t>
      </w:r>
    </w:p>
    <w:p w:rsidR="00C66C7C" w:rsidRDefault="00C66C7C">
      <w:pPr>
        <w:spacing w:after="0" w:line="360" w:lineRule="auto"/>
        <w:ind w:firstLine="566"/>
        <w:jc w:val="both"/>
        <w:rPr>
          <w:rFonts w:ascii="Times New Roman" w:eastAsia="Times New Roman" w:hAnsi="Times New Roman" w:cs="Times New Roman"/>
          <w:sz w:val="28"/>
          <w:szCs w:val="28"/>
        </w:rPr>
      </w:pPr>
    </w:p>
    <w:p w:rsidR="00C66C7C" w:rsidRDefault="00ED7E82">
      <w:pPr>
        <w:spacing w:before="100" w:after="100" w:line="360" w:lineRule="auto"/>
        <w:ind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Андрущенко В.П. Роздуми про освіту: Статті, нариси, інтерв’ю: 2­ге вид., допов. /. – К., 2008. – 819 с.</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Афанасьев В.Г. Человек в управлении обществом. – М.: Политиздат, 1977. – 382 с.</w:t>
      </w:r>
    </w:p>
    <w:p w:rsidR="00C66C7C" w:rsidRDefault="00ED7E82">
      <w:pPr>
        <w:spacing w:after="0" w:line="360" w:lineRule="auto"/>
        <w:ind w:firstLine="566"/>
        <w:jc w:val="both"/>
        <w:rPr>
          <w:rFonts w:ascii="Gungsuh" w:eastAsia="Gungsuh" w:hAnsi="Gungsuh" w:cs="Gungsuh"/>
          <w:sz w:val="28"/>
          <w:szCs w:val="28"/>
        </w:rPr>
      </w:pPr>
      <w:r>
        <w:rPr>
          <w:rFonts w:ascii="Times New Roman" w:eastAsia="Times New Roman" w:hAnsi="Times New Roman" w:cs="Times New Roman"/>
          <w:sz w:val="28"/>
          <w:szCs w:val="28"/>
        </w:rPr>
        <w:t xml:space="preserve">3. </w:t>
      </w:r>
      <w:r>
        <w:rPr>
          <w:rFonts w:ascii="Times New Roman" w:eastAsia="Times New Roman" w:hAnsi="Times New Roman" w:cs="Times New Roman"/>
          <w:sz w:val="28"/>
          <w:szCs w:val="28"/>
        </w:rPr>
        <w:tab/>
        <w:t>Бабенко Т. Формуван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ня особисто</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сті менеджер</w:t>
      </w:r>
      <w:r>
        <w:rPr>
          <w:rFonts w:ascii="Times New Roman" w:eastAsia="Times New Roman" w:hAnsi="Times New Roman" w:cs="Times New Roman"/>
          <w:sz w:val="2"/>
          <w:szCs w:val="2"/>
        </w:rPr>
        <w:t>ֺ</w:t>
      </w:r>
      <w:r>
        <w:rPr>
          <w:rFonts w:ascii="Gungsuh" w:eastAsia="Gungsuh" w:hAnsi="Gungsuh" w:cs="Gungsuh"/>
          <w:sz w:val="28"/>
          <w:szCs w:val="28"/>
        </w:rPr>
        <w:t>а освіти // Директор школи. − 2007. − №21-22. − С.3-36.</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w:t>
      </w:r>
      <w:r>
        <w:rPr>
          <w:rFonts w:ascii="Times New Roman" w:eastAsia="Times New Roman" w:hAnsi="Times New Roman" w:cs="Times New Roman"/>
          <w:sz w:val="28"/>
          <w:szCs w:val="28"/>
        </w:rPr>
        <w:tab/>
        <w:t>Бондар В.І. Теорія і технолог</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ія управлін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ня процесом навчання в школі / В.І.Бондар. – К.: Школяр, 2000. – 191с.</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w:t>
      </w:r>
      <w:r>
        <w:rPr>
          <w:rFonts w:ascii="Times New Roman" w:eastAsia="Times New Roman" w:hAnsi="Times New Roman" w:cs="Times New Roman"/>
          <w:sz w:val="28"/>
          <w:szCs w:val="28"/>
        </w:rPr>
        <w:tab/>
        <w:t>Васильченко Л.В. Управлін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ська культура і компетен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тність керівник</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а – Х.: Вид.група «Основа», 2007, - 176 с. – Б-ка журн. «Управління школою»; Вип. 3(51))</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w:t>
      </w:r>
      <w:r>
        <w:rPr>
          <w:rFonts w:ascii="Times New Roman" w:eastAsia="Times New Roman" w:hAnsi="Times New Roman" w:cs="Times New Roman"/>
          <w:sz w:val="28"/>
          <w:szCs w:val="28"/>
        </w:rPr>
        <w:tab/>
        <w:t>Вознюк Т. Г. Менеджме</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нт навчальн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о-виховного процесу / Т. Г. Вознюк. – К. : Здоров’я, 2002. – 128 с.</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w:t>
      </w:r>
      <w:r>
        <w:rPr>
          <w:rFonts w:ascii="Times New Roman" w:eastAsia="Times New Roman" w:hAnsi="Times New Roman" w:cs="Times New Roman"/>
          <w:sz w:val="28"/>
          <w:szCs w:val="28"/>
        </w:rPr>
        <w:tab/>
        <w:t>Даниленко Л.І. Інноваці</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йний освітній менеджме</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нт: Навч. посібник. – К., Главник, 2006. – 144 с.</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 </w:t>
      </w:r>
      <w:r>
        <w:rPr>
          <w:rFonts w:ascii="Times New Roman" w:eastAsia="Times New Roman" w:hAnsi="Times New Roman" w:cs="Times New Roman"/>
          <w:sz w:val="28"/>
          <w:szCs w:val="28"/>
        </w:rPr>
        <w:tab/>
        <w:t>Даниленко Л.І. Сучасні підходи до управлін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ня професій</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но-технічними закладам</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и : навч.-метод. посіб. / Даниленк</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о Л.І., Сергеєва Л.М. та ін.; За заг. ред. В.В.Олійника. – К.: ТОВ «Етіс Плюс», 2007. – 104 с.</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Закон України “Про вищу освіту” від 25.07.2018 №1556-VII [Електронний ресурс]. - Режим доступу: http://zakon.rada.gov.ua/laws/show/1556-18.</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Закон України “Про освіту” від 05.09.2017 №2145-VIII [Електронний ресурс]. - Режим доступу: http://zakon.rada.gov.ua/laws/show/2145-19.</w:t>
      </w:r>
    </w:p>
    <w:p w:rsidR="00C66C7C" w:rsidRDefault="00ED7E82">
      <w:pPr>
        <w:spacing w:before="100" w:after="100" w:line="360" w:lineRule="auto"/>
        <w:ind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11.  Клепко С.Ф. Філософія освіти в європейському контексті / Клепко С.Ф. – Полтава: ПОІППО, 2006. – 328 с.</w:t>
      </w:r>
    </w:p>
    <w:p w:rsidR="00C66C7C" w:rsidRDefault="00ED7E82">
      <w:pPr>
        <w:spacing w:before="100" w:after="100" w:line="360" w:lineRule="auto"/>
        <w:ind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12.  Кремень В.Г. Розвиток освіти в Україні в контексті загально­цивілізаційних змін./ 2007. – 44 с.</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Майборода С. В. Державне управління вищою освітою в Україні : структура, функції, тенденції розвитку (1917–1959 рр.) / С. В. Майборода. – К. : Вид-во УАДУ. – 2000. – 242 с.</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  Маркова М. В. Анализ концепци</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й и моделей управлен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ия качество</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м образова</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тельной деятельн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ости / М. В. Маркова // Педагоги</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ческие науки. – 2008. – № 12. – С. 54–56.</w:t>
      </w:r>
    </w:p>
    <w:p w:rsidR="00C66C7C" w:rsidRDefault="00ED7E82">
      <w:pPr>
        <w:spacing w:before="100" w:after="100" w:line="360" w:lineRule="auto"/>
        <w:ind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15.  Михальченко М.І. Філософія освіти і соціокультурна теорія // Філософія освіти ХХІ століття: проблеми й перспективи. – К., 2000.</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  Модернізація педагогі</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чної освіти в європейс</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ькому та євроатла</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нтичному освітньо</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му просторі: монограф</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ія / авт. кол.: Н. М. Авшенюк, О. В. Кудін, О. І. Огієнко та ін. . – К.: Пед. думка, 2011. – 232 с.</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  Огієнко О. І. Тенденці</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ї розвитку освіти дорослих у скандина</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вських країнах: монограф</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ія / О. І. Огієнко / за ред. Н. Г. Ничкало. – Суми: Еллада, 2008. – 444 с.</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  Основи наукових дослідже</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нь у соціальн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ій роботі: Навч. посіб. / М.М. Букач, Т.С. Попова, Н.В. Клименюк; за ред. М.М. Букача. – Миколаїв: ЧДУ ім. Петра Могили, 2009. – 284 с.</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  Плюшкина Т. А. Содержан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ие и технолог</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ии подготов</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ки менеджер</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ов в высших професси</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ональных школах Франции: дис. ... канд. пед. наук: 13.00.01 / Татьяна Александ</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ровна Плюшкина; Инс-т пед. и психол. проф. образова</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ния РАО. – Казань, 2004. – 188 с.</w:t>
      </w:r>
    </w:p>
    <w:p w:rsidR="00C66C7C" w:rsidRDefault="00ED7E82">
      <w:pPr>
        <w:spacing w:before="100" w:after="100" w:line="360" w:lineRule="auto"/>
        <w:ind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  Портнов А. Чи можлива якісна освіта у бідній країні багатих олігархів? / Андрій Портнов – [Електронний ресурс]: - Режим доступу:</w:t>
      </w:r>
      <w:hyperlink r:id="rId9">
        <w:r>
          <w:rPr>
            <w:rFonts w:ascii="Times New Roman" w:eastAsia="Times New Roman" w:hAnsi="Times New Roman" w:cs="Times New Roman"/>
            <w:sz w:val="28"/>
            <w:szCs w:val="28"/>
            <w:highlight w:val="white"/>
          </w:rPr>
          <w:t xml:space="preserve"> </w:t>
        </w:r>
      </w:hyperlink>
      <w:hyperlink r:id="rId10">
        <w:r>
          <w:rPr>
            <w:rFonts w:ascii="Times New Roman" w:eastAsia="Times New Roman" w:hAnsi="Times New Roman" w:cs="Times New Roman"/>
            <w:sz w:val="28"/>
            <w:szCs w:val="28"/>
            <w:highlight w:val="white"/>
          </w:rPr>
          <w:t>http://zaxid.net/home/</w:t>
        </w:r>
      </w:hyperlink>
      <w:r>
        <w:rPr>
          <w:rFonts w:ascii="Times New Roman" w:eastAsia="Times New Roman" w:hAnsi="Times New Roman" w:cs="Times New Roman"/>
          <w:sz w:val="28"/>
          <w:szCs w:val="28"/>
          <w:highlight w:val="white"/>
        </w:rPr>
        <w:t>showSingleNews.do?chi_mozhliva_yakisna_osvita_u_bidniy_krayini_bagatih_oligarhiv&amp;objectId=1234000.</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21.  Ривчун Т. Е. Модели управлен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ия в системе професси</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онального образова</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ния (зарубежный опыт) / Т. Е. Ривчун // Вестник Томского гос. унта. – 2009. – № 328. – С. 135–139.</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Родіонова Н. М. Професій</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но-технічна освіта: сучасний стан, проблеми, перспект</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ивні напрями / Н. М. Родіонов</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а // Вісник ДНУ ім. Тараса Шевченка. – 2012. – №4 (239), Ч. І. – С. 31–35</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Рожнова Т. Є. Управлін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ня професій</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но-технічним навчальн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им закладом на засадах інноваці</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йних технолог</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ій: дис. … канд. пед. наук : 13.00.06 / Тетяна Євгенівн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а Рожнова. – К., 2012. – 285 с.</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  Теорія і методика професій</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ної освіти [Текст] : навч. посіб. / [З. Н. Курлянд та ін.] ; за ред. д-ра пед. наук, проф. З. Н. Курлянд. - К. : Знання, 2012. - 390 с.</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  Тільна О.С. Мотиваці</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я, контроль та оцінка діяльнос</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ті педагогі</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в у шкільном</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у менеджме</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нті: Методичн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а збірка. – Обухів, 2012. – 111 с.</w:t>
      </w:r>
    </w:p>
    <w:p w:rsidR="00C66C7C" w:rsidRDefault="00ED7E82">
      <w:pPr>
        <w:spacing w:after="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26.  Фещенко В. В. Проблемы управлен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ия развитие</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м регионал</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ьных систем образова</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ния в условиях социальн</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о-экономической модерниз</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ации / В. В. Фещенко, Н. Ю. Щеликова // Вестник Бердянск</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ого государс</w:t>
      </w:r>
      <w:r>
        <w:rPr>
          <w:rFonts w:ascii="Times New Roman" w:eastAsia="Times New Roman" w:hAnsi="Times New Roman" w:cs="Times New Roman"/>
          <w:sz w:val="2"/>
          <w:szCs w:val="2"/>
        </w:rPr>
        <w:t>ֺ</w:t>
      </w:r>
      <w:r>
        <w:rPr>
          <w:rFonts w:ascii="Times New Roman" w:eastAsia="Times New Roman" w:hAnsi="Times New Roman" w:cs="Times New Roman"/>
          <w:sz w:val="28"/>
          <w:szCs w:val="28"/>
        </w:rPr>
        <w:t>твенного унта. – 2012. – Т. 3, № 3. – С. 203–209.</w:t>
      </w:r>
    </w:p>
    <w:p w:rsidR="00C66C7C" w:rsidRDefault="00ED7E82">
      <w:pPr>
        <w:spacing w:before="100" w:after="10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  Філософські засади трансформації вищої освіти в Україні на початку ХХІ століття: монографія / Гол ред. Кремень В. – К.: Педагог. думка, 2007. –</w:t>
      </w:r>
    </w:p>
    <w:p w:rsidR="00C66C7C" w:rsidRDefault="00ED7E82">
      <w:pPr>
        <w:spacing w:before="100" w:after="100" w:line="360" w:lineRule="auto"/>
        <w:ind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28.  George R. Terry Principles of Management, R.D. Irwin, 1971.</w:t>
      </w:r>
    </w:p>
    <w:p w:rsidR="00C66C7C" w:rsidRDefault="00ED7E82">
      <w:pPr>
        <w:spacing w:before="100" w:after="100" w:line="360" w:lineRule="auto"/>
        <w:ind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29.  Harold Koontz The Management Theory Jungle //The Journal of the Academy of Management - Vol. 4, No. 3 (Dec., 1961), pp. 174-188. Published by: Academy of Management [Електронний ресурс]: - Режим доступу:</w:t>
      </w:r>
      <w:hyperlink r:id="rId11">
        <w:r>
          <w:rPr>
            <w:rFonts w:ascii="Times New Roman" w:eastAsia="Times New Roman" w:hAnsi="Times New Roman" w:cs="Times New Roman"/>
            <w:sz w:val="28"/>
            <w:szCs w:val="28"/>
            <w:highlight w:val="white"/>
          </w:rPr>
          <w:t xml:space="preserve"> </w:t>
        </w:r>
      </w:hyperlink>
      <w:hyperlink r:id="rId12">
        <w:r>
          <w:rPr>
            <w:rFonts w:ascii="Times New Roman" w:eastAsia="Times New Roman" w:hAnsi="Times New Roman" w:cs="Times New Roman"/>
            <w:sz w:val="28"/>
            <w:szCs w:val="28"/>
            <w:highlight w:val="white"/>
          </w:rPr>
          <w:t>https://www.jstor.org/stable/254541</w:t>
        </w:r>
      </w:hyperlink>
      <w:r>
        <w:rPr>
          <w:rFonts w:ascii="Times New Roman" w:eastAsia="Times New Roman" w:hAnsi="Times New Roman" w:cs="Times New Roman"/>
          <w:sz w:val="28"/>
          <w:szCs w:val="28"/>
          <w:highlight w:val="white"/>
        </w:rPr>
        <w:t>.</w:t>
      </w:r>
    </w:p>
    <w:p w:rsidR="00C66C7C" w:rsidRDefault="00ED7E82">
      <w:pPr>
        <w:spacing w:before="100" w:after="100" w:line="360" w:lineRule="auto"/>
        <w:ind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30.  Henri Fayol Industrial and general administration - Publisher: Sir I. Pitman &amp; sons, ltd, 1930, 84 pages.</w:t>
      </w:r>
    </w:p>
    <w:p w:rsidR="00C66C7C" w:rsidRDefault="00ED7E82">
      <w:pPr>
        <w:spacing w:before="100" w:after="100" w:line="360" w:lineRule="auto"/>
        <w:ind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31.  Mary Cushing Niles The Essence of Management - Publisher: Harper (1958), 398 pages.</w:t>
      </w:r>
    </w:p>
    <w:p w:rsidR="00C66C7C" w:rsidRDefault="00ED7E82">
      <w:pPr>
        <w:spacing w:after="0" w:line="360" w:lineRule="auto"/>
        <w:ind w:firstLine="566"/>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lastRenderedPageBreak/>
        <w:t xml:space="preserve">32.  The Heritage Foundation - economic freedom rating 2018 - [Електронний ресурс]. - Режим доступу:  </w:t>
      </w:r>
      <w:hyperlink r:id="rId13">
        <w:r>
          <w:rPr>
            <w:rFonts w:ascii="Times New Roman" w:eastAsia="Times New Roman" w:hAnsi="Times New Roman" w:cs="Times New Roman"/>
            <w:sz w:val="28"/>
            <w:szCs w:val="28"/>
          </w:rPr>
          <w:t xml:space="preserve"> </w:t>
        </w:r>
      </w:hyperlink>
      <w:hyperlink r:id="rId14">
        <w:r>
          <w:rPr>
            <w:rFonts w:ascii="Times New Roman" w:eastAsia="Times New Roman" w:hAnsi="Times New Roman" w:cs="Times New Roman"/>
            <w:sz w:val="28"/>
            <w:szCs w:val="28"/>
            <w:u w:val="single"/>
          </w:rPr>
          <w:t>https://www.heritage.org/index/ranking</w:t>
        </w:r>
      </w:hyperlink>
      <w:r>
        <w:rPr>
          <w:rFonts w:ascii="Times New Roman" w:eastAsia="Times New Roman" w:hAnsi="Times New Roman" w:cs="Times New Roman"/>
          <w:b/>
          <w:sz w:val="28"/>
          <w:szCs w:val="28"/>
        </w:rPr>
        <w:t>.</w:t>
      </w:r>
    </w:p>
    <w:p w:rsidR="00C66C7C" w:rsidRDefault="00C66C7C">
      <w:pPr>
        <w:spacing w:after="0"/>
        <w:ind w:firstLine="566"/>
        <w:jc w:val="both"/>
      </w:pPr>
      <w:bookmarkStart w:id="0" w:name="_gjdgxs" w:colFirst="0" w:colLast="0"/>
      <w:bookmarkEnd w:id="0"/>
    </w:p>
    <w:p w:rsidR="00C66C7C" w:rsidRDefault="00C66C7C">
      <w:pPr>
        <w:spacing w:after="0"/>
        <w:ind w:firstLine="566"/>
        <w:jc w:val="both"/>
      </w:pPr>
      <w:bookmarkStart w:id="1" w:name="_l1fv479euzy0" w:colFirst="0" w:colLast="0"/>
      <w:bookmarkEnd w:id="1"/>
    </w:p>
    <w:p w:rsidR="00C66C7C" w:rsidRDefault="00C66C7C">
      <w:pPr>
        <w:spacing w:after="0"/>
        <w:ind w:firstLine="566"/>
        <w:jc w:val="both"/>
      </w:pPr>
      <w:bookmarkStart w:id="2" w:name="_ur6g4hdkryd2" w:colFirst="0" w:colLast="0"/>
      <w:bookmarkEnd w:id="2"/>
    </w:p>
    <w:p w:rsidR="00C66C7C" w:rsidRDefault="00C66C7C">
      <w:pPr>
        <w:spacing w:after="0" w:line="360" w:lineRule="auto"/>
        <w:ind w:firstLine="566"/>
        <w:jc w:val="both"/>
        <w:rPr>
          <w:rFonts w:ascii="Times New Roman" w:eastAsia="Times New Roman" w:hAnsi="Times New Roman" w:cs="Times New Roman"/>
          <w:b/>
          <w:sz w:val="28"/>
          <w:szCs w:val="28"/>
        </w:rPr>
      </w:pPr>
    </w:p>
    <w:p w:rsidR="00C66C7C" w:rsidRDefault="00C66C7C">
      <w:pPr>
        <w:spacing w:after="0" w:line="360" w:lineRule="auto"/>
        <w:ind w:firstLine="566"/>
        <w:jc w:val="both"/>
        <w:rPr>
          <w:rFonts w:ascii="Times New Roman" w:eastAsia="Times New Roman" w:hAnsi="Times New Roman" w:cs="Times New Roman"/>
          <w:b/>
          <w:sz w:val="28"/>
          <w:szCs w:val="28"/>
        </w:rPr>
      </w:pPr>
    </w:p>
    <w:p w:rsidR="00C66C7C" w:rsidRDefault="00C66C7C">
      <w:pPr>
        <w:spacing w:after="0" w:line="360" w:lineRule="auto"/>
        <w:ind w:firstLine="566"/>
        <w:jc w:val="both"/>
        <w:rPr>
          <w:rFonts w:ascii="Times New Roman" w:eastAsia="Times New Roman" w:hAnsi="Times New Roman" w:cs="Times New Roman"/>
          <w:b/>
          <w:sz w:val="28"/>
          <w:szCs w:val="28"/>
        </w:rPr>
      </w:pPr>
    </w:p>
    <w:p w:rsidR="00C66C7C" w:rsidRDefault="00C66C7C">
      <w:pPr>
        <w:spacing w:after="0" w:line="360" w:lineRule="auto"/>
        <w:ind w:firstLine="566"/>
        <w:jc w:val="both"/>
        <w:rPr>
          <w:rFonts w:ascii="Times New Roman" w:eastAsia="Times New Roman" w:hAnsi="Times New Roman" w:cs="Times New Roman"/>
          <w:b/>
          <w:sz w:val="28"/>
          <w:szCs w:val="28"/>
        </w:rPr>
      </w:pPr>
    </w:p>
    <w:p w:rsidR="00C66C7C" w:rsidRDefault="00C66C7C">
      <w:pPr>
        <w:spacing w:after="0" w:line="360" w:lineRule="auto"/>
        <w:ind w:firstLine="566"/>
        <w:jc w:val="center"/>
        <w:rPr>
          <w:rFonts w:ascii="Times New Roman" w:eastAsia="Times New Roman" w:hAnsi="Times New Roman" w:cs="Times New Roman"/>
          <w:b/>
          <w:sz w:val="28"/>
          <w:szCs w:val="28"/>
        </w:rPr>
      </w:pPr>
    </w:p>
    <w:p w:rsidR="00C66C7C" w:rsidRDefault="00C66C7C">
      <w:pPr>
        <w:spacing w:after="0" w:line="360" w:lineRule="auto"/>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ED7E82" w:rsidRDefault="00ED7E82">
      <w:pPr>
        <w:spacing w:after="0" w:line="360" w:lineRule="auto"/>
        <w:ind w:firstLine="566"/>
        <w:jc w:val="center"/>
        <w:rPr>
          <w:rFonts w:ascii="Times New Roman" w:eastAsia="Times New Roman" w:hAnsi="Times New Roman" w:cs="Times New Roman"/>
          <w:b/>
          <w:sz w:val="28"/>
          <w:szCs w:val="28"/>
        </w:rPr>
      </w:pPr>
    </w:p>
    <w:p w:rsidR="00C66C7C" w:rsidRDefault="00C66C7C">
      <w:pPr>
        <w:spacing w:after="0" w:line="360" w:lineRule="auto"/>
        <w:ind w:firstLine="566"/>
        <w:jc w:val="center"/>
        <w:rPr>
          <w:rFonts w:ascii="Times New Roman" w:eastAsia="Times New Roman" w:hAnsi="Times New Roman" w:cs="Times New Roman"/>
          <w:b/>
          <w:sz w:val="28"/>
          <w:szCs w:val="28"/>
        </w:rPr>
      </w:pPr>
    </w:p>
    <w:p w:rsidR="00727CE0" w:rsidRDefault="00727CE0" w:rsidP="00727CE0">
      <w:pPr>
        <w:spacing w:after="0" w:line="360" w:lineRule="auto"/>
        <w:ind w:left="1440" w:hanging="873"/>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ВИКОРИСТАНИХ ДЖЕРЕЛ ДО РОЗДІЛУ 2</w:t>
      </w:r>
    </w:p>
    <w:p w:rsidR="00727CE0" w:rsidRDefault="00727CE0" w:rsidP="00727CE0">
      <w:pPr>
        <w:spacing w:after="0" w:line="360" w:lineRule="auto"/>
        <w:ind w:firstLine="566"/>
        <w:jc w:val="both"/>
        <w:rPr>
          <w:rFonts w:ascii="Times New Roman" w:eastAsia="Times New Roman" w:hAnsi="Times New Roman" w:cs="Times New Roman"/>
          <w:sz w:val="28"/>
          <w:szCs w:val="28"/>
        </w:rPr>
      </w:pPr>
    </w:p>
    <w:p w:rsidR="00727CE0" w:rsidRDefault="00727CE0" w:rsidP="00727CE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r>
        <w:rPr>
          <w:rFonts w:ascii="Times New Roman" w:eastAsia="Times New Roman" w:hAnsi="Times New Roman" w:cs="Times New Roman"/>
          <w:sz w:val="28"/>
          <w:szCs w:val="28"/>
        </w:rPr>
        <w:tab/>
        <w:t>Біла книга національної освіти України / Акад. пед. наук України; за ред. В.Г. Кременя - К., 2009.</w:t>
      </w:r>
    </w:p>
    <w:p w:rsidR="00727CE0" w:rsidRDefault="00727CE0" w:rsidP="00727CE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r>
        <w:rPr>
          <w:rFonts w:ascii="Times New Roman" w:eastAsia="Times New Roman" w:hAnsi="Times New Roman" w:cs="Times New Roman"/>
          <w:sz w:val="28"/>
          <w:szCs w:val="28"/>
        </w:rPr>
        <w:tab/>
        <w:t xml:space="preserve">Вакуленко В.М. Система управління якістю освіти у вищих навчальних закладах США:дис. канд. пед. наук : 13.00.06 / Валентина Миколаївна Вакуленко. - С., 2015. - 259с.    </w:t>
      </w:r>
      <w:r>
        <w:rPr>
          <w:rFonts w:ascii="Times New Roman" w:eastAsia="Times New Roman" w:hAnsi="Times New Roman" w:cs="Times New Roman"/>
          <w:sz w:val="28"/>
          <w:szCs w:val="28"/>
        </w:rPr>
        <w:tab/>
        <w:t xml:space="preserve">      </w:t>
      </w:r>
      <w:r>
        <w:rPr>
          <w:rFonts w:ascii="Times New Roman" w:eastAsia="Times New Roman" w:hAnsi="Times New Roman" w:cs="Times New Roman"/>
          <w:sz w:val="28"/>
          <w:szCs w:val="28"/>
        </w:rPr>
        <w:tab/>
      </w:r>
    </w:p>
    <w:p w:rsidR="00727CE0" w:rsidRDefault="00727CE0" w:rsidP="00727CE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r>
        <w:rPr>
          <w:rFonts w:ascii="Times New Roman" w:eastAsia="Times New Roman" w:hAnsi="Times New Roman" w:cs="Times New Roman"/>
          <w:sz w:val="28"/>
          <w:szCs w:val="28"/>
        </w:rPr>
        <w:tab/>
        <w:t>Глобальні тенденції і проблеми розвитку освіти: наслідки для України. Аналітична записка Відділ гуманітарної політики  (А. Ю. Іщенко) - [Електронний ресурс]. - Режим доступу:</w:t>
      </w:r>
      <w:hyperlink r:id="rId15">
        <w:r>
          <w:rPr>
            <w:rFonts w:ascii="Times New Roman" w:eastAsia="Times New Roman" w:hAnsi="Times New Roman" w:cs="Times New Roman"/>
            <w:sz w:val="28"/>
            <w:szCs w:val="28"/>
          </w:rPr>
          <w:t xml:space="preserve"> </w:t>
        </w:r>
      </w:hyperlink>
      <w:hyperlink r:id="rId16">
        <w:r>
          <w:rPr>
            <w:rFonts w:ascii="Times New Roman" w:eastAsia="Times New Roman" w:hAnsi="Times New Roman" w:cs="Times New Roman"/>
            <w:color w:val="1155CC"/>
            <w:sz w:val="28"/>
            <w:szCs w:val="28"/>
            <w:u w:val="single"/>
          </w:rPr>
          <w:t>http://www.niss.gov.ua/articles/1537/</w:t>
        </w:r>
      </w:hyperlink>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r>
    </w:p>
    <w:p w:rsidR="00727CE0" w:rsidRDefault="00727CE0" w:rsidP="00727CE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w:t>
      </w:r>
      <w:r>
        <w:rPr>
          <w:rFonts w:ascii="Times New Roman" w:eastAsia="Times New Roman" w:hAnsi="Times New Roman" w:cs="Times New Roman"/>
          <w:sz w:val="28"/>
          <w:szCs w:val="28"/>
        </w:rPr>
        <w:tab/>
        <w:t>Емпіричні дослідження для реформування освіти в Україні: Збірник матеріалів І Міжнародної наукової Е60 конференції Української асоціації дослідників освіти (11лютого 2017 р.) / За ред. С.Щудло, О.Заболотної, О.Ковальчук. – Київ – Дрогобич : ТзОВ «Трек-ЛТД», 2017. – 214 с.</w:t>
      </w:r>
    </w:p>
    <w:p w:rsidR="00727CE0" w:rsidRDefault="00727CE0" w:rsidP="00727CE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w:t>
      </w:r>
      <w:r>
        <w:rPr>
          <w:rFonts w:ascii="Times New Roman" w:eastAsia="Times New Roman" w:hAnsi="Times New Roman" w:cs="Times New Roman"/>
          <w:sz w:val="28"/>
          <w:szCs w:val="28"/>
        </w:rPr>
        <w:tab/>
        <w:t>Закон України “Про вищу освіту” від 25.07.2018 №1556-VII [Електронний ресурс]. - Режим доступу: http://zakon.rada.gov.ua/laws/show/1556-18.</w:t>
      </w:r>
    </w:p>
    <w:p w:rsidR="00727CE0" w:rsidRDefault="00727CE0" w:rsidP="00727CE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6.     </w:t>
      </w:r>
      <w:r>
        <w:rPr>
          <w:rFonts w:ascii="Times New Roman" w:eastAsia="Times New Roman" w:hAnsi="Times New Roman" w:cs="Times New Roman"/>
          <w:sz w:val="28"/>
          <w:szCs w:val="28"/>
        </w:rPr>
        <w:t>Закон України “Про освіту” від 05.09.2017 №2145-VIII [Електронний ресурс]. - Режим доступу: http://zakon.rada.gov.ua/laws/show/2145-19.</w:t>
      </w:r>
    </w:p>
    <w:p w:rsidR="00727CE0" w:rsidRDefault="00727CE0" w:rsidP="00727CE0">
      <w:pPr>
        <w:spacing w:before="100" w:after="1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w:t>
      </w:r>
      <w:r>
        <w:rPr>
          <w:rFonts w:ascii="Times New Roman" w:eastAsia="Times New Roman" w:hAnsi="Times New Roman" w:cs="Times New Roman"/>
          <w:sz w:val="28"/>
          <w:szCs w:val="28"/>
        </w:rPr>
        <w:tab/>
        <w:t>Зіноватна О. М. Вища освіта у США: навчальний компонент у магістерських програмах різного типу / О. М. Зіноватна // Вісник Черкаського університету. Серія «Педагогічні науки». – 2009. – No163. – С. 82 – 86.</w:t>
      </w:r>
    </w:p>
    <w:p w:rsidR="00727CE0" w:rsidRDefault="00727CE0" w:rsidP="00727CE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 </w:t>
      </w:r>
      <w:r>
        <w:rPr>
          <w:rFonts w:ascii="Times New Roman" w:eastAsia="Times New Roman" w:hAnsi="Times New Roman" w:cs="Times New Roman"/>
          <w:sz w:val="28"/>
          <w:szCs w:val="28"/>
        </w:rPr>
        <w:tab/>
        <w:t>Каленюк 1. Освіта Республіки Корея в контексті стратегії суспільного розвитку 11Вища осві­ таУкраїни - 2005 - No2 - С. 117-122. http://vintur.vinnica.ua/universytetska-lyxomanka.</w:t>
      </w:r>
    </w:p>
    <w:p w:rsidR="00727CE0" w:rsidRDefault="00727CE0" w:rsidP="00727CE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9. </w:t>
      </w:r>
      <w:r>
        <w:rPr>
          <w:rFonts w:ascii="Times New Roman" w:eastAsia="Times New Roman" w:hAnsi="Times New Roman" w:cs="Times New Roman"/>
          <w:sz w:val="28"/>
          <w:szCs w:val="28"/>
        </w:rPr>
        <w:tab/>
        <w:t xml:space="preserve">Карапетян А.О. Вдосконалення механізмів управління системою вищої освіти України в умовах Болонського процесу: дис. канд. наук держ. управ.: 25.00.02 / Аліна Овіківна Карапетян. - Х., 2015. - 229с.       </w:t>
      </w:r>
    </w:p>
    <w:p w:rsidR="00727CE0" w:rsidRDefault="00727CE0" w:rsidP="00727CE0">
      <w:p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Коваленко О. Ю. Структура системи освіти США / О. Ю.Коваленко // Педагогіка формування творчої особистості у вищій і загальноосвітніх школах. Зб. наук. праць. – 2009. – No9. – С. 172 – 177.</w:t>
      </w:r>
    </w:p>
    <w:p w:rsidR="00727CE0" w:rsidRDefault="00727CE0" w:rsidP="00727CE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Ланьков А. Вища освіта по-корейському // Вища школа - 2001 - No 4-5 - С. 96-106.</w:t>
      </w:r>
    </w:p>
    <w:p w:rsidR="00727CE0" w:rsidRDefault="00727CE0" w:rsidP="00727CE0">
      <w:pPr>
        <w:spacing w:before="100" w:after="1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Олендр Т. М. Програми підготовки студентів природничих спеціальностей, що здобувають освітньо-кваліфікаційний рівень бакалавра у США й Україні: порівняльний аспект / Т. М. Олендр // Вісник Черкаського університету: Серія «Педагогічні науки», Вип. 147. – 2012. – С. 32 – 38.</w:t>
      </w:r>
    </w:p>
    <w:p w:rsidR="00727CE0" w:rsidRDefault="00727CE0" w:rsidP="00727CE0">
      <w:pPr>
        <w:spacing w:after="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13. Топчий Н. Н., Демидов С., Дергай Н., Шкляр С. Сравнительная характеристика систем образования Украины и США [Текст] // Проблемы и перспективы развития образования: материалы Междунар. науч. конф. (г. Пермь, апрель 2011 г.).Т. II. — Пермь: Меркурий, 2011. — С. 203-205. — URL https://moluch.ru/conf/ped/archive/17/135/ (дата обращения: 21.12.2018).</w:t>
      </w:r>
    </w:p>
    <w:p w:rsidR="00727CE0" w:rsidRDefault="00727CE0" w:rsidP="00727CE0">
      <w:pPr>
        <w:spacing w:before="100" w:after="1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 Шаран Р. Етапи розвитку дистанційної освіти у США / Р. Шаран // Порівняльна професійна педагогіка. – 2011. – No2. – С. 34 – 42.</w:t>
      </w:r>
    </w:p>
    <w:p w:rsidR="00727CE0" w:rsidRDefault="00727CE0" w:rsidP="00727CE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 Baker, Jeff and Wetherbe, James C. (2013) "Corporate Sponsorship of Academic Research: The Trend, Its Drivers, and Its Implications," Communications of the Association for Information Systems: Vol. 33 , Article 17. [Електронний ресурс]. - Режим доступу: https://aisel.aisnet.org/cais/vol33/iss1/17</w:t>
      </w:r>
    </w:p>
    <w:p w:rsidR="00727CE0" w:rsidRDefault="00727CE0" w:rsidP="00727CE0">
      <w:pPr>
        <w:spacing w:before="100" w:after="1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16. Duderstadt J. J. A University for the 21st Century / J. J. Duderstadt. – Ann Arbor, МІ: Univ. of Michigan press, 2000. – 358 p.             </w:t>
      </w:r>
      <w:r>
        <w:rPr>
          <w:rFonts w:ascii="Times New Roman" w:eastAsia="Times New Roman" w:hAnsi="Times New Roman" w:cs="Times New Roman"/>
          <w:sz w:val="28"/>
          <w:szCs w:val="28"/>
        </w:rPr>
        <w:tab/>
      </w:r>
    </w:p>
    <w:p w:rsidR="00727CE0" w:rsidRDefault="00727CE0" w:rsidP="00727CE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 Editorial: the benefits of the group projects by</w:t>
      </w:r>
      <w:hyperlink r:id="rId17">
        <w:r>
          <w:rPr>
            <w:rFonts w:ascii="Times New Roman" w:eastAsia="Times New Roman" w:hAnsi="Times New Roman" w:cs="Times New Roman"/>
            <w:sz w:val="28"/>
            <w:szCs w:val="28"/>
          </w:rPr>
          <w:t xml:space="preserve"> </w:t>
        </w:r>
      </w:hyperlink>
      <w:hyperlink r:id="rId18">
        <w:r>
          <w:rPr>
            <w:rFonts w:ascii="Times New Roman" w:eastAsia="Times New Roman" w:hAnsi="Times New Roman" w:cs="Times New Roman"/>
            <w:color w:val="1155CC"/>
            <w:sz w:val="28"/>
            <w:szCs w:val="28"/>
          </w:rPr>
          <w:t>Editorial Board</w:t>
        </w:r>
      </w:hyperlink>
      <w:hyperlink r:id="rId19">
        <w:r>
          <w:rPr>
            <w:rFonts w:ascii="Times New Roman" w:eastAsia="Times New Roman" w:hAnsi="Times New Roman" w:cs="Times New Roman"/>
            <w:sz w:val="28"/>
            <w:szCs w:val="28"/>
          </w:rPr>
          <w:t xml:space="preserve"> </w:t>
        </w:r>
      </w:hyperlink>
      <w:hyperlink r:id="rId20">
        <w:r>
          <w:rPr>
            <w:rFonts w:ascii="Times New Roman" w:eastAsia="Times New Roman" w:hAnsi="Times New Roman" w:cs="Times New Roman"/>
            <w:color w:val="1155CC"/>
            <w:sz w:val="28"/>
            <w:szCs w:val="28"/>
          </w:rPr>
          <w:t>May 16, 2012</w:t>
        </w:r>
      </w:hyperlink>
      <w:r>
        <w:rPr>
          <w:rFonts w:ascii="Times New Roman" w:eastAsia="Times New Roman" w:hAnsi="Times New Roman" w:cs="Times New Roman"/>
          <w:color w:val="1155CC"/>
          <w:sz w:val="28"/>
          <w:szCs w:val="28"/>
        </w:rPr>
        <w:t xml:space="preserve"> </w:t>
      </w:r>
      <w:r>
        <w:rPr>
          <w:rFonts w:ascii="Times New Roman" w:eastAsia="Times New Roman" w:hAnsi="Times New Roman" w:cs="Times New Roman"/>
          <w:sz w:val="28"/>
          <w:szCs w:val="28"/>
        </w:rPr>
        <w:t>[Електронний ресурс]. - Режим доступу:</w:t>
      </w:r>
      <w:hyperlink r:id="rId21">
        <w:r>
          <w:rPr>
            <w:rFonts w:ascii="Times New Roman" w:eastAsia="Times New Roman" w:hAnsi="Times New Roman" w:cs="Times New Roman"/>
            <w:sz w:val="28"/>
            <w:szCs w:val="28"/>
          </w:rPr>
          <w:t xml:space="preserve"> </w:t>
        </w:r>
      </w:hyperlink>
      <w:hyperlink r:id="rId22">
        <w:r>
          <w:rPr>
            <w:rFonts w:ascii="Times New Roman" w:eastAsia="Times New Roman" w:hAnsi="Times New Roman" w:cs="Times New Roman"/>
            <w:color w:val="1155CC"/>
            <w:sz w:val="28"/>
            <w:szCs w:val="28"/>
          </w:rPr>
          <w:t>https://www.stanforddaily.com/2012/05/16/editorial-the-benefits-of-group-projects/</w:t>
        </w:r>
      </w:hyperlink>
      <w:r>
        <w:rPr>
          <w:rFonts w:ascii="Times New Roman" w:eastAsia="Times New Roman" w:hAnsi="Times New Roman" w:cs="Times New Roman"/>
          <w:sz w:val="28"/>
          <w:szCs w:val="28"/>
        </w:rPr>
        <w:t>.</w:t>
      </w:r>
    </w:p>
    <w:p w:rsidR="00727CE0" w:rsidRDefault="00727CE0" w:rsidP="00727CE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 Education in South Korea - Deepti Mani, Research Associate, WES, and Stefan Trines, Research Editor, WENR- October 16, 2018- [Електронний ресурс]. - Режим доступу:</w:t>
      </w:r>
      <w:hyperlink r:id="rId23">
        <w:r>
          <w:rPr>
            <w:rFonts w:ascii="Times New Roman" w:eastAsia="Times New Roman" w:hAnsi="Times New Roman" w:cs="Times New Roman"/>
            <w:sz w:val="28"/>
            <w:szCs w:val="28"/>
          </w:rPr>
          <w:t xml:space="preserve"> </w:t>
        </w:r>
      </w:hyperlink>
      <w:hyperlink r:id="rId24">
        <w:r>
          <w:rPr>
            <w:rFonts w:ascii="Times New Roman" w:eastAsia="Times New Roman" w:hAnsi="Times New Roman" w:cs="Times New Roman"/>
            <w:color w:val="1155CC"/>
            <w:sz w:val="28"/>
            <w:szCs w:val="28"/>
            <w:u w:val="single"/>
          </w:rPr>
          <w:t>https://wenr.wes.org/2018/10/education-in-south-korea</w:t>
        </w:r>
      </w:hyperlink>
      <w:r>
        <w:rPr>
          <w:rFonts w:ascii="Times New Roman" w:eastAsia="Times New Roman" w:hAnsi="Times New Roman" w:cs="Times New Roman"/>
          <w:sz w:val="28"/>
          <w:szCs w:val="28"/>
        </w:rPr>
        <w:t xml:space="preserve">  </w:t>
      </w:r>
    </w:p>
    <w:p w:rsidR="00727CE0" w:rsidRDefault="00727CE0" w:rsidP="00727CE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19. Funding of Research in UK Higher Education, The University of Sheffield [Електронний ресурс]. - Режим доступу: </w:t>
      </w:r>
      <w:hyperlink r:id="rId25">
        <w:r>
          <w:rPr>
            <w:rFonts w:ascii="Times New Roman" w:eastAsia="Times New Roman" w:hAnsi="Times New Roman" w:cs="Times New Roman"/>
            <w:color w:val="1155CC"/>
            <w:sz w:val="28"/>
            <w:szCs w:val="28"/>
            <w:u w:val="single"/>
          </w:rPr>
          <w:t>https://www.sheffield.ac.uk/finance/staff-information/howfinanceworks/higher_education/funding_of_research</w:t>
        </w:r>
      </w:hyperlink>
      <w:r>
        <w:rPr>
          <w:rFonts w:ascii="Times New Roman" w:eastAsia="Times New Roman" w:hAnsi="Times New Roman" w:cs="Times New Roman"/>
          <w:sz w:val="28"/>
          <w:szCs w:val="28"/>
        </w:rPr>
        <w:t>.</w:t>
      </w:r>
    </w:p>
    <w:p w:rsidR="00727CE0" w:rsidRDefault="00727CE0" w:rsidP="00727CE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 Principles to Guide Academy-Industry Relationships - AMERICAN ASSOCIATION OF UNIVERSITY PROFESSORS, Published by: University of Illinois Press, 2014. - 368p.</w:t>
      </w:r>
    </w:p>
    <w:p w:rsidR="00727CE0" w:rsidRDefault="00727CE0" w:rsidP="00727CE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South Korean universities lead way on industry collaboration By David Schwartz, March 14th, 2017. [Електронний ресурс]. - Режим доступу:</w:t>
      </w:r>
      <w:hyperlink r:id="rId26">
        <w:r>
          <w:rPr>
            <w:rFonts w:ascii="Times New Roman" w:eastAsia="Times New Roman" w:hAnsi="Times New Roman" w:cs="Times New Roman"/>
            <w:sz w:val="28"/>
            <w:szCs w:val="28"/>
          </w:rPr>
          <w:t xml:space="preserve"> </w:t>
        </w:r>
      </w:hyperlink>
      <w:hyperlink r:id="rId27">
        <w:r>
          <w:rPr>
            <w:rFonts w:ascii="Times New Roman" w:eastAsia="Times New Roman" w:hAnsi="Times New Roman" w:cs="Times New Roman"/>
            <w:color w:val="1155CC"/>
            <w:sz w:val="28"/>
            <w:szCs w:val="28"/>
            <w:u w:val="single"/>
          </w:rPr>
          <w:t>https://techtransfercentral.com/2017/03/14/south-korean-universities-lead-way-on-industry-collaboration/</w:t>
        </w:r>
      </w:hyperlink>
      <w:r>
        <w:rPr>
          <w:rFonts w:ascii="Times New Roman" w:eastAsia="Times New Roman" w:hAnsi="Times New Roman" w:cs="Times New Roman"/>
          <w:sz w:val="28"/>
          <w:szCs w:val="28"/>
        </w:rPr>
        <w:t>.</w:t>
      </w:r>
    </w:p>
    <w:p w:rsidR="00727CE0" w:rsidRDefault="00727CE0" w:rsidP="00727CE0">
      <w:pPr>
        <w:spacing w:before="100" w:after="1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Renner R. Higher Ed. Inc.: The rise of the For-Profit University / R. Renner // The Journal of Higher Education. – 2003. – 74(1). – Р.108 – 111.</w:t>
      </w:r>
    </w:p>
    <w:p w:rsidR="00727CE0" w:rsidRDefault="00727CE0" w:rsidP="00727CE0">
      <w:pPr>
        <w:spacing w:before="100" w:after="1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23. Smith V. New Dimensions for General Education / V. Smith // Higher Learning in America, 1980-2000 / Ed. by Levine A. – Baltimore: John Hopkins Univ. Press, 1994. – 244 р.                                            </w:t>
      </w:r>
      <w:r>
        <w:rPr>
          <w:rFonts w:ascii="Times New Roman" w:eastAsia="Times New Roman" w:hAnsi="Times New Roman" w:cs="Times New Roman"/>
          <w:sz w:val="28"/>
          <w:szCs w:val="28"/>
        </w:rPr>
        <w:tab/>
      </w:r>
    </w:p>
    <w:p w:rsidR="00727CE0" w:rsidRDefault="00727CE0" w:rsidP="00727CE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 Successful group projects - Student learning development University of Leicester, 2009. [Електронний ресурс]. - Режим доступу:</w:t>
      </w:r>
      <w:hyperlink r:id="rId28">
        <w:r>
          <w:rPr>
            <w:rFonts w:ascii="Times New Roman" w:eastAsia="Times New Roman" w:hAnsi="Times New Roman" w:cs="Times New Roman"/>
            <w:sz w:val="28"/>
            <w:szCs w:val="28"/>
          </w:rPr>
          <w:t xml:space="preserve"> </w:t>
        </w:r>
      </w:hyperlink>
      <w:hyperlink r:id="rId29">
        <w:r>
          <w:rPr>
            <w:rFonts w:ascii="Times New Roman" w:eastAsia="Times New Roman" w:hAnsi="Times New Roman" w:cs="Times New Roman"/>
            <w:color w:val="1155CC"/>
            <w:sz w:val="28"/>
            <w:szCs w:val="28"/>
            <w:u w:val="single"/>
          </w:rPr>
          <w:t>https://www2.le.ac.uk/offices/ld/resources/study-guides-pdfs/study-skills-pdfs/successful-group-projects</w:t>
        </w:r>
      </w:hyperlink>
      <w:r>
        <w:rPr>
          <w:rFonts w:ascii="Times New Roman" w:eastAsia="Times New Roman" w:hAnsi="Times New Roman" w:cs="Times New Roman"/>
          <w:sz w:val="28"/>
          <w:szCs w:val="28"/>
        </w:rPr>
        <w:t>.</w:t>
      </w:r>
    </w:p>
    <w:p w:rsidR="00727CE0" w:rsidRDefault="00727CE0" w:rsidP="00727CE0">
      <w:pPr>
        <w:spacing w:after="0" w:line="360" w:lineRule="auto"/>
        <w:jc w:val="both"/>
        <w:rPr>
          <w:rFonts w:ascii="Times New Roman" w:eastAsia="Times New Roman" w:hAnsi="Times New Roman" w:cs="Times New Roman"/>
          <w:color w:val="1155CC"/>
          <w:sz w:val="28"/>
          <w:szCs w:val="28"/>
          <w:u w:val="single"/>
        </w:rPr>
      </w:pPr>
      <w:r>
        <w:rPr>
          <w:rFonts w:ascii="Times New Roman" w:eastAsia="Times New Roman" w:hAnsi="Times New Roman" w:cs="Times New Roman"/>
          <w:sz w:val="28"/>
          <w:szCs w:val="28"/>
        </w:rPr>
        <w:t>25. The Teaching Style in Denmark Printed: December 20, 2018 [Електронний ресурс]. - Режим доступу:</w:t>
      </w:r>
      <w:hyperlink r:id="rId30">
        <w:r>
          <w:rPr>
            <w:rFonts w:ascii="Times New Roman" w:eastAsia="Times New Roman" w:hAnsi="Times New Roman" w:cs="Times New Roman"/>
            <w:sz w:val="28"/>
            <w:szCs w:val="28"/>
          </w:rPr>
          <w:t xml:space="preserve"> </w:t>
        </w:r>
      </w:hyperlink>
      <w:r>
        <w:fldChar w:fldCharType="begin"/>
      </w:r>
      <w:r>
        <w:instrText xml:space="preserve"> HYPERLINK "https://studyindenmark.dk/study-options/the-danish-way-of-teaching-1/download-pdf" </w:instrText>
      </w:r>
      <w:r>
        <w:fldChar w:fldCharType="separate"/>
      </w:r>
      <w:r>
        <w:rPr>
          <w:rFonts w:ascii="Times New Roman" w:eastAsia="Times New Roman" w:hAnsi="Times New Roman" w:cs="Times New Roman"/>
          <w:color w:val="1155CC"/>
          <w:sz w:val="28"/>
          <w:szCs w:val="28"/>
          <w:u w:val="single"/>
        </w:rPr>
        <w:t>https://studyindenmark.dk/study-options/the-danish-way-of-teaching-1/download-pdf</w:t>
      </w:r>
    </w:p>
    <w:p w:rsidR="00727CE0" w:rsidRDefault="00727CE0" w:rsidP="00727CE0">
      <w:pPr>
        <w:spacing w:after="0" w:line="360" w:lineRule="auto"/>
        <w:ind w:firstLine="566"/>
        <w:jc w:val="center"/>
        <w:rPr>
          <w:rFonts w:ascii="Times New Roman" w:eastAsia="Times New Roman" w:hAnsi="Times New Roman" w:cs="Times New Roman"/>
          <w:b/>
          <w:sz w:val="28"/>
          <w:szCs w:val="28"/>
        </w:rPr>
      </w:pPr>
      <w:r>
        <w:fldChar w:fldCharType="end"/>
      </w:r>
    </w:p>
    <w:p w:rsidR="00C66C7C" w:rsidRDefault="00ED7E82">
      <w:pPr>
        <w:spacing w:after="0" w:line="360" w:lineRule="auto"/>
        <w:ind w:firstLine="566"/>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w:t>
      </w:r>
    </w:p>
    <w:p w:rsidR="00C66C7C" w:rsidRDefault="00C66C7C">
      <w:pPr>
        <w:spacing w:after="0" w:line="360" w:lineRule="auto"/>
        <w:ind w:firstLine="566"/>
        <w:jc w:val="both"/>
        <w:rPr>
          <w:rFonts w:ascii="Times New Roman" w:eastAsia="Times New Roman" w:hAnsi="Times New Roman" w:cs="Times New Roman"/>
          <w:sz w:val="28"/>
          <w:szCs w:val="28"/>
        </w:rPr>
      </w:pPr>
    </w:p>
    <w:p w:rsidR="00C66C7C" w:rsidRDefault="00ED7E82">
      <w:pPr>
        <w:widowControl w:val="0"/>
        <w:spacing w:after="0"/>
        <w:ind w:firstLine="566"/>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Аналіз наукових джерел дозволив нам сформувати власне бачення сутності таких явищ, як “управління освітою” та “управління освітнім процесом”, під якими ми розуміємо наступне:</w:t>
      </w:r>
    </w:p>
    <w:p w:rsidR="00C66C7C" w:rsidRDefault="00ED7E82">
      <w:pPr>
        <w:widowControl w:val="0"/>
        <w:spacing w:after="0"/>
        <w:ind w:left="1280" w:hanging="360"/>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0"/>
          <w:szCs w:val="20"/>
          <w:highlight w:val="white"/>
        </w:rPr>
        <w:t xml:space="preserve">·  </w:t>
      </w:r>
      <w:r>
        <w:rPr>
          <w:rFonts w:ascii="Times New Roman" w:eastAsia="Times New Roman" w:hAnsi="Times New Roman" w:cs="Times New Roman"/>
          <w:color w:val="222222"/>
          <w:sz w:val="28"/>
          <w:szCs w:val="28"/>
          <w:highlight w:val="white"/>
        </w:rPr>
        <w:t>“управління освітою” - це усвідомлена діяльність, спрямована на збереження єдиної структури та реалізації мети, якою являється розвиток, соціалізація та економічний добробут особистості, суспільства та держави за єдиним вектором цінностей та культури;</w:t>
      </w:r>
    </w:p>
    <w:p w:rsidR="00C66C7C" w:rsidRDefault="00ED7E82">
      <w:pPr>
        <w:widowControl w:val="0"/>
        <w:spacing w:after="0"/>
        <w:ind w:left="1280" w:hanging="360"/>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0"/>
          <w:szCs w:val="20"/>
          <w:highlight w:val="white"/>
        </w:rPr>
        <w:t xml:space="preserve">·  </w:t>
      </w:r>
      <w:r>
        <w:rPr>
          <w:rFonts w:ascii="Times New Roman" w:eastAsia="Times New Roman" w:hAnsi="Times New Roman" w:cs="Times New Roman"/>
          <w:color w:val="222222"/>
          <w:sz w:val="28"/>
          <w:szCs w:val="28"/>
          <w:highlight w:val="white"/>
        </w:rPr>
        <w:t>“управління освітнім процесом” - це  цілеспрямована діяльність всіх суб’єктів освітнього процесу, що скерована на створення, запровадження і функціонування системи науково-методичних і педагогічних заходів з метою розвитку особистості через формування її компетентностей для передачі та примноження знань, умінь та інших компетентностей у суспільстві, відповідно до вимог міжнародних стандартів та ринку праці.</w:t>
      </w:r>
    </w:p>
    <w:p w:rsidR="00C66C7C" w:rsidRDefault="00ED7E82">
      <w:pPr>
        <w:widowControl w:val="0"/>
        <w:spacing w:after="0"/>
        <w:ind w:firstLine="566"/>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Таким чином, управлін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ня у ЗВО є одночасн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о і система, і неперерв</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ний процес, який є суттєвим фактором в ефективн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ій діяльнос</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ті ЗВО і забезпеч</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ує його розвиток. Завдяки управлін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ню досягаєт</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ься адаптаці</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я різноман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ітних організа</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ційних компонен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тів, реалізує</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ться симбіоз і синтез різноман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ітних структур у межах вишу, розподіл</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яються функції центру і перифері</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ї організа</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ції, формуєть</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ся стійке управлін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ня. Таким чином, раціонал</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ьне управлін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ня визначає оптималь</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ність діяльнос</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ті ЗВО на ринку освітніх послуг та його ефективн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ий розвиток.</w:t>
      </w:r>
    </w:p>
    <w:p w:rsidR="00C66C7C" w:rsidRDefault="00ED7E82">
      <w:pPr>
        <w:widowControl w:val="0"/>
        <w:spacing w:after="0"/>
        <w:ind w:firstLine="566"/>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Отже, для сучасног</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о стану процесу управлін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ня ЗВО в Україні та зарубіжж</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і характер</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ні процеси:</w:t>
      </w:r>
    </w:p>
    <w:p w:rsidR="00C66C7C" w:rsidRDefault="00ED7E82">
      <w:pPr>
        <w:widowControl w:val="0"/>
        <w:spacing w:after="0"/>
        <w:ind w:left="1720" w:hanging="360"/>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децентра</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лізації, тобто передача ряду функцій і повноваж</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ень від вищих органів управлін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ня нижчим;</w:t>
      </w:r>
    </w:p>
    <w:p w:rsidR="00C66C7C" w:rsidRDefault="00ED7E82">
      <w:pPr>
        <w:widowControl w:val="0"/>
        <w:spacing w:after="0"/>
        <w:ind w:left="1720" w:hanging="360"/>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перехід від державно</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го до державно - громадсь</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кого процесу управлін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ня, головною метою якого є поєднанн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я зусиль держави і суспільс</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тва у вирішенн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і проблем формуван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ня державно</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ї політики в галузі освіти, питань навчальн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о-виховної, методичн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ої, економіч</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ної, фінансов</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о-господарської діяльнос</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ті.</w:t>
      </w:r>
    </w:p>
    <w:p w:rsidR="00C66C7C" w:rsidRDefault="00ED7E82">
      <w:pPr>
        <w:widowControl w:val="0"/>
        <w:spacing w:after="0"/>
        <w:ind w:firstLine="566"/>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Необхідно зауважит</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и, що інтегрую</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чись в європейс</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ький і світовий освітній простір, Україна повинна враховув</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ати досвід управлін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ня ЗВО інших країн. Проте їх потрібно розгляда</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ти та використ</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овувати на практиці з метою надання допомоги в розробці системи управлін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ня ЗВО за умови врахуван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 xml:space="preserve">ня </w:t>
      </w:r>
      <w:r>
        <w:rPr>
          <w:rFonts w:ascii="Times New Roman" w:eastAsia="Times New Roman" w:hAnsi="Times New Roman" w:cs="Times New Roman"/>
          <w:color w:val="222222"/>
          <w:sz w:val="28"/>
          <w:szCs w:val="28"/>
          <w:highlight w:val="white"/>
        </w:rPr>
        <w:lastRenderedPageBreak/>
        <w:t>націонал</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ьних особливо</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стей українсь</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кої держави та системи освіти, не потрібно й забувати про завдання ЗВО, на досягнен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ня яких він орієнтує</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ться. Велику роль у цій справі відіграю</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ть громадсь</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кі організа</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ції, органи місцевог</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о самовряд</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ування, асоціаці</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ї батьків та навчальн</w:t>
      </w:r>
      <w:r>
        <w:rPr>
          <w:rFonts w:ascii="Times New Roman" w:eastAsia="Times New Roman" w:hAnsi="Times New Roman" w:cs="Times New Roman"/>
          <w:color w:val="222222"/>
          <w:sz w:val="5"/>
          <w:szCs w:val="5"/>
          <w:highlight w:val="white"/>
        </w:rPr>
        <w:t>ֺ</w:t>
      </w:r>
      <w:r>
        <w:rPr>
          <w:rFonts w:ascii="Times New Roman" w:eastAsia="Times New Roman" w:hAnsi="Times New Roman" w:cs="Times New Roman"/>
          <w:color w:val="222222"/>
          <w:sz w:val="28"/>
          <w:szCs w:val="28"/>
          <w:highlight w:val="white"/>
        </w:rPr>
        <w:t>і заклади.</w:t>
      </w:r>
    </w:p>
    <w:p w:rsidR="00C66C7C" w:rsidRDefault="00ED7E82">
      <w:pPr>
        <w:widowControl w:val="0"/>
        <w:spacing w:after="0"/>
        <w:ind w:firstLine="566"/>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Нами було проаналізовано досвід управління освітнім процесом у ЗВО. Результати проведеного дослідження дозволяють дійти таких висновків: наявні успішні рішення та досвід інших країн, які можно  застосувати для оптимізації управління освітнім процесом у вітчизняних закладах вищої освіти, що допоможе їм вийти на якісно новий рівень, викладачам здобути певну свободу для творческой прояви бачення нових перспектив розвитку, розвинути якісно нових фахівців на ринку праці, посприяти формуванню нового, більш свідомого, відповідального за себе покоління, яке знає собі ціну і спрямоване на творчу та інноваційну діяльність.</w:t>
      </w:r>
    </w:p>
    <w:p w:rsidR="00C66C7C" w:rsidRDefault="00ED7E82">
      <w:pPr>
        <w:widowControl w:val="0"/>
        <w:spacing w:after="0"/>
        <w:ind w:firstLine="566"/>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На основі нашого дослідження, ми вважаємо, що українським ЗВО варто перейняти із досвіду США та Південної Кореї: самостійний вибір студентами предметів навчання. За умов самостійного вибору предметів у студентів виникає більший інтерес до дослідження. Цей висновок був підтверджений дослідженням серед студентів ОНУ імені І.І. Мечникова за результатами якого було виявлено, що 96,4% респондентів виявили інтерес до цього питання.   </w:t>
      </w:r>
    </w:p>
    <w:p w:rsidR="00C66C7C" w:rsidRDefault="00ED7E82">
      <w:pPr>
        <w:widowControl w:val="0"/>
        <w:spacing w:after="0"/>
        <w:ind w:firstLine="566"/>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Із практики організації освітнього процесу в університетах США, Великобританії, Данії, Австралії та Азії варто перейняти такий метод навчання як групові проектні роботи. Цей метод дозволяє студентам набути досвід праці у колективі, досвід коллаборації та комунікації, вміння обґрунтовувати та відстоювати власні ідеї, організаційний досвід та можливість зануритися у дослідження досвіду бізнес-організацій чи підприємців, а також можливість побачити міждисциплінарні зв'язки.</w:t>
      </w:r>
    </w:p>
    <w:p w:rsidR="00C66C7C" w:rsidRDefault="00ED7E82">
      <w:pPr>
        <w:widowControl w:val="0"/>
        <w:spacing w:after="0"/>
        <w:ind w:firstLine="566"/>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Із досвіду КНР, США, Південної Кореї та Великобританії можна запозичити налагодження в’язків між роботодавцями та ЗВО, для того, щоб пропозиція кваліфікованих кадрів відповідала запиту на ринку праці. У КНР, США, Південній Кореї та Великобританії бізнес фінансує цікаві для нього галузі, створює дослідницькі групи та спонсорує талановитих студентів. Для ЗВО - реалізується зв'язок освіти з бізнесом, підприємство може зацікавитися студентами і влаштувати їх на роботу. 70,9% студентів зацікавлені у такому досвіді, згідно нашого опитування.</w:t>
      </w:r>
    </w:p>
    <w:p w:rsidR="00C66C7C" w:rsidRDefault="00ED7E82">
      <w:pPr>
        <w:widowControl w:val="0"/>
        <w:spacing w:after="0"/>
        <w:ind w:firstLine="566"/>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Більшість сучасних зарубіжних університетів мають добре розвинену ІТ-інфраструктуру. Діджиталізація ЗВО спростить роботу з паперами та їх великим обсягом, оскільки всю інформацію щодо студентів, планів роботи, самостійної роботи студентів можно буде побачити в електронній формі, що </w:t>
      </w:r>
      <w:r>
        <w:rPr>
          <w:rFonts w:ascii="Times New Roman" w:eastAsia="Times New Roman" w:hAnsi="Times New Roman" w:cs="Times New Roman"/>
          <w:color w:val="222222"/>
          <w:sz w:val="28"/>
          <w:szCs w:val="28"/>
          <w:highlight w:val="white"/>
        </w:rPr>
        <w:lastRenderedPageBreak/>
        <w:t>також сприятиме екологічному підходу до довкілля.</w:t>
      </w:r>
    </w:p>
    <w:p w:rsidR="00C66C7C" w:rsidRDefault="00ED7E82">
      <w:pPr>
        <w:widowControl w:val="0"/>
        <w:spacing w:after="0"/>
        <w:ind w:firstLine="566"/>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У США дистанційна форма здобуття освіти вже довела свою ефективність та затребуваність. Переваги, які ми бачимо у цій формі здобуття освіти: надання можливості залучити якомога більше студентів з інших міст і населених пунктів, людей з обмеженими фізичними можливостями, людей, які з різних причин не можуть фізично відвідувати будівлю університету; збільшення доступності освіти; навчання в індивідуальному темпі - швидкість вивчення встановлюється самим студентом в залежності від його особистих обставин і потреб; мобільність - ефективна реалізація зворотного зв'язку між викладачем та студентом є однією з основних вимог і підстав успішності процесу навчання.</w:t>
      </w:r>
    </w:p>
    <w:p w:rsidR="00C66C7C" w:rsidRDefault="00ED7E82">
      <w:pPr>
        <w:widowControl w:val="0"/>
        <w:spacing w:after="0"/>
        <w:ind w:firstLine="566"/>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Ще один із шляхів оптимізації управління освітнім процесом у сучасних ЗВО ми вбачаємо у розвитку освітнього туризму для викладачів, також спираючись на досвід закордонних колег. Ми бачимо в освітньому туризмі для викладачів дуже високий потенціал, оскільки тематичні поїздки за кордон для викладачів з обміну досвідом або дослідницької діяльності за рахунок університету дадуть можливість викладачу переключитись з рутинної праці та запалити заново інтерес до своєї діяльності, що вирішить таку проблему ХХІ сторіччя, як емоційне вигорання на роботі, отримати новий досвід, включити творчість, розширити горизонти.</w:t>
      </w:r>
    </w:p>
    <w:p w:rsidR="00C66C7C" w:rsidRDefault="00C66C7C">
      <w:pPr>
        <w:widowControl w:val="0"/>
        <w:spacing w:after="0" w:line="360" w:lineRule="auto"/>
        <w:ind w:firstLine="566"/>
        <w:jc w:val="both"/>
        <w:rPr>
          <w:rFonts w:ascii="Times New Roman" w:eastAsia="Times New Roman" w:hAnsi="Times New Roman" w:cs="Times New Roman"/>
          <w:sz w:val="28"/>
          <w:szCs w:val="28"/>
          <w:highlight w:val="white"/>
        </w:rPr>
      </w:pPr>
    </w:p>
    <w:p w:rsidR="00C66C7C" w:rsidRDefault="00C66C7C">
      <w:pPr>
        <w:spacing w:after="0" w:line="360" w:lineRule="auto"/>
        <w:ind w:firstLine="566"/>
        <w:jc w:val="both"/>
        <w:rPr>
          <w:rFonts w:ascii="Times New Roman" w:eastAsia="Times New Roman" w:hAnsi="Times New Roman" w:cs="Times New Roman"/>
          <w:sz w:val="28"/>
          <w:szCs w:val="28"/>
        </w:rPr>
      </w:pPr>
    </w:p>
    <w:p w:rsidR="00C66C7C" w:rsidRDefault="00C66C7C">
      <w:pPr>
        <w:spacing w:after="0" w:line="360" w:lineRule="auto"/>
        <w:ind w:firstLine="566"/>
        <w:jc w:val="both"/>
        <w:rPr>
          <w:rFonts w:ascii="Times New Roman" w:eastAsia="Times New Roman" w:hAnsi="Times New Roman" w:cs="Times New Roman"/>
          <w:b/>
          <w:sz w:val="28"/>
          <w:szCs w:val="28"/>
        </w:rPr>
      </w:pPr>
    </w:p>
    <w:p w:rsidR="00C66C7C" w:rsidRDefault="00C66C7C">
      <w:pPr>
        <w:spacing w:after="0" w:line="360" w:lineRule="auto"/>
        <w:ind w:firstLine="566"/>
        <w:jc w:val="both"/>
        <w:rPr>
          <w:rFonts w:ascii="Times New Roman" w:eastAsia="Times New Roman" w:hAnsi="Times New Roman" w:cs="Times New Roman"/>
          <w:b/>
          <w:sz w:val="28"/>
          <w:szCs w:val="28"/>
        </w:rPr>
      </w:pPr>
    </w:p>
    <w:p w:rsidR="00C66C7C" w:rsidRDefault="00C66C7C">
      <w:pPr>
        <w:spacing w:after="0" w:line="360" w:lineRule="auto"/>
        <w:ind w:firstLine="566"/>
        <w:jc w:val="both"/>
        <w:rPr>
          <w:rFonts w:ascii="Times New Roman" w:eastAsia="Times New Roman" w:hAnsi="Times New Roman" w:cs="Times New Roman"/>
          <w:b/>
          <w:sz w:val="28"/>
          <w:szCs w:val="28"/>
        </w:rPr>
      </w:pPr>
    </w:p>
    <w:p w:rsidR="00C66C7C" w:rsidRDefault="00C66C7C">
      <w:pPr>
        <w:spacing w:after="0" w:line="360" w:lineRule="auto"/>
        <w:ind w:firstLine="566"/>
        <w:jc w:val="both"/>
        <w:rPr>
          <w:rFonts w:ascii="Times New Roman" w:eastAsia="Times New Roman" w:hAnsi="Times New Roman" w:cs="Times New Roman"/>
          <w:b/>
          <w:sz w:val="28"/>
          <w:szCs w:val="28"/>
        </w:rPr>
      </w:pPr>
    </w:p>
    <w:p w:rsidR="00C66C7C" w:rsidRDefault="00C66C7C">
      <w:pPr>
        <w:spacing w:after="0" w:line="360" w:lineRule="auto"/>
        <w:ind w:firstLine="566"/>
        <w:jc w:val="both"/>
        <w:rPr>
          <w:rFonts w:ascii="Times New Roman" w:eastAsia="Times New Roman" w:hAnsi="Times New Roman" w:cs="Times New Roman"/>
          <w:b/>
          <w:sz w:val="28"/>
          <w:szCs w:val="28"/>
        </w:rPr>
      </w:pPr>
    </w:p>
    <w:p w:rsidR="00C66C7C" w:rsidRDefault="00C66C7C">
      <w:pPr>
        <w:spacing w:after="0" w:line="360" w:lineRule="auto"/>
        <w:ind w:firstLine="566"/>
        <w:jc w:val="both"/>
        <w:rPr>
          <w:rFonts w:ascii="Times New Roman" w:eastAsia="Times New Roman" w:hAnsi="Times New Roman" w:cs="Times New Roman"/>
          <w:b/>
          <w:sz w:val="28"/>
          <w:szCs w:val="28"/>
        </w:rPr>
      </w:pPr>
    </w:p>
    <w:p w:rsidR="00C66C7C" w:rsidRDefault="00C66C7C">
      <w:pPr>
        <w:spacing w:after="0" w:line="360" w:lineRule="auto"/>
        <w:ind w:firstLine="566"/>
        <w:jc w:val="both"/>
        <w:rPr>
          <w:rFonts w:ascii="Times New Roman" w:eastAsia="Times New Roman" w:hAnsi="Times New Roman" w:cs="Times New Roman"/>
          <w:b/>
          <w:sz w:val="28"/>
          <w:szCs w:val="28"/>
        </w:rPr>
      </w:pPr>
    </w:p>
    <w:p w:rsidR="00C66C7C" w:rsidRDefault="00C66C7C">
      <w:pPr>
        <w:spacing w:after="0" w:line="360" w:lineRule="auto"/>
        <w:ind w:firstLine="566"/>
        <w:jc w:val="both"/>
        <w:rPr>
          <w:rFonts w:ascii="Times New Roman" w:eastAsia="Times New Roman" w:hAnsi="Times New Roman" w:cs="Times New Roman"/>
          <w:b/>
          <w:sz w:val="28"/>
          <w:szCs w:val="28"/>
        </w:rPr>
      </w:pPr>
    </w:p>
    <w:p w:rsidR="00C66C7C" w:rsidRDefault="00C66C7C">
      <w:pPr>
        <w:spacing w:after="0" w:line="360" w:lineRule="auto"/>
        <w:ind w:firstLine="566"/>
        <w:jc w:val="both"/>
        <w:rPr>
          <w:rFonts w:ascii="Times New Roman" w:eastAsia="Times New Roman" w:hAnsi="Times New Roman" w:cs="Times New Roman"/>
          <w:b/>
          <w:sz w:val="28"/>
          <w:szCs w:val="28"/>
        </w:rPr>
      </w:pPr>
    </w:p>
    <w:p w:rsidR="00C66C7C" w:rsidRDefault="00C66C7C">
      <w:pPr>
        <w:spacing w:after="0" w:line="360" w:lineRule="auto"/>
        <w:ind w:firstLine="566"/>
        <w:jc w:val="both"/>
        <w:rPr>
          <w:rFonts w:ascii="Times New Roman" w:eastAsia="Times New Roman" w:hAnsi="Times New Roman" w:cs="Times New Roman"/>
          <w:b/>
          <w:sz w:val="28"/>
          <w:szCs w:val="28"/>
        </w:rPr>
      </w:pPr>
    </w:p>
    <w:p w:rsidR="00C66C7C" w:rsidRDefault="00C66C7C">
      <w:pPr>
        <w:spacing w:after="0" w:line="360" w:lineRule="auto"/>
        <w:ind w:firstLine="566"/>
        <w:jc w:val="both"/>
        <w:rPr>
          <w:rFonts w:ascii="Times New Roman" w:eastAsia="Times New Roman" w:hAnsi="Times New Roman" w:cs="Times New Roman"/>
          <w:b/>
          <w:sz w:val="28"/>
          <w:szCs w:val="28"/>
        </w:rPr>
      </w:pPr>
    </w:p>
    <w:p w:rsidR="00C66C7C" w:rsidRDefault="00C66C7C">
      <w:pPr>
        <w:spacing w:after="0" w:line="360" w:lineRule="auto"/>
        <w:ind w:left="1440" w:hanging="873"/>
        <w:rPr>
          <w:rFonts w:ascii="Times New Roman" w:eastAsia="Times New Roman" w:hAnsi="Times New Roman" w:cs="Times New Roman"/>
          <w:b/>
          <w:sz w:val="28"/>
          <w:szCs w:val="28"/>
        </w:rPr>
      </w:pPr>
      <w:bookmarkStart w:id="3" w:name="_GoBack"/>
      <w:bookmarkEnd w:id="3"/>
    </w:p>
    <w:sectPr w:rsidR="00C66C7C">
      <w:headerReference w:type="default" r:id="rId31"/>
      <w:footerReference w:type="default" r:id="rId32"/>
      <w:headerReference w:type="first" r:id="rId33"/>
      <w:pgSz w:w="11906" w:h="16838"/>
      <w:pgMar w:top="1133" w:right="850" w:bottom="1133" w:left="1700" w:header="720" w:footer="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5659" w:rsidRDefault="00CC5659">
      <w:pPr>
        <w:spacing w:after="0" w:line="240" w:lineRule="auto"/>
      </w:pPr>
      <w:r>
        <w:separator/>
      </w:r>
    </w:p>
  </w:endnote>
  <w:endnote w:type="continuationSeparator" w:id="0">
    <w:p w:rsidR="00CC5659" w:rsidRDefault="00CC56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Gungsuh">
    <w:altName w:val="Times New Roman"/>
    <w:panose1 w:val="02030600000101010101"/>
    <w:charset w:val="81"/>
    <w:family w:val="roman"/>
    <w:pitch w:val="variable"/>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7E82" w:rsidRDefault="00ED7E82">
    <w:pPr>
      <w:pBdr>
        <w:top w:val="nil"/>
        <w:left w:val="nil"/>
        <w:bottom w:val="nil"/>
        <w:right w:val="nil"/>
        <w:between w:val="nil"/>
      </w:pBdr>
      <w:tabs>
        <w:tab w:val="center" w:pos="4677"/>
        <w:tab w:val="right" w:pos="9355"/>
      </w:tabs>
      <w:spacing w:after="0" w:line="240" w:lineRule="auto"/>
      <w:jc w:val="right"/>
      <w:rPr>
        <w:rFonts w:ascii="Arial" w:eastAsia="Arial" w:hAnsi="Arial" w:cs="Arial"/>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5659" w:rsidRDefault="00CC5659">
      <w:pPr>
        <w:spacing w:after="0" w:line="240" w:lineRule="auto"/>
      </w:pPr>
      <w:r>
        <w:separator/>
      </w:r>
    </w:p>
  </w:footnote>
  <w:footnote w:type="continuationSeparator" w:id="0">
    <w:p w:rsidR="00CC5659" w:rsidRDefault="00CC565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7E82" w:rsidRDefault="00ED7E82">
    <w:pPr>
      <w:jc w:val="right"/>
    </w:pPr>
    <w:r>
      <w:fldChar w:fldCharType="begin"/>
    </w:r>
    <w:r>
      <w:instrText>PAGE</w:instrText>
    </w:r>
    <w:r>
      <w:fldChar w:fldCharType="separate"/>
    </w:r>
    <w:r w:rsidR="00FF0066">
      <w:rPr>
        <w:noProof/>
      </w:rPr>
      <w:t>20</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7E82" w:rsidRDefault="00ED7E82">
    <w:pP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8724B"/>
    <w:multiLevelType w:val="multilevel"/>
    <w:tmpl w:val="E18430B4"/>
    <w:lvl w:ilvl="0">
      <w:start w:val="1"/>
      <w:numFmt w:val="decimal"/>
      <w:lvlText w:val="%1."/>
      <w:lvlJc w:val="left"/>
      <w:pPr>
        <w:ind w:left="495" w:hanging="495"/>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nsid w:val="0B30580F"/>
    <w:multiLevelType w:val="multilevel"/>
    <w:tmpl w:val="DA3A9C2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
    <w:nsid w:val="0CBB1AEA"/>
    <w:multiLevelType w:val="multilevel"/>
    <w:tmpl w:val="83AC011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
    <w:nsid w:val="12BE40A7"/>
    <w:multiLevelType w:val="multilevel"/>
    <w:tmpl w:val="05722F1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
    <w:nsid w:val="253D619E"/>
    <w:multiLevelType w:val="multilevel"/>
    <w:tmpl w:val="8C52AD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nsid w:val="257710E7"/>
    <w:multiLevelType w:val="multilevel"/>
    <w:tmpl w:val="3B1E3D2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
    <w:nsid w:val="25927E07"/>
    <w:multiLevelType w:val="multilevel"/>
    <w:tmpl w:val="50809A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43717D70"/>
    <w:multiLevelType w:val="multilevel"/>
    <w:tmpl w:val="EF90EE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64612D11"/>
    <w:multiLevelType w:val="multilevel"/>
    <w:tmpl w:val="1FA6920C"/>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9">
    <w:nsid w:val="70762EC4"/>
    <w:multiLevelType w:val="multilevel"/>
    <w:tmpl w:val="88BC0B0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0">
    <w:nsid w:val="70F702F8"/>
    <w:multiLevelType w:val="multilevel"/>
    <w:tmpl w:val="06C63F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1"/>
  </w:num>
  <w:num w:numId="3">
    <w:abstractNumId w:val="3"/>
  </w:num>
  <w:num w:numId="4">
    <w:abstractNumId w:val="8"/>
  </w:num>
  <w:num w:numId="5">
    <w:abstractNumId w:val="5"/>
  </w:num>
  <w:num w:numId="6">
    <w:abstractNumId w:val="7"/>
  </w:num>
  <w:num w:numId="7">
    <w:abstractNumId w:val="10"/>
  </w:num>
  <w:num w:numId="8">
    <w:abstractNumId w:val="6"/>
  </w:num>
  <w:num w:numId="9">
    <w:abstractNumId w:val="4"/>
  </w:num>
  <w:num w:numId="10">
    <w:abstractNumId w:val="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6C7C"/>
    <w:rsid w:val="0044164B"/>
    <w:rsid w:val="004E4F05"/>
    <w:rsid w:val="0071478E"/>
    <w:rsid w:val="00727CE0"/>
    <w:rsid w:val="00C66C7C"/>
    <w:rsid w:val="00CC5659"/>
    <w:rsid w:val="00ED7E82"/>
    <w:rsid w:val="00FF00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pBdr>
        <w:top w:val="nil"/>
        <w:left w:val="nil"/>
        <w:bottom w:val="nil"/>
        <w:right w:val="nil"/>
        <w:between w:val="nil"/>
      </w:pBdr>
      <w:spacing w:before="400" w:after="120"/>
      <w:outlineLvl w:val="0"/>
    </w:pPr>
    <w:rPr>
      <w:rFonts w:ascii="Arial" w:eastAsia="Arial" w:hAnsi="Arial" w:cs="Arial"/>
      <w:color w:val="000000"/>
      <w:sz w:val="40"/>
      <w:szCs w:val="40"/>
    </w:rPr>
  </w:style>
  <w:style w:type="paragraph" w:styleId="2">
    <w:name w:val="heading 2"/>
    <w:basedOn w:val="a"/>
    <w:next w:val="a"/>
    <w:pPr>
      <w:keepNext/>
      <w:keepLines/>
      <w:pBdr>
        <w:top w:val="nil"/>
        <w:left w:val="nil"/>
        <w:bottom w:val="nil"/>
        <w:right w:val="nil"/>
        <w:between w:val="nil"/>
      </w:pBdr>
      <w:spacing w:before="360" w:after="120"/>
      <w:outlineLvl w:val="1"/>
    </w:pPr>
    <w:rPr>
      <w:rFonts w:ascii="Arial" w:eastAsia="Arial" w:hAnsi="Arial" w:cs="Arial"/>
      <w:color w:val="000000"/>
      <w:sz w:val="32"/>
      <w:szCs w:val="32"/>
    </w:rPr>
  </w:style>
  <w:style w:type="paragraph" w:styleId="3">
    <w:name w:val="heading 3"/>
    <w:basedOn w:val="a"/>
    <w:next w:val="a"/>
    <w:pPr>
      <w:keepNext/>
      <w:keepLines/>
      <w:pBdr>
        <w:top w:val="nil"/>
        <w:left w:val="nil"/>
        <w:bottom w:val="nil"/>
        <w:right w:val="nil"/>
        <w:between w:val="nil"/>
      </w:pBdr>
      <w:spacing w:before="320" w:after="80"/>
      <w:outlineLvl w:val="2"/>
    </w:pPr>
    <w:rPr>
      <w:rFonts w:ascii="Arial" w:eastAsia="Arial" w:hAnsi="Arial" w:cs="Arial"/>
      <w:color w:val="434343"/>
      <w:sz w:val="28"/>
      <w:szCs w:val="28"/>
    </w:rPr>
  </w:style>
  <w:style w:type="paragraph" w:styleId="4">
    <w:name w:val="heading 4"/>
    <w:basedOn w:val="a"/>
    <w:next w:val="a"/>
    <w:pPr>
      <w:keepNext/>
      <w:keepLines/>
      <w:pBdr>
        <w:top w:val="nil"/>
        <w:left w:val="nil"/>
        <w:bottom w:val="nil"/>
        <w:right w:val="nil"/>
        <w:between w:val="nil"/>
      </w:pBdr>
      <w:spacing w:before="280" w:after="80"/>
      <w:outlineLvl w:val="3"/>
    </w:pPr>
    <w:rPr>
      <w:rFonts w:ascii="Arial" w:eastAsia="Arial" w:hAnsi="Arial" w:cs="Arial"/>
      <w:color w:val="666666"/>
      <w:sz w:val="24"/>
      <w:szCs w:val="24"/>
    </w:rPr>
  </w:style>
  <w:style w:type="paragraph" w:styleId="5">
    <w:name w:val="heading 5"/>
    <w:basedOn w:val="a"/>
    <w:next w:val="a"/>
    <w:pPr>
      <w:keepNext/>
      <w:keepLines/>
      <w:pBdr>
        <w:top w:val="nil"/>
        <w:left w:val="nil"/>
        <w:bottom w:val="nil"/>
        <w:right w:val="nil"/>
        <w:between w:val="nil"/>
      </w:pBdr>
      <w:spacing w:before="240" w:after="80"/>
      <w:outlineLvl w:val="4"/>
    </w:pPr>
    <w:rPr>
      <w:rFonts w:ascii="Arial" w:eastAsia="Arial" w:hAnsi="Arial" w:cs="Arial"/>
      <w:color w:val="666666"/>
    </w:rPr>
  </w:style>
  <w:style w:type="paragraph" w:styleId="6">
    <w:name w:val="heading 6"/>
    <w:basedOn w:val="a"/>
    <w:next w:val="a"/>
    <w:pPr>
      <w:keepNext/>
      <w:keepLines/>
      <w:pBdr>
        <w:top w:val="nil"/>
        <w:left w:val="nil"/>
        <w:bottom w:val="nil"/>
        <w:right w:val="nil"/>
        <w:between w:val="nil"/>
      </w:pBdr>
      <w:spacing w:before="240" w:after="80"/>
      <w:outlineLvl w:val="5"/>
    </w:pPr>
    <w:rPr>
      <w:rFonts w:ascii="Arial" w:eastAsia="Arial" w:hAnsi="Arial" w:cs="Arial"/>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pBdr>
        <w:top w:val="nil"/>
        <w:left w:val="nil"/>
        <w:bottom w:val="nil"/>
        <w:right w:val="nil"/>
        <w:between w:val="nil"/>
      </w:pBdr>
      <w:spacing w:after="60"/>
    </w:pPr>
    <w:rPr>
      <w:rFonts w:ascii="Arial" w:eastAsia="Arial" w:hAnsi="Arial" w:cs="Arial"/>
      <w:color w:val="000000"/>
      <w:sz w:val="52"/>
      <w:szCs w:val="52"/>
    </w:rPr>
  </w:style>
  <w:style w:type="paragraph" w:styleId="a4">
    <w:name w:val="Subtitle"/>
    <w:basedOn w:val="a"/>
    <w:next w:val="a"/>
    <w:pPr>
      <w:keepNext/>
      <w:keepLines/>
      <w:pBdr>
        <w:top w:val="nil"/>
        <w:left w:val="nil"/>
        <w:bottom w:val="nil"/>
        <w:right w:val="nil"/>
        <w:between w:val="nil"/>
      </w:pBdr>
      <w:spacing w:after="320"/>
    </w:pPr>
    <w:rPr>
      <w:rFonts w:ascii="Arial" w:eastAsia="Arial" w:hAnsi="Arial" w:cs="Arial"/>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pPr>
      <w:spacing w:after="0" w:line="240" w:lineRule="auto"/>
    </w:pPr>
    <w:tblPr>
      <w:tblStyleRowBandSize w:val="1"/>
      <w:tblStyleColBandSize w:val="1"/>
      <w:tblCellMar>
        <w:left w:w="108" w:type="dxa"/>
        <w:right w:w="108" w:type="dxa"/>
      </w:tblCellMar>
    </w:tblPr>
  </w:style>
  <w:style w:type="paragraph" w:styleId="a7">
    <w:name w:val="annotation text"/>
    <w:basedOn w:val="a"/>
    <w:link w:val="a8"/>
    <w:uiPriority w:val="99"/>
    <w:semiHidden/>
    <w:unhideWhenUsed/>
    <w:pPr>
      <w:spacing w:line="240" w:lineRule="auto"/>
    </w:pPr>
    <w:rPr>
      <w:sz w:val="20"/>
      <w:szCs w:val="20"/>
    </w:rPr>
  </w:style>
  <w:style w:type="character" w:customStyle="1" w:styleId="a8">
    <w:name w:val="Текст примечания Знак"/>
    <w:basedOn w:val="a0"/>
    <w:link w:val="a7"/>
    <w:uiPriority w:val="99"/>
    <w:semiHidden/>
    <w:rPr>
      <w:sz w:val="20"/>
      <w:szCs w:val="20"/>
    </w:rPr>
  </w:style>
  <w:style w:type="character" w:styleId="a9">
    <w:name w:val="annotation reference"/>
    <w:basedOn w:val="a0"/>
    <w:uiPriority w:val="99"/>
    <w:semiHidden/>
    <w:unhideWhenUsed/>
    <w:rPr>
      <w:sz w:val="16"/>
      <w:szCs w:val="16"/>
    </w:rPr>
  </w:style>
  <w:style w:type="paragraph" w:styleId="aa">
    <w:name w:val="Balloon Text"/>
    <w:basedOn w:val="a"/>
    <w:link w:val="ab"/>
    <w:uiPriority w:val="99"/>
    <w:semiHidden/>
    <w:unhideWhenUsed/>
    <w:rsid w:val="0044164B"/>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44164B"/>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pBdr>
        <w:top w:val="nil"/>
        <w:left w:val="nil"/>
        <w:bottom w:val="nil"/>
        <w:right w:val="nil"/>
        <w:between w:val="nil"/>
      </w:pBdr>
      <w:spacing w:before="400" w:after="120"/>
      <w:outlineLvl w:val="0"/>
    </w:pPr>
    <w:rPr>
      <w:rFonts w:ascii="Arial" w:eastAsia="Arial" w:hAnsi="Arial" w:cs="Arial"/>
      <w:color w:val="000000"/>
      <w:sz w:val="40"/>
      <w:szCs w:val="40"/>
    </w:rPr>
  </w:style>
  <w:style w:type="paragraph" w:styleId="2">
    <w:name w:val="heading 2"/>
    <w:basedOn w:val="a"/>
    <w:next w:val="a"/>
    <w:pPr>
      <w:keepNext/>
      <w:keepLines/>
      <w:pBdr>
        <w:top w:val="nil"/>
        <w:left w:val="nil"/>
        <w:bottom w:val="nil"/>
        <w:right w:val="nil"/>
        <w:between w:val="nil"/>
      </w:pBdr>
      <w:spacing w:before="360" w:after="120"/>
      <w:outlineLvl w:val="1"/>
    </w:pPr>
    <w:rPr>
      <w:rFonts w:ascii="Arial" w:eastAsia="Arial" w:hAnsi="Arial" w:cs="Arial"/>
      <w:color w:val="000000"/>
      <w:sz w:val="32"/>
      <w:szCs w:val="32"/>
    </w:rPr>
  </w:style>
  <w:style w:type="paragraph" w:styleId="3">
    <w:name w:val="heading 3"/>
    <w:basedOn w:val="a"/>
    <w:next w:val="a"/>
    <w:pPr>
      <w:keepNext/>
      <w:keepLines/>
      <w:pBdr>
        <w:top w:val="nil"/>
        <w:left w:val="nil"/>
        <w:bottom w:val="nil"/>
        <w:right w:val="nil"/>
        <w:between w:val="nil"/>
      </w:pBdr>
      <w:spacing w:before="320" w:after="80"/>
      <w:outlineLvl w:val="2"/>
    </w:pPr>
    <w:rPr>
      <w:rFonts w:ascii="Arial" w:eastAsia="Arial" w:hAnsi="Arial" w:cs="Arial"/>
      <w:color w:val="434343"/>
      <w:sz w:val="28"/>
      <w:szCs w:val="28"/>
    </w:rPr>
  </w:style>
  <w:style w:type="paragraph" w:styleId="4">
    <w:name w:val="heading 4"/>
    <w:basedOn w:val="a"/>
    <w:next w:val="a"/>
    <w:pPr>
      <w:keepNext/>
      <w:keepLines/>
      <w:pBdr>
        <w:top w:val="nil"/>
        <w:left w:val="nil"/>
        <w:bottom w:val="nil"/>
        <w:right w:val="nil"/>
        <w:between w:val="nil"/>
      </w:pBdr>
      <w:spacing w:before="280" w:after="80"/>
      <w:outlineLvl w:val="3"/>
    </w:pPr>
    <w:rPr>
      <w:rFonts w:ascii="Arial" w:eastAsia="Arial" w:hAnsi="Arial" w:cs="Arial"/>
      <w:color w:val="666666"/>
      <w:sz w:val="24"/>
      <w:szCs w:val="24"/>
    </w:rPr>
  </w:style>
  <w:style w:type="paragraph" w:styleId="5">
    <w:name w:val="heading 5"/>
    <w:basedOn w:val="a"/>
    <w:next w:val="a"/>
    <w:pPr>
      <w:keepNext/>
      <w:keepLines/>
      <w:pBdr>
        <w:top w:val="nil"/>
        <w:left w:val="nil"/>
        <w:bottom w:val="nil"/>
        <w:right w:val="nil"/>
        <w:between w:val="nil"/>
      </w:pBdr>
      <w:spacing w:before="240" w:after="80"/>
      <w:outlineLvl w:val="4"/>
    </w:pPr>
    <w:rPr>
      <w:rFonts w:ascii="Arial" w:eastAsia="Arial" w:hAnsi="Arial" w:cs="Arial"/>
      <w:color w:val="666666"/>
    </w:rPr>
  </w:style>
  <w:style w:type="paragraph" w:styleId="6">
    <w:name w:val="heading 6"/>
    <w:basedOn w:val="a"/>
    <w:next w:val="a"/>
    <w:pPr>
      <w:keepNext/>
      <w:keepLines/>
      <w:pBdr>
        <w:top w:val="nil"/>
        <w:left w:val="nil"/>
        <w:bottom w:val="nil"/>
        <w:right w:val="nil"/>
        <w:between w:val="nil"/>
      </w:pBdr>
      <w:spacing w:before="240" w:after="80"/>
      <w:outlineLvl w:val="5"/>
    </w:pPr>
    <w:rPr>
      <w:rFonts w:ascii="Arial" w:eastAsia="Arial" w:hAnsi="Arial" w:cs="Arial"/>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pBdr>
        <w:top w:val="nil"/>
        <w:left w:val="nil"/>
        <w:bottom w:val="nil"/>
        <w:right w:val="nil"/>
        <w:between w:val="nil"/>
      </w:pBdr>
      <w:spacing w:after="60"/>
    </w:pPr>
    <w:rPr>
      <w:rFonts w:ascii="Arial" w:eastAsia="Arial" w:hAnsi="Arial" w:cs="Arial"/>
      <w:color w:val="000000"/>
      <w:sz w:val="52"/>
      <w:szCs w:val="52"/>
    </w:rPr>
  </w:style>
  <w:style w:type="paragraph" w:styleId="a4">
    <w:name w:val="Subtitle"/>
    <w:basedOn w:val="a"/>
    <w:next w:val="a"/>
    <w:pPr>
      <w:keepNext/>
      <w:keepLines/>
      <w:pBdr>
        <w:top w:val="nil"/>
        <w:left w:val="nil"/>
        <w:bottom w:val="nil"/>
        <w:right w:val="nil"/>
        <w:between w:val="nil"/>
      </w:pBdr>
      <w:spacing w:after="320"/>
    </w:pPr>
    <w:rPr>
      <w:rFonts w:ascii="Arial" w:eastAsia="Arial" w:hAnsi="Arial" w:cs="Arial"/>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pPr>
      <w:spacing w:after="0" w:line="240" w:lineRule="auto"/>
    </w:pPr>
    <w:tblPr>
      <w:tblStyleRowBandSize w:val="1"/>
      <w:tblStyleColBandSize w:val="1"/>
      <w:tblCellMar>
        <w:left w:w="108" w:type="dxa"/>
        <w:right w:w="108" w:type="dxa"/>
      </w:tblCellMar>
    </w:tblPr>
  </w:style>
  <w:style w:type="paragraph" w:styleId="a7">
    <w:name w:val="annotation text"/>
    <w:basedOn w:val="a"/>
    <w:link w:val="a8"/>
    <w:uiPriority w:val="99"/>
    <w:semiHidden/>
    <w:unhideWhenUsed/>
    <w:pPr>
      <w:spacing w:line="240" w:lineRule="auto"/>
    </w:pPr>
    <w:rPr>
      <w:sz w:val="20"/>
      <w:szCs w:val="20"/>
    </w:rPr>
  </w:style>
  <w:style w:type="character" w:customStyle="1" w:styleId="a8">
    <w:name w:val="Текст примечания Знак"/>
    <w:basedOn w:val="a0"/>
    <w:link w:val="a7"/>
    <w:uiPriority w:val="99"/>
    <w:semiHidden/>
    <w:rPr>
      <w:sz w:val="20"/>
      <w:szCs w:val="20"/>
    </w:rPr>
  </w:style>
  <w:style w:type="character" w:styleId="a9">
    <w:name w:val="annotation reference"/>
    <w:basedOn w:val="a0"/>
    <w:uiPriority w:val="99"/>
    <w:semiHidden/>
    <w:unhideWhenUsed/>
    <w:rPr>
      <w:sz w:val="16"/>
      <w:szCs w:val="16"/>
    </w:rPr>
  </w:style>
  <w:style w:type="paragraph" w:styleId="aa">
    <w:name w:val="Balloon Text"/>
    <w:basedOn w:val="a"/>
    <w:link w:val="ab"/>
    <w:uiPriority w:val="99"/>
    <w:semiHidden/>
    <w:unhideWhenUsed/>
    <w:rsid w:val="0044164B"/>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44164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heritage.org/index/ranking" TargetMode="External"/><Relationship Id="rId18" Type="http://schemas.openxmlformats.org/officeDocument/2006/relationships/hyperlink" Target="https://www.stanforddaily.com/author/editorialboard/" TargetMode="External"/><Relationship Id="rId26" Type="http://schemas.openxmlformats.org/officeDocument/2006/relationships/hyperlink" Target="https://techtransfercentral.com/2017/03/14/south-korean-universities-lead-way-on-industry-collaboration/" TargetMode="External"/><Relationship Id="rId3" Type="http://schemas.openxmlformats.org/officeDocument/2006/relationships/styles" Target="styles.xml"/><Relationship Id="rId21" Type="http://schemas.openxmlformats.org/officeDocument/2006/relationships/hyperlink" Target="https://www.stanforddaily.com/2012/05/16/editorial-the-benefits-of-group-projects/"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www.jstor.org/stable/254541" TargetMode="External"/><Relationship Id="rId17" Type="http://schemas.openxmlformats.org/officeDocument/2006/relationships/hyperlink" Target="https://www.stanforddaily.com/author/editorialboard/" TargetMode="External"/><Relationship Id="rId25" Type="http://schemas.openxmlformats.org/officeDocument/2006/relationships/hyperlink" Target="https://www.sheffield.ac.uk/finance/staff-information/howfinanceworks/higher_education/funding_of_research" TargetMode="External"/><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www.niss.gov.ua/articles/1537/" TargetMode="External"/><Relationship Id="rId20" Type="http://schemas.openxmlformats.org/officeDocument/2006/relationships/hyperlink" Target="https://www.stanforddaily.com/2012/05/16/editorial-the-benefits-of-group-projects/" TargetMode="External"/><Relationship Id="rId29" Type="http://schemas.openxmlformats.org/officeDocument/2006/relationships/hyperlink" Target="https://www2.le.ac.uk/offices/ld/resources/study-guides-pdfs/study-skills-pdfs/successful-group-project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jstor.org/stable/254541" TargetMode="External"/><Relationship Id="rId24" Type="http://schemas.openxmlformats.org/officeDocument/2006/relationships/hyperlink" Target="https://wenr.wes.org/2018/10/education-in-south-korea" TargetMode="External"/><Relationship Id="rId32"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niss.gov.ua/articles/1537/" TargetMode="External"/><Relationship Id="rId23" Type="http://schemas.openxmlformats.org/officeDocument/2006/relationships/hyperlink" Target="https://wenr.wes.org/2018/10/education-in-south-korea" TargetMode="External"/><Relationship Id="rId28" Type="http://schemas.openxmlformats.org/officeDocument/2006/relationships/hyperlink" Target="https://www2.le.ac.uk/offices/ld/resources/study-guides-pdfs/study-skills-pdfs/successful-group-projects" TargetMode="External"/><Relationship Id="rId10" Type="http://schemas.openxmlformats.org/officeDocument/2006/relationships/hyperlink" Target="http://zaxid.net/home/" TargetMode="External"/><Relationship Id="rId19" Type="http://schemas.openxmlformats.org/officeDocument/2006/relationships/hyperlink" Target="https://www.stanforddaily.com/2012/05/16/editorial-the-benefits-of-group-projects/" TargetMode="External"/><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zaxid.net/home/" TargetMode="External"/><Relationship Id="rId14" Type="http://schemas.openxmlformats.org/officeDocument/2006/relationships/hyperlink" Target="https://www.heritage.org/index/ranking" TargetMode="External"/><Relationship Id="rId22" Type="http://schemas.openxmlformats.org/officeDocument/2006/relationships/hyperlink" Target="https://www.stanforddaily.com/2012/05/16/editorial-the-benefits-of-group-projects/" TargetMode="External"/><Relationship Id="rId27" Type="http://schemas.openxmlformats.org/officeDocument/2006/relationships/hyperlink" Target="https://techtransfercentral.com/2017/03/14/south-korean-universities-lead-way-on-industry-collaboration/" TargetMode="External"/><Relationship Id="rId30" Type="http://schemas.openxmlformats.org/officeDocument/2006/relationships/hyperlink" Target="https://studyindenmark.dk/study-options/the-danish-way-of-teaching-1/download-pdf"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DC5449-465F-43A0-A8EA-A18F57B665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20</Pages>
  <Words>21298</Words>
  <Characters>12140</Characters>
  <Application>Microsoft Office Word</Application>
  <DocSecurity>0</DocSecurity>
  <Lines>101</Lines>
  <Paragraphs>66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33372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Vladimir</dc:creator>
  <cp:lastModifiedBy>admin</cp:lastModifiedBy>
  <cp:revision>3</cp:revision>
  <cp:lastPrinted>2018-12-21T06:57:00Z</cp:lastPrinted>
  <dcterms:created xsi:type="dcterms:W3CDTF">2020-07-21T11:53:00Z</dcterms:created>
  <dcterms:modified xsi:type="dcterms:W3CDTF">2020-09-22T11:00:00Z</dcterms:modified>
</cp:coreProperties>
</file>