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559C1" w:rsidRDefault="007A1411">
      <w:pPr>
        <w:widowControl/>
        <w:pBdr>
          <w:bottom w:val="single" w:sz="4" w:space="1" w:color="000000"/>
        </w:pBdr>
        <w:spacing w:line="240" w:lineRule="auto"/>
        <w:ind w:firstLine="0"/>
        <w:jc w:val="center"/>
      </w:pPr>
      <w:r>
        <w:t>ОДЕСЬКИЙ НАЦІОНАЛЬНИЙ УНІВЕРСИТЕТ ІМЕНІ І. І. МЕЧНИКОВА</w:t>
      </w:r>
    </w:p>
    <w:p w:rsidR="007559C1" w:rsidRDefault="007A1411">
      <w:pPr>
        <w:widowControl/>
        <w:spacing w:line="240" w:lineRule="auto"/>
        <w:ind w:firstLine="0"/>
        <w:jc w:val="left"/>
        <w:rPr>
          <w:sz w:val="20"/>
          <w:szCs w:val="20"/>
        </w:rPr>
      </w:pPr>
      <w:r>
        <w:t xml:space="preserve">                                        </w:t>
      </w:r>
      <w:r>
        <w:rPr>
          <w:sz w:val="20"/>
          <w:szCs w:val="20"/>
        </w:rPr>
        <w:t>(повне найменування закладу вищої освіти)</w:t>
      </w:r>
    </w:p>
    <w:p w:rsidR="007559C1" w:rsidRDefault="007A1411">
      <w:pPr>
        <w:widowControl/>
        <w:pBdr>
          <w:bottom w:val="single" w:sz="4" w:space="1" w:color="000000"/>
        </w:pBdr>
        <w:tabs>
          <w:tab w:val="center" w:pos="4677"/>
        </w:tabs>
        <w:spacing w:before="240" w:line="240" w:lineRule="auto"/>
        <w:ind w:firstLine="0"/>
      </w:pPr>
      <w:r>
        <w:tab/>
        <w:t>Факультет міжнародних відносин, політології та соціології</w:t>
      </w:r>
    </w:p>
    <w:p w:rsidR="007559C1" w:rsidRDefault="007A1411">
      <w:pPr>
        <w:widowControl/>
        <w:spacing w:line="240" w:lineRule="auto"/>
        <w:ind w:firstLine="0"/>
        <w:jc w:val="left"/>
        <w:rPr>
          <w:sz w:val="18"/>
          <w:szCs w:val="18"/>
        </w:rPr>
      </w:pPr>
      <w:r>
        <w:rPr>
          <w:sz w:val="18"/>
          <w:szCs w:val="18"/>
        </w:rPr>
        <w:t xml:space="preserve">                                                                        (повне найменування факультету)</w:t>
      </w:r>
    </w:p>
    <w:p w:rsidR="007559C1" w:rsidRDefault="007A1411">
      <w:pPr>
        <w:widowControl/>
        <w:pBdr>
          <w:bottom w:val="single" w:sz="4" w:space="1" w:color="000000"/>
        </w:pBdr>
        <w:spacing w:before="240" w:line="240" w:lineRule="auto"/>
        <w:ind w:firstLine="0"/>
        <w:jc w:val="center"/>
      </w:pPr>
      <w:r>
        <w:t>Кафедра міжнародних відносин</w:t>
      </w:r>
    </w:p>
    <w:p w:rsidR="007559C1" w:rsidRDefault="007A1411">
      <w:pPr>
        <w:pBdr>
          <w:top w:val="nil"/>
          <w:left w:val="nil"/>
          <w:bottom w:val="nil"/>
          <w:right w:val="nil"/>
          <w:between w:val="nil"/>
        </w:pBdr>
        <w:spacing w:line="336" w:lineRule="auto"/>
        <w:ind w:firstLine="0"/>
        <w:jc w:val="left"/>
        <w:rPr>
          <w:sz w:val="18"/>
          <w:szCs w:val="18"/>
        </w:rPr>
      </w:pPr>
      <w:r>
        <w:t xml:space="preserve">                                                       </w:t>
      </w:r>
      <w:r>
        <w:rPr>
          <w:sz w:val="18"/>
          <w:szCs w:val="18"/>
        </w:rPr>
        <w:t>(повна назва кафедри)</w:t>
      </w:r>
    </w:p>
    <w:p w:rsidR="007559C1" w:rsidRDefault="007559C1">
      <w:pPr>
        <w:pBdr>
          <w:top w:val="nil"/>
          <w:left w:val="nil"/>
          <w:bottom w:val="nil"/>
          <w:right w:val="nil"/>
          <w:between w:val="nil"/>
        </w:pBdr>
        <w:spacing w:line="336" w:lineRule="auto"/>
        <w:ind w:firstLine="0"/>
        <w:jc w:val="left"/>
      </w:pPr>
    </w:p>
    <w:p w:rsidR="007559C1" w:rsidRDefault="007A1411">
      <w:pPr>
        <w:pBdr>
          <w:top w:val="nil"/>
          <w:left w:val="nil"/>
          <w:bottom w:val="nil"/>
          <w:right w:val="nil"/>
          <w:between w:val="nil"/>
        </w:pBdr>
        <w:spacing w:line="336" w:lineRule="auto"/>
        <w:ind w:firstLine="0"/>
        <w:jc w:val="center"/>
        <w:rPr>
          <w:b/>
          <w:color w:val="000000"/>
        </w:rPr>
      </w:pPr>
      <w:r>
        <w:rPr>
          <w:b/>
          <w:color w:val="000000"/>
        </w:rPr>
        <w:t>Кваліфікаційна робота</w:t>
      </w:r>
    </w:p>
    <w:p w:rsidR="007559C1" w:rsidRDefault="007A1411">
      <w:pPr>
        <w:widowControl/>
        <w:pBdr>
          <w:bottom w:val="single" w:sz="4" w:space="1" w:color="000000"/>
        </w:pBdr>
        <w:tabs>
          <w:tab w:val="center" w:pos="4819"/>
          <w:tab w:val="right" w:pos="8505"/>
        </w:tabs>
        <w:spacing w:before="240" w:line="240" w:lineRule="auto"/>
        <w:ind w:left="1134" w:right="850" w:firstLine="0"/>
        <w:jc w:val="center"/>
      </w:pPr>
      <w:r>
        <w:t>на здобуття ступеня вищої освіти «магістр»</w:t>
      </w:r>
    </w:p>
    <w:p w:rsidR="007559C1" w:rsidRDefault="007A1411">
      <w:pPr>
        <w:pBdr>
          <w:top w:val="nil"/>
          <w:left w:val="nil"/>
          <w:bottom w:val="nil"/>
          <w:right w:val="nil"/>
          <w:between w:val="nil"/>
        </w:pBdr>
        <w:spacing w:line="336" w:lineRule="auto"/>
        <w:ind w:firstLine="0"/>
        <w:jc w:val="center"/>
        <w:rPr>
          <w:color w:val="000000"/>
          <w:u w:val="single"/>
        </w:rPr>
      </w:pPr>
      <w:r>
        <w:rPr>
          <w:color w:val="000000"/>
          <w:u w:val="single"/>
        </w:rPr>
        <w:t xml:space="preserve">          </w:t>
      </w:r>
    </w:p>
    <w:p w:rsidR="007559C1" w:rsidRDefault="007A1411">
      <w:pPr>
        <w:pBdr>
          <w:top w:val="nil"/>
          <w:left w:val="nil"/>
          <w:bottom w:val="nil"/>
          <w:right w:val="nil"/>
          <w:between w:val="nil"/>
        </w:pBdr>
        <w:spacing w:line="336" w:lineRule="auto"/>
        <w:ind w:firstLine="0"/>
        <w:jc w:val="left"/>
        <w:rPr>
          <w:b/>
          <w:color w:val="000000"/>
          <w:u w:val="single"/>
        </w:rPr>
      </w:pPr>
      <w:r>
        <w:t xml:space="preserve">              </w:t>
      </w:r>
      <w:r>
        <w:rPr>
          <w:b/>
          <w:color w:val="000000"/>
          <w:u w:val="single"/>
        </w:rPr>
        <w:t>«Чорноморська стратегія  НАТО  в умовах російської агресії</w:t>
      </w:r>
    </w:p>
    <w:p w:rsidR="007559C1" w:rsidRDefault="007A1411">
      <w:pPr>
        <w:pBdr>
          <w:top w:val="nil"/>
          <w:left w:val="nil"/>
          <w:bottom w:val="nil"/>
          <w:right w:val="nil"/>
          <w:between w:val="nil"/>
        </w:pBdr>
        <w:spacing w:line="336" w:lineRule="auto"/>
        <w:ind w:firstLine="0"/>
        <w:jc w:val="center"/>
        <w:rPr>
          <w:b/>
          <w:color w:val="000000"/>
          <w:u w:val="single"/>
        </w:rPr>
      </w:pPr>
      <w:r>
        <w:rPr>
          <w:b/>
          <w:color w:val="000000"/>
          <w:u w:val="single"/>
        </w:rPr>
        <w:t xml:space="preserve">  (2014-2023)»</w:t>
      </w:r>
    </w:p>
    <w:p w:rsidR="007559C1" w:rsidRDefault="007A1411">
      <w:pPr>
        <w:pBdr>
          <w:top w:val="nil"/>
          <w:left w:val="nil"/>
          <w:bottom w:val="nil"/>
          <w:right w:val="nil"/>
          <w:between w:val="nil"/>
        </w:pBdr>
        <w:spacing w:line="336" w:lineRule="auto"/>
        <w:ind w:firstLine="0"/>
        <w:jc w:val="center"/>
        <w:rPr>
          <w:b/>
          <w:color w:val="000000"/>
          <w:sz w:val="20"/>
          <w:szCs w:val="20"/>
        </w:rPr>
      </w:pPr>
      <w:r>
        <w:rPr>
          <w:b/>
          <w:color w:val="000000"/>
          <w:sz w:val="20"/>
          <w:szCs w:val="20"/>
        </w:rPr>
        <w:t>(тема кваліфікаційної роботи українською мовою)</w:t>
      </w:r>
    </w:p>
    <w:p w:rsidR="007559C1" w:rsidRDefault="007A1411">
      <w:pPr>
        <w:widowControl/>
        <w:pBdr>
          <w:top w:val="nil"/>
          <w:left w:val="nil"/>
          <w:bottom w:val="nil"/>
          <w:right w:val="nil"/>
          <w:between w:val="nil"/>
        </w:pBdr>
        <w:spacing w:line="336" w:lineRule="auto"/>
        <w:ind w:firstLine="0"/>
        <w:jc w:val="center"/>
        <w:rPr>
          <w:b/>
          <w:color w:val="000000"/>
          <w:u w:val="single"/>
        </w:rPr>
      </w:pPr>
      <w:r>
        <w:rPr>
          <w:b/>
          <w:color w:val="000000"/>
          <w:u w:val="single"/>
        </w:rPr>
        <w:t>«</w:t>
      </w:r>
      <w:r>
        <w:rPr>
          <w:rFonts w:ascii="Calibri" w:eastAsia="Calibri" w:hAnsi="Calibri" w:cs="Calibri"/>
          <w:b/>
          <w:color w:val="000000"/>
          <w:sz w:val="20"/>
          <w:szCs w:val="20"/>
          <w:u w:val="single"/>
        </w:rPr>
        <w:t xml:space="preserve"> </w:t>
      </w:r>
      <w:r>
        <w:rPr>
          <w:b/>
          <w:color w:val="000000"/>
          <w:u w:val="single"/>
        </w:rPr>
        <w:t>NATO's Black Sea strategy amid Russian aggression (2014-2023)»</w:t>
      </w:r>
    </w:p>
    <w:p w:rsidR="007559C1" w:rsidRDefault="007A1411">
      <w:pPr>
        <w:widowControl/>
        <w:pBdr>
          <w:top w:val="nil"/>
          <w:left w:val="nil"/>
          <w:bottom w:val="nil"/>
          <w:right w:val="nil"/>
          <w:between w:val="nil"/>
        </w:pBdr>
        <w:spacing w:line="336" w:lineRule="auto"/>
        <w:ind w:firstLine="0"/>
        <w:jc w:val="center"/>
        <w:rPr>
          <w:b/>
          <w:color w:val="000000"/>
          <w:sz w:val="20"/>
          <w:szCs w:val="20"/>
        </w:rPr>
      </w:pPr>
      <w:r>
        <w:rPr>
          <w:b/>
          <w:color w:val="000000"/>
          <w:sz w:val="20"/>
          <w:szCs w:val="20"/>
        </w:rPr>
        <w:t xml:space="preserve">  (тема кваліфікаційної роботи англійською мовою)</w:t>
      </w:r>
    </w:p>
    <w:p w:rsidR="007559C1" w:rsidRDefault="007559C1">
      <w:pPr>
        <w:pBdr>
          <w:top w:val="nil"/>
          <w:left w:val="nil"/>
          <w:bottom w:val="nil"/>
          <w:right w:val="nil"/>
          <w:between w:val="nil"/>
        </w:pBdr>
        <w:spacing w:line="336" w:lineRule="auto"/>
        <w:ind w:firstLine="567"/>
        <w:jc w:val="center"/>
        <w:rPr>
          <w:color w:val="000000"/>
        </w:rPr>
      </w:pPr>
    </w:p>
    <w:p w:rsidR="007559C1" w:rsidRDefault="007A1411" w:rsidP="004C4E6B">
      <w:pPr>
        <w:widowControl/>
        <w:pBdr>
          <w:top w:val="nil"/>
          <w:left w:val="nil"/>
          <w:bottom w:val="nil"/>
          <w:right w:val="nil"/>
          <w:between w:val="nil"/>
        </w:pBdr>
        <w:spacing w:line="240" w:lineRule="auto"/>
        <w:ind w:firstLine="0"/>
        <w:jc w:val="left"/>
        <w:rPr>
          <w:color w:val="000000"/>
        </w:rPr>
      </w:pPr>
      <w:r>
        <w:rPr>
          <w:color w:val="000000"/>
        </w:rPr>
        <w:t xml:space="preserve">                                              Викона</w:t>
      </w:r>
      <w:r w:rsidR="00AD548A">
        <w:rPr>
          <w:color w:val="000000"/>
        </w:rPr>
        <w:t>в(ла):</w:t>
      </w:r>
      <w:r>
        <w:rPr>
          <w:color w:val="000000"/>
        </w:rPr>
        <w:t xml:space="preserve"> здобувач</w:t>
      </w:r>
      <w:r w:rsidR="00AD548A">
        <w:rPr>
          <w:color w:val="000000"/>
        </w:rPr>
        <w:t>(к</w:t>
      </w:r>
      <w:r>
        <w:rPr>
          <w:color w:val="000000"/>
        </w:rPr>
        <w:t>а</w:t>
      </w:r>
      <w:r w:rsidR="00483106">
        <w:rPr>
          <w:color w:val="000000"/>
        </w:rPr>
        <w:t>)</w:t>
      </w:r>
      <w:r>
        <w:rPr>
          <w:color w:val="000000"/>
        </w:rPr>
        <w:t>денної форми навчання</w:t>
      </w:r>
    </w:p>
    <w:p w:rsidR="007559C1" w:rsidRDefault="007A1411" w:rsidP="004C4E6B">
      <w:pPr>
        <w:widowControl/>
        <w:pBdr>
          <w:top w:val="nil"/>
          <w:left w:val="nil"/>
          <w:bottom w:val="nil"/>
          <w:right w:val="nil"/>
          <w:between w:val="nil"/>
        </w:pBdr>
        <w:spacing w:line="240" w:lineRule="auto"/>
        <w:ind w:firstLine="567"/>
        <w:jc w:val="right"/>
        <w:rPr>
          <w:color w:val="000000"/>
          <w:u w:val="single"/>
        </w:rPr>
      </w:pPr>
      <w:r>
        <w:rPr>
          <w:color w:val="000000"/>
        </w:rPr>
        <w:t xml:space="preserve">                                   спеціальності </w:t>
      </w:r>
      <w:r>
        <w:rPr>
          <w:color w:val="000000"/>
          <w:u w:val="single"/>
        </w:rPr>
        <w:t xml:space="preserve">291 «Міжнародні відносини, </w:t>
      </w:r>
    </w:p>
    <w:p w:rsidR="007559C1" w:rsidRDefault="007A1411" w:rsidP="004C4E6B">
      <w:pPr>
        <w:pBdr>
          <w:top w:val="nil"/>
          <w:left w:val="nil"/>
          <w:bottom w:val="nil"/>
          <w:right w:val="nil"/>
          <w:between w:val="nil"/>
        </w:pBdr>
        <w:spacing w:line="240" w:lineRule="auto"/>
        <w:ind w:firstLine="567"/>
        <w:jc w:val="right"/>
        <w:rPr>
          <w:color w:val="000000"/>
          <w:u w:val="single"/>
        </w:rPr>
      </w:pPr>
      <w:r>
        <w:rPr>
          <w:color w:val="000000"/>
          <w:u w:val="single"/>
        </w:rPr>
        <w:t xml:space="preserve">   суспільні комунікації та регіональні студії»</w:t>
      </w:r>
    </w:p>
    <w:p w:rsidR="007559C1" w:rsidRDefault="007A1411" w:rsidP="004C4E6B">
      <w:pPr>
        <w:pBdr>
          <w:top w:val="nil"/>
          <w:left w:val="nil"/>
          <w:bottom w:val="nil"/>
          <w:right w:val="nil"/>
          <w:between w:val="nil"/>
        </w:pBdr>
        <w:spacing w:line="240" w:lineRule="auto"/>
        <w:ind w:firstLine="567"/>
        <w:jc w:val="right"/>
        <w:rPr>
          <w:color w:val="000000"/>
          <w:u w:val="single"/>
        </w:rPr>
      </w:pPr>
      <w:r>
        <w:rPr>
          <w:color w:val="000000"/>
        </w:rPr>
        <w:t xml:space="preserve">           Освітня програма </w:t>
      </w:r>
      <w:r>
        <w:rPr>
          <w:color w:val="000000"/>
          <w:u w:val="single"/>
        </w:rPr>
        <w:t>Міжнародні відносини,</w:t>
      </w:r>
    </w:p>
    <w:p w:rsidR="007559C1" w:rsidRDefault="007A1411" w:rsidP="004C4E6B">
      <w:pPr>
        <w:pBdr>
          <w:top w:val="nil"/>
          <w:left w:val="nil"/>
          <w:bottom w:val="nil"/>
          <w:right w:val="nil"/>
          <w:between w:val="nil"/>
        </w:pBdr>
        <w:spacing w:line="240" w:lineRule="auto"/>
        <w:ind w:firstLine="567"/>
        <w:jc w:val="left"/>
        <w:rPr>
          <w:color w:val="000000"/>
          <w:u w:val="single"/>
        </w:rPr>
      </w:pPr>
      <w:r>
        <w:rPr>
          <w:color w:val="000000"/>
        </w:rPr>
        <w:t xml:space="preserve">                                                     </w:t>
      </w:r>
      <w:r>
        <w:rPr>
          <w:color w:val="000000"/>
          <w:u w:val="single"/>
        </w:rPr>
        <w:t>суспільні комунікації та регіональні студії</w:t>
      </w:r>
    </w:p>
    <w:p w:rsidR="007559C1" w:rsidRDefault="007A1411" w:rsidP="004C4E6B">
      <w:pPr>
        <w:pBdr>
          <w:top w:val="nil"/>
          <w:left w:val="nil"/>
          <w:bottom w:val="nil"/>
          <w:right w:val="nil"/>
          <w:between w:val="nil"/>
        </w:pBdr>
        <w:spacing w:line="240" w:lineRule="auto"/>
        <w:ind w:firstLine="567"/>
        <w:jc w:val="left"/>
        <w:rPr>
          <w:color w:val="000000"/>
        </w:rPr>
      </w:pPr>
      <w:r>
        <w:rPr>
          <w:color w:val="000000"/>
        </w:rPr>
        <w:t xml:space="preserve">                                                      Острякова Вікторія Геннадіївна</w:t>
      </w:r>
    </w:p>
    <w:p w:rsidR="007559C1" w:rsidRDefault="007A1411" w:rsidP="004C4E6B">
      <w:pPr>
        <w:pBdr>
          <w:top w:val="nil"/>
          <w:left w:val="nil"/>
          <w:bottom w:val="nil"/>
          <w:right w:val="nil"/>
          <w:between w:val="nil"/>
        </w:pBdr>
        <w:spacing w:line="240" w:lineRule="auto"/>
        <w:ind w:firstLine="567"/>
        <w:jc w:val="left"/>
        <w:rPr>
          <w:color w:val="000000"/>
          <w:sz w:val="20"/>
          <w:szCs w:val="20"/>
        </w:rPr>
      </w:pPr>
      <w:r>
        <w:rPr>
          <w:rFonts w:ascii="Calibri" w:eastAsia="Calibri" w:hAnsi="Calibri" w:cs="Calibri"/>
          <w:color w:val="000000"/>
          <w:sz w:val="20"/>
          <w:szCs w:val="20"/>
        </w:rPr>
        <w:t xml:space="preserve">                                                                          </w:t>
      </w:r>
      <w:r>
        <w:rPr>
          <w:color w:val="000000"/>
        </w:rPr>
        <w:t xml:space="preserve">  </w:t>
      </w:r>
      <w:r>
        <w:rPr>
          <w:color w:val="000000"/>
          <w:sz w:val="20"/>
          <w:szCs w:val="20"/>
        </w:rPr>
        <w:t xml:space="preserve">            (прізвище, ім’я, по-батькові здобувача)</w:t>
      </w:r>
    </w:p>
    <w:p w:rsidR="007559C1" w:rsidRDefault="007559C1" w:rsidP="004571EB">
      <w:pPr>
        <w:pBdr>
          <w:top w:val="nil"/>
          <w:left w:val="nil"/>
          <w:bottom w:val="nil"/>
          <w:right w:val="nil"/>
          <w:between w:val="nil"/>
        </w:pBdr>
        <w:ind w:firstLine="567"/>
        <w:jc w:val="left"/>
        <w:rPr>
          <w:color w:val="000000"/>
          <w:sz w:val="20"/>
          <w:szCs w:val="20"/>
        </w:rPr>
      </w:pPr>
    </w:p>
    <w:p w:rsidR="007559C1" w:rsidRDefault="007A1411" w:rsidP="00B856A2">
      <w:pPr>
        <w:pBdr>
          <w:top w:val="nil"/>
          <w:left w:val="nil"/>
          <w:bottom w:val="nil"/>
          <w:right w:val="nil"/>
          <w:between w:val="nil"/>
        </w:pBdr>
        <w:ind w:firstLine="0"/>
        <w:jc w:val="left"/>
        <w:rPr>
          <w:b/>
          <w:color w:val="000000"/>
        </w:rPr>
      </w:pPr>
      <w:r>
        <w:rPr>
          <w:b/>
          <w:color w:val="000000"/>
        </w:rPr>
        <w:t xml:space="preserve">                                             </w:t>
      </w:r>
      <w:r>
        <w:rPr>
          <w:color w:val="000000"/>
        </w:rPr>
        <w:t xml:space="preserve">   Керівник: к.політ.н., доц. Глебов С.В.    </w:t>
      </w:r>
      <w:r>
        <w:rPr>
          <w:b/>
          <w:color w:val="000000"/>
        </w:rPr>
        <w:t>______</w:t>
      </w:r>
    </w:p>
    <w:p w:rsidR="007559C1" w:rsidRDefault="007A1411" w:rsidP="00B856A2">
      <w:pPr>
        <w:pBdr>
          <w:top w:val="nil"/>
          <w:left w:val="nil"/>
          <w:bottom w:val="nil"/>
          <w:right w:val="nil"/>
          <w:between w:val="nil"/>
        </w:pBdr>
        <w:ind w:firstLine="567"/>
        <w:jc w:val="center"/>
        <w:rPr>
          <w:color w:val="000000"/>
          <w:sz w:val="20"/>
          <w:szCs w:val="20"/>
        </w:rPr>
      </w:pPr>
      <w:r>
        <w:rPr>
          <w:rFonts w:ascii="Calibri" w:eastAsia="Calibri" w:hAnsi="Calibri" w:cs="Calibri"/>
          <w:color w:val="000000"/>
          <w:sz w:val="20"/>
          <w:szCs w:val="20"/>
        </w:rPr>
        <w:t>         </w:t>
      </w:r>
      <w:r>
        <w:rPr>
          <w:color w:val="000000"/>
          <w:sz w:val="20"/>
          <w:szCs w:val="20"/>
        </w:rPr>
        <w:t>                                           (науковий ступінь, вчене звання, прізвище, ініціали)     (підпис)</w:t>
      </w:r>
    </w:p>
    <w:p w:rsidR="007559C1" w:rsidRDefault="007A1411" w:rsidP="00B856A2">
      <w:pPr>
        <w:pBdr>
          <w:top w:val="nil"/>
          <w:left w:val="nil"/>
          <w:bottom w:val="nil"/>
          <w:right w:val="nil"/>
          <w:between w:val="nil"/>
        </w:pBdr>
        <w:ind w:firstLine="567"/>
        <w:jc w:val="left"/>
        <w:rPr>
          <w:color w:val="000000"/>
        </w:rPr>
      </w:pPr>
      <w:r>
        <w:rPr>
          <w:color w:val="000000"/>
        </w:rPr>
        <w:t xml:space="preserve">                                       Рецензент: к.  політ.н., доц. Грабіна Г.В. </w:t>
      </w:r>
    </w:p>
    <w:p w:rsidR="009E0176" w:rsidRDefault="007A1411" w:rsidP="00B856A2">
      <w:pPr>
        <w:pBdr>
          <w:top w:val="nil"/>
          <w:left w:val="nil"/>
          <w:bottom w:val="nil"/>
          <w:right w:val="nil"/>
          <w:between w:val="nil"/>
        </w:pBdr>
        <w:ind w:firstLine="0"/>
        <w:jc w:val="left"/>
        <w:rPr>
          <w:color w:val="000000"/>
          <w:sz w:val="20"/>
          <w:szCs w:val="20"/>
        </w:rPr>
      </w:pPr>
      <w:r>
        <w:rPr>
          <w:b/>
          <w:color w:val="000000"/>
        </w:rPr>
        <w:t xml:space="preserve">                                                             </w:t>
      </w:r>
      <w:r>
        <w:rPr>
          <w:color w:val="000000"/>
          <w:sz w:val="20"/>
          <w:szCs w:val="20"/>
        </w:rPr>
        <w:t xml:space="preserve">(науковий ступінь, вчене звання, прізвище, ініціали)    </w:t>
      </w:r>
    </w:p>
    <w:p w:rsidR="007559C1" w:rsidRDefault="007A1411" w:rsidP="00B856A2">
      <w:pPr>
        <w:pBdr>
          <w:top w:val="nil"/>
          <w:left w:val="nil"/>
          <w:bottom w:val="nil"/>
          <w:right w:val="nil"/>
          <w:between w:val="nil"/>
        </w:pBdr>
        <w:ind w:firstLine="0"/>
        <w:jc w:val="left"/>
        <w:rPr>
          <w:color w:val="000000"/>
          <w:sz w:val="20"/>
          <w:szCs w:val="20"/>
        </w:rPr>
      </w:pPr>
      <w:r>
        <w:rPr>
          <w:color w:val="000000"/>
          <w:sz w:val="20"/>
          <w:szCs w:val="20"/>
        </w:rPr>
        <w:t xml:space="preserve">        </w:t>
      </w:r>
    </w:p>
    <w:p w:rsidR="00987636" w:rsidRDefault="00987636" w:rsidP="0089422D">
      <w:pPr>
        <w:pBdr>
          <w:top w:val="nil"/>
          <w:left w:val="nil"/>
          <w:bottom w:val="nil"/>
          <w:right w:val="nil"/>
          <w:between w:val="nil"/>
        </w:pBdr>
        <w:spacing w:line="240" w:lineRule="auto"/>
        <w:ind w:firstLine="0"/>
        <w:jc w:val="left"/>
        <w:rPr>
          <w:color w:val="000000"/>
        </w:rPr>
      </w:pPr>
    </w:p>
    <w:p w:rsidR="007559C1" w:rsidRDefault="007A1411" w:rsidP="0089422D">
      <w:pPr>
        <w:pBdr>
          <w:top w:val="nil"/>
          <w:left w:val="nil"/>
          <w:bottom w:val="nil"/>
          <w:right w:val="nil"/>
          <w:between w:val="nil"/>
        </w:pBdr>
        <w:spacing w:line="240" w:lineRule="auto"/>
        <w:ind w:firstLine="0"/>
        <w:jc w:val="left"/>
        <w:rPr>
          <w:color w:val="000000"/>
        </w:rPr>
      </w:pPr>
      <w:r>
        <w:rPr>
          <w:color w:val="000000"/>
        </w:rPr>
        <w:t>Рекомендовано до захисту:                         Захищено на засіданні ЕК № ___</w:t>
      </w:r>
      <w:r>
        <w:rPr>
          <w:rFonts w:ascii="Calibri" w:eastAsia="Calibri" w:hAnsi="Calibri" w:cs="Calibri"/>
          <w:color w:val="000000"/>
          <w:sz w:val="20"/>
          <w:szCs w:val="20"/>
        </w:rPr>
        <w:t xml:space="preserve">  </w:t>
      </w:r>
      <w:r>
        <w:rPr>
          <w:color w:val="000000"/>
        </w:rPr>
        <w:t>Протокол засідання кафедри</w:t>
      </w:r>
      <w:r>
        <w:rPr>
          <w:rFonts w:ascii="Calibri" w:eastAsia="Calibri" w:hAnsi="Calibri" w:cs="Calibri"/>
          <w:color w:val="000000"/>
          <w:sz w:val="20"/>
          <w:szCs w:val="20"/>
        </w:rPr>
        <w:t xml:space="preserve">                                  </w:t>
      </w:r>
      <w:r>
        <w:rPr>
          <w:color w:val="000000"/>
        </w:rPr>
        <w:t>протокол №___ від</w:t>
      </w:r>
      <w:r w:rsidR="00A21FC3">
        <w:rPr>
          <w:color w:val="000000"/>
          <w:lang w:val="en-GB"/>
        </w:rPr>
        <w:t xml:space="preserve"> </w:t>
      </w:r>
      <w:r w:rsidR="00FC48A3">
        <w:rPr>
          <w:color w:val="000000"/>
          <w:lang w:val="en-GB"/>
        </w:rPr>
        <w:t>_</w:t>
      </w:r>
      <w:r w:rsidR="00552581">
        <w:rPr>
          <w:color w:val="000000"/>
          <w:lang w:val="en-GB"/>
        </w:rPr>
        <w:t>___</w:t>
      </w:r>
      <w:r>
        <w:rPr>
          <w:i/>
          <w:color w:val="000000"/>
        </w:rPr>
        <w:t>.</w:t>
      </w:r>
      <w:r w:rsidR="00552581">
        <w:rPr>
          <w:color w:val="000000"/>
          <w:lang w:val="en-GB"/>
        </w:rPr>
        <w:t>__</w:t>
      </w:r>
      <w:r w:rsidR="00102231">
        <w:rPr>
          <w:color w:val="000000"/>
          <w:lang w:val="en-GB"/>
        </w:rPr>
        <w:t>_20</w:t>
      </w:r>
      <w:r w:rsidR="00654863">
        <w:rPr>
          <w:color w:val="000000"/>
          <w:lang w:val="en-GB"/>
        </w:rPr>
        <w:t>_</w:t>
      </w:r>
      <w:r w:rsidR="00A21FC3">
        <w:rPr>
          <w:color w:val="000000"/>
          <w:lang w:val="en-GB"/>
        </w:rPr>
        <w:t>__р.</w:t>
      </w:r>
    </w:p>
    <w:p w:rsidR="007559C1" w:rsidRDefault="007A1411" w:rsidP="0089422D">
      <w:pPr>
        <w:pBdr>
          <w:top w:val="nil"/>
          <w:left w:val="nil"/>
          <w:bottom w:val="nil"/>
          <w:right w:val="nil"/>
          <w:between w:val="nil"/>
        </w:pBdr>
        <w:spacing w:line="240" w:lineRule="auto"/>
        <w:ind w:firstLine="0"/>
        <w:jc w:val="left"/>
        <w:rPr>
          <w:color w:val="000000"/>
        </w:rPr>
      </w:pPr>
      <w:r>
        <w:rPr>
          <w:color w:val="000000"/>
        </w:rPr>
        <w:t>_________________________</w:t>
      </w:r>
    </w:p>
    <w:p w:rsidR="007559C1" w:rsidRDefault="00FC48A3" w:rsidP="0089422D">
      <w:pPr>
        <w:pBdr>
          <w:top w:val="nil"/>
          <w:left w:val="nil"/>
          <w:bottom w:val="nil"/>
          <w:right w:val="nil"/>
          <w:between w:val="nil"/>
        </w:pBdr>
        <w:spacing w:line="240" w:lineRule="auto"/>
        <w:ind w:firstLine="0"/>
        <w:jc w:val="left"/>
        <w:rPr>
          <w:color w:val="000000"/>
        </w:rPr>
      </w:pPr>
      <w:r>
        <w:rPr>
          <w:color w:val="000000"/>
          <w:lang w:val="en-GB"/>
        </w:rPr>
        <w:t xml:space="preserve">  </w:t>
      </w:r>
      <w:r w:rsidR="007A1411">
        <w:rPr>
          <w:color w:val="000000"/>
        </w:rPr>
        <w:t>№ _  від ____</w:t>
      </w:r>
      <w:r w:rsidR="00A65882">
        <w:rPr>
          <w:color w:val="000000"/>
          <w:lang w:val="en-GB"/>
        </w:rPr>
        <w:t>.</w:t>
      </w:r>
      <w:r w:rsidR="007A1411">
        <w:rPr>
          <w:color w:val="000000"/>
        </w:rPr>
        <w:t>_</w:t>
      </w:r>
      <w:r w:rsidR="0056561F">
        <w:rPr>
          <w:color w:val="000000"/>
          <w:lang w:val="en-GB"/>
        </w:rPr>
        <w:t>___</w:t>
      </w:r>
      <w:r>
        <w:rPr>
          <w:color w:val="000000"/>
          <w:lang w:val="en-GB"/>
        </w:rPr>
        <w:t>20___р.</w:t>
      </w:r>
      <w:r w:rsidR="007A1411">
        <w:rPr>
          <w:color w:val="000000"/>
        </w:rPr>
        <w:t xml:space="preserve">               </w:t>
      </w:r>
      <w:r>
        <w:rPr>
          <w:color w:val="000000"/>
          <w:lang w:val="en-GB"/>
        </w:rPr>
        <w:t xml:space="preserve">             </w:t>
      </w:r>
      <w:r w:rsidR="007A1411">
        <w:rPr>
          <w:color w:val="000000"/>
        </w:rPr>
        <w:t xml:space="preserve">Оцінка_________/______/_______ </w:t>
      </w:r>
    </w:p>
    <w:p w:rsidR="007559C1" w:rsidRPr="00F622FD" w:rsidRDefault="007A1411" w:rsidP="0089422D">
      <w:pPr>
        <w:pBdr>
          <w:top w:val="nil"/>
          <w:left w:val="nil"/>
          <w:bottom w:val="nil"/>
          <w:right w:val="nil"/>
          <w:between w:val="nil"/>
        </w:pBdr>
        <w:spacing w:line="240" w:lineRule="auto"/>
        <w:ind w:firstLine="0"/>
        <w:jc w:val="left"/>
        <w:rPr>
          <w:color w:val="000000"/>
          <w:lang w:val="en-GB"/>
        </w:rPr>
      </w:pPr>
      <w:r>
        <w:rPr>
          <w:color w:val="000000"/>
        </w:rPr>
        <w:t xml:space="preserve">                                               </w:t>
      </w:r>
      <w:r w:rsidR="0066703E">
        <w:rPr>
          <w:color w:val="000000"/>
        </w:rPr>
        <w:t xml:space="preserve">                </w:t>
      </w:r>
      <w:r w:rsidR="003610B7">
        <w:rPr>
          <w:color w:val="000000"/>
        </w:rPr>
        <w:t xml:space="preserve"> </w:t>
      </w:r>
      <w:r w:rsidR="0066703E">
        <w:rPr>
          <w:color w:val="000000"/>
        </w:rPr>
        <w:t xml:space="preserve">   </w:t>
      </w:r>
      <w:r w:rsidR="00DA5BF6">
        <w:rPr>
          <w:color w:val="000000"/>
        </w:rPr>
        <w:t xml:space="preserve">  </w:t>
      </w:r>
      <w:r w:rsidR="0066703E">
        <w:rPr>
          <w:color w:val="000000"/>
        </w:rPr>
        <w:t xml:space="preserve">    </w:t>
      </w:r>
      <w:r>
        <w:rPr>
          <w:color w:val="000000"/>
          <w:sz w:val="20"/>
          <w:szCs w:val="20"/>
        </w:rPr>
        <w:t xml:space="preserve">  (за національною шкалою/шкалою ЕСТS/ бали)</w:t>
      </w:r>
      <w:r>
        <w:rPr>
          <w:color w:val="000000"/>
        </w:rPr>
        <w:t xml:space="preserve">            </w:t>
      </w:r>
      <w:r w:rsidR="00E70F3E">
        <w:rPr>
          <w:color w:val="000000"/>
          <w:lang w:val="en-GB"/>
        </w:rPr>
        <w:t xml:space="preserve">        </w:t>
      </w:r>
      <w:r>
        <w:rPr>
          <w:color w:val="000000"/>
        </w:rPr>
        <w:t xml:space="preserve">Завідувач(ка) кафедри      </w:t>
      </w:r>
      <w:r w:rsidR="0066703E">
        <w:rPr>
          <w:color w:val="000000"/>
        </w:rPr>
        <w:t xml:space="preserve">  </w:t>
      </w:r>
      <w:r>
        <w:rPr>
          <w:color w:val="000000"/>
        </w:rPr>
        <w:t xml:space="preserve">                        </w:t>
      </w:r>
      <w:r w:rsidR="00E70F3E">
        <w:rPr>
          <w:color w:val="000000"/>
          <w:lang w:val="en-GB"/>
        </w:rPr>
        <w:t xml:space="preserve"> </w:t>
      </w:r>
      <w:r w:rsidR="0089422D">
        <w:rPr>
          <w:color w:val="000000"/>
          <w:lang w:val="ru-RU"/>
        </w:rPr>
        <w:t xml:space="preserve"> </w:t>
      </w:r>
      <w:r w:rsidR="0053315E">
        <w:rPr>
          <w:color w:val="000000"/>
          <w:lang w:val="ru-RU"/>
        </w:rPr>
        <w:t xml:space="preserve">   </w:t>
      </w:r>
      <w:r w:rsidR="00E70F3E">
        <w:rPr>
          <w:color w:val="000000"/>
          <w:lang w:val="en-GB"/>
        </w:rPr>
        <w:t xml:space="preserve"> </w:t>
      </w:r>
      <w:r>
        <w:rPr>
          <w:color w:val="000000"/>
        </w:rPr>
        <w:t>Голова ЕК</w:t>
      </w:r>
    </w:p>
    <w:p w:rsidR="007559C1" w:rsidRDefault="00F345EB" w:rsidP="0089422D">
      <w:pPr>
        <w:pBdr>
          <w:top w:val="nil"/>
          <w:left w:val="nil"/>
          <w:bottom w:val="nil"/>
          <w:right w:val="nil"/>
          <w:between w:val="nil"/>
        </w:pBdr>
        <w:spacing w:line="240" w:lineRule="auto"/>
        <w:ind w:firstLine="0"/>
        <w:jc w:val="left"/>
        <w:rPr>
          <w:color w:val="000000"/>
        </w:rPr>
      </w:pPr>
      <w:r>
        <w:rPr>
          <w:color w:val="000000"/>
        </w:rPr>
        <w:t xml:space="preserve">  ______      ____________________         </w:t>
      </w:r>
      <w:r w:rsidR="00AD09C9">
        <w:rPr>
          <w:color w:val="000000"/>
        </w:rPr>
        <w:t xml:space="preserve">     </w:t>
      </w:r>
      <w:r>
        <w:rPr>
          <w:color w:val="000000"/>
        </w:rPr>
        <w:t xml:space="preserve">    ______     ___________________</w:t>
      </w:r>
    </w:p>
    <w:p w:rsidR="007559C1" w:rsidRDefault="00E70F3E" w:rsidP="0089422D">
      <w:pPr>
        <w:pBdr>
          <w:top w:val="nil"/>
          <w:left w:val="nil"/>
          <w:bottom w:val="nil"/>
          <w:right w:val="nil"/>
          <w:between w:val="nil"/>
        </w:pBdr>
        <w:spacing w:line="240" w:lineRule="auto"/>
        <w:ind w:firstLine="0"/>
        <w:jc w:val="left"/>
        <w:rPr>
          <w:color w:val="000000"/>
        </w:rPr>
      </w:pPr>
      <w:r>
        <w:rPr>
          <w:color w:val="000000"/>
          <w:sz w:val="20"/>
          <w:szCs w:val="20"/>
          <w:lang w:val="en-GB"/>
        </w:rPr>
        <w:t xml:space="preserve">    </w:t>
      </w:r>
      <w:r w:rsidR="007A1411">
        <w:rPr>
          <w:color w:val="000000"/>
          <w:sz w:val="20"/>
          <w:szCs w:val="20"/>
        </w:rPr>
        <w:t>(підпис)               </w:t>
      </w:r>
      <w:r w:rsidR="00AD09C9">
        <w:rPr>
          <w:color w:val="000000"/>
          <w:sz w:val="20"/>
          <w:szCs w:val="20"/>
        </w:rPr>
        <w:t xml:space="preserve">     </w:t>
      </w:r>
      <w:r w:rsidR="007A1411">
        <w:rPr>
          <w:color w:val="000000"/>
          <w:sz w:val="20"/>
          <w:szCs w:val="20"/>
        </w:rPr>
        <w:t xml:space="preserve">    (прізвище, ім’я)        </w:t>
      </w:r>
      <w:r w:rsidR="007A1411">
        <w:rPr>
          <w:rFonts w:ascii="Calibri" w:eastAsia="Calibri" w:hAnsi="Calibri" w:cs="Calibri"/>
          <w:color w:val="000000"/>
          <w:sz w:val="20"/>
          <w:szCs w:val="20"/>
        </w:rPr>
        <w:t xml:space="preserve">                     </w:t>
      </w:r>
      <w:r w:rsidR="00AD09C9">
        <w:rPr>
          <w:rFonts w:ascii="Calibri" w:eastAsia="Calibri" w:hAnsi="Calibri" w:cs="Calibri"/>
          <w:color w:val="000000"/>
          <w:sz w:val="20"/>
          <w:szCs w:val="20"/>
        </w:rPr>
        <w:t xml:space="preserve"> </w:t>
      </w:r>
      <w:r w:rsidR="007A1411">
        <w:rPr>
          <w:rFonts w:ascii="Calibri" w:eastAsia="Calibri" w:hAnsi="Calibri" w:cs="Calibri"/>
          <w:color w:val="000000"/>
          <w:sz w:val="20"/>
          <w:szCs w:val="20"/>
        </w:rPr>
        <w:t xml:space="preserve">    </w:t>
      </w:r>
      <w:r>
        <w:rPr>
          <w:rFonts w:ascii="Calibri" w:eastAsia="Calibri" w:hAnsi="Calibri" w:cs="Calibri"/>
          <w:color w:val="000000"/>
          <w:sz w:val="20"/>
          <w:szCs w:val="20"/>
          <w:lang w:val="en-GB"/>
        </w:rPr>
        <w:t xml:space="preserve">   </w:t>
      </w:r>
      <w:r w:rsidR="007A1411">
        <w:rPr>
          <w:rFonts w:ascii="Calibri" w:eastAsia="Calibri" w:hAnsi="Calibri" w:cs="Calibri"/>
          <w:color w:val="000000"/>
          <w:sz w:val="20"/>
          <w:szCs w:val="20"/>
        </w:rPr>
        <w:t xml:space="preserve"> </w:t>
      </w:r>
      <w:r>
        <w:rPr>
          <w:rFonts w:ascii="Calibri" w:eastAsia="Calibri" w:hAnsi="Calibri" w:cs="Calibri"/>
          <w:color w:val="000000"/>
          <w:sz w:val="20"/>
          <w:szCs w:val="20"/>
          <w:lang w:val="en-GB"/>
        </w:rPr>
        <w:t xml:space="preserve">   </w:t>
      </w:r>
      <w:r w:rsidR="007A1411">
        <w:rPr>
          <w:color w:val="000000"/>
          <w:sz w:val="20"/>
          <w:szCs w:val="20"/>
        </w:rPr>
        <w:t xml:space="preserve">    (підпис)          </w:t>
      </w:r>
      <w:r w:rsidR="00AD09C9">
        <w:rPr>
          <w:color w:val="000000"/>
          <w:sz w:val="20"/>
          <w:szCs w:val="20"/>
        </w:rPr>
        <w:t xml:space="preserve">    </w:t>
      </w:r>
      <w:r w:rsidR="007A1411">
        <w:rPr>
          <w:color w:val="000000"/>
          <w:sz w:val="20"/>
          <w:szCs w:val="20"/>
        </w:rPr>
        <w:t xml:space="preserve">      (прізвище, ім’я) </w:t>
      </w:r>
    </w:p>
    <w:p w:rsidR="007559C1" w:rsidRDefault="007A1411" w:rsidP="0089422D">
      <w:pPr>
        <w:pBdr>
          <w:top w:val="nil"/>
          <w:left w:val="nil"/>
          <w:bottom w:val="nil"/>
          <w:right w:val="nil"/>
          <w:between w:val="nil"/>
        </w:pBdr>
        <w:spacing w:line="240" w:lineRule="auto"/>
        <w:ind w:firstLine="0"/>
        <w:jc w:val="left"/>
        <w:rPr>
          <w:rFonts w:ascii="Calibri" w:eastAsia="Calibri" w:hAnsi="Calibri" w:cs="Calibri"/>
          <w:color w:val="000000"/>
          <w:sz w:val="20"/>
          <w:szCs w:val="20"/>
        </w:rPr>
      </w:pPr>
      <w:r>
        <w:rPr>
          <w:rFonts w:ascii="Calibri" w:eastAsia="Calibri" w:hAnsi="Calibri" w:cs="Calibri"/>
          <w:color w:val="000000"/>
          <w:sz w:val="20"/>
          <w:szCs w:val="20"/>
        </w:rPr>
        <w:t xml:space="preserve">                                                            </w:t>
      </w:r>
    </w:p>
    <w:p w:rsidR="00047691" w:rsidRDefault="007A1411" w:rsidP="00047691">
      <w:pPr>
        <w:pBdr>
          <w:top w:val="nil"/>
          <w:left w:val="nil"/>
          <w:bottom w:val="nil"/>
          <w:right w:val="nil"/>
          <w:between w:val="nil"/>
        </w:pBdr>
        <w:spacing w:line="240" w:lineRule="auto"/>
        <w:ind w:firstLine="0"/>
        <w:jc w:val="left"/>
        <w:rPr>
          <w:rFonts w:ascii="Calibri" w:eastAsia="Calibri" w:hAnsi="Calibri" w:cs="Calibri"/>
          <w:color w:val="000000"/>
          <w:sz w:val="20"/>
          <w:szCs w:val="20"/>
        </w:rPr>
      </w:pPr>
      <w:r>
        <w:rPr>
          <w:rFonts w:ascii="Calibri" w:eastAsia="Calibri" w:hAnsi="Calibri" w:cs="Calibri"/>
          <w:color w:val="000000"/>
          <w:sz w:val="20"/>
          <w:szCs w:val="20"/>
        </w:rPr>
        <w:t xml:space="preserve">                                                             </w:t>
      </w:r>
      <w:r w:rsidR="00DF1649">
        <w:rPr>
          <w:rFonts w:ascii="Calibri" w:eastAsia="Calibri" w:hAnsi="Calibri" w:cs="Calibri"/>
          <w:color w:val="000000"/>
          <w:sz w:val="20"/>
          <w:szCs w:val="20"/>
        </w:rPr>
        <w:t xml:space="preserve">   </w:t>
      </w:r>
    </w:p>
    <w:p w:rsidR="007559C1" w:rsidRPr="00047691" w:rsidRDefault="00047691" w:rsidP="00047691">
      <w:pPr>
        <w:pBdr>
          <w:top w:val="nil"/>
          <w:left w:val="nil"/>
          <w:bottom w:val="nil"/>
          <w:right w:val="nil"/>
          <w:between w:val="nil"/>
        </w:pBdr>
        <w:spacing w:line="240" w:lineRule="auto"/>
        <w:ind w:firstLine="0"/>
        <w:jc w:val="left"/>
        <w:rPr>
          <w:rFonts w:ascii="Calibri" w:eastAsia="Calibri" w:hAnsi="Calibri" w:cs="Calibri"/>
          <w:color w:val="000000"/>
          <w:sz w:val="20"/>
          <w:szCs w:val="20"/>
        </w:rPr>
      </w:pPr>
      <w:r>
        <w:rPr>
          <w:rFonts w:ascii="Calibri" w:eastAsia="Calibri" w:hAnsi="Calibri" w:cs="Calibri"/>
          <w:color w:val="000000"/>
          <w:sz w:val="20"/>
          <w:szCs w:val="20"/>
        </w:rPr>
        <w:t xml:space="preserve">                                                      </w:t>
      </w:r>
      <w:r w:rsidR="00215BF1">
        <w:rPr>
          <w:rFonts w:ascii="Calibri" w:eastAsia="Calibri" w:hAnsi="Calibri" w:cs="Calibri"/>
          <w:color w:val="000000"/>
          <w:sz w:val="20"/>
          <w:szCs w:val="20"/>
          <w:lang w:val="en-GB"/>
        </w:rPr>
        <w:t xml:space="preserve">      </w:t>
      </w:r>
      <w:r w:rsidR="00987636">
        <w:rPr>
          <w:rFonts w:ascii="Calibri" w:eastAsia="Calibri" w:hAnsi="Calibri" w:cs="Calibri"/>
          <w:color w:val="000000"/>
          <w:sz w:val="20"/>
          <w:szCs w:val="20"/>
          <w:lang w:val="en-GB"/>
        </w:rPr>
        <w:t xml:space="preserve">    </w:t>
      </w:r>
      <w:r w:rsidR="00DF1649">
        <w:rPr>
          <w:rFonts w:ascii="Calibri" w:eastAsia="Calibri" w:hAnsi="Calibri" w:cs="Calibri"/>
          <w:color w:val="000000"/>
          <w:sz w:val="20"/>
          <w:szCs w:val="20"/>
        </w:rPr>
        <w:t xml:space="preserve">                </w:t>
      </w:r>
      <w:r w:rsidR="00DF1649">
        <w:rPr>
          <w:b/>
          <w:color w:val="000000"/>
        </w:rPr>
        <w:t>Одеса 2024</w:t>
      </w:r>
    </w:p>
    <w:p w:rsidR="007559C1" w:rsidRDefault="007559C1">
      <w:pPr>
        <w:ind w:right="141" w:firstLine="0"/>
        <w:jc w:val="center"/>
        <w:rPr>
          <w:b/>
        </w:rPr>
      </w:pPr>
    </w:p>
    <w:p w:rsidR="007559C1" w:rsidRDefault="00DF1649" w:rsidP="00DF1649">
      <w:pPr>
        <w:ind w:right="141" w:firstLine="0"/>
        <w:rPr>
          <w:b/>
        </w:rPr>
      </w:pPr>
      <w:r>
        <w:rPr>
          <w:b/>
        </w:rPr>
        <w:lastRenderedPageBreak/>
        <w:t xml:space="preserve">                       </w:t>
      </w:r>
      <w:r w:rsidR="00F07B0E">
        <w:rPr>
          <w:b/>
        </w:rPr>
        <w:t xml:space="preserve">                                    </w:t>
      </w:r>
      <w:r>
        <w:rPr>
          <w:b/>
        </w:rPr>
        <w:t>ЗМІСТ</w:t>
      </w:r>
    </w:p>
    <w:p w:rsidR="007559C1" w:rsidRDefault="007559C1">
      <w:pPr>
        <w:keepNext/>
        <w:keepLines/>
        <w:widowControl/>
        <w:pBdr>
          <w:top w:val="nil"/>
          <w:left w:val="nil"/>
          <w:bottom w:val="nil"/>
          <w:right w:val="nil"/>
          <w:between w:val="nil"/>
        </w:pBdr>
        <w:spacing w:before="240" w:line="240" w:lineRule="auto"/>
        <w:ind w:firstLine="0"/>
        <w:jc w:val="left"/>
        <w:rPr>
          <w:rFonts w:ascii="Cambria" w:eastAsia="Cambria" w:hAnsi="Cambria" w:cs="Cambria"/>
          <w:color w:val="366091"/>
          <w:sz w:val="2"/>
          <w:szCs w:val="2"/>
        </w:rPr>
      </w:pPr>
    </w:p>
    <w:sdt>
      <w:sdtPr>
        <w:id w:val="216782844"/>
        <w:docPartObj>
          <w:docPartGallery w:val="Table of Contents"/>
          <w:docPartUnique/>
        </w:docPartObj>
      </w:sdtPr>
      <w:sdtEndPr/>
      <w:sdtContent>
        <w:p w:rsidR="007559C1" w:rsidRDefault="007A1411">
          <w:pPr>
            <w:pBdr>
              <w:top w:val="nil"/>
              <w:left w:val="nil"/>
              <w:bottom w:val="nil"/>
              <w:right w:val="nil"/>
              <w:between w:val="nil"/>
            </w:pBdr>
            <w:tabs>
              <w:tab w:val="right" w:pos="9214"/>
            </w:tabs>
            <w:spacing w:after="100"/>
            <w:ind w:right="991" w:firstLine="0"/>
            <w:jc w:val="left"/>
            <w:rPr>
              <w:rFonts w:ascii="Calibri" w:eastAsia="Calibri" w:hAnsi="Calibri" w:cs="Calibri"/>
              <w:color w:val="000000"/>
              <w:sz w:val="22"/>
            </w:rPr>
          </w:pPr>
          <w:r>
            <w:fldChar w:fldCharType="begin"/>
          </w:r>
          <w:r>
            <w:instrText xml:space="preserve"> TOC \h \u \z \t "Heading 1,1,Heading 2,2,Heading 3,3,"</w:instrText>
          </w:r>
          <w:r>
            <w:fldChar w:fldCharType="separate"/>
          </w:r>
          <w:hyperlink w:anchor="_heading=h.gjdgxs">
            <w:r>
              <w:rPr>
                <w:color w:val="000000"/>
              </w:rPr>
              <w:t>Вступ</w:t>
            </w:r>
          </w:hyperlink>
          <w:hyperlink w:anchor="_heading=h.gjdgxs">
            <w:r>
              <w:t>……………………………………………………………………...3</w:t>
            </w:r>
          </w:hyperlink>
          <w:hyperlink w:anchor="_heading=h.gjdgxs">
            <w:r>
              <w:rPr>
                <w:color w:val="000000"/>
              </w:rPr>
              <w:tab/>
            </w:r>
          </w:hyperlink>
        </w:p>
        <w:p w:rsidR="007559C1" w:rsidRDefault="00E57BD2">
          <w:pPr>
            <w:pBdr>
              <w:top w:val="nil"/>
              <w:left w:val="nil"/>
              <w:bottom w:val="nil"/>
              <w:right w:val="nil"/>
              <w:between w:val="nil"/>
            </w:pBdr>
            <w:tabs>
              <w:tab w:val="right" w:pos="9214"/>
            </w:tabs>
            <w:spacing w:after="100"/>
            <w:ind w:right="991" w:firstLine="0"/>
            <w:jc w:val="left"/>
            <w:rPr>
              <w:rFonts w:ascii="Calibri" w:eastAsia="Calibri" w:hAnsi="Calibri" w:cs="Calibri"/>
              <w:color w:val="000000"/>
              <w:sz w:val="22"/>
            </w:rPr>
          </w:pPr>
          <w:hyperlink w:anchor="_heading=h.30j0zll">
            <w:r w:rsidR="007A1411">
              <w:rPr>
                <w:color w:val="000000"/>
              </w:rPr>
              <w:t>Розділ 1. Теоретичні засади дослідження</w:t>
            </w:r>
          </w:hyperlink>
          <w:hyperlink w:anchor="_heading=h.30j0zll">
            <w:r w:rsidR="007A1411">
              <w:t>……………………………...</w:t>
            </w:r>
          </w:hyperlink>
          <w:hyperlink w:anchor="_heading=h.30j0zll">
            <w:r w:rsidR="007A1411">
              <w:rPr>
                <w:color w:val="000000"/>
              </w:rPr>
              <w:t>6</w:t>
            </w:r>
          </w:hyperlink>
        </w:p>
        <w:p w:rsidR="007559C1" w:rsidRDefault="00E57BD2">
          <w:pPr>
            <w:pBdr>
              <w:top w:val="nil"/>
              <w:left w:val="nil"/>
              <w:bottom w:val="nil"/>
              <w:right w:val="nil"/>
              <w:between w:val="nil"/>
            </w:pBdr>
            <w:tabs>
              <w:tab w:val="right" w:pos="9214"/>
            </w:tabs>
            <w:spacing w:after="100"/>
            <w:ind w:right="991" w:firstLine="0"/>
            <w:jc w:val="left"/>
            <w:rPr>
              <w:rFonts w:ascii="Calibri" w:eastAsia="Calibri" w:hAnsi="Calibri" w:cs="Calibri"/>
              <w:color w:val="000000"/>
              <w:sz w:val="22"/>
            </w:rPr>
          </w:pPr>
          <w:hyperlink w:anchor="_heading=h.1fob9te">
            <w:r w:rsidR="007A1411">
              <w:rPr>
                <w:color w:val="000000"/>
              </w:rPr>
              <w:t>Розділ 2. Політика НАТО щодо Чорноморського регіону в постбіполярний період............................................................................28</w:t>
            </w:r>
          </w:hyperlink>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3znysh7">
            <w:r w:rsidR="007A1411">
              <w:rPr>
                <w:color w:val="000000"/>
              </w:rPr>
              <w:t>Розділ 3. Еволюція підходів НАТО до безпеки в Чорноморському регіоні в умовах російської агресії 2014-2021 років</w:t>
            </w:r>
          </w:hyperlink>
          <w:hyperlink w:anchor="_heading=h.3znysh7">
            <w:r w:rsidR="007A1411">
              <w:t>………………</w:t>
            </w:r>
          </w:hyperlink>
          <w:r w:rsidR="007A1411">
            <w:t>…43</w:t>
          </w:r>
        </w:p>
        <w:p w:rsidR="007559C1" w:rsidRPr="00375DDF" w:rsidRDefault="00E57BD2">
          <w:pPr>
            <w:pBdr>
              <w:top w:val="nil"/>
              <w:left w:val="nil"/>
              <w:bottom w:val="nil"/>
              <w:right w:val="nil"/>
              <w:between w:val="nil"/>
            </w:pBdr>
            <w:tabs>
              <w:tab w:val="right" w:pos="9214"/>
            </w:tabs>
            <w:spacing w:after="100"/>
            <w:ind w:right="991" w:firstLine="0"/>
            <w:jc w:val="left"/>
          </w:pPr>
          <w:hyperlink w:anchor="_heading=h.2et92p0">
            <w:r w:rsidR="007A1411">
              <w:rPr>
                <w:color w:val="000000"/>
              </w:rPr>
              <w:t>Розділ 4. Зміни в Чорноморській стратегії НАТО після активізації військової агресії росії в Україні в 2022-2023 роках</w:t>
            </w:r>
          </w:hyperlink>
          <w:r w:rsidR="00375DDF">
            <w:t>..........................</w:t>
          </w:r>
          <w:r w:rsidR="0031177F">
            <w:rPr>
              <w:lang w:val="en-GB"/>
            </w:rPr>
            <w:t>.</w:t>
          </w:r>
          <w:r w:rsidR="00375DDF">
            <w:t>5</w:t>
          </w:r>
          <w:r w:rsidR="00BA3A5A">
            <w:t>7</w:t>
          </w:r>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tyjcwt">
            <w:r w:rsidR="007A1411">
              <w:rPr>
                <w:color w:val="000000"/>
              </w:rPr>
              <w:t>Висновки</w:t>
            </w:r>
          </w:hyperlink>
          <w:r w:rsidR="005824ED">
            <w:t>..................................................................................................71</w:t>
          </w:r>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3dy6vkm">
            <w:r w:rsidR="007A1411">
              <w:rPr>
                <w:color w:val="000000"/>
              </w:rPr>
              <w:t>Список посилань</w:t>
            </w:r>
          </w:hyperlink>
          <w:r w:rsidR="003C5A22">
            <w:t>......................................................................................74</w:t>
          </w:r>
          <w:hyperlink w:anchor="_heading=h.3dy6vkm">
            <w:r w:rsidR="007A1411">
              <w:rPr>
                <w:color w:val="000000"/>
              </w:rPr>
              <w:tab/>
            </w:r>
          </w:hyperlink>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4d34og8">
            <w:r w:rsidR="007A1411">
              <w:rPr>
                <w:color w:val="000000"/>
              </w:rPr>
              <w:t>Додаток 1</w:t>
            </w:r>
          </w:hyperlink>
          <w:r w:rsidR="002778B8">
            <w:t>..................................................................................................</w:t>
          </w:r>
          <w:r w:rsidR="009A100B">
            <w:t>83</w:t>
          </w:r>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2s8eyo1">
            <w:r w:rsidR="007A1411">
              <w:rPr>
                <w:color w:val="000000"/>
              </w:rPr>
              <w:t>Додаток 2</w:t>
            </w:r>
          </w:hyperlink>
          <w:r w:rsidR="005A61BD">
            <w:t>..................................................................................................84</w:t>
          </w:r>
          <w:hyperlink w:anchor="_heading=h.2s8eyo1">
            <w:r w:rsidR="007A1411">
              <w:rPr>
                <w:color w:val="000000"/>
              </w:rPr>
              <w:tab/>
            </w:r>
          </w:hyperlink>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17dp8vu">
            <w:r w:rsidR="007A1411">
              <w:rPr>
                <w:color w:val="000000"/>
              </w:rPr>
              <w:t>Додаток 3</w:t>
            </w:r>
          </w:hyperlink>
          <w:hyperlink w:anchor="_heading=h.17dp8vu">
            <w:r w:rsidR="007A1411">
              <w:t>………………………………………………………………</w:t>
            </w:r>
          </w:hyperlink>
          <w:r w:rsidR="007A1411">
            <w:t>..</w:t>
          </w:r>
          <w:r w:rsidR="004E3380">
            <w:t>85</w:t>
          </w:r>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3rdcrjn">
            <w:r w:rsidR="007A1411">
              <w:rPr>
                <w:color w:val="000000"/>
              </w:rPr>
              <w:t>Додаток 4</w:t>
            </w:r>
          </w:hyperlink>
          <w:hyperlink w:anchor="_heading=h.3rdcrjn">
            <w:r w:rsidR="007A1411">
              <w:t>………………………………………………………………..</w:t>
            </w:r>
          </w:hyperlink>
          <w:hyperlink w:anchor="_heading=h.3rdcrjn">
            <w:r w:rsidR="007A1411">
              <w:rPr>
                <w:color w:val="000000"/>
              </w:rPr>
              <w:t>8</w:t>
            </w:r>
          </w:hyperlink>
          <w:r w:rsidR="0074447B">
            <w:t>6</w:t>
          </w:r>
        </w:p>
        <w:p w:rsidR="007559C1" w:rsidRDefault="00E57BD2">
          <w:pPr>
            <w:pBdr>
              <w:top w:val="nil"/>
              <w:left w:val="nil"/>
              <w:bottom w:val="nil"/>
              <w:right w:val="nil"/>
              <w:between w:val="nil"/>
            </w:pBdr>
            <w:tabs>
              <w:tab w:val="right" w:pos="9214"/>
            </w:tabs>
            <w:spacing w:after="100"/>
            <w:ind w:right="991" w:firstLine="0"/>
            <w:jc w:val="left"/>
            <w:rPr>
              <w:color w:val="000000"/>
            </w:rPr>
          </w:pPr>
          <w:hyperlink w:anchor="_heading=h.26in1rg">
            <w:r w:rsidR="007A1411">
              <w:rPr>
                <w:color w:val="000000"/>
              </w:rPr>
              <w:t>Додаток 5</w:t>
            </w:r>
          </w:hyperlink>
          <w:r w:rsidR="00DE770F">
            <w:t>..................................................................................................89</w:t>
          </w:r>
          <w:hyperlink w:anchor="_heading=h.26in1rg">
            <w:r w:rsidR="007A1411">
              <w:rPr>
                <w:color w:val="000000"/>
              </w:rPr>
              <w:tab/>
            </w:r>
          </w:hyperlink>
        </w:p>
        <w:p w:rsidR="007559C1" w:rsidRDefault="007A1411">
          <w:pPr>
            <w:ind w:firstLine="0"/>
            <w:jc w:val="left"/>
          </w:pPr>
          <w:r>
            <w:fldChar w:fldCharType="end"/>
          </w:r>
        </w:p>
      </w:sdtContent>
    </w:sdt>
    <w:p w:rsidR="007559C1" w:rsidRDefault="007559C1"/>
    <w:p w:rsidR="007559C1" w:rsidRDefault="007A1411">
      <w:r>
        <w:t xml:space="preserve"> </w:t>
      </w:r>
    </w:p>
    <w:p w:rsidR="007559C1" w:rsidRDefault="007A1411">
      <w:pPr>
        <w:widowControl/>
        <w:spacing w:line="240" w:lineRule="auto"/>
        <w:ind w:firstLine="0"/>
        <w:jc w:val="left"/>
        <w:rPr>
          <w:smallCaps/>
        </w:rPr>
      </w:pPr>
      <w:r>
        <w:br w:type="page"/>
      </w:r>
    </w:p>
    <w:p w:rsidR="007559C1" w:rsidRDefault="007A1411">
      <w:pPr>
        <w:pStyle w:val="1"/>
      </w:pPr>
      <w:bookmarkStart w:id="0" w:name="_heading=h.gjdgxs" w:colFirst="0" w:colLast="0"/>
      <w:bookmarkEnd w:id="0"/>
      <w:r>
        <w:lastRenderedPageBreak/>
        <w:t>ВСТУП</w:t>
      </w:r>
    </w:p>
    <w:p w:rsidR="007559C1" w:rsidRDefault="007559C1"/>
    <w:p w:rsidR="007559C1" w:rsidRDefault="007A1411">
      <w:r>
        <w:rPr>
          <w:i/>
        </w:rPr>
        <w:t>Актуальність теми дослідження</w:t>
      </w:r>
      <w:r>
        <w:t>. В другому десятилітті ХХІ століття Чорноморський регіон став ключовим геополітичним театром протистояння між Заходом і росією. Актуальність цього протистояння обумовлена важливістю Чорноморського регіону як стратегічного вузла для глобальної безпеки та цивілізаційним протистоянням між Заходом і Сходом, де росія чітко обрала вектор на нівелювання західних цінностей та знищення світового правопорядку. Агресія росії проти України з 2014 року, включно з анексією Криму та військовими діями на сході України, підсилила стратегічну значимість цього регіону для НАТО. У зв'язку з цим Альянс змушений переглядати свою стратегію, посилювати військову присутність та зміцнювати оборонні спроможності країн-членів НАТО в Чорноморському регіоні. Практична актуальність розгляду даного протистояння обумовлена пошуком ефективних механізмів стримування російської агресії та забезпечення стабільності в регіоні, що має критичне значення для захисту країн-членів НАТО і партнерів, зокрема України. Наукова актуальність теми полягає в необхідності поглибленого аналізу змін у безпековій динаміці регіону, оцінки ефективності заходів НАТО, а також у розробці нових підходів до колективної оборони в умовах сучасних геополітичних викликів.</w:t>
      </w:r>
    </w:p>
    <w:p w:rsidR="007559C1" w:rsidRDefault="007A1411">
      <w:r>
        <w:t xml:space="preserve">Дане дослідження слід віднести до </w:t>
      </w:r>
      <w:r>
        <w:rPr>
          <w:i/>
        </w:rPr>
        <w:t>емпіричної традиції</w:t>
      </w:r>
      <w:r>
        <w:t xml:space="preserve">. Воно може бути визначене як дослідження співвідношення між наступними змінними: </w:t>
      </w:r>
    </w:p>
    <w:p w:rsidR="007559C1" w:rsidRDefault="007A1411">
      <w:r>
        <w:t>– залежна змінна: ефективність Чорноморської стратегії НАТО;</w:t>
      </w:r>
    </w:p>
    <w:p w:rsidR="007559C1" w:rsidRDefault="007A1411">
      <w:r>
        <w:t>– незалежні змінні: військова агресія росії (структурний фактор);  реакція країн-членів НАТО (структурний фактор);  геополітична ситуація в регіоні (структурний фактор);  внутрішня політика країн Причорномор’я (індивідуальні агенти та структурні фактори).</w:t>
      </w:r>
    </w:p>
    <w:p w:rsidR="007559C1" w:rsidRDefault="007A1411">
      <w:r>
        <w:t>Тема «Чорноморська стратегія НАТО в умовах російської агресії (2014-2023)» обрана через її ключову роль у забезпеченні регіональної безпеки та стабільності в контексті ескалації загроз з боку росії.</w:t>
      </w:r>
    </w:p>
    <w:p w:rsidR="007559C1" w:rsidRDefault="007A1411">
      <w:pPr>
        <w:tabs>
          <w:tab w:val="left" w:pos="3717"/>
        </w:tabs>
      </w:pPr>
      <w:r>
        <w:rPr>
          <w:i/>
        </w:rPr>
        <w:t>Метою дослідження</w:t>
      </w:r>
      <w:r>
        <w:t xml:space="preserve"> є аналіз  Військово-оборонної стратегії НАТО в </w:t>
      </w:r>
      <w:r>
        <w:lastRenderedPageBreak/>
        <w:t>Чорноморському регіоні  в умовах російської агресії проти України задля фіксації ключових етапів тактичних та стратегічних змін в підходах Північноатлантичного альянсу щодо протидії агресивній політиці РФ в Чорноморському регіоні.</w:t>
      </w:r>
    </w:p>
    <w:p w:rsidR="007559C1" w:rsidRDefault="007A1411">
      <w:pPr>
        <w:tabs>
          <w:tab w:val="left" w:pos="3717"/>
        </w:tabs>
        <w:rPr>
          <w:i/>
        </w:rPr>
      </w:pPr>
      <w:r>
        <w:t xml:space="preserve">Для досягнення поставленої мети необхідно вирішити наступні </w:t>
      </w:r>
      <w:r>
        <w:rPr>
          <w:i/>
        </w:rPr>
        <w:t xml:space="preserve">завдання: </w:t>
      </w:r>
    </w:p>
    <w:p w:rsidR="007559C1" w:rsidRDefault="007A1411">
      <w:r>
        <w:t>1. Вивчення теоретичних підходів щодо забезпечення безпеки національних інтересів  країн членів  Чорноморського регіону та України.</w:t>
      </w:r>
    </w:p>
    <w:p w:rsidR="007559C1" w:rsidRDefault="007A1411">
      <w:r>
        <w:t>2. Проаналізувати  політику НАТО щодо Чорноморського регіону в постбіполярний період.</w:t>
      </w:r>
    </w:p>
    <w:p w:rsidR="007559C1" w:rsidRDefault="007A1411">
      <w:r>
        <w:t>3. Дослідити еволюцію підходів НАТО до безпеки в Чорноморському регіоні в умовах російської агресії 2014-2021 років.</w:t>
      </w:r>
    </w:p>
    <w:p w:rsidR="007559C1" w:rsidRDefault="007A1411">
      <w:r>
        <w:t>4. Визначити зміни в Чорноморській стратегії НАТО після активізації військової агресії росії в Україні в 2022-2023 роках.</w:t>
      </w:r>
    </w:p>
    <w:p w:rsidR="007559C1" w:rsidRDefault="007A1411">
      <w:r>
        <w:rPr>
          <w:i/>
        </w:rPr>
        <w:t>Об’єктом дослідження</w:t>
      </w:r>
      <w:r>
        <w:t xml:space="preserve"> є міжнародні відносини в Чорноморському регіоні  в контексті  військової агресії  РФ проти України.</w:t>
      </w:r>
    </w:p>
    <w:p w:rsidR="007559C1" w:rsidRDefault="007A1411">
      <w:r>
        <w:rPr>
          <w:i/>
        </w:rPr>
        <w:t>Предметом дослідження</w:t>
      </w:r>
      <w:r>
        <w:t xml:space="preserve"> виступає Чорноморська стратегія НАТО. </w:t>
      </w:r>
    </w:p>
    <w:p w:rsidR="007559C1" w:rsidRDefault="007A1411">
      <w:r>
        <w:rPr>
          <w:i/>
        </w:rPr>
        <w:t>Хронологічні рамки дослідження</w:t>
      </w:r>
      <w:r>
        <w:t xml:space="preserve"> обумовлені двома датами: початком військової агресії росії в Україні в 2014 р., коли було окуповано Кримський півострів та частину Донецької і Луганської областей та  поточною ситуацією в Чорноморському регіоні, де продовжується війна України з росією в результаті  агресії останньої.  </w:t>
      </w:r>
    </w:p>
    <w:p w:rsidR="007559C1" w:rsidRDefault="007A1411">
      <w:r>
        <w:rPr>
          <w:i/>
        </w:rPr>
        <w:t>Методи дослідження</w:t>
      </w:r>
      <w:r>
        <w:t>. Для досягнення поставленої мети дослідження було використано систему методів, яка включає історичний метод, який дозволяє досліджувати ситуацію в її часовій динаміці; системний підхід, пов’язаний з необхідністю дослідження усіх подій в комплексі як взаємопов’язаних; компаративний метод, який передбачає порівняння різних підходів як до теоретичних засад так і до ситуації, яка склалася в Чорноморському регіоні; формально-юридичний підхід, який визначає необхідність аналізу нормативних актів, які приймаються НАТО, США, росією. Окрім цього для аналізу даних застосовано контент-аналіз та дискурс-</w:t>
      </w:r>
      <w:r>
        <w:lastRenderedPageBreak/>
        <w:t>аналіз. Таке поєднання методів дозволило не тільки проаналізувати розвиток подій та стратегічну реакцію НАТО на результат агресії в Чорноморському регіоні, а й визначити помилки та перспективи.</w:t>
      </w:r>
    </w:p>
    <w:p w:rsidR="007559C1" w:rsidRDefault="007A1411">
      <w:r>
        <w:rPr>
          <w:i/>
        </w:rPr>
        <w:t>Наукова новизна дослідження</w:t>
      </w:r>
      <w:r>
        <w:t xml:space="preserve"> полягає в наступному: набуло подальшого розвитку  дослідження еволюції стратегічних підходів НАТО до безпеки в Чорноморському регіоні; встановлено необхідність зміни підходів НАТО до стратегічного планування з реагування на події до попередження наслідків цих подій. </w:t>
      </w:r>
    </w:p>
    <w:p w:rsidR="007559C1" w:rsidRDefault="007A1411">
      <w:r>
        <w:rPr>
          <w:i/>
        </w:rPr>
        <w:t>Апробація результатів дослідження</w:t>
      </w:r>
      <w:r>
        <w:t>. Основні положення роботи знайшли своє відображення в статті</w:t>
      </w:r>
      <w:r w:rsidR="00AD1977">
        <w:t xml:space="preserve"> «Військово-морська стратегія Туреччини: геополітичний вплив на безпеку Чорноморського регіону» [17].</w:t>
      </w:r>
    </w:p>
    <w:p w:rsidR="007559C1" w:rsidRDefault="007A1411">
      <w:r>
        <w:rPr>
          <w:i/>
        </w:rPr>
        <w:t>Структура та обсяг роботи</w:t>
      </w:r>
      <w:r>
        <w:t xml:space="preserve">. Робота складається зі вступу, чотирьох розділів, висновків та додатків. В першому розділі розкриваються теоретичні засади дослідження. Три наступні розділи  розкривають логіку еволюції стратегічних підходів НАТО до Чорноморського регіону (постбіполярний період з виникненням причорноморських пострадянських держав, період 2014-2022 рр. з початком агресії росії на Україну, період 2022-2023 рр. з активізацією агресії росії в Україні). Загальний обсяг роботи становить </w:t>
      </w:r>
      <w:r w:rsidR="00A30E42">
        <w:rPr>
          <w:lang w:val="en-GB"/>
        </w:rPr>
        <w:t>89</w:t>
      </w:r>
      <w:r>
        <w:t xml:space="preserve"> сторінок.</w:t>
      </w:r>
    </w:p>
    <w:p w:rsidR="007559C1" w:rsidRDefault="007559C1"/>
    <w:p w:rsidR="007559C1" w:rsidRDefault="007559C1">
      <w:pPr>
        <w:ind w:firstLine="0"/>
      </w:pPr>
    </w:p>
    <w:p w:rsidR="007559C1" w:rsidRDefault="007A1411">
      <w:pPr>
        <w:widowControl/>
        <w:spacing w:line="240" w:lineRule="auto"/>
        <w:ind w:firstLine="0"/>
        <w:jc w:val="left"/>
        <w:rPr>
          <w:b/>
        </w:rPr>
      </w:pPr>
      <w:r>
        <w:br w:type="page"/>
      </w:r>
    </w:p>
    <w:p w:rsidR="007559C1" w:rsidRDefault="007A1411">
      <w:pPr>
        <w:pStyle w:val="1"/>
      </w:pPr>
      <w:bookmarkStart w:id="1" w:name="_heading=h.30j0zll" w:colFirst="0" w:colLast="0"/>
      <w:bookmarkEnd w:id="1"/>
      <w:r>
        <w:lastRenderedPageBreak/>
        <w:t xml:space="preserve">РОЗДІЛ 1. ТЕОРЕТИЧНІ ЗАСАДИ ДОСЛІДЖЕННЯ </w:t>
      </w:r>
    </w:p>
    <w:p w:rsidR="007559C1" w:rsidRDefault="007559C1"/>
    <w:p w:rsidR="007559C1" w:rsidRDefault="007A1411">
      <w:r>
        <w:rPr>
          <w:b/>
        </w:rPr>
        <w:t>1.1. Характеристика наукових підходів щодо формування сталих умов функціонування систем регіональної безпеки</w:t>
      </w:r>
    </w:p>
    <w:p w:rsidR="007559C1" w:rsidRDefault="007559C1">
      <w:pPr>
        <w:rPr>
          <w:b/>
        </w:rPr>
      </w:pPr>
    </w:p>
    <w:p w:rsidR="007559C1" w:rsidRDefault="007A1411">
      <w:r>
        <w:t xml:space="preserve">Оскільки мова в дослідженні йде про Чорноморську стратегію НАТО  в умовах російської агресії (2014-2023), то найбільш доцільним видається звернути увагу на школу політичного реалізму, а саме – структурний реалізм. Але спершу розглянемо чому такі теорії як ідеалізм, конструктивізм, теорія колективної безпеки  та теорія демократичного миру не фіксують найбільш ключову проблематику, а саме - військову  агресію однієї держави проти іншої. І ось чому, наприклад : </w:t>
      </w:r>
    </w:p>
    <w:p w:rsidR="007559C1" w:rsidRDefault="007A1411">
      <w:r>
        <w:t>1. Ідеалізм - країни НАТО допомагають Україні вистояти у боротьбі з російською агресією не за допомогою військових дій, а за допомогою дипломатичних механізмів. Вони використовують дипломатію, апеляцію до міжнародного права, апеляцію до міжнародних організацій, задля того щоб підтримати Україну.</w:t>
      </w:r>
    </w:p>
    <w:p w:rsidR="007559C1" w:rsidRDefault="007A1411">
      <w:r>
        <w:t>2. Конструктивізм - проблематика Чорноморської стратегії НАТО постає через призму подій того, як РФ сконструювала собі паралельну реальність і підштовхує свої наративи задля виправдання російської агресії проти України.</w:t>
      </w:r>
    </w:p>
    <w:p w:rsidR="007559C1" w:rsidRDefault="007A1411">
      <w:r>
        <w:t>3. Теорія колективної безпеки ж, передбачає, що агресія проти однієї держави розглядається як агресія проти всіх, що спонукає до колективної відповіді. Але ця теорія не відповідає аналізу дослідження оскільки Україна не є членом НАТО, тому через це НАТО і  не може напряму відповісти РФ за її агресії проти України.</w:t>
      </w:r>
    </w:p>
    <w:p w:rsidR="007559C1" w:rsidRDefault="007A1411">
      <w:r>
        <w:t>4. Теорія демократичного миру  діє коли в  демократичній країні  немає війни. Якщо країна не демократична, то це тільки підтверджує теорію демократичного миру, що не демократичні країни вступають у конфлікти. Оскільки РФ не є демократією, тому  вона і вступає у конфлікти.</w:t>
      </w:r>
    </w:p>
    <w:p w:rsidR="007559C1" w:rsidRDefault="007A1411">
      <w:r>
        <w:t xml:space="preserve">Що ж щодо, структурного реалізму, то в цій теорії військова </w:t>
      </w:r>
      <w:r>
        <w:lastRenderedPageBreak/>
        <w:t>агресія  найбільш виражено постає ніж  в попередніх теоріях. Тож візьмемо його за основу нашого дослідження.</w:t>
      </w:r>
    </w:p>
    <w:p w:rsidR="007559C1" w:rsidRDefault="007A1411">
      <w:r>
        <w:t>Реалістична традиція у міжнародних теоріях представляє собою позитивістське, раціоналістичне та об'єктивістське бачення світу, схильне до песимізму. Вона виходить з припущення, що світ має бути сприйнятий таким, як він є насправді, а не таким, яким він міг би або повинен бути. Згідно з реалізмом, розподіл влади та можливостей відіграє ключову роль у формуванні міжнародних відносин.</w:t>
      </w:r>
    </w:p>
    <w:p w:rsidR="007559C1" w:rsidRDefault="007A1411">
      <w:r>
        <w:t>Основою цього погляду на міжнародні відносини є кілька принципів: держави виступають як основні дійові особи на міжнародній арені, значно переважаючи індивідуальні інтереси або міжнародні організації; концепція державності глибоко вкорінена в людській природі та є результатом її розвитку; міжнародна система описується як анархічна через відсутність глобальної влади, здатної нав'язувати правила державам; учасники міжнародної арени діють раціонально, прагнучи максимізувати власні інтереси. Крім того, держави не лише захищають свої інтереси, але й прагнуть до самодостатності.</w:t>
      </w:r>
    </w:p>
    <w:p w:rsidR="007559C1" w:rsidRDefault="007A1411">
      <w:r>
        <w:t>Одним з положень реалізму є те, що основними елементами міжнародної динаміки вважаються державні конфлікти та їх найбільш радикальний прояв – війна. Специфіка міжнародних відносин полягає у їх анархічній природі, що перетворює їх на поле для інтенсивних державних суперечок. Проте, міжнародні конфлікти не вичерпують всього спектру міжнародних процесів. В контексті загрози війни держави часто утворюють різноманітні військові та військово-політичні альянси для спільної оборони та протистояння, де співпраця виступає як вторинний, але важливий аспект.</w:t>
      </w:r>
    </w:p>
    <w:p w:rsidR="007559C1" w:rsidRDefault="007A1411">
      <w:r>
        <w:t xml:space="preserve">Однак на початку 70-х років ХХ століття усі недоліки класичного реалізму привели до виникнення нового підходу – так званого неореалізму, або структурного реалізму, який реагував на поточні проблеми міжнародної спільноти.  У підсумку сформувалися  6 основних концепцій структурного реалізму: «анархічність міжнародних відносин, існування їх певної структури, потенціал держав, розподіл влади, полярність та національні інтереси» </w:t>
      </w:r>
      <w:r>
        <w:lastRenderedPageBreak/>
        <w:t>(Столяренко, 2020, с. 134).</w:t>
      </w:r>
    </w:p>
    <w:p w:rsidR="007559C1" w:rsidRDefault="007A1411">
      <w:r>
        <w:t>Перші дві концепції переплітаються. Визначення «структури» міжнародної системи як «анархічної» не передбачає хаосу або безпорядку, а лише відсутність глобального уряду, який би забезпечував безпеку та стабільність. Відсутність такого наднаціонального управління робить міжнародну політику неформальною та неієрархічною, на відміну від внутрішньої політики, яка має ієрархічну структуру. Анархічна структура міжнародної системи спонукає держави до самозахисту та самодопомоги. Відсутність централізованого глобального уряду, який би регулював відносини між державами, змушує їх покладатися на власні сили та спроможності для забезпечення безпеки. Це створює систему, в якій постійна готовність до оборони та прагнення до збільшення власного потенціалу можуть призвести до зростання напруженості та конфліктів на міжнародній арені (Waltz, 1979).</w:t>
      </w:r>
    </w:p>
    <w:p w:rsidR="007559C1" w:rsidRDefault="007A1411">
      <w:r>
        <w:t>У контексті ризику можливих міжнародних конфліктів, постійне відчуття невпевненості змушує кожну державу покладатися на власні сили для забезпечення свого виживання. Це веде до акценту на концепцію «потенціалу», де здатності держави стають ключовими для її збереження. Прагнення до виживання спонукає держави шукати відносні переваги, які оцінюються через п'ять основних показників: природні ресурси, населення, економіку, військову міць та технології. Різниця у рівнях цих спроможностей між державами призводить до їх диференціації у міжнародній системі. Неореалісти зосереджуються на аналізі цих відмінностей, намагаючись визначити «відносну здатність» кожної держави в певний момент часу, що є критично важливим для розуміння міжнародних конфліктів.</w:t>
      </w:r>
    </w:p>
    <w:p w:rsidR="007559C1" w:rsidRDefault="007A1411">
      <w:r>
        <w:t xml:space="preserve">Неореалістична парадигма визначає владу як ключовий фактор, що формує поведінку держав, заснований на матеріальній структурі міжнародної системи. Моргентау розширює поняття влади, включаючи в нього не лише фізичне насильство, але й більш тонкі психологічні впливи, що дозволяють контролювати інших. Він наголошує на важливості збройних сил, але також виокремлює значення національного характеру, морального духу та якості </w:t>
      </w:r>
      <w:r>
        <w:lastRenderedPageBreak/>
        <w:t>управління (Morgenthau, 1956). Уолц пропонує більш деталізоване визначення сили, включаючи чисельність населення, територіальні розміри, ресурси, економічний потенціал, військову міць, політичну стабільність та керівні навички.</w:t>
      </w:r>
    </w:p>
    <w:p w:rsidR="007559C1" w:rsidRDefault="007A1411">
      <w:r>
        <w:t>Хоча Уолц акцентує на матеріальних аспектах влади, він також визнає важливість нематеріальних факторів, таких як політична стабільність та керівні здібності. Його підхід до «наукового» реалізму змушує його зосередитися на матеріальних змінних через їхню кількісну вимірюваність (Waltz, 1988). Неореалізм розглядає владу як потенційно корисний інструмент, але підкреслює ризики, пов'язані з її недостатністю або надлишком. Занадто мала влада може спровокувати агресію і веде до міжнародного конфлікту, тоді як занадто велика влада може змусити інші держави об'єднатися проти домінуючої держави. Таким чином, держави прагнуть досягти оптимального рівня влади, але в критичних ситуаціях їхнім головним пріоритетом залишається безпека, що є ключовим аспектом у міжнародних конфліктах.</w:t>
      </w:r>
    </w:p>
    <w:p w:rsidR="007559C1" w:rsidRDefault="007A1411">
      <w:r>
        <w:t>Концепція «полярності» відображає розподіл влади між державами на світовій арені, аналізуючи «розподіл потенціалу» серед міжнародних учасників у певний час, що дозволяє класифікувати структуру міжнародної системи на основі кількості домінуючих центрів влади. Існують три основні типи полярності: однополярність, біполярність та багатополярність. Однополярна система характеризується домінуванням однієї держави над іншими у всіх аспектах: демографічному, економічному, військовому та технологічному. Біполярність виникає, коли дві держави поділяють між собою головні владні позиції, як це було під час холодної війни між США та Радянським Союзом. Багатополярність спостерігається, коли кілька держав мають порівняно рівні можливості, що часто відбувалося після Першої та Другої світових воєн.</w:t>
      </w:r>
    </w:p>
    <w:p w:rsidR="007559C1" w:rsidRDefault="007A1411">
      <w:r>
        <w:t xml:space="preserve">Концепція «національного інтересу» відіграє центральну роль, оскільки держави прагнуть забезпечити свою безпеку шляхом розширення власних можливостей у порівнянні з конкурентами. Основними цілями є зміцнення територіальної цілісності, економічного добробуту та військової потужності. </w:t>
      </w:r>
      <w:r>
        <w:lastRenderedPageBreak/>
        <w:t>Водночас, потенціал кожної держави визначає її здатність досягати цих цілей, обмежуючи або сприяючи реалізації національних інтересів, які досить часто входять в конфлікт з національними інтересами інших держав. Розмір та амбіції національних інтересів кожної країни пропорційні її владним можливостям. Таким чином, згідно з неореалістичною теорією, розуміння національних інтересів держави найефективніше здійснюється через аналіз її відносних спроможностей (Столяренко, 2020, с. 134).</w:t>
      </w:r>
    </w:p>
    <w:p w:rsidR="007559C1" w:rsidRDefault="007A1411">
      <w:r>
        <w:t xml:space="preserve">В цілому основна ідея про війну, яку висуває структурний реалізм, полягає в тому, що біполярність краща, ніж багатополярність. Система з двома провідними державами, на відміну від трьох і більше, буде менш схильна до розпаду в дуже деструктивному конфлікту. За умов біполярності можна очікувати, що дві провідні держави будуть відповідати та контролювати зусилля одна одної. Таким чином війна стає менш імовірною, ніж у відносно більш хаотичному світі багатополярності. </w:t>
      </w:r>
    </w:p>
    <w:p w:rsidR="007559C1" w:rsidRDefault="007A1411">
      <w:pPr>
        <w:rPr>
          <w:highlight w:val="white"/>
        </w:rPr>
      </w:pPr>
      <w:r>
        <w:t>Однак К. Уотц в своїх дослідженнях звертає увагу на не стільки на багатополярність, скільки спростовує тезу, що якщо країни є демократичними, то шанси на війну між ними скорочуються (Waltz, 2000, р. 25). Науковець стверджує, що в</w:t>
      </w:r>
      <w:r>
        <w:rPr>
          <w:highlight w:val="white"/>
        </w:rPr>
        <w:t>ідсутність зовнішнього авторитету не дозволяє державі бути впевненою, що сьогоднішній друг не стане завтрашнім ворогом</w:t>
      </w:r>
      <w:r>
        <w:t xml:space="preserve">. При цьому ще більше загроз виникає, коли демократична країна розташована поруч з недемократичною. Окрім того, демократичні країни дуже сильно залежать від виборів, а значить від того, чи є війна чи мир популярним в країні саме серед виборців. У підсумку </w:t>
      </w:r>
      <w:r>
        <w:rPr>
          <w:highlight w:val="white"/>
        </w:rPr>
        <w:t xml:space="preserve">демократичні уряди можуть реагувати на внутрішньополітичні імперативи, коли їм слід було б реагувати на зовнішні. </w:t>
      </w:r>
    </w:p>
    <w:p w:rsidR="007559C1" w:rsidRDefault="007A1411">
      <w:r>
        <w:t>Дійсно, демократичні принципи не можна вважати універсальним рішенням для запобігання усім війнам та конфліктам. П. Аснер, математик Льюіс Річардсон та Джеймс Лі Рей, який вказує на простоту і зрозумілість теорії демократичного миру як причину її популярності, ставляться до цих ідей з обережністю (</w:t>
      </w:r>
      <w:r>
        <w:rPr>
          <w:highlight w:val="white"/>
        </w:rPr>
        <w:t>Hassner, 1968)</w:t>
      </w:r>
      <w:r>
        <w:t>. Б. Рассет, Х. Старр (</w:t>
      </w:r>
      <w:r>
        <w:rPr>
          <w:highlight w:val="white"/>
        </w:rPr>
        <w:t>Rassett, Starr, 1981, p. 71</w:t>
      </w:r>
      <w:r>
        <w:t xml:space="preserve">) та відомий дослідник війн Ф. Куінсі Райт критично оцінюють засади демократичного миру. Зокрема, Ф. Куінсі Райт вказує на те, що мир може </w:t>
      </w:r>
      <w:r>
        <w:lastRenderedPageBreak/>
        <w:t>сприяти розвитку демократії, а не навпаки (Chan,  1997, р. 68).</w:t>
      </w:r>
    </w:p>
    <w:p w:rsidR="007559C1" w:rsidRDefault="007A1411">
      <w:r>
        <w:t>Об'єктивність цієї точки зору підтверджується практикою. Перехід до демократії часто супроводжується дестабілізацією політичних і соціальних систем у багатьох країнах. Зовнішнє втручання з метою прискорення поширення загальнолюдських цінностей не завжди призводить до позитивних результатів. У країнах пострадянського простору таке втручання призвело до нових конфліктів і війн (росія, Грузія, Молдова, Чечня, Придністров'я, Нагірний Карабах, Україна). Таким чином, американська політика розповсюдження демократії може сприяти поширенню збройних конфліктів, а не миру. Замість того, щоб намагатися розповсюдити демократію глобально, США слід розробити умови і сценарії, які б дозволили реально здійснити перехід до демократії, а також забезпечити відповідні умови для цього.</w:t>
      </w:r>
    </w:p>
    <w:p w:rsidR="007559C1" w:rsidRDefault="007A1411">
      <w:r>
        <w:rPr>
          <w:highlight w:val="white"/>
        </w:rPr>
        <w:t>Структурний реалізм задається питанням: якщо світ зараз безпечний для демократії, можна задатися питанням, чи безпечна демократія для світу? Коли демократія на підйомі, дух інтервенціонізму розквітає. Ефект посилюється, коли одна демократична держава стає домінуючою, як зараз Сполучені Штати. Мир є найблагороднішою причиною війни. Якщо умови миру відсутні, то країна, здатна створити їх, може бути спокушена це зробити, чи то силою, чи ні. Цікавим видається висновок К. Уотца: «мир підтримується делікатним балансом внутрішніх та зовнішніх обмежень. Держави, що мають надлишок сили, спокушаються використати її, а слабші держави бояться їхніх дій» (</w:t>
      </w:r>
      <w:r>
        <w:t>Waltz, 2000,</w:t>
      </w:r>
      <w:r>
        <w:rPr>
          <w:highlight w:val="white"/>
        </w:rPr>
        <w:t xml:space="preserve"> с. 14).  </w:t>
      </w:r>
    </w:p>
    <w:p w:rsidR="007559C1" w:rsidRDefault="007A1411">
      <w:r>
        <w:t xml:space="preserve">Варто відзначити, що поява колективних міжнародних утворень, які призначені для військового захисту своїх інтересів (наприклад, НАТО) внесла суттєві корективи в міжнародні теоретичні концепцій. Так, за концепцією Річарда Коена, кооперативна безпека повинна інтегрувати аспекти колективної безпеки та оборони, а також розробляти нові стратегії для вирішення сучасних конфліктів. Колективна безпека зосереджена на захисті держав-членів від внутрішньої агресії одна одної, тоді як колективна оборона має на меті захист членів від зовнішніх агресивних дій. В свою чергу, кооперативна безпека, включаючи елементи обох цих підходів, додатково </w:t>
      </w:r>
      <w:r>
        <w:lastRenderedPageBreak/>
        <w:t xml:space="preserve">прагне активно сприяти стабільності в районах, які межують з зоною кооперативної безпеки. Автор стверджує, що найефективнішою моделлю кооперативної безпеки в світі є НАТО, яка забезпечує безпеку обмеженому колу держав. Він зазначає, що ці держави готові використовувати силу для захисту своїх спільних інтересів навіть проти країн, які не є членами системи. Права людини в цій системі згадуються обмежено, зокрема в контексті операції НАТО в Косово (Keohane, 1997, р. 127). </w:t>
      </w:r>
    </w:p>
    <w:p w:rsidR="007559C1" w:rsidRDefault="007A1411">
      <w:r>
        <w:t>Таким чином, підхід Р. Коена хоча й базується на ідеалізмі та лібералізмі, але має близькість до реалізму, проте він не включає деякі ключові аспекти реалізму, такі як поміркованість і обережність, необхідність враховувати наслідки політичних рішень і врахування законних інтересів інших учасників.</w:t>
      </w:r>
    </w:p>
    <w:p w:rsidR="007559C1" w:rsidRDefault="007A1411">
      <w:r>
        <w:t>Також варто звернути увагу на концепції людської безпеки, яка тісно пов'язана з «кантіанською» підходом до кооперативної безпеки, привертає увагу своєю унікальністю. За словами канадського міністра закордонних справ Ллойда Ексворсі, безпека індивіда зазнає викликів через зростання внутрішніх конфліктів, включаючи нові громадянські конфлікти, порушення прав людини, злочинність, поширення наркотиків, тероризм, хвороби та погіршення стану довкілля. Це вимагає нових стратегій у сфері безпеки (</w:t>
      </w:r>
      <w:r>
        <w:rPr>
          <w:highlight w:val="white"/>
        </w:rPr>
        <w:t>Jockel, J., Sokolsky, J., 2000, р. 9)</w:t>
      </w:r>
      <w:r>
        <w:t>.</w:t>
      </w:r>
    </w:p>
    <w:p w:rsidR="007559C1" w:rsidRDefault="007A1411">
      <w:pPr>
        <w:rPr>
          <w:highlight w:val="white"/>
        </w:rPr>
      </w:pPr>
      <w:r>
        <w:t xml:space="preserve">Поява колективних утворень поставила новий виклик перед теорією структурного реалізму, якій часто дорікають, що </w:t>
      </w:r>
      <w:r>
        <w:rPr>
          <w:highlight w:val="white"/>
        </w:rPr>
        <w:t>вона занижує значення інституцій. К. Уотц особливу увагу звертає в цьому контексті саме на НАТО, яке ілюструє підпорядкування міжнародних інституцій національним цілям (</w:t>
      </w:r>
      <w:r>
        <w:t>Waltz, 2000, р. 19)</w:t>
      </w:r>
      <w:r>
        <w:rPr>
          <w:highlight w:val="white"/>
        </w:rPr>
        <w:t>.</w:t>
      </w:r>
    </w:p>
    <w:p w:rsidR="007559C1" w:rsidRDefault="007A1411">
      <w:pPr>
        <w:rPr>
          <w:highlight w:val="white"/>
        </w:rPr>
      </w:pPr>
      <w:r>
        <w:rPr>
          <w:highlight w:val="white"/>
        </w:rPr>
        <w:t>У старому багатополярному світі ядро альянсу складалося з невеликої кількості держав зі порівнянною спроможністю. Їхні внески у безпеку один одного були дуже важливими, тому що вони були подібними за розміром. Оскільки основні союзники були тісно взаємозалежними військово, відхід одного з них зробив би своїх партнерів вразливими перед конкуруючим альянсом.</w:t>
      </w:r>
    </w:p>
    <w:p w:rsidR="007559C1" w:rsidRDefault="007A1411">
      <w:pPr>
        <w:rPr>
          <w:highlight w:val="white"/>
        </w:rPr>
      </w:pPr>
      <w:r>
        <w:rPr>
          <w:highlight w:val="white"/>
        </w:rPr>
        <w:lastRenderedPageBreak/>
        <w:t>Одна країна, Сполучені Штати або Радянський Союз, забезпечувала більшу частину безпеки для свого блоку. Вихід Франції з командної структури НАТО та Китаю з радянського блоку навіть не змістили центральний баланс. На початку холодної війни американці з тривогою говорили про загрозу монолітного комунізму, що виникає з поєднаної сили Радянського Союзу та Китаю, проте розпад блоку ледве спричинив хвилювання. Американські чиновники не проголошували, що з відходом Китаю оборонний бюджет Америки можна безпечно зменшити на 20 або 10 відсотків або взагалі зменшити. Подібно, коли Франція припинила грати свою роль у військових планах НАТО, американські чиновники не проголошували, що через це потрібно збільшити витрати на оборону. НАТО та Варшавський договір були договорами гарантій, а не старомодними військовими альянсами.</w:t>
      </w:r>
    </w:p>
    <w:p w:rsidR="007559C1" w:rsidRDefault="007A1411">
      <w:pPr>
        <w:rPr>
          <w:highlight w:val="white"/>
        </w:rPr>
      </w:pPr>
      <w:r>
        <w:rPr>
          <w:highlight w:val="white"/>
        </w:rPr>
        <w:t>Закінчення холодної війни швидко змінило поведінку союзних країн. На початку липня 1990 року НАТО оголосило, що альянс «розробить нові плани сил, відповідно до революційних змін в Європі». До кінця липня, не чекаючи на будь-які такі плани, основні європейські члени НАТО односторонньо оголосили про значне скорочення своїх військових контингентів. Навіть видимість продовження діяльності як альянсу у встановленні військової політики зникла.</w:t>
      </w:r>
    </w:p>
    <w:p w:rsidR="007559C1" w:rsidRDefault="007A1411">
      <w:pPr>
        <w:rPr>
          <w:highlight w:val="white"/>
        </w:rPr>
      </w:pPr>
      <w:r>
        <w:rPr>
          <w:highlight w:val="white"/>
        </w:rPr>
        <w:t xml:space="preserve">Водночас НАТО – це договір, укладений державами. Реалісти, помічаючи, що як альянс НАТО втратив свою основну функцію, бачать його головним чином як засіб підтримання та подовження контролю Америки над зовнішньою та військовою політикою європейських держав. Виживання та розширення НАТО багато говорять про американську силу та вплив і мало про інституції як багатосторонні сутності. Здатність Сполучених Штатів продовжити життя морально застарілої інституції чудово ілюструє, як міжнародні інституції створюються та підтримуються сильнішими державами для служіння їхнім сприйнятим або неправильно сприйнятим інтересам. Слабшим державам важко створити інституції для служіння своїм власним цілям своїми власними способами, особливо у сфері безпеки. Відповідно структурний реалізм виявляє те, що «теорія» ліберального інституціоналізму </w:t>
      </w:r>
      <w:r>
        <w:rPr>
          <w:highlight w:val="white"/>
        </w:rPr>
        <w:lastRenderedPageBreak/>
        <w:t>затемнює: а саме, що міжнародні інституції переважно служать національним, а не міжнародним інтересам.</w:t>
      </w:r>
    </w:p>
    <w:p w:rsidR="007559C1" w:rsidRDefault="007A1411">
      <w:pPr>
        <w:rPr>
          <w:highlight w:val="white"/>
        </w:rPr>
      </w:pPr>
      <w:r>
        <w:rPr>
          <w:highlight w:val="white"/>
        </w:rPr>
        <w:t>Розширення НАТО розширює його військові інтереси, збільшує його відповідальність та підвищує його навантаження. Не лише нові члени потребують захисту НАТО, вони також посилюють його стурбованість дестабілізуючими подіями поблизу їхніх кордонів. Таким чином, балканські вибухи, конфлікт в Молдавії, війна в Україні стають проблемою НАТО, а не лише європейською проблемою. Відсутність європейської ініціативи змушує американців вважати, що вони повинні очолити шлях, оскільки на кону стоїть авторитет НАТО.</w:t>
      </w:r>
    </w:p>
    <w:p w:rsidR="007559C1" w:rsidRDefault="007A1411">
      <w:pPr>
        <w:rPr>
          <w:highlight w:val="white"/>
        </w:rPr>
      </w:pPr>
      <w:r>
        <w:rPr>
          <w:highlight w:val="white"/>
        </w:rPr>
        <w:t xml:space="preserve">Використання прикладу НАТО для роздумів про актуальність реалізму після холодної війни призводить до деяких важливих висновків. Переможець холодної війни та єдина залишена велика держава поводилася так, як зазвичай поводяться нестримані сили. У відсутності противаг внутрішні імпульси держави переважають, чи то підживлені ліберальними, чи іншими прагненнями. Помилка реалістичних прогнозів, що кінець холодної війни означатиме кінець НАТО, виникла не з нездатності реалістичної теорії розуміти міжнародну політику, а з недооцінки американської помилковості. Виживання та розширення НАТО ілюструє не дефекти, а обмеження структурних пояснень. Структури формують і штовхають; вони не визначають дії держав. Держава, яка сильніша за будь-яку іншу, може сама вирішити, чи підкорятися своїм політикам структурному тиску та чи скористатися можливостями, які пропонує структурна зміна, з малою побоюванням негативних наслідків у короткостроковій перспективі. </w:t>
      </w:r>
    </w:p>
    <w:p w:rsidR="007559C1" w:rsidRDefault="007A1411">
      <w:r>
        <w:rPr>
          <w:highlight w:val="white"/>
        </w:rPr>
        <w:t>Отже, сильні держави використовують інституції, як вони тлумачать закони, способами, які їм підходять. При цьому б</w:t>
      </w:r>
      <w:r>
        <w:t>алансування між державами не є неминучим. При цьому лідерство гегемонської держави перешкоджає виникненню балансу сил у Європі, і краще, щоб гегемонічна влада була на відстані, ніж по сусідству.</w:t>
      </w:r>
    </w:p>
    <w:p w:rsidR="007559C1" w:rsidRDefault="007A1411">
      <w:r>
        <w:t xml:space="preserve">Відповідно одним з постулатів структурного реалізму є те, що міжнародні інституції створюються сильнішими державами, і інституції </w:t>
      </w:r>
      <w:r>
        <w:lastRenderedPageBreak/>
        <w:t>виживають у своїй первісній формі до тих пір, поки вони служать головним інтересам своїх творців або вважаються такими. При цьому або міжнародні конвенції, договори та інституції залишаються близькими до базового розподілу національних можливостей, або вони визнають невдачу.</w:t>
      </w:r>
    </w:p>
    <w:p w:rsidR="007559C1" w:rsidRDefault="007A1411">
      <w:r>
        <w:t>Дійсно, стратегія НАТО змінювалася  та базувалася на різних наукових підходах від ідеалізму до політичного реалізму в залежності від того як НАТО реагувало на агресивну політику РФ в Чорноморському регіоні.</w:t>
      </w:r>
    </w:p>
    <w:p w:rsidR="007559C1" w:rsidRDefault="007559C1"/>
    <w:p w:rsidR="007559C1" w:rsidRDefault="007A1411">
      <w:pPr>
        <w:rPr>
          <w:b/>
        </w:rPr>
      </w:pPr>
      <w:r>
        <w:rPr>
          <w:b/>
        </w:rPr>
        <w:t>1.2. Характеристика наукової розробки проблеми в працях політологів</w:t>
      </w:r>
    </w:p>
    <w:p w:rsidR="007559C1" w:rsidRDefault="007559C1">
      <w:pPr>
        <w:rPr>
          <w:b/>
        </w:rPr>
      </w:pPr>
    </w:p>
    <w:p w:rsidR="007559C1" w:rsidRDefault="007A1411">
      <w:r>
        <w:t xml:space="preserve">Проблема воєнної агресії та відповіді на неї піднімалася в працях багатьох сучасних політологів. В цілому усі ці дослідження можна об’єднати в декілька груп: </w:t>
      </w:r>
    </w:p>
    <w:p w:rsidR="007559C1" w:rsidRDefault="007A1411">
      <w:r>
        <w:rPr>
          <w:i/>
        </w:rPr>
        <w:t>1. Стратегічні та політичні аналізи Чорноморського регіону.</w:t>
      </w:r>
      <w:r>
        <w:t xml:space="preserve"> Вчені   П. Анастасов, О. Антоненко, М. Айдін, С. Дж. Фланаган та інші автори зосереджуються на стратегічних та політичних аспектах Чорноморського регіону. Ці дослідження важливі для розуміння геополітичного значення Чорного моря, яке стало ареною для подальшого збільшення військової активності та політичних протистоянь, особливо після подій, пов'язаних з росією та Грузією, а також анексією Криму росією. В цих статтях аналізуються, як різні геополітичні інтереси великих держав, таких як росія, США, країни Європейського Союзу та Туреччина, які впливають на безпеку та стабільність в регіоні з позицій структурованого реалізму. Вони також розглядають різні стратегічні підходи та безпекові ініціативи, які ці держави впроваджують у відповідь на змінювані умови безпеки та політичні виклики в регіоні. Висвітлюють важливість Чорноморського регіону як ключового транспортного та енергетичного коридору, що з'єднує Європу з Азією та Близьким Сходом. Вони обговорюють, як контроль над цим регіоном може впливати на енергетичну безпеку та економічні інтереси різних країн. Особлива увага приділяється ролі Туреччини, яка має стратегічне географічне </w:t>
      </w:r>
      <w:r>
        <w:lastRenderedPageBreak/>
        <w:t>положення та відіграє ключову роль у забезпеченні безпеки в регіоні. Аналізуються також регіональні конфлікти та їх вплив на міжнародні відносини, а також можливості та виклики для регіональної співпраці та інтеграції.</w:t>
      </w:r>
    </w:p>
    <w:p w:rsidR="007559C1" w:rsidRDefault="007A1411">
      <w:r>
        <w:t>Перевагою цих матеріалів є глибокий аналіз стратегічних та політичних аспектів Чорноморського регіону, що включає різні перспективи та оцінки впливу великих держав на регіональну безпеку. Вони надають цінну інформацію про геополітичні інтереси, безпекові стратегії та енергетичну політику, а також розглядають роль ключових регіональних гравців Чорноморського регіону. Однак, недоліком є те, що деякі матеріали мають обмежений фокус або є занадто спеціалізованими, що ускладнює їх розуміння для ширшої аудиторії. Також аналіз часто забарвлений авторськими упередженнями або політичними поглядами, що може вплинути на об'єктивність та повноту викладу.</w:t>
      </w:r>
    </w:p>
    <w:p w:rsidR="007559C1" w:rsidRDefault="007A1411">
      <w:r>
        <w:rPr>
          <w:i/>
        </w:rPr>
        <w:t>2. Аналіз відносин НАТО та росії у контексті Чорноморського регіону.</w:t>
      </w:r>
      <w:r>
        <w:t xml:space="preserve"> Ця група аналітичних матеріалів зосереджується на аналізі взаємодії між НАТО та росією у контексті безпеки Чорноморського регіону і базується на концепції Ричарда Коена. Ці дослідження важливі для розуміння динаміки регіональної безпеки, особливо в світлі зростаючих напружень між Заходом та росією. Статті аналізують, як військова присутність, політичні стратегії та дипломатичні ініціативи обох сторін впливають на стабільність та безпеку в регіоні. Вони розглядають різні аспекти цієї взаємодії, включаючи військове нарощування, політичні маневри, а також вплив міжнародних санкцій та дипломатичних зусиль на регіональну динаміку. Особлива увага приділяється ролі Чорного моря як стратегічного регіону, що впливає на ширші геополітичні відносини між НАТО, ЄС, росією та іншими регіональними державами, висвітленню різних сценаріїв та можливостей для розвитку подій у регіоні, враховуючи історичний контекст та сучасні геополітичні реалії. Вони обговорюють потенційні ризики та виклики, які стоять перед країнами регіону та міжнародним співтовариством, включаючи загрози морській безпеці, кібербезпеці та пропаганді. Аналізуючи ці аспекти, матеріали </w:t>
      </w:r>
      <w:r>
        <w:lastRenderedPageBreak/>
        <w:t xml:space="preserve">політологів та аналітиків надають глибоке розуміння складної взаємодії між регіональними та глобальними безпековими інтересами, а також висвітлюють можливі шляхи для деескалації конфліктів та побудови стабільності в Чорноморському регіоні в контексті участі в них НАТО та росії. </w:t>
      </w:r>
    </w:p>
    <w:p w:rsidR="007559C1" w:rsidRDefault="007A1411">
      <w:r>
        <w:t>Недоліком матеріалів М. Воротнюк, Р. Грамера, Р, Коулсона може бути їх потенційна упередженість або однобічний погляд, залежно від політичних позицій авторів або джерел фінансування. Також існує ризик, що швидкі зміни у міжнародній політиці можуть швидко зробити деякі висновки застарілими.</w:t>
      </w:r>
    </w:p>
    <w:p w:rsidR="007559C1" w:rsidRDefault="007A1411">
      <w:r>
        <w:rPr>
          <w:i/>
        </w:rPr>
        <w:t>3. Українська перспектива та взаємодія з НАТО в контексті безпекової ситуації в Чорноморському регіоні.</w:t>
      </w:r>
      <w:r>
        <w:t xml:space="preserve"> Ця група матеріалів зосереджена на ролі України у контексті Чорноморської безпеки та її взаємодії з НАТО. Ці дослідження важливі для розуміння стратегічного положення України в регіоні, особливо в світлі її конфлікту з росією та прагнення до інтеграції з євроатлантичними структурами та НАТО. Матеріали аналізують, як Україна реагує на безпекові виклики в Чорноморському регіоні, включаючи військову агресію росії, а також її зусилля щодо зміцнення обороноздатності та співпраці з НАТО. Вони також розглядають внутрішньополітичні аспекти, такі як реформи в оборонній сфері та зовнішньополітичні ініціативи України, спрямовані на забезпечення своєї безпеки та стабільності. В роботах С. В. Глебова, та інших авторів обговорюються також міжнародні ініціативи та підтримка, які Україна отримує від західних партнерів, та їх вплив на зміцнення безпеки в Чорноморському регіоні. Ці статті надають важливий внесок у розуміння балансу сил у регіоні та динаміки міжнародних відносин, особливо в контексті російсько-українського конфлікту.</w:t>
      </w:r>
    </w:p>
    <w:p w:rsidR="007559C1" w:rsidRDefault="007559C1"/>
    <w:p w:rsidR="007559C1" w:rsidRDefault="007A1411">
      <w:pPr>
        <w:rPr>
          <w:b/>
        </w:rPr>
      </w:pPr>
      <w:r>
        <w:rPr>
          <w:b/>
        </w:rPr>
        <w:t xml:space="preserve">1.3. Категоріальний апарат дослідження </w:t>
      </w:r>
    </w:p>
    <w:p w:rsidR="007559C1" w:rsidRDefault="007559C1">
      <w:pPr>
        <w:rPr>
          <w:b/>
        </w:rPr>
      </w:pPr>
    </w:p>
    <w:p w:rsidR="007559C1" w:rsidRDefault="007A1411">
      <w:r>
        <w:t xml:space="preserve">В першу чергу варто звернути увагу на терміні «Стратегія», який напряму стосується мети дослідження.  Стратегія – це комплексний план або набір керівних принципів, розроблений для досягнення певних довгострокових цілей або задач. Вона охоплює визначення цілей, аналіз </w:t>
      </w:r>
      <w:r>
        <w:lastRenderedPageBreak/>
        <w:t>внутрішніх та зовнішніх умов, вибір оптимальних методів та ресурсів для досягнення цих цілей, а також розробку планів дій та механізмів контролю за їх виконанням. Стратегія використовується в різних сферах, включаючи військові операції, бізнес, політику, спорт та особисте планування, і є ключовим елементом для успішного управління та досягнення поставлених цілей.</w:t>
      </w:r>
    </w:p>
    <w:p w:rsidR="007559C1" w:rsidRDefault="007A1411">
      <w:r>
        <w:t>Існує кілька різновидів стратегій, залежно від сфери їх застосування. У військовій сфері стратегія включає планування та проведення військових операцій на національному або міжнародному рівні. У бізнесі стратегія стосується розробки планів для досягнення конкурентних переваг та успішного розвитку компанії. Існують також корпоративні, маркетингові, фінансові та операційні стратегії, кожна з яких зосереджена на певних аспектах управління та розвитку організації. У політиці стратегія може включати планування кампаній, формування політичних альянсів та розробку політик для досягнення соціальних, економічних або міжнародних цілей.</w:t>
      </w:r>
    </w:p>
    <w:p w:rsidR="007559C1" w:rsidRDefault="007A1411">
      <w:r>
        <w:t>Воєнна стратегія є ключовою складовою воєнного мистецтва, яка охоплює вивчення характеру сучасних воєнних конфліктів, методи їх попередження, а також підготовку держави та збройних сил до відбиття потенційної агресії. Вона включає в себе розробку форм і способів ведення війни на стратегічному рівні. Зміст воєнної стратегії залежить від вимог воєнної доктрини, стану воєнно-політичної та воєнно-стратегічної обстановки, політичних цілей, економічних та оборонних можливостей держави, а також рівня розвитку озброєнь і конкретних завдань збройних сил.</w:t>
      </w:r>
    </w:p>
    <w:p w:rsidR="007559C1" w:rsidRDefault="007A1411">
      <w:r>
        <w:t>Основні принципи воєнної стратегії включають підтримання постійної готовності військ до виконання завдань, рішучість і активність дій, прагнення до захоплення та утримання стратегічної ініціативи, комплексне застосування військ, сил і засобів, зосередження зусиль на найважливіших напрямках для вирішення головних завдань, а також своєчасне відновлення боєздатності військ і всебічне забезпечення воєнних дій. Воєнна стратегія тісно пов'язана з політикою, оскільки політичні цілі визначають підготовку до війни, форми і способи її ведення (</w:t>
      </w:r>
      <w:r>
        <w:rPr>
          <w:highlight w:val="white"/>
        </w:rPr>
        <w:t>Бут, 2006)</w:t>
      </w:r>
      <w:r>
        <w:t>.</w:t>
      </w:r>
    </w:p>
    <w:p w:rsidR="007559C1" w:rsidRDefault="007A1411">
      <w:r>
        <w:lastRenderedPageBreak/>
        <w:t>Воєнна стратегія може стосуватися окремої країни  чи певної групи країн, які утворюють певний блок. Так, наприклад, така стратегія може стосуватися краї НАТО. Оскільки НАТО – це безпековий блок, то стратегії НАТО будуть стосуватися саме питань безпеки, у тому числі й воєнної безпеки. А тому стратегії НАТО мають і воєнну складову.  Варто відзначити і те, що оскільки мова в дослідженні йде про Чорноморську стратегію, то слід відзначити і особливості так званих морських стратегій. Морська стратегія, визначена в документі НАТО (Alliance Maritime Strategy, 2011), охоплює використання морської сили для вирішення критичних викликів, з якими стикається Альянс. Ця стратегія включає в себе різні ролі, які морські сили НАТО можуть виконувати у морському середовищі для сприяння обороні та безпеці Альянсу та просуванню його цінностей.</w:t>
      </w:r>
    </w:p>
    <w:p w:rsidR="007559C1" w:rsidRDefault="007A1411">
      <w:r>
        <w:t>В останні роки термін «стратегія» пов’язують з великою кількістю інших термінів. Так, в українській доктрині «Зі стратегічних комунікацій» (2020) винесено термін «стратегічний наратив», під яким розуміється  фундаментальна концепція, яка відображає ключові засади функціонування та напрямки розвитку. Термін визначає основні принципи та орієнтири для внутрішніх та міжнародних відносин. На базі цього наративу складається стратегія реалізації державної чи відомчої політики, враховуючи встановлені цілі та завдання. Ця концепція є важливою для формування ефективної політичної стратегії, яка відповідає довгостроковим інтересам та цілям.</w:t>
      </w:r>
    </w:p>
    <w:p w:rsidR="007559C1" w:rsidRDefault="007A1411">
      <w:r>
        <w:t xml:space="preserve">Стратегії обов’язково містять різноманітні виклики та загрози та їх оцінку. Саме для відповіді на ці виклики та загрози і розробляються стратегії, які формулюють способи реагування акторів на ці загрози. </w:t>
      </w:r>
    </w:p>
    <w:p w:rsidR="007559C1" w:rsidRDefault="007A1411">
      <w:r>
        <w:t xml:space="preserve">Так, згідно зі Стратегією національної безпеки України (2020), основними загрозами для національної безпеки є зміни клімату та зростання техногенного навантаження на довкілля, що призводить до збільшення надзвичайних ситуацій природного та техногенного характеру. Виснаження екосфери, зростання споживання невідновлюваних ресурсів, руйнування екосистем і біоценозів, а також збільшення негативного впливу біологічних факторів на населення є серйозними викликами. Також існує висока загроза </w:t>
      </w:r>
      <w:r>
        <w:lastRenderedPageBreak/>
        <w:t xml:space="preserve">виникнення та поширення інфекційних хвороб. Стрімкі технологічні зміни, зокрема в енергетиці, біотехнологіях, штучному інтелекті, сприяють глобалізації міжнародного тероризму та злочинності, а також розповсюдженню зброї масового ураження. Пандемія COVID-19 виявила критичні проблеми в інформаційній сфері, системах охорони здоров’я, соціального захисту, спричинила зростання безробіття та підвищила протестні настрої у суспільствах. </w:t>
      </w:r>
    </w:p>
    <w:p w:rsidR="007559C1" w:rsidRDefault="007A1411">
      <w:r>
        <w:t xml:space="preserve">Важливу роль серед стратегічних загроз відіграє загроза агресії. Військова агресія в міжнародному праві визначається як застосування збройної сили державою або групою держав проти суверенітету, територіальної цілісності чи політичної незалежності іншої держави або народу, що є несумісним із Статутом ООН. Це поняття з'явилося у міжнародному праві в період між світовими війнами і було відображене у документах Ліги Націй, зокрема в проєкті Договору про взаємну допомогу 1923 року і Декларації про агресивні війни 1927 року. Агресивна війна тоді кваліфікувалася як міжнародний злочин. Статут Ліги Націй зобов'язував її членів не вдаватися до війни, доки не використано всіх мирних засобів розв'язання спору. Після Другої світової війни принцип Паризького пакту про заборону агресивної війни ліг в основу Статуту Міжнародного воєнного трибуналу (Нюрнберзького та Токійського трибуналів) та їхніх вироків. У Статуті ООН передбачено зобов'язання держав утримуватися від загрози силою чи її застосування проти територіальної недоторканності або політичної незалежності будь-якої держави (Трішина, 2018, </w:t>
      </w:r>
      <w:hyperlink r:id="rId8">
        <w:r>
          <w:t xml:space="preserve">Денисов, </w:t>
        </w:r>
      </w:hyperlink>
      <w:r>
        <w:t>2024).</w:t>
      </w:r>
    </w:p>
    <w:p w:rsidR="007559C1" w:rsidRDefault="007A1411">
      <w:r>
        <w:t xml:space="preserve">На кінець варто звернути увагу на поняття «система колективної безпеки», який охоплює складну мережу міждержавних взаємин та інституцій, а також різноманітні політичні, дипломатичні, економічні, військові та соціальні ініціативи, які мають на меті забезпечення спільної безпеки країн та їхніх народів. Важливими складовими цієї системи є ключові принципи безпеки, міждержавні механізми та структури, міжнародно-правові норми та багатосторонні угоди, створені та функціонуючі з метою попередження військових конфліктів, їх обмеження та вирішення політичних, економічних </w:t>
      </w:r>
      <w:r>
        <w:lastRenderedPageBreak/>
        <w:t>та військово-стратегічних суперечностей шляхом переговорів. Також до цієї системи належать спеціальні механізми контролю за міжнародною, зокрема військовою, діяльністю та відповідні інформаційні режими (Чернега, Іваненко, 2009, с. 94).</w:t>
      </w:r>
    </w:p>
    <w:p w:rsidR="007559C1" w:rsidRDefault="007A1411">
      <w:pPr>
        <w:widowControl/>
        <w:spacing w:line="240" w:lineRule="auto"/>
        <w:ind w:firstLine="0"/>
        <w:jc w:val="left"/>
        <w:rPr>
          <w:b/>
        </w:rPr>
      </w:pPr>
      <w:r>
        <w:br w:type="page"/>
      </w:r>
    </w:p>
    <w:p w:rsidR="007559C1" w:rsidRDefault="007A1411">
      <w:pPr>
        <w:rPr>
          <w:b/>
        </w:rPr>
      </w:pPr>
      <w:r>
        <w:rPr>
          <w:b/>
        </w:rPr>
        <w:lastRenderedPageBreak/>
        <w:t xml:space="preserve">1.4. Джерельна база дослідження </w:t>
      </w:r>
    </w:p>
    <w:p w:rsidR="007559C1" w:rsidRDefault="007559C1"/>
    <w:p w:rsidR="007559C1" w:rsidRDefault="007A1411">
      <w:r>
        <w:t xml:space="preserve">Усі первинні документи можна об’єднати в дві категорії: національні документи та виступи офіційних осіб та зарубіжні документи та виступи офіційних осіб. </w:t>
      </w:r>
    </w:p>
    <w:p w:rsidR="007559C1" w:rsidRDefault="007A1411">
      <w:r>
        <w:t xml:space="preserve">В ході аналізу теоретичних аспектів дослідження використано доктрину «Зі стратегічних комунікацій» (2020), </w:t>
      </w:r>
      <w:r>
        <w:rPr>
          <w:highlight w:val="white"/>
        </w:rPr>
        <w:t xml:space="preserve">Стратегію національної безпеки України (2020), </w:t>
      </w:r>
      <w:r>
        <w:t xml:space="preserve">Alliance Maritime Strategy (2011), Strategic Concept for the Defence and Security of the Members of the North Atlantic Treaty Organization (2010), в яких розкриваються базові поняття, що використовуються в сучасних геополітичних та стратегічних аналізах та нормативному регулюванню. </w:t>
      </w:r>
    </w:p>
    <w:p w:rsidR="007559C1" w:rsidRDefault="007A1411">
      <w:pPr>
        <w:tabs>
          <w:tab w:val="left" w:pos="7245"/>
        </w:tabs>
      </w:pPr>
      <w:r>
        <w:t xml:space="preserve">Важливими джерелами є декларації самітів НАТО, з яких можна дізнатися про стратегічні пріоритети, політичні рішення та оборонні зобов'язання країн-членів альянсу в контексті міжнародної безпеки та оборони The London Declaration on a transformed North Atlantic Alliance (1990), The Alliance's New Strategic Concept (1991), Madrid NATO Summit (1997), </w:t>
      </w:r>
      <w:r>
        <w:rPr>
          <w:highlight w:val="white"/>
        </w:rPr>
        <w:t xml:space="preserve">Хартії про особливе партнерство між Україною й НАТО (1997), </w:t>
      </w:r>
      <w:r>
        <w:t xml:space="preserve">Bucharest summit (2008), Wales Summit Declaration (2014), Warsaw Summit Communiqué (2016), (Brussels Summit Declaration (2018), London Declaration (2019), Комюніке Брюссельського саміту, NATO (2021), Комюніке Вільнюського саміту, NATO (2023), Декларація Вашингтонського саміту (2024). Окрім цього використано Стратегію НАТО (NATO Strategic Concept, 2022), національні акти США (Black Sea Security Act, 2023), де прослідковуються зміни підходів альянсу та США до Чорноморського регіону, а також </w:t>
      </w:r>
      <w:r>
        <w:rPr>
          <w:highlight w:val="white"/>
        </w:rPr>
        <w:t xml:space="preserve">Хартію про особливе партнерство між Україною й НАТО (1997), </w:t>
      </w:r>
      <w:r>
        <w:t xml:space="preserve">Ukraine Compact (2024), який було укладено в ході Вашингтонського саміту в 2024 р. </w:t>
      </w:r>
    </w:p>
    <w:p w:rsidR="007559C1" w:rsidRDefault="007A1411">
      <w:pPr>
        <w:tabs>
          <w:tab w:val="left" w:pos="7245"/>
        </w:tabs>
      </w:pPr>
      <w:r>
        <w:t>Також було використано окремі документи росії як головної загрози Чорноморському регіону (Стратегія національної безпеки російської Федерації до 2020 року, 2009).</w:t>
      </w:r>
    </w:p>
    <w:p w:rsidR="007559C1" w:rsidRDefault="007A1411">
      <w:r>
        <w:t xml:space="preserve">Вторинні джерела дозволили не тільки більш детально розкрити теоретичні засади дослідження, а й з’ясувати позиції різних акторів та </w:t>
      </w:r>
      <w:r>
        <w:lastRenderedPageBreak/>
        <w:t>науковців і політологів, експертів та аналітиків щодо Чорноморської стратегії НАТО в умовах російської агресії, її проблем та особливостей реалізації. В першу чергу тут слід звернути увагу на джерела, які з теоретичної позиції обґрунтовують необхідність колективної безпеки. До цієї групи джерел відносяться твори класиків міжнародної теорії, зокрема К. Уотца (1979, 1988), Г. Моргенштейна (1956), М. Дойля (2011), О. Річмонда (2008) як представників різних теорій, що намагаються обґрунтувати міжнародний устрій, необхідність співробітництва держав. Сюди також варто віднести дослідження Л. Д. Чекаленко (2017), яка аналізує існуючі теорії та концепції, що пов’язані з безпекою; І. Паніну (2011), яка аналізує ліберально-ідеалістичні традиції в дослідженні миру; Є. Макелхеттон (2019), який співставляє реалізм та ідеалізм; Д. Столяренко (2020), який аналізує реалізм та структурний реалізм. У своїй роботі «La société internationale après la guerre froide» Девід Коллард (1996) аналізує міжнародне суспільство після холодної війни, розглядаючи зміни в глобальній політиці та міжнародних відносинах. У «Independence in World Politics» Роберт Кеохейн (1997) досліджує еволюцію теоретичних підходів у міжнародній політичній економії, акцентуючи на незалежності держав у світовій політиці. У статті «Lloyd Axworthy's Legacy: Human Security and the Rescue of Canadian Defence Policy» Джозеф Джокел та Джоел Сокольський (2000) аналізують вплив Ллойда Ексворті на канадську оборонну політику, зосереджуючись на концепції людської безпеки. У «Change and Security in Europe» П'єр Хасснер (1968) розглядає зміни та безпеку в Європі, аналізуючи стратегічні та політичні аспекти європейської безпеки в контексті холодної війни. У «World politics. Menu for Choice» Брюс Рассетт та Гарві Старр (1981) досліджують ключові аспекти світової політики, пропонуючи аналіз різних стратегій та виборів, які формують міжнародні відносини. У статті «In Search of Democratic Peace: Problems and Promise» Стів Чан зосереджується на концепції демократичного миру, аналізуючи її проблеми та перспективи у контексті міжнародних відносин (1997).</w:t>
      </w:r>
    </w:p>
    <w:p w:rsidR="007559C1" w:rsidRDefault="007A1411">
      <w:r>
        <w:t xml:space="preserve">Далі відзначимо джерела, які дозволили уточнити категоріальний апарат дослідження. Зокрема це </w:t>
      </w:r>
      <w:r>
        <w:rPr>
          <w:highlight w:val="white"/>
        </w:rPr>
        <w:t xml:space="preserve">Енциклопедія Сучасної України (Бут, 2006) та </w:t>
      </w:r>
      <w:r>
        <w:lastRenderedPageBreak/>
        <w:t>Велика українська енциклопедія (</w:t>
      </w:r>
      <w:hyperlink r:id="rId9">
        <w:r>
          <w:t xml:space="preserve">Денисов, </w:t>
        </w:r>
      </w:hyperlink>
      <w:r>
        <w:t>2024); а також матеріали В. В. Денисова (2018), в яких аналізуються поняття агресії, її різновиди та міжнародно-правове регулювання; стаття, присвячена колективній системі безпеки (Чернега, Іваненко, 2009, с. 94, Трішина, 2018).</w:t>
      </w:r>
    </w:p>
    <w:p w:rsidR="007559C1" w:rsidRDefault="007A1411">
      <w:r>
        <w:t xml:space="preserve">Далі всі джерела, які були використані в процесі дослідження можна об’єднати в наступні групи.  </w:t>
      </w:r>
    </w:p>
    <w:p w:rsidR="007559C1" w:rsidRDefault="007A1411">
      <w:r>
        <w:t>Група джерел, яка стосується стратегічних та політичних аналізів Чорноморського регіону, до якої слід віднести дослідження Naval arms control and maritime security in the mediterranean (1992) про стан безпеки на початку постбіполярного періоду, П. Г.  Евонгелоса (1988) щодо стратегічного значення Егейських островів для  політики НАТО, виступу Дж. Сороса (1993) щодо майбутнього НАТО після розпаду СРСР, аналіз Г. Владової та Я. Коліна (2014) потенціалу та викликів для Чорноморського регіону, Д. Гамільтона та Дж. Мангота (2009) про Чорноморський регіон в ХХІ столітті, Б. Зажигаєва (2011) про геополітичне значення Великого Чорноморського регіону та баланс інтересі різних акторів в ньому, А. Купчана (2004) про відновлення Атлантичного партнерства. А. Інайє (2022) досліджував необхідність забезпечення безпеки та розвитку Чорного моря в регіональному розрізі. Г. Владова та Дж. Кнілінг (2014) аналізували потенціал і виклики для Чорноморського регіонального співробітництва.</w:t>
      </w:r>
    </w:p>
    <w:p w:rsidR="007559C1" w:rsidRDefault="007A1411">
      <w:r>
        <w:t xml:space="preserve">О. Антоненко (2009), який досліджував рамкову безпеку в Чорноморському регіоні після війни росії-Грузії, П. Анастасова (2018), яка аналізувала Чорноморський регіон як критичне перехрестя. В дослідженні  М. Айдіна (2016) розглядається Чорноморський регіон як стратегічно важлива зона, яка приваблює увагу великих держав. Автор аналізує, як географічне розташування регіону впливає на геополітичні інтереси та безпекові стратегії великих держав, зокрема росії та країн НАТО. Також обговорюється роль Туреччини як важливого регіонального гравця, який пропонує альтернативний підхід до безпеки в регіоні. С. Дж. Фланаган та ін. (2020) увага зосереджується на безпеці Чорноморського регіону, особливо в контексті взаємодії між росією та НАТО. Стаття аналізує різні аспекти безпекової політики, включаючи </w:t>
      </w:r>
      <w:r>
        <w:lastRenderedPageBreak/>
        <w:t>військову присутність, політичні стратегії та дипломатичні ініціативи обох сторін, а також вплив цих взаємодій на стабільність та безпеку в регіоні. В матеріалі Special report (2017)  мова йде про цивільний вимір безпеки, що сприяє стабільності в Чорноморському регіоні.</w:t>
      </w:r>
    </w:p>
    <w:p w:rsidR="007559C1" w:rsidRDefault="007A1411">
      <w:r>
        <w:t xml:space="preserve">Наступна група джерел стосується стратегічних підходів НАТО до Чорноморського регіону, а також дій, націлених на формування та реалізації цих підходів. До цієї групи джерел відноситься оцінка стратегії Держдепартаменту з безпеки в Чорноморському регіоні (Assessing the Department of State’s Strategy for security in The Black Sea region, 2023), досліження С. Хоррела (2016), матеріали </w:t>
      </w:r>
      <w:r>
        <w:rPr>
          <w:highlight w:val="white"/>
        </w:rPr>
        <w:t xml:space="preserve">Центра досліджень економіки та зовнішньої політики (EDAM), де аналізується необхідність розробки стратегії НАТО в чорноморському регіоні (Is There a Need to Develop a NATO Strategy for the Black Sea Security, 2023), аналіз та пропозиції щодо Чорноморської стратегії НАТО від </w:t>
      </w:r>
      <w:r>
        <w:t xml:space="preserve">І.-С. Джоджа (2024), матеріал Towards a New NATO Strategic Concept (2023) про пропозиції до стратегічної концепції НАТО, аналіз Х. Ульмана (2022) про те, що НАТО має використати поточну стратегічну можливість у Чорному морі. </w:t>
      </w:r>
    </w:p>
    <w:p w:rsidR="007559C1" w:rsidRDefault="007A1411">
      <w:r>
        <w:t xml:space="preserve">Сюди варто віднести дослідження А. Гевко та Р. Спірідонова (2023) щодо необхідності перетворення Чорного моря на внутрішнє море НАТО; М. Засядько (2023) щодо необхідності посилення ролі США і НАТО в Чорноморському регіоні;  праці Г. Шелеста (2021, 2022) щодо критичного аналізу Чорноморської політики НАТО. </w:t>
      </w:r>
    </w:p>
    <w:p w:rsidR="007559C1" w:rsidRDefault="007A1411">
      <w:r>
        <w:t>Також варто відзначити і аналізи стратегічних зусиль НАТО, зокрема матеріали Т. Кулика та Д. Прошина (2022) щодо стратегічної концепції НАТО в 2022 р.; наслідки Вільнюського та вашингтонського самітів НАТО (Результати Вільнюського саміту НАТО, 2023; Jager, 2024).</w:t>
      </w:r>
    </w:p>
    <w:p w:rsidR="007559C1" w:rsidRDefault="007A1411">
      <w:r>
        <w:t xml:space="preserve">Про дії НАТО на Чорноморському напрямку вели мову Б. Ходжес (2020), В. Лехович та А. Хашим (2000), Д. Вергун (2020). Про такі дії свідчать і низка різних повідомлень, таких, як NATO Foreign Ministers agree to enhance security in the Black Sea region (2019), NATO. Boosting NATO’s presence in the east and southeast (2017), Press Conference by the Supreme Allied Commander </w:t>
      </w:r>
      <w:r>
        <w:lastRenderedPageBreak/>
        <w:t xml:space="preserve">Europe, General Philip M. Breedlove (2014), United States House of representatives committee on Armed Services statement by general Curtis M. Scaparrotti (2019). </w:t>
      </w:r>
    </w:p>
    <w:p w:rsidR="007559C1" w:rsidRDefault="007A1411">
      <w:r>
        <w:t xml:space="preserve">В групу джерел, які присвячені аналізу відносин НАТО та росії у контексті Чорноморського регіону варто віднести матеріал М. Воротнюк (2020), яка аналізує протистояння між НАТО та росією в Чорноморському регіоні, розглядаючи ключові безпекові тупики та їх вплив на регіональну стабільність; Р. Грамера (2023), який  фокусується на зусиллях США та НАТО щодо стримування амбіцій Путіна в Чорному морі, аналізуючи стратегічні підходи та політичні ініціативи; Р. Коулсона (2016), який обговорює нарощування військової присутності росією в Чорному морі та його вплив на регіональну безпеку та стабільність. Наслідки дій росії для НАТО в Чорному морі обговорювали Б. Ходжес, С. Хоррелл та І. Куз (2022), Б. Хаббард та Г. Харман аналізував причини загострення суперечки НАТО та росії в Чорному морі. </w:t>
      </w:r>
    </w:p>
    <w:p w:rsidR="007559C1" w:rsidRDefault="007A1411">
      <w:r>
        <w:t>В групу джерел, які стосуються ролі України у контексті Чорноморської безпеки та її взаємодії з НАТО слід віднести Хронологію взаємовідносин України з НАТО (2024), матеріали С. Волинського (2005), С. В. Глебова (2017, a,b), в яких аналізується процес євроатлантичної інтеграції України та її взаємодію з НАТО в контексті зовнішньої політики та безпеки, розглядаються зовнішньополітичні стратегії України в Чорноморському регіоні, з акцентом на безпекові виклики та співпрацю з міжнародними партнерами; Як війна в Україні впливає на політику НАТО в Чорноморському регіоні (2023); дослідження М. Ланкастера (2023) про те, як війна росії з Україною впливає на безпеку в Чорному морі; І. Романішина (2023) про Україну, НАТО і Чорне море.</w:t>
      </w:r>
    </w:p>
    <w:p w:rsidR="007559C1" w:rsidRDefault="007A1411">
      <w:r>
        <w:t>Узгодження НАТО пакету допомоги для України аналізувалося в матеріалах NATO Agrees Strong Package for Ukraine, Boosts Deterrence and Defence (2023), NATO package to support Ukraine in Black Sea contains confidential provisions – Klimkin (2019), NATO reviews package of measures on Black Sea security (2019), NATO-Ukraine Council addresses serious security situation in the Black Sea (2023).</w:t>
      </w:r>
    </w:p>
    <w:p w:rsidR="007559C1" w:rsidRDefault="007A1411">
      <w:r>
        <w:lastRenderedPageBreak/>
        <w:t xml:space="preserve">Таким чином, на сьогодні низка теорій міжнародного права обґрунтовують необхідність протидії військовій агресії. Особливо в структурному реалізмі, який виходить з припущення, що світ має бути сприйнятий таким, як він є насправді. При цьому основними елементами міжнародної динаміки вважаються державні конфлікти та їх найбільш радикальний прояв – війна. В контексті загрози війни держави часто утворюють різноманітні військові та військово-політичні альянси для спільної оборони та протистояння, де співпраця виступає як вторинний, але важливий аспект. Саме такий підхід в повній мірі відображає події, які відбуваються в Чорноморському регіоні нині. </w:t>
      </w:r>
    </w:p>
    <w:p w:rsidR="007559C1" w:rsidRDefault="007559C1"/>
    <w:p w:rsidR="007559C1" w:rsidRDefault="007A1411">
      <w:pPr>
        <w:pStyle w:val="1"/>
      </w:pPr>
      <w:bookmarkStart w:id="2" w:name="_heading=h.1fob9te" w:colFirst="0" w:colLast="0"/>
      <w:bookmarkEnd w:id="2"/>
      <w:r>
        <w:br w:type="page"/>
      </w:r>
      <w:r>
        <w:lastRenderedPageBreak/>
        <w:t>РОЗДІЛ 2. ПОЛІТИКА НАТО ЩОДО ЧОРНОМОРСЬКОГО РЕГІОНУ В ПОСТБІПОЛЯРНИЙ ПЕРІОД</w:t>
      </w:r>
    </w:p>
    <w:p w:rsidR="007559C1" w:rsidRDefault="007559C1"/>
    <w:p w:rsidR="007559C1" w:rsidRDefault="007A1411">
      <w:r>
        <w:t>Варто відзначити, що впродовж Холодної війни, Чорне море не ставало ареною масштабних військових протистоянь або конфліктів. Це море омивало береги держав, які представляли різні військово-політичні блоки: Радянський Союз, Румунію та Болгарію з Варшавського договору, а також Туреччину, члена НАТО. Таке геополітичне розташування виключало протистояння між найбільшою країною світу та членом НАТО.</w:t>
      </w:r>
    </w:p>
    <w:p w:rsidR="007559C1" w:rsidRDefault="007A1411">
      <w:r>
        <w:t>Шведський інститут міжнародних відносин в 1992 р. акцентував увагу на тому, що поточна ситуація у Середземному та Чорному морі охоплює шість або сім воєн або майже воєнних конфліктів, у яких люди зіштовхуються з безпосередньою загрозою. Більше того, переміщення населення, спричинене цими конфліктами, породжує нестабільність на територіях сусідніх країн. Очевидно, що це вимагає посилення уваги НАТО до цих регіонів (Naval arms control and maritime security in the mediterranean, 1992).</w:t>
      </w:r>
    </w:p>
    <w:p w:rsidR="007559C1" w:rsidRDefault="007A1411">
      <w:r>
        <w:t xml:space="preserve">Натомість НАТО більше переймалося безпекою в Середземноморському регіоні. Саме з підстав забезпечення безпеки цього регіону до лав НАТО була прийнята Туреччина та Греція в 1952 р., Іспанія в 1982 р. Розрахунок був на те, що керівництво Босфорською протокою Туреччиною як членом НАТО не допустить флот Радянського Союзу в Середземне море та далі. Окремі дослідники навіть розглядали стратегічну цінність грецьких островів в Егейському морі та їх вплив на оборону Турецьких проток в контексті південного флангу НАТО та можливість використання Егейських островів як основу стратегії НАТО у майбутній ймовірній конвенціональній війні проти загроз від країн Варшавського договору. Дослідження зосереджувалися на проблемах у регіоні між Туреччиною та Грецією та їхніх наслідках, можливості нейтралітету Туреччини в цій війні та питаннях – чи можуть Егейські острови замінити Турецькі протоки як бар'єр проти флоту СРСР у Чорному морі (Evongelos, 1988, р. 2). Тобто Чорне море було віддане пануванню Радянського союзу та </w:t>
      </w:r>
      <w:r>
        <w:lastRenderedPageBreak/>
        <w:t xml:space="preserve">країн Варшавського договору. </w:t>
      </w:r>
    </w:p>
    <w:p w:rsidR="007559C1" w:rsidRDefault="007A1411">
      <w:r>
        <w:t>Варто звернути увагу на тому факті, що в країнах НАТО розуміли, що Середземне море є воротами Заходу до Чорного моря і до потужної концентрації радянського промислового та сільськогосподарського потенціалу. Натомість СРСР розглядав Середземне море як історичний західний шлях нападу. Якщо ж розглядати стратегію Радянського Союзу, то СРСР прагнув контролювати Балтійське та Чорне моря, як і раніше, і в кінцевому підсумку мати домінуючий вплив у Середземному морі та його підходах. СРСР також прагнув стати домінуючою силою в Турецьких протоках, через які повинні проходити його військові кораблі з Чорного моря в Егейське, а потім до Середземного. Як одна з двох світових супердержав, СРСР побудував суперфлот, і його ескадра в Середземному морі в кінці 80-их років у поєднанні з наземною авіаційною силою становив серйозну політичну загрозу та зростаючий політико-морський виклик для Шостого флоту США в цьому регіоні (Evongelos, 1988, р. 6).</w:t>
      </w:r>
    </w:p>
    <w:p w:rsidR="007559C1" w:rsidRDefault="007A1411">
      <w:r>
        <w:t xml:space="preserve">Однак в 1991 р. Радянський Союз перестав існувати. Після завершення існування СРСР настає нова фаза у міжнародних відносинах, відома як постбіполярний період. Ця ера відрізняється тим, що на території колишнього Радянського Союзу з'явилися нові суверенні держави, а значить і нові виклики для безпеки у Чорноморському регіоні. </w:t>
      </w:r>
    </w:p>
    <w:p w:rsidR="007559C1" w:rsidRDefault="007A1411">
      <w:r>
        <w:t xml:space="preserve">Саміт в Лондоні в липні 1990 року ознаменував ключовий момент переосмислення ролі та стратегії НАТО в контексті закінчення Холодної війни (The London Declaration on a transformed North Atlantic Alliance, 1990). Цей документ відображав адаптацію альянсу до змінюваного геополітичного ландшафту, зокрема підкреслював необхідність співпраці з країнами Східної Європи та колишнім СРСР. Декларація акцентувала увагу на зменшенні військової присутності і наголошувала на політичних аспектах безпеки, прагненні до миру та стабільності в Європі, що стало важливим кроком у переході від протистояння до співпраці на континенті. В самій декларації не містилося жодного посилання на можливі варіанти дій НАТО в Чорному морі, проте вона визначала базові аспекти подальших дій НАТО в постбіполярний </w:t>
      </w:r>
      <w:r>
        <w:lastRenderedPageBreak/>
        <w:t xml:space="preserve">період. </w:t>
      </w:r>
    </w:p>
    <w:p w:rsidR="007559C1" w:rsidRDefault="007A1411">
      <w:r>
        <w:t xml:space="preserve">Стратегічна концепція, прийнята НАТО у листопаді 1991 року після ретельних обговорень та дебатів в Альянсі, відрізнялася від попередніх підходів, оскільки фокусувалася на співпраці з колишніми ворогами, а не на конфронтації. Безпека країн-членів залишалася пріоритетом, але тепер це поєднувалось з акцентом на сприяння всієї європейської безпеки. Унікальність концепції 1991 року також полягала в її відкритості для публічного обговорення, включаючи парламенти, експертів, журналістів та громадськість (The Alliance's New Strategic Concept, 1991). Проте в ній теж нічого не вказувалося щодо ситуації в Чорному морі. </w:t>
      </w:r>
    </w:p>
    <w:p w:rsidR="007559C1" w:rsidRDefault="007A1411">
      <w:r>
        <w:t xml:space="preserve">З цього моменту відбуваються поодинокі заходи співробітництва України з НАТО в форматі участі в робочих групах, поодиноких візитах сторін, зустрічей міністрів.  </w:t>
      </w:r>
    </w:p>
    <w:p w:rsidR="007559C1" w:rsidRDefault="007A1411">
      <w:r>
        <w:t>Водночас припинення існування Радянського Союзу на початку 90-х років зробило стабільність в пост-холодновоєнній Європі та, зокрема, в Чорноморському регіоні важливим пунктом політичних порядків денних. Під час Холодної війни Чорне море служило буфером між Західним та Радянським блоками. Політична та військова присутність супердержав забезпечувала стабільність у регіоні. Ситуація кардинально змінилася у пост-холодновоєнні роки, коли регіон, крім Чорноморських держав НАТО, не мав безпекової «парасольки». Розпад Радянського Союзу вивільнив старі джерела напруженості, і Чорноморський регіон стикнувся зі зростанням кількості сепаратистських рухів та «заморожених конфліктів» – Чечні в росії, Абхазії, Аджарії та Південної Осетії в Грузії, Придністров'ї в Республіці Молдова та Криму в Україні. Крім того, регіон мав справу з проблемами нелегальної торгівлі зброєю та наркотиками та забезпеченням енергетичної безпеки. Усе це зробило Чорноморський регіон ареною нестабільності та визначило його як сприятливе середовище для терористичної діяльності та загрозу інтересам ЄС та НАТО (Vladova, Knieling, 2014).</w:t>
      </w:r>
    </w:p>
    <w:p w:rsidR="007559C1" w:rsidRDefault="007A1411">
      <w:r>
        <w:t xml:space="preserve">В цьому контексті Дж. Сорос (1993) стверджував, що </w:t>
      </w:r>
      <w:r>
        <w:rPr>
          <w:highlight w:val="white"/>
        </w:rPr>
        <w:t xml:space="preserve">початковою місією НАТО було захистити вільний світ від радянської імперії. Але після розпаду </w:t>
      </w:r>
      <w:r>
        <w:rPr>
          <w:highlight w:val="white"/>
        </w:rPr>
        <w:lastRenderedPageBreak/>
        <w:t xml:space="preserve">СРСР виявилось, що ця місія застаріла. Водночас розпад радянської імперії залишив безпековий вакуум, який міг перетворитися на «чорну діру». Це інша загроза, ніж радянська імперія. З боку регіону немає прямої загрози для країн НАТО; небезпека всередині регіону, і вона стосується як умов усередині держав, так і відносин між державами. Отже, якщо НАТО взагалі має якусь місію, то це проєктувати свою силу та вплив на регіон, і цю місію найкраще визначити з точки зору відкритих і закритих суспільств. Дж. Сорос акцентував увагу на  проблемах, які виникли з розподілом Чорноморського флоту, з можливим встановленням диктатури в росії. </w:t>
      </w:r>
    </w:p>
    <w:p w:rsidR="007559C1" w:rsidRDefault="007A1411">
      <w:r>
        <w:t>Турботи щодо забезпечення миру та стабільності в Чорноморському регіоні спонукали як регіональні країни, так і світові сили (США, ЄС, НАТО та Організацію з безпеки та співпраці в Європі) до взаємодії в регіоні з метою його стабілізації. Однак різні учасники, попри офіційне слідування одній меті, мали різні підходи до безпеки та часто підтримували конкуруючі безпекові порядки. НАТО дуже повільно залучалося до Чорноморського регіону з метою вирішення багатьох основних проблем Європи, таких як торгівля наркотиками, зброєю та людьми, нелегальна імміграція, тероризм, потенційне поширення ядерної зброї, підтримуючи регіональні держави у вирішенні існуючих «заморожених конфліктів».</w:t>
      </w:r>
    </w:p>
    <w:p w:rsidR="007559C1" w:rsidRDefault="007A1411">
      <w:r>
        <w:t xml:space="preserve">Не зважаючи на недостатню участь НАТО у питаннях Чорноморської безпеки активізувалися спроби колишніх держав Варшавського договору вирішити безпекові питання в Чорному морю через залучення НАТО. Саме тому в 1995 р. в Чорному морі було проведено два військові навчання: Румунські багатонаціональні морські навчання «Чорне море 1995» були проведені в румунському територіальному морі. Навчання пройшли в форматі НАТО/країни-партнери. Метою навчання стало встановлення сумісних і життєздатних форм співпраці щодо основних морських операцій у сфері PHSAR. Окрім цього пройшли Болгарські багатонаціональні морські навчання PFP. </w:t>
      </w:r>
    </w:p>
    <w:p w:rsidR="007559C1" w:rsidRDefault="007A1411">
      <w:r>
        <w:t>З 1994 р. Україна розпочала безпосереднє консультативне співробітництво з НАТО в рамках формату «16+1», що включає 16 країн-</w:t>
      </w:r>
      <w:r>
        <w:lastRenderedPageBreak/>
        <w:t xml:space="preserve">членів НАТО та Україну. Цей формат передбачав залучення України до діалогу з усіма членами альянсу, забезпечуючи платформу для вирішення спільних питань та поглиблення взаєморозуміння. </w:t>
      </w:r>
    </w:p>
    <w:p w:rsidR="007559C1" w:rsidRDefault="007A1411">
      <w:r>
        <w:t>14 вересня 1995 року була зроблена Спільна заява України та НАТО, що поклала початок «розширеним та поглибленим» відносинам між Україною та альянсом. В кінці 1996 року ці відносини еволюціонували до «особливих та ефективних», створюючи фундамент для офіційних двосторонніх переговорів, що розпочались 20 березня 1997 року. Ці переговори були спрямовані на формалізацію відносин особливого партнерства між Україною та НАТО. В цьому ж році було засновано Місію України при НАТО.</w:t>
      </w:r>
    </w:p>
    <w:p w:rsidR="007559C1" w:rsidRDefault="007A1411">
      <w:r>
        <w:t xml:space="preserve">В 1997 р. на Мадридському саміті НАТО (1997) до обговорення безпекових питань були залучені Румунія та Болгарія, які досягли значного прогресу на шляху до цієї організації.  Окрім того, на саміті була укладена «Хартія про особливе партнерство між Україною та НАТО» (1997), яка стала ключовим документом у відносинах між Україною і НАТО, закладаючи фундамент для глибшої співпраці. Цей документ зафіксував високорівневі політичні зобов'язання обох сторін та підкреслив необхідність розвитку «особливих та ефективних відносин партнерства», які сприятимуть зміцненню стабільності та розвитку спільних демократичних цінностей у Центрально-Східній Європі. Хартія підкреслювала важливість стратегічного партнерства в контексті регіональної безпеки та співробітництва і закладала підвалини для посилення безпеки в Чорноморському регіоні. </w:t>
      </w:r>
    </w:p>
    <w:p w:rsidR="007559C1" w:rsidRDefault="007A1411">
      <w:r>
        <w:t>На саміті у Вашингтоні (1999) було представлено Ініціативу НАТО щодо обороноздатності, відому як DCI. Ця ініціатива була спрямована на забезпечення Альянсу необхідною спроможністю ефективно реагувати на загрози 21-го століття, зокрема на вирішення криз, подібних до конфлікту в Косово, та забезпечення виконання основних оборонних зобов’язань перед країнами-членами НАТО.</w:t>
      </w:r>
    </w:p>
    <w:p w:rsidR="007559C1" w:rsidRDefault="007A1411">
      <w:r>
        <w:t xml:space="preserve">В цьому ж році CNA було проаналізовано профілі усіх причорноморських країн для їх оцінки в контексті безпеки Чорноморського регіону (Lehovich,  Hashim, 2000). В першу чергу увага була звернути на росію. </w:t>
      </w:r>
      <w:r>
        <w:lastRenderedPageBreak/>
        <w:t>Згідно з цією оцінкою розпад російської економіки, військового істеблішменту та відчуття мети після розпаду Радянського Союзу та втрата нею міжнародного статусу зробили Москву надчутливою до образ. росія відчуває себе особливо вразливою в Чорному морі, де вона розглядає регіональні ініціативи США, включно з залученням ВМС, як частину схеми діяльності, яка здійснюється за рахунок росії. Ця модель включає розширення НАТО, минуле та очікуване; інтерес США та Заходу до каспійських енергетичних ресурсів (включаючи нещодавно узгоджений трубопровід Баку-Джейхан, який транспортуватиме каспійську нафту в обхід росії); і американські військові досягають Казахстану та інших частин Центральної Азії через військові навчання. Можливе членство в НАТО колишніх радянських республік, таких як Прибалтика чи Грузія, викликає особливе занепокоєння і, на думку Москви, було б неприйнятним. Найгіршою пігулкою залишається косовська кампанія НАТО 1999 року, яку росіяни сприймають як приниження.</w:t>
      </w:r>
    </w:p>
    <w:p w:rsidR="007559C1" w:rsidRDefault="007A1411">
      <w:r>
        <w:t>росія має складні відносини з колишніми радянськими державами Україною та Грузією. Зв'язки з Україною тісні, але росія боїться занадто сильного повороту України на Захід. Україна, зі свого боку, стурбована тим, що російський націоналізм може посилитися та відновити російські претензії на Крим і Севастополь. Чорноморський флот має найменший пріоритет серед чотирьох флотів росії. За останнє десятиліття він зазнав серйозних ударів: частину її активів було передано Україні, як і більшу частину наземних і повітряних сил, які вона підтримувала. При цьому росія має значні важелі впливу на Грузію і обурюється прозахідною орієнтацією Грузії.</w:t>
      </w:r>
    </w:p>
    <w:p w:rsidR="007559C1" w:rsidRDefault="007A1411">
      <w:r>
        <w:t xml:space="preserve"> Особливо варто відзначити діяльність Туреччини як крани НАТО в Чорноморському регіоні. Туреччина зарекомендувала себе як один із головних ініціаторів спільних дій, встановлюючи своє лідерство в регіоні. Не дивно, що саме Туреччина відіграє центральну роль у морській безпеці Чорного моря, враховуючи стратегічне розташування країни та контроль над протоками Босфор та Дарданелли, які забезпечують єдине з'єднання між Чорним та Середземним морями. За правом, наданим у 1936 році за Монтре конвенцією, Туреччина могла ремілітаризувати протоки, контролювати їх та обмежувати </w:t>
      </w:r>
      <w:r>
        <w:lastRenderedPageBreak/>
        <w:t>вхід воєнних кораблів у Чорне море. Конвенцію також ратифікував СРСР, який володів потужним Чорноморським флотом і контролював усі північні узбережжя Чорного моря. Водночас як Туреччина, так і росія сприймали і продовжують сприймати морську безпеку в Чорному морі як завдання прибережних держав.</w:t>
      </w:r>
    </w:p>
    <w:p w:rsidR="007559C1" w:rsidRDefault="007A1411">
      <w:r>
        <w:t xml:space="preserve">З метою зміцнення своїх позицій у регіоні та розуміючи, що лише прибережні держави повинні бути відповідальними за морську безпеку, Туреччина ініціювала створення багатонаціональної морської сили для Чорного моря у 2001 році - Чорноморської групи військово-морської співпраці (BLACKSEAFOR). Угоду про створення військово-морської сили підписали всі шість прибережних держав. У 2004 році держави-члени BLACKSEAFOR вирішили створити постійний центр оперативного управління та підготувати багатосторонній меморандум про розуміння щодо обміну інформацією між ними. У тому ж році Туреччина започаткувала операцію «Морська гармонія» (BSHO), метою якої було запобігання, стримування та розривання терористичних зв’язків (Vladova, Knieling, 2014). </w:t>
      </w:r>
    </w:p>
    <w:p w:rsidR="007559C1" w:rsidRDefault="007A1411">
      <w:r>
        <w:t xml:space="preserve">В кінці ХХ століття переважна більшість аналітиків вважала, що найбільш оптимальною моделлю для Чорноморського регіону було залучення росії до співробітництва з НАТО. Вважалося, що слід створювати зв’язки та спільні можливості, які можуть окупитися в разі регіональних катастроф або непередбачених обставин, у яких росія може бути природним партнером для спільної евакуації чи інших дій; залучити росію до заходів, які сприяють стабільності в регіоні, охопленому хаосом і насильством; підвищити рівень комфорту інших країн (України, Болгарії, Грузії), які можуть вітати участь росії з власних політичних міркувань (Lehovich,  Hashim, 2000). Після цього модель спільної американсько-російської діяльності призведе до сприйняття присутності США в Чорному морі як нормальної та інтегрує росію в регіональну стабілізаційну діяльність. </w:t>
      </w:r>
    </w:p>
    <w:p w:rsidR="007559C1" w:rsidRDefault="007A1411">
      <w:r>
        <w:t xml:space="preserve">При цьому росія незадоволена програмою НАТО «Партнерство заради миру» (ПЗМ) і участю низки пострадянських країн (зокрема, Грузії, України та кількох держав Центральної Азії). Вона також обурювалася тим, що США </w:t>
      </w:r>
      <w:r>
        <w:lastRenderedPageBreak/>
        <w:t>надали цим країнам можливості навчання та взаємодії між військовими. Водночас її здатність доводити публічні аргументи обмежена її власним членством у ПЗМ (росія приєдналася в 1994 році).</w:t>
      </w:r>
    </w:p>
    <w:p w:rsidR="007559C1" w:rsidRDefault="007A1411">
      <w:r>
        <w:t>Варто відзначити і те, що США включили Чорноморський регіон у сферу своїх політичних інтересів. Американська адміністрація уточнила основні напрями своєї політики в Чорноморсько-Каспійському регіоні в листопаді 1999 р. на Стамбульському саміті ОБСЄ. У спеціальній заяві йдеться про посилення регіональних позицій Америки та Туреччини на противагу інтересам росії. Адміністрація Буша об'єднала всі дії, вжиті в рамках Великої програми регіональної єдності на лінії США-Туреччина-Великий Кавказ. Вашингтон мав намір просувати національні інтереси Америки у формі присутності Америки на стратегічно важливих напрямках (Zazhigaev, 2011, с. 103).</w:t>
      </w:r>
    </w:p>
    <w:p w:rsidR="007559C1" w:rsidRDefault="007A1411">
      <w:r>
        <w:t>Розширення НАТО до Польщі, Чехії та Угорщини було гіркою пігулкою для росії і багато хто сприймало як антиросійський крок. При цьому вона очікувала, що НАТО розшириться до Румунії, Болгарії та, ймовірно, до Словенії та інших країн. Вона розглядала це як спробу Заходу отримати вигоду за свій рахунок і спроєктувати розширений альянс до своїх колишніх кордонів.</w:t>
      </w:r>
    </w:p>
    <w:p w:rsidR="007559C1" w:rsidRDefault="007A1411">
      <w:r>
        <w:t xml:space="preserve">Розширення НАТО на схід мало на меті наближення до Широкого Близького Сходу та ефективне вирішення тамтешніх загроз та проблем. У результаті цих зусиль Болгарія та Румунія були прийняті до НАТО у 2004 році. Проте це розширення певною мірою дозволило росії зрозуміти, що її концепції та військові доктрини правильно переорієнтуються з економічних та невійськових цілей на зовнішнього ворога та необхідності військової готовності. Після 1997 р. розширення НАТО на схід стало офіційною загрозою безпеці росії і було зафіксовано в Концепції національної безпеки. </w:t>
      </w:r>
    </w:p>
    <w:p w:rsidR="007559C1" w:rsidRDefault="007A1411">
      <w:r>
        <w:t xml:space="preserve">Прийняття Болгарії та Румунії в 2004 р. до НАТО означало, що НАТО суттєво посилило свою присутність в Чорноморському регіоні, оскільки окрім Туреччини включило до своєї орбіти впливу ще дві країни. При цьому росія неоднозначно попередила, що членство Болгарії в НАТО каратиметься припиненням постачання російського газу; вони не мали жодного ефекту і </w:t>
      </w:r>
      <w:r>
        <w:lastRenderedPageBreak/>
        <w:t xml:space="preserve">тепер здаються частиною історії. Водночас росія змирилася з курсом Румунії на Захід і прагненням до членства в НАТО (Lehovich, Hashim, 2000). </w:t>
      </w:r>
    </w:p>
    <w:p w:rsidR="007559C1" w:rsidRDefault="007A1411">
      <w:r>
        <w:t>У підсумку Чорноморський регіон став мозаїкою політичних інтересів різних держав, що входять до нього, та їхніх економічних сфер впливу. Туреччина, Румунія та Болгарія є членами НАТО (останні дві входять до Європейського Союзу). Україна виступає буфером між Заходом і росією, а Грузія, яка обрала західний вектор розвитку, живе під тиском росії і полегшує його для Азербайджану та Вірменії. Остання не має дипломатичних відносин із Туреччиною, лідером регіону.</w:t>
      </w:r>
    </w:p>
    <w:p w:rsidR="007559C1" w:rsidRDefault="007A1411">
      <w:r>
        <w:t>Болгарія, Румунія, Україна, Грузія активно шукають свою національну та регіональну ідентичність. росія, яка пережила свій «постімперський синдром», намагається відстояти свої інтереси в глобальній геополітичній грі. Розпад Радянського Союзу позбавив його контролю не лише над значною ділянкою узбережжя Чорного моря та його акваторією, а й над стратегічно важливим Кримським півостровом. Обстановка на Чорноморському театрі військових дій змінилася до невпізнання; сьогодні Чорноморський флот (ЧФ) у 2-3 рази менший за ВМС Туреччини; у минулому вона конкурувала з Об’єднаними середземноморськими силами НАТО (Zazhigaev, 2011, с. 100).</w:t>
      </w:r>
    </w:p>
    <w:p w:rsidR="007559C1" w:rsidRDefault="007A1411">
      <w:r>
        <w:t xml:space="preserve">В квітні 2000 р. президент Грузії Шеварднадзе заявив, що </w:t>
      </w:r>
      <w:r w:rsidR="00B32968">
        <w:rPr>
          <w:lang w:val="en-GB"/>
        </w:rPr>
        <w:t>вони будуть прагнути</w:t>
      </w:r>
      <w:r>
        <w:t xml:space="preserve"> вступу до НАТО. НАТО також посилило свої військові зусилля через проведення навчань в країнах Великого Чорноморського регіону, зокрема в  Азербайджані. Подібні заяви звучали і з уст лідерів України. Все це привело до активізації дій росії в Чорноморському регіоні. З однієї сторони у 1997 році низка двосторонніх угод визначила Крим і Севастополь частиною України. Вони також оформили поділ Чорноморського флоту, а також продовжили домовленості про базування російського флоту в Севастополі. Проте питання російських претензій на Севастополь не було вичерпано. В цей період Економічні зв'язки росії з Україною зміцнилися, оскільки українська економіка похитнулася.</w:t>
      </w:r>
    </w:p>
    <w:p w:rsidR="007559C1" w:rsidRDefault="007A1411">
      <w:r>
        <w:t xml:space="preserve">Прагнення України до НАТО посилилося з обранням В. Ющенко в президенти. На офіційному рівні було заявлено про завершення періоду </w:t>
      </w:r>
      <w:r>
        <w:rPr>
          <w:highlight w:val="white"/>
        </w:rPr>
        <w:lastRenderedPageBreak/>
        <w:t>багатовекторності української зовнішньої політики та обрання курсу на інтеграцію до євроатлантичних структур. Було підготовлено амбіційний план реформ, націлений на ступ до НАТО (</w:t>
      </w:r>
      <w:r>
        <w:t>Волинський, 2005).</w:t>
      </w:r>
    </w:p>
    <w:p w:rsidR="007559C1" w:rsidRDefault="007A1411">
      <w:r>
        <w:t>Після Революції троянд у 2003 році, яка ознаменувала собою значний політичний злам, Грузія активізувала свої зусилля щодо інтеграції з західними структурами, включаючи НАТО. Країна прагнула розвивати тісніші зв'язки з Альянсом та розглядала перспективу можливого членства в ньому як стратегічний напрямок своєї зовнішньої політики. Це відображало бажання Грузії зміцнити свою безпеку та стабільність через ближчу співпрацю з НАТО, а також відійти від російського впливу.</w:t>
      </w:r>
    </w:p>
    <w:p w:rsidR="007559C1" w:rsidRDefault="007A1411">
      <w:r>
        <w:t>Демократичні революції в Грузії та Україні породили нові дебати про те, як найкраще закріпити демократичні переходи в цих країнах та сприяти безпеці в Чорноморському регіоні. Основним питанням у цій дискусії була роль НАТО у цьому процесі, визначення його місця в загальних західних зусиллях щодо забезпечення безпеки в регіоні та відповідний поділ обов’язків між НАТО та Європейським Союзом.</w:t>
      </w:r>
    </w:p>
    <w:p w:rsidR="007559C1" w:rsidRDefault="007A1411">
      <w:r>
        <w:t>Ці дебати не є новими, адже на Заході виникали подібні питання та дилеми на початку 1990-х стосовно Центральної Європи. Тоді, як і тепер, обговорювалися питання про кваліфікацію кандидатів на членство та вплив їхнього приєднання на згуртованість та ефективність НАТО та ЄС, а також велику роль у дебатах відігравав російський фактор. Виникла жвава дискусія щодо того, хто повинен бути лідером у стабілізації регіону — НАТО чи ЄС, з двома основними точками зору. Одна група аргументувала, що країнам Центральної Європи потрібні економічне процвітання та соціальна стабільність, а не військова безпека, і що ЄС краще підготовлений надавати таку стабільність. Інша група стверджувала, що НАТО повинно діяти першим, оскільки економічна та соціальна стабільність можлива лише при почутті безпеки країн, а також тому, що вимоги до членства в ЄС потребуватимуть десятиліття для виконання (Hamilton, Mangott, 2009).</w:t>
      </w:r>
    </w:p>
    <w:p w:rsidR="007559C1" w:rsidRDefault="007A1411">
      <w:r>
        <w:t xml:space="preserve">Варто відзначити, що стратегічний контекст, в якому ведуться дебати про безпеку в Чорноморському регіоні, значно відрізняється від того, який </w:t>
      </w:r>
      <w:r>
        <w:lastRenderedPageBreak/>
        <w:t>існував під час розширення в Центральній Європі. По-перше, росія в кінці першого десятиліття ХХ століття сильніша. По-друге, кандидати на членство в НАТО з Чорноморського регіону мають слабші кваліфікації, ніж кандидати з Центральної Європи. Третє, питання «ідентичності» грає більш важливу роль у дебатах про розширення, ніж десятиліття тому. Четверте, роль НАТО сьогодні менш визначена, ніж десять років тому. Нарешті, стратегічний фокус Сполучених Штатів змінився, тепер він зосереджений за межами Європи. Це не означає, що НАТО не має мети у сприянні безпеці в Чорноморському регіоні, але це означає, що західним лідерам потрібно розробити стратегію, яка враховує змінений міжнародний контекст для розширення та специфічні регіональні динаміки в Чорноморському регіоні.</w:t>
      </w:r>
    </w:p>
    <w:p w:rsidR="007559C1" w:rsidRDefault="007A1411">
      <w:r>
        <w:t>НАТО, Сполучені Штати та їхні партнери з ЄС виявляють великий геополітичний інтерес до регіону. Слухання в Конгресі США свідчать про те, що Америці потрібен регіон для диверсифікації поставок енергетичного палива з країн, що не входять в ОПЕК, які служать альтернативою країнам Перської затоки. Пропонувалося, щоб Америка налагодила контакти з країнами з переважно мусульманським населенням (на противагу радикальному ісламізму), підтримувала незалежність держав Південного Кавказу та Чорного моря та заохочувала їх просування до демократії (Zazhigaev, 2011, с. 101).</w:t>
      </w:r>
    </w:p>
    <w:p w:rsidR="007559C1" w:rsidRDefault="007A1411">
      <w:r>
        <w:t>Саміт НАТО в Бухаресті (2008) став значущою подією у підході НАТО до Чорноморського регіону. На цьому саміті було відкладено надання Грузії та Україні Плану дій щодо членства для уникнення конфлікту з Москвою, але у фінальному комюніке було обіцяно в майбутньому прийняти ці країни до Альянсу. Таким чином, незважаючи на відтермінування Плану, Грузія та Україна отримали письмове зобов'язання про майбутнє членство, що змінило динаміку дебатів про розширення НАТО. Тобто питання полягає не в тому, чи стануть Грузія та Україна членами НАТО, а коли це станеться.</w:t>
      </w:r>
    </w:p>
    <w:p w:rsidR="007559C1" w:rsidRDefault="007A1411">
      <w:r>
        <w:t xml:space="preserve">Альянс погодився, що колись Грузія та Україна стануть членами, але потім. Цей підхід має декілька переваг, але також і деякі недоліки. По-перше, це виграє час для Грузії та України для підвищення кваліфікації для членства. </w:t>
      </w:r>
      <w:r>
        <w:lastRenderedPageBreak/>
        <w:t xml:space="preserve">В той самий час, це забезпечить важливу політичну гарантію того, що якщо вони покращать свою продуктивність, вони зрештою будуть прийняті до Альянсу. Це таким чином зміцнює пронатовські сили в Грузії та Україні та забезпечує сильний стимул для обох країн піти на необхідні жертви підтримувати процес реформ. По-друге, це дає НАТО час для досягнення внутрішнього консенсусу щодо членства Грузії та України. На 2008 р. такого консенсусу не спостерігалося. Деякі члени Альянсу, зокрема Франція та Німеччина мали застереження щодо членства Грузії та України. Для деяких це пов'язано в першу чергу з термінами вступу. По-третє, це дає Альянсу час спробувати вибудувати відносини з росією та розрядити проблеми з цією країною.  </w:t>
      </w:r>
    </w:p>
    <w:p w:rsidR="007559C1" w:rsidRDefault="007A1411">
      <w:r>
        <w:t xml:space="preserve">Водночас саміт у Бухаресті залишили багато питань, пов'язаних з майбутнім розширенням,  невирішеними. Зокрема питання про те, як Альянс захищатиме Грузію та Україну, коли вони стануть членами залишилося без відповіді. </w:t>
      </w:r>
    </w:p>
    <w:p w:rsidR="007559C1" w:rsidRDefault="007A1411">
      <w:r>
        <w:t xml:space="preserve">Варто відзначити, що багато європейських чиновників побоювалися що інтеграція Грузії та України в НАТО може спровокувати протистояння з росією. Вважалося, що недотримання ключових принципів політики Заходом може лише спонукати Москву посилити свою позицію в Чорноморському регіоні, а не більш кооперативну поведінку (Hamilton, Mangott, 2009). Водночас існував і інший підхід, менш популярний, - про те, якщо не допомогти цим країнам, то  рано чи пізно розпочнуться активні дії зі сторони росії.  </w:t>
      </w:r>
    </w:p>
    <w:p w:rsidR="007559C1" w:rsidRDefault="007A1411">
      <w:r>
        <w:t xml:space="preserve">Дійсно, результатом цього стала російсько-грузинська війна, також відома як війна в Південній Осетії, яка розпочалася у серпні 2008 року. Конфлікт вибухнув між Грузією та росією через спірні території Південної Осетії та Абхазії. Грузія намагалася відновити контроль над цими регіонами, що викликало відповідь росії, яка заявила, що захищає місцеве населення, більшість з яких були громадяни росії. Конфлікт швидко ескалував, призвівши до військових дій та міжнародного засудження. Війна завершилася з відносною перемогою росії та визнанням незалежності Абхазії та Південної </w:t>
      </w:r>
      <w:r>
        <w:lastRenderedPageBreak/>
        <w:t xml:space="preserve">Осетії росією, що залишається спірним на міжнародному рівні. </w:t>
      </w:r>
    </w:p>
    <w:p w:rsidR="007559C1" w:rsidRDefault="007A1411">
      <w:r>
        <w:t xml:space="preserve">Під час екстреної наради в серпні 2008 року представники країн НАТО запевнили Грузію у своїй підтримці та обіцяли майбутнє прийняття країни до складу альянсу. Зустріч, ініційована США, також передбачала перегляд відносин з росією та обговорення допомоги Грузії. Представник НАТО Кармен Ромеро підкреслила солідарність з Грузією, зазначивши про плани прийняття заходів підтримки, в тому числі відправку експертів для оцінки збитків, нанесених військовій інфраструктурі Грузії. Також було передбачено направлення жорсткого послання росії щодо дотримання угоди про припинення вогню та виведення військ з регіону (НАТО прийме Грузію, незважаючи на війну в Осетії, 2008). </w:t>
      </w:r>
    </w:p>
    <w:p w:rsidR="007559C1" w:rsidRDefault="007A1411">
      <w:r>
        <w:t>Варто відзначити особливу позицію Туреччини. Останніми роками Туреччина чітко демонструє, що має намір відійти від США та НАТО (членом якого вона є); в деяких колах вважають, що це одна з найбільш антиамериканських країн у регіоні та, ймовірно, у світі. Анкара хоче набагато важливішої регіональної ролі, ніж та, яку їй відводять США та ЄС. Як член НАТО Туреччина охороняла південно-східний фланг і виступала проти Організації Варшавського договору. Сьогодні її навряд чи можна назвати членом НАТО. Він намагається не допустити Альянс до регіону, щоб самостійно чи спільно з росією вирішувати проблеми регіональної безпеки.</w:t>
      </w:r>
    </w:p>
    <w:p w:rsidR="007559C1" w:rsidRDefault="007A1411">
      <w:r>
        <w:t>Туреччина намагається проводити подвійну зовнішню політику; Анкара хотіла б заробити на протиріччях між Америкою, ЄС і росією у сфері енергетичної безпеки та їхньому прагненні взяти гору на європейському енергетичному ринку.</w:t>
      </w:r>
    </w:p>
    <w:p w:rsidR="007559C1" w:rsidRDefault="007A1411">
      <w:r>
        <w:t xml:space="preserve">Після російсько-грузинської війни 2008 року в Чорноморському регіоні та на Кавказі активізувався Іран: він налагодив тісніші стосунки з Грузією (що дратує росію ) і приділяє значно більше уваги Азербайджану та Вірменії. Окремі аналітики роблять висновок про те, що значно більшу роль у Чорноморському регіоні відіграватимуть Іран і південно-кавказькі держави, а також північнокавказькі республіки. Це допоможе світовим акторам просувати свої геополітичні інтереси в регіоні. росія і Туреччина будуть </w:t>
      </w:r>
      <w:r>
        <w:lastRenderedPageBreak/>
        <w:t>поступово витіснятися: «оксамитова» експансія західної цивілізації неминуча (Zazhigaev, 2011, с. 105).</w:t>
      </w:r>
    </w:p>
    <w:p w:rsidR="007559C1" w:rsidRDefault="007A1411">
      <w:r>
        <w:t>У Чорноморському регіоні в кінці першого десятиліття ХХ століття чітко проглядаються два очевидні та антагоністичні вектори світової політики: з одного боку, росія намагається відсторонити інших акторів (ЄС, США та НАТО) та контролювати найбільшу частку паливо надходить до ЄС і Туреччини. Кремль сповнений рішучості відновити радянський вплив на Близькому Сході та в Північній Африці, щоб тим чи іншим чином втручатися в політику виробників нафти та газу. З іншого боку, Америка, Європейський Союз і НАТО виступають проти експансії росії в Середземномор’ї та на Близькому Сході, де вона прагне посилити вплив на місцеві держави.</w:t>
      </w:r>
    </w:p>
    <w:p w:rsidR="007559C1" w:rsidRDefault="007A1411">
      <w:r>
        <w:t xml:space="preserve">За окремими оцінками у доступному для огляду майбутньому Сполучені Штати, НАТО та Європейський Союз (кожен із власними та спільними інтересами просування ліберально-демократичних цінностей) відіграватимуть роль, рівну ролі росії в Чорноморському регіоні. Сполучені Штати та НАТО розглядають це як плацдарм, з якого вони рухатимуться до Великого Близького Сходу, альтернативне джерело енергетичних ресурсів і буферну зону для пом’якшення загроз, що надходять з Півдня. ЄС більше стурбований економічними питаннями та готовий на деякий час забути про свої геополітичні та геостратегічні інтереси (разом із партнерством у НАТО) (Kupchan, 2004). </w:t>
      </w:r>
    </w:p>
    <w:p w:rsidR="007559C1" w:rsidRDefault="007A1411">
      <w:r>
        <w:t xml:space="preserve">Таким чином, Чорноморський регіон, місце зустрічі Європи, Африки та Азії, став ареною зіткнень глобальних політичних та економічних (енергетичних) інтересів різних країн, у тому числі й причорноморських. росія розглядає Чорноморський регіон як останній бастіон тоталітаризму, що дозволяє їй утримувати Захід і натиск ліберально-демократичні цінності під контролем. НАТО готове використовувати регіон як плацдарм, з якого демократія (єдиний інструмент, що дає змогу зберегти цінності «відкритого суспільства») може бути розповсюджена на схід, відкриваючи таким чином двері до енергетичні ресурси Каспію, Середньої Азії та азіатської частини росії. Чорноморський регіон з 2000 по 2008 р. став відправною точкою для </w:t>
      </w:r>
      <w:r>
        <w:lastRenderedPageBreak/>
        <w:t xml:space="preserve">«м’якої» експансії Заходу та реорганізації «вмираючих залишків пострадянських країн». Цього вдалося досягти через залучення до лав НАТО Болгарії та Румунії, закріплення статусу Туреччини як форпосту НАТО, переорієнтацію на НАТО України та Грузії. Проте це спричинило і нарощення зусиль по протидії зі сторони росії, яка розпочала в 2008 р. війну в Грузії, закріпилась своїми інтересами в Україні. Також це привело до активізації Ірану в Каспійському регіоні та незадоволення  просуванням НАТО зі сторони Туреччини, яка як і росія вважає Чорне море своєю вотчиною. Така концентрація різносторонніх інтересів привела до формування суміші викликів перед безпекою Чорноморського регіону. </w:t>
      </w:r>
    </w:p>
    <w:p w:rsidR="007559C1" w:rsidRDefault="007A1411">
      <w:pPr>
        <w:widowControl/>
        <w:spacing w:line="240" w:lineRule="auto"/>
        <w:ind w:firstLine="0"/>
        <w:jc w:val="left"/>
      </w:pPr>
      <w:r>
        <w:br w:type="page"/>
      </w:r>
    </w:p>
    <w:p w:rsidR="007559C1" w:rsidRDefault="007A1411">
      <w:pPr>
        <w:pStyle w:val="1"/>
      </w:pPr>
      <w:bookmarkStart w:id="3" w:name="_heading=h.3znysh7" w:colFirst="0" w:colLast="0"/>
      <w:bookmarkEnd w:id="3"/>
      <w:r>
        <w:lastRenderedPageBreak/>
        <w:t>РОЗДІЛ 3. ЕВОЛЮЦІЯ ПІДХОДІВ НАТО ДО БЕЗПЕКИ В ЧОРНОМОРСЬКОМУ РЕГІОНІ В УМОВАХ РОСІЙСЬКОЇ АГРЕСІЇ 2014-2021 РОКІВ</w:t>
      </w:r>
    </w:p>
    <w:p w:rsidR="007559C1" w:rsidRDefault="007559C1"/>
    <w:p w:rsidR="007559C1" w:rsidRDefault="007A1411">
      <w:pPr>
        <w:rPr>
          <w:highlight w:val="white"/>
        </w:rPr>
      </w:pPr>
      <w:r>
        <w:t xml:space="preserve">У березні 2014 року росія анексувала Кримський півострів після референдуму, який міжнародне співтовариство не визнало легітимним. У квітні 2014 року на сході України розпочалися бойові дії між українськими збройними силами та проросійськими сепаратистами, що призвело до створення самопроголошених Донецької та Луганської народних республік. Ці події, особливо події, пов’язані з окупацією півострову Крим </w:t>
      </w:r>
      <w:r>
        <w:rPr>
          <w:highlight w:val="white"/>
        </w:rPr>
        <w:t>радикально змінили баланс європейської безпеки, а Чорноморський регіон став зоною гострої суперечки між росією та НАТО. Протиставлення членів НАТО Болгарії, Румунії та Туреччини на західному та південному узбережжях Чорного моря, а також росії та України на інших узбережжях створило за своєю суттю вибухову суміш.</w:t>
      </w:r>
    </w:p>
    <w:p w:rsidR="007559C1" w:rsidRDefault="007A1411">
      <w:pPr>
        <w:rPr>
          <w:highlight w:val="white"/>
        </w:rPr>
      </w:pPr>
      <w:r>
        <w:rPr>
          <w:highlight w:val="white"/>
        </w:rPr>
        <w:t>На саміті НАТО в Уельсі у вересні 2014 року було зазначено, що «розвиток потенційно може мати довгостроковий вплив на стабільність у Чорноморському регіоні, який залишається важливою складовою євроатлантичної безпеки» (</w:t>
      </w:r>
      <w:r>
        <w:t>Wales Summit Declaration, 2014)</w:t>
      </w:r>
      <w:r>
        <w:rPr>
          <w:highlight w:val="white"/>
        </w:rPr>
        <w:t>. Проте, хоча динаміка регіону різко змінилася, його керівні конвенції, такі як Конвенція Монтре (</w:t>
      </w:r>
      <w:r>
        <w:t>Конвенція про режим проток, 1992)</w:t>
      </w:r>
      <w:r>
        <w:rPr>
          <w:highlight w:val="white"/>
        </w:rPr>
        <w:t xml:space="preserve">, залишилися практично незмінними з часів холодної війни, посилюючи напругу між цими архаїчними регіональними інститутами безпеки та фактичними подіями на місцях. </w:t>
      </w:r>
    </w:p>
    <w:p w:rsidR="007559C1" w:rsidRDefault="007A1411">
      <w:r>
        <w:rPr>
          <w:highlight w:val="white"/>
        </w:rPr>
        <w:t>На прес-конференції 26 листопада 2014 р. в Києві Верховний головнокомандувач НАТО генерал США Філіп М. Брідлав визначив кілька основних загроз, пов’язаних із завоюванням росією та мілітаризацією Кримського півострова, зокрема використання кримських активів для створення нових російських сил і те, як нові можливості росії вже розгортається на півострові – крилаті ракети, ракети протиповітряної оборони та, можливо, ядерна зброя – могли б зміцнити можливості росії щодо проєктування сили в усьому регіоні (</w:t>
      </w:r>
      <w:r>
        <w:t xml:space="preserve">Press Conference by the Supreme Allied </w:t>
      </w:r>
      <w:r>
        <w:lastRenderedPageBreak/>
        <w:t>Commander Europe, General Philip M. Breedlove, 2014).</w:t>
      </w:r>
    </w:p>
    <w:p w:rsidR="007559C1" w:rsidRDefault="007A1411">
      <w:r>
        <w:t xml:space="preserve">З цього моменту розпочинається певна гонка озброєнь між НАТО та росією в Чорноморському регіоні. </w:t>
      </w:r>
      <w:r>
        <w:rPr>
          <w:highlight w:val="white"/>
        </w:rPr>
        <w:t>Сполучені Штати створюють базу протиракетної оборони в Румунії в 2015 році, тоді як росія планувала суттєве збільшення потужності свого Чорноморського флоту, основного засобу російської морської потужності в Середземному морі.</w:t>
      </w:r>
      <w:r>
        <w:t xml:space="preserve"> </w:t>
      </w:r>
    </w:p>
    <w:p w:rsidR="007559C1" w:rsidRDefault="007A1411">
      <w:pPr>
        <w:pBdr>
          <w:top w:val="nil"/>
          <w:left w:val="nil"/>
          <w:bottom w:val="nil"/>
          <w:right w:val="nil"/>
          <w:between w:val="nil"/>
        </w:pBdr>
        <w:ind w:firstLine="680"/>
        <w:rPr>
          <w:color w:val="000000"/>
          <w:highlight w:val="white"/>
        </w:rPr>
      </w:pPr>
      <w:r>
        <w:rPr>
          <w:color w:val="000000"/>
          <w:highlight w:val="white"/>
        </w:rPr>
        <w:t>Для росії збереження свого впливу в цьому регіоні має вирішальне значення для її статусу світової держави. Дійсно, президент росії виправдав анексію Криму росією як необхідну для збереження доступу росії до Чорного моря. У Криму знаходяться деякі з найважливіших стратегічних активів росії, включаючи військово-морську базу Чорноморського флоту в Севастополі, авіабазу в Качі, іншу велику військово-морську авіабазу в Гвардійському та зенітно-ракетний полк у Севастополі. Російська анексія Криму дозволила Москві скасувати різні обмеження на розгортання російських військ і діяльність у Севастополі, які містяться в її договорі з Україною 1997 року, який регулює використання бази в Севастополі. Наприклад, у той час як угода 1997 року обмежувала чисельність російських сухопутних сил в Україні до 2000 осіб, наразі на півострові перебувають понад 20 000 російських військових. Російське міністерство оборони також припинило виплачувати українському уряду 100 мільйонів доларів щорічної орендної плати, передбаченої договором, і замість цього використовує ці кошти для модернізації та розширення своїх військових сил на півострові. При цьому російський уряд планує значно збільшити потужності Чорноморського флоту, змінивши регіональний баланс сил. Військово-повітряні сили і армія росії також збільшують кількість і потужність підрозділів, які вони дислокують на півострові. Наприклад, на кримській військовій авіабазі Бельбек буде розміщено більше десятка винищувачів четвертого покоління (</w:t>
      </w:r>
      <w:r>
        <w:rPr>
          <w:color w:val="000000"/>
        </w:rPr>
        <w:t>Weitz, 2015)</w:t>
      </w:r>
      <w:r>
        <w:rPr>
          <w:color w:val="000000"/>
          <w:highlight w:val="white"/>
        </w:rPr>
        <w:t>.</w:t>
      </w:r>
    </w:p>
    <w:p w:rsidR="007559C1" w:rsidRDefault="007A1411">
      <w:pPr>
        <w:rPr>
          <w:highlight w:val="white"/>
        </w:rPr>
      </w:pPr>
      <w:r>
        <w:rPr>
          <w:highlight w:val="white"/>
        </w:rPr>
        <w:t xml:space="preserve">Як військова присутність НАТО, так і ставки Альянсу в регіоні зростають. Військові кораблі НАТО дедалі активніші в Чорному морі. В 2014 р. армія США розгорнула близько 600 десантників зі 173-ї повітряно-десантної бригади в Польщі. Хоча вони були заплановані до 2014 р., навчання </w:t>
      </w:r>
      <w:r>
        <w:t xml:space="preserve">BREEZE </w:t>
      </w:r>
      <w:r>
        <w:lastRenderedPageBreak/>
        <w:t>2014 </w:t>
      </w:r>
      <w:r>
        <w:rPr>
          <w:highlight w:val="white"/>
        </w:rPr>
        <w:t>набули додаткового значення через анексію росією українського чорноморського півострова Крим у березні та подальший спалах проросійського сепаратистського повстання на сході України. Навчання включали моніторинг комерційного руху, реагування на асиметричні попередження про загрозу, протичовнову боротьбу та артилерійську стрільбу.</w:t>
      </w:r>
    </w:p>
    <w:p w:rsidR="007559C1" w:rsidRDefault="007A1411">
      <w:pPr>
        <w:rPr>
          <w:highlight w:val="white"/>
        </w:rPr>
      </w:pPr>
      <w:r>
        <w:rPr>
          <w:highlight w:val="white"/>
        </w:rPr>
        <w:t>На початку року військові кораблі США увійшли в Чорне море для забезпечення безпеки та допомоги в боротьбі з тероризмом під час зимових Олімпійських ігор 2014 року в Сочі та з тих пір зберігають постійну присутність через конфлікт в Україні.</w:t>
      </w:r>
    </w:p>
    <w:p w:rsidR="007559C1" w:rsidRDefault="007A1411">
      <w:pPr>
        <w:pBdr>
          <w:top w:val="nil"/>
          <w:left w:val="nil"/>
          <w:bottom w:val="nil"/>
          <w:right w:val="nil"/>
          <w:between w:val="nil"/>
        </w:pBdr>
        <w:ind w:firstLine="680"/>
        <w:rPr>
          <w:color w:val="000000"/>
          <w:highlight w:val="white"/>
        </w:rPr>
      </w:pPr>
      <w:r>
        <w:rPr>
          <w:color w:val="000000"/>
          <w:highlight w:val="white"/>
        </w:rPr>
        <w:t>Крім того, Чорноморські ротаційні сили, що базуються на румунській авіабазі Михайло Когальнічану (MK), приймають 500 постійно дислокованих військовослужбовців США. Завдяки постійній ротації суден кількість кораблів НАТО в Чорному морі досягла найвищого рівня за останні роки.</w:t>
      </w:r>
    </w:p>
    <w:p w:rsidR="007559C1" w:rsidRDefault="007A1411">
      <w:pPr>
        <w:rPr>
          <w:highlight w:val="white"/>
        </w:rPr>
      </w:pPr>
      <w:r>
        <w:rPr>
          <w:highlight w:val="white"/>
        </w:rPr>
        <w:t>Військові об’єкти США та НАТО, розташовані в Чорному морі, забезпечують Альянсу потужну геостратегічну основу для швидкого поширення сили на Каспійський регіон, а також на Близький Схід. Ці сили мають вирішальне значення для підтримки стабільності в регіоні, захисту ліній зв'язку США з Афганістаном і запевнення союзників і партнерів по НАТО в американській відданості їхній безпеці. </w:t>
      </w:r>
    </w:p>
    <w:p w:rsidR="007559C1" w:rsidRDefault="007A1411">
      <w:r>
        <w:rPr>
          <w:highlight w:val="white"/>
        </w:rPr>
        <w:t xml:space="preserve">Згадуючи нещодавні багатонаціональні військові навчання під керівництвом США на заході України, міністр армії США Джон Макх’ю попередив росію, що «якщо хтось ставить під сумнів відданість Сполучених Штатів безпеці в Чорноморському регіоні, вони можуть захотіти поглянути на те, що відбувається на Rapid Trident 14». Метою навчань Rapid Trident-2014 було відпрацювання спільних дій підрозділів країн-учасниць (від США прийняло участь 200 військовослужбовців) для підготовки до виконання завдань у складі багатонаціональних сил. Сценарій навчань включав аспекти, продиктовані бойовими діями на Донбасі: необхідність цивільно-військового співробітництва, питання медичної евакуації та надання першої допомоги з індивідуальними аптечками, заходи протидії ворожій пропаганді, організацію блокпостів та контрольно-пропускних пунктів, проведення колон військової </w:t>
      </w:r>
      <w:r>
        <w:rPr>
          <w:highlight w:val="white"/>
        </w:rPr>
        <w:lastRenderedPageBreak/>
        <w:t xml:space="preserve">техніки, блокування та пошук терористичних груп тощо </w:t>
      </w:r>
      <w:r>
        <w:t>(Навчання Rapid Trident: ретроспектива і топ-факти. 2013-2014 роки, 2014).</w:t>
      </w:r>
    </w:p>
    <w:p w:rsidR="007559C1" w:rsidRDefault="007A1411">
      <w:pPr>
        <w:rPr>
          <w:highlight w:val="white"/>
        </w:rPr>
      </w:pPr>
      <w:r>
        <w:t xml:space="preserve">Події в Криму в 2014 р. суттєво загострили для НАТО проблему Молдавії. На думку Р. Вейтца, що б не сталося в Україні, НАТО має вжити </w:t>
      </w:r>
      <w:r>
        <w:rPr>
          <w:highlight w:val="white"/>
        </w:rPr>
        <w:t xml:space="preserve">термінових заходів для стримування російського військового втручання в Молдову та зміцнити свої гарантії безпеки членам НАТО Болгарії та Румунії. Російські війська в Придністров'ї поділяють Молдову та поширюють заморожений конфлікт у небезпечній близькості від східного кордону НАТО. росія може втрутитися в Україну, і, можливо, в Молдову та Румунію під виглядом захисту етнічних росіян у Придністров’ї. Болгарія та Румунія, як лени НАТО, не менш вразливі до російського тиску, ніж члени НАТО на півночі, а саме Польща та країни Балтії. Крім того, для просування Західних цілей на Балканах, у Каспійському регіоні та Центральній Азії потрібна потужна підтримка Болгарії та Румунії. На думку </w:t>
      </w:r>
      <w:r>
        <w:t xml:space="preserve">Р. Вейтца </w:t>
      </w:r>
      <w:r>
        <w:rPr>
          <w:highlight w:val="white"/>
        </w:rPr>
        <w:t>оптимальна стратегія НАТО полягала б у тому, щоб запевнити Москву в тому, що Молдова не скоро приєднається до НАТО, одночасно збільшуючи колективну здатність Альянсу захищати Болгарію та Румунію від зовнішньої агресії (</w:t>
      </w:r>
      <w:r>
        <w:t>Weitz, 2015)</w:t>
      </w:r>
      <w:r>
        <w:rPr>
          <w:highlight w:val="white"/>
        </w:rPr>
        <w:t>.</w:t>
      </w:r>
    </w:p>
    <w:p w:rsidR="007559C1" w:rsidRDefault="007A1411">
      <w:pPr>
        <w:rPr>
          <w:highlight w:val="white"/>
        </w:rPr>
      </w:pPr>
      <w:r>
        <w:rPr>
          <w:highlight w:val="white"/>
        </w:rPr>
        <w:t>Болгарія та Румунія уважно стежать за подіями в Молдові. Ці два члени НАТО прагнули брати участь у важливих операціях Альянсу та є прихильниками розширення Альянсу, щоб включити Балкани для реалізації свого потенціалу як держав, що з’єднують Європу з Каспійським регіоном та його енергетичними багатствами. Сильно залежні від НАТО у зміцненні своїх слабких збройних сил і нещодавно зазнавши рекордної кількості російських повітряних вторгнень і посиленого контролю з боку росії щодо їхньої військової діяльності в Чорноморському регіоні, де розташований Крим, вони поділяють загальне занепокоєння у Східній Європі щодо неспроможність США та їхніх союзників відвернути російську військову агресію.</w:t>
      </w:r>
    </w:p>
    <w:p w:rsidR="007559C1" w:rsidRDefault="007A1411">
      <w:pPr>
        <w:rPr>
          <w:highlight w:val="white"/>
        </w:rPr>
      </w:pPr>
      <w:r>
        <w:rPr>
          <w:highlight w:val="white"/>
        </w:rPr>
        <w:t xml:space="preserve">Румуни особливо чутливі до безпеки Молдови, їхньої колишньої території, де зараз проживають мільйони румуномовних людей. За підтримки Румунії багато молдаван отримали румунське (а отже, і ЄС) громадянство. Але офіційний крок Молдови приєднатися до Румунії чи НАТО як повноправний </w:t>
      </w:r>
      <w:r>
        <w:rPr>
          <w:highlight w:val="white"/>
        </w:rPr>
        <w:lastRenderedPageBreak/>
        <w:t>член, швидше за все, зустріне більш критичну реакцію в Придністров’ї та Москві. Москва може навіть чинити опір крокам до членства в ЄС, як це було з Україною.</w:t>
      </w:r>
    </w:p>
    <w:p w:rsidR="007559C1" w:rsidRDefault="007A1411">
      <w:pPr>
        <w:rPr>
          <w:highlight w:val="white"/>
        </w:rPr>
      </w:pPr>
      <w:r>
        <w:rPr>
          <w:highlight w:val="white"/>
        </w:rPr>
        <w:t xml:space="preserve">Після 2014 р. загострилася і проблема Південного Кавказу. Разом з Україною до НАТО прагне Грузія. Замість членства НАТО запропонувало Грузії пакет можливостей, який включає розширену політичну співпрацю, навчання грузинських військових і посилену підтримку оборонної реформи. Але Сполучені Штати зіткнуться з серйозною проблемою щодо гарантування безпеки Грузії чи України, враховуючи звичайну військову перевагу росії. Перед 2014 р. та в період 2014-2015 рр. Азербайджан і Вірменія поглибили співпрацю з НАТО, приймаючи та беручи участь у різноманітних навчаннях. В 2014 році відбулися зустрічі на високому рівні між Баку та Брюсселем, і Мобільна навчальна група Командування об’єднаних збройних сил НАТО нещодавно завершила навчальний курс з матеріально-технічного забезпечення для азербайджанських військових. Навіть Вірменія, традиційно найбільш орієнтована на Москву з трьох кавказьких республік, брала участь у таких місіях НАТО, як KFOR та ISAF. Однак Вірменія та Азербайджан також перебувають у «замороженому» конфлікті щодо регіону Нагірного Карабаху. В цьому контексті особливо важливого значення після 2014 р. набула роль Туреччини як одного з членів НАТО, що має свої суттєві інтереси в цьому регіоні. </w:t>
      </w:r>
    </w:p>
    <w:p w:rsidR="007559C1" w:rsidRDefault="007A1411">
      <w:pPr>
        <w:rPr>
          <w:highlight w:val="white"/>
        </w:rPr>
      </w:pPr>
      <w:r>
        <w:rPr>
          <w:highlight w:val="white"/>
        </w:rPr>
        <w:t>З 2014 р. вона перебувала у дуже чутливій ситуації, намагаючись збалансувати своє членство в НАТО та свою залежність від російської енергії. Розбіжності щодо Сирії погіршили відносини Анкари з Москвою, і Туреччина номінально зобов’язана відстоювати права кримських татар, які загалом виступають проти анексії росією їхньої батьківщини. Прецедент порушення територіальної цілісності та суверенітету України ставить під сумнів контроль Туреччини над власними меншинами, посилюючи прагнення до самоврядування та розморожуючи інші заморожені конфлікти в Чорноморському регіоні.</w:t>
      </w:r>
    </w:p>
    <w:p w:rsidR="007559C1" w:rsidRDefault="007A1411">
      <w:pPr>
        <w:rPr>
          <w:highlight w:val="white"/>
        </w:rPr>
      </w:pPr>
      <w:r>
        <w:rPr>
          <w:highlight w:val="white"/>
        </w:rPr>
        <w:t xml:space="preserve">Незважаючи на це, турецький уряд не бажав кинути виклик зростаючій </w:t>
      </w:r>
      <w:r>
        <w:rPr>
          <w:highlight w:val="white"/>
        </w:rPr>
        <w:lastRenderedPageBreak/>
        <w:t>регіональній самовпевненості росії. Виключена з Європейського Союзу Туреччина не була змушена застосувати санкції ЄС проти росії за її агресію в Україні – і відмовилася це зробити. Турецькі лідери, можливо, дивилися на «народну революцію» в сусідній Україні з певною тривогою, враховуючи, що Туреччина також зіткнулася з місяцями безпрецедентних протестів. Станом на 2015 р. Путін добре грав з Туреччиною, тримаючи Анкару мовчазною як у грузинській, так і в кримській кризах, але якщо він продовжить захоплювати колишні радянські території, він може нарешті змусити Туреччину повернутися до своєї традиційної антиросійської позиції, особливо в Чорноморському регіоні.</w:t>
      </w:r>
    </w:p>
    <w:p w:rsidR="007559C1" w:rsidRDefault="007A1411">
      <w:pPr>
        <w:rPr>
          <w:highlight w:val="white"/>
        </w:rPr>
      </w:pPr>
      <w:r>
        <w:rPr>
          <w:highlight w:val="white"/>
        </w:rPr>
        <w:t>Переважна більшість експертів вважала що на початок 2015 р. члени Альянсу повинні розглянути, як зміцнити потенціал колективної оборони НАТО в цьому критично важливому регіоні, а також протидіяти нещодавно продемонстрованим росією вмінням застати Альянс зненацька. Допомогло б, безсумнівно, збільшення можливостей розвідки, спостереження в регіоні та заохочення місцевих органів влади витрачати більше на оновлення своїх оборонних можливостей і вирішення проблеми їхньої політичної та економічної вразливості. Зокрема, вважалося, що лідерам Альянсу необхідно посилити військову міць Болгарії та Румунії, чиї збройні сили слабші, ніж у багатьох інших членів НАТО (</w:t>
      </w:r>
      <w:r>
        <w:t>Weitz, 2015</w:t>
      </w:r>
      <w:r>
        <w:rPr>
          <w:highlight w:val="white"/>
        </w:rPr>
        <w:t xml:space="preserve">). НАТО зробила певні кроки для цього, зокрема проводячи чергові військові навчання «Бриз-2015», в яких брали участь кораблі Постійної морської групи НАТО 1 (SNMG1) і Постійної протимінної групи НАТО 2 (SNMCMG2). На </w:t>
      </w:r>
      <w:r>
        <w:t xml:space="preserve">прес-конференції НАТО в 2015 р. вказувалося, що організація покращила ситуаційну обізнаність і розвідувальні дані, пришвидшує прийняття рішень, досліджує нові способи роботи з міжнародними партнерами та реалізує найбільше посилення нашої колективної оборони з часів закінчення холодної війни за допомогою Плану дій готовності, який мав бути реалізований до Варшавського саміту. НАТО  вдалося суттєво збільшити присутність військ у східній частині Альянсу на ротаційній основі, створити шість центрів командування та управління підрозділами інтеграції сил НАТО та розширити наші навчання на землі, на </w:t>
      </w:r>
      <w:r>
        <w:lastRenderedPageBreak/>
        <w:t>морі та в повітрі. За оцінками фахівців НАТО підвищує готовність і готовність Збройних сил, очолюваних VJTF, які повинні стати повністю оперативними у 2016 році (Joint press conference with Military Committee Chairman General Knud Bartels, SACEUR General Breedlove and SACT General Paloméros, 2015).</w:t>
      </w:r>
    </w:p>
    <w:p w:rsidR="007559C1" w:rsidRDefault="007A1411">
      <w:pPr>
        <w:rPr>
          <w:highlight w:val="white"/>
        </w:rPr>
      </w:pPr>
      <w:r>
        <w:rPr>
          <w:highlight w:val="white"/>
        </w:rPr>
        <w:t>Але НАТО має зробити більше. Наприклад, Румунія могла б посилити свій військово-морський потенціал, тоді як Болгарія могла б розмістити більшу кількість передових військових сил США. НАТО також має розмістити більше ресурсів у цих країнах, щоб гарантувати, що будь-які сили, спрямовані на оборону регіону, запрацюють, а також збільшити свої повітряні транспортні можливості для швидкого переміщення військ у регіон. Для захисту цих транспортних літаків у Румунії та Болгарії може знадобитися більше передових підрозділів протиповітряної оборони.</w:t>
      </w:r>
      <w:r>
        <w:br/>
      </w:r>
      <w:r>
        <w:rPr>
          <w:highlight w:val="white"/>
        </w:rPr>
        <w:t>Члени НАТО можуть сприяти розбудові місцевого потенціалу шляхом послаблення обмежень на продаж зброї Грузії, Україні та іншим партнерам, що не входять до НАТО. Хоча Москва навряд чи братиме участь у військовому конфлікті з членом НАТО, побоюючись активації статті V Північноатлантичного договору, згідно з якою всі члени погоджуються захищати один одного, ці кроки, спрямовані на посилення стримування, також перешкоджатимуть російським військовим діям проти інших країн -країни-члени, такі як Молдова та Грузія, а також запевнити невпевнених союзників, таких як Туреччина, щодо рішучості США та НАТО відстоювати свої інтереси регіональної безпеки.</w:t>
      </w:r>
    </w:p>
    <w:p w:rsidR="007559C1" w:rsidRDefault="007A1411">
      <w:pPr>
        <w:rPr>
          <w:highlight w:val="white"/>
        </w:rPr>
      </w:pPr>
      <w:r>
        <w:rPr>
          <w:highlight w:val="white"/>
        </w:rPr>
        <w:t xml:space="preserve">З 2015 р. посилилися заяви окремих посадових осіб НАТО щодо  відправки оборонної зброї в Україну, щоб допомогти їй компенсувати підтримку росією проросійського повстання на сході України. Однак і Німеччина, і Франція – ключові члени альянсу НАТО – виступили проти надання Києву летальної допомоги. </w:t>
      </w:r>
    </w:p>
    <w:p w:rsidR="007559C1" w:rsidRDefault="007A1411">
      <w:pPr>
        <w:rPr>
          <w:highlight w:val="white"/>
        </w:rPr>
      </w:pPr>
      <w:r>
        <w:t xml:space="preserve">На Варшавському саміті НАТО союзники підтвердили свою прихильність до безпеки в Чорному морі та знову заявили про солідарність у неприйнятті незаконної, триваючої та нелегітимної анексії Криму росією. Варшавське комюніке чітко вказує на те, що Альянс підтримує регіональні </w:t>
      </w:r>
      <w:r>
        <w:lastRenderedPageBreak/>
        <w:t>зусилля союзників по НАТО та прибережних держав Чорного моря, спрямовані на «забезпечення безпеки та стабільності» (NATO. Warsaw Summit Communiqué, 2016). Союзники також зобов'язалися до «відповідних заходів» для розробки «спеціальної передової присутності в південно-східній частині території Альянсу» та багатонаціональної бригади для навчальних цілей у цьому регіоні.</w:t>
      </w:r>
    </w:p>
    <w:p w:rsidR="007559C1" w:rsidRDefault="007A1411">
      <w:r>
        <w:t>Спеціальна передова присутність в Чорному морі включає повітряні, наземні та морські компоненти. Наземний компонент базується в Румунії, повітряна структура керується розгортаннями винищувачів Typhoon з Великої Британії, а морський компонент передбачає використання болгарських та румунських портів для візитів військових кораблів союзників. Варшавські рішення представляють компроміс між більш наполегливою пропозицією, озвученою Румунією, яка виступала за суттєву, постійну військову присутність НАТО в Чорному морі та спільні морські патрулі НАТО, та більш обережною позицією союзників, таких як Болгарія, чиє керівництво висловлювало занепокоєння щодо можливого ескалації в регіоні. Під час передваршавських дискусій турецький уряд не робив заяв на підтримку або проти пропозицій Румунії чи Болгарії. У минулому Туреччина надавала перевагу індивідуальній, а не колективній, морській присутності в Чорному морі.</w:t>
      </w:r>
    </w:p>
    <w:p w:rsidR="007559C1" w:rsidRDefault="007A1411">
      <w:r>
        <w:rPr>
          <w:highlight w:val="white"/>
        </w:rPr>
        <w:t xml:space="preserve">Починаючи з 2014 року і далі відповідно до рішень Варшавського саміту 2016 року та в світлі нових регіональних реалій і викликів безпеці, НАТО зміцнила свою позицію стримування та оборони за допомогою спеціальних заходів передової присутності в Чорноморському регіоні на східному фланзі . Це демонстрація рішучості НАТО в мирний час забезпечити ефективне стримування та надійну колективну оборону. Спеціалізовані заходи передової присутності включають сухопутний компонент – багатонаціональну рамкову бригаду для комплексної підготовки – а також заходи щодо посилення повітряної та морської присутності в регіоні. Багатонаціональна рамкова бригада для навчання сухопутних сил Альянсу зараз розташована в Румунії. Триває робота з подальшого розвитку спроможності бригади сприяти </w:t>
      </w:r>
      <w:r>
        <w:rPr>
          <w:highlight w:val="white"/>
        </w:rPr>
        <w:lastRenderedPageBreak/>
        <w:t>зміцненню стримування та оборони Альянсу. Низка повітряних і морських заходів у Чорноморському регіоні призвела до значного збільшення присутності НАТО та морської активності тут. У морській зоні присутні постійні морські сили НАТО з більшою кількістю кораблів і більшою кількістю військово-морських навчань. У складі Морського командування НАТО було створено Чорноморський функціональний центр, який зосереджується на регіональних питаннях безпеки та підтримує тісні зв’язки з регіональними ВМС країн Альянсу.</w:t>
      </w:r>
    </w:p>
    <w:p w:rsidR="007559C1" w:rsidRDefault="007A1411">
      <w:r>
        <w:t>У серпні 2016 року представники НАТО також погодили створення «координаційного органу», який сприятиме управлінню присутністю НАТО в Чорноморському регіоні (NATO. Boosting NATO’s presence in the east and southeast, 2017) і включатиме компоненти морського та повітряного спостереження. Крім того, Канада, Німеччина, Нідерланди, Польща, Туреччина та США зобов'язалися сприяти повітряним патрулям у регіоні. НАТО також координує колективні регіональні багатонаціональні навчання, спрямовані на підвищення авторитету присутності НАТО в Чорному морі. Найбільш відомим є «Сі Бриз», щорічне навчання, яке спільно проводить Україна із залученням партнерів, таких як Грузія та Швеція. Військові кораблі союзників тепер набагато частіше заходять у Чорне море порівняно з періодом до анексії Криму.</w:t>
      </w:r>
    </w:p>
    <w:p w:rsidR="007559C1" w:rsidRDefault="007A1411">
      <w:pPr>
        <w:rPr>
          <w:highlight w:val="white"/>
        </w:rPr>
      </w:pPr>
      <w:r>
        <w:t xml:space="preserve">До 2021 р. існував широкий спектр програм військової допомоги, від операції ORBITAL з тренувальної місії Великої Британії та багатонаціональної Ініціативи з морського навчання для Військово-морських сил України під керівництвом Великої Британії, до операції UNIFIER Канади та значного зобов’язання США, яке охоплює все від навчання до матеріального забезпечення (і становить 90% іноземної військової допомоги Україні), які координувалися в рамках НАТО. Те, що починалося як операція реагування на кризу в 2014-2015 роках, тепер має можливість перейти до ширшої та повномасштабної програми допомоги Києву у створенні надійної обороноздатності, здатної стримувати подальшу військову агресію – як з суші, так і з моря. Сфери, які можуть бути ціллю в майбутньому, також можуть бути </w:t>
      </w:r>
      <w:r>
        <w:lastRenderedPageBreak/>
        <w:t>розширені до позбавлення росії деяких її конкретних переваг у театрі бойових дій, таких як додаткові можливості у сфері морської, повітряної та електронної війни. Крім того, найсильніші партнери НАТО, такі як Великобританія, могли б створити невеликі логістичні центри в Україні, щоб мати активи, розміщені заздалегідь для полегшення підтримки (Galeotti, Lanoszka, Rogers, 2021).</w:t>
      </w:r>
    </w:p>
    <w:p w:rsidR="007559C1" w:rsidRDefault="007A1411">
      <w:r>
        <w:rPr>
          <w:highlight w:val="white"/>
        </w:rPr>
        <w:t>В 2017 р. вийшов спецзвіт НАТО «Про цивільний вимір безпеки підвищення стабільності у Чорноморському регіоні» (</w:t>
      </w:r>
      <w:r>
        <w:t>Special report, 2017) в якому аналізувалася ситуація з безпекою в Чорному морі та військова діяльність росії. В цьому звіті також вказувалося про те, що cпівпраця з Грузією та Україною, неприбережними державами-членами НАТО, пропонує значні взаємні вигоди. Окрім згаданого вище «Сі Бриз», НАТО здійснює іншу співпрацю з Україною; це включає допомогу в зміцненні берегової оборони та відновленні її Чорноморського флоту, тоді як Україна сприяє морським місіям під керівництвом НАТО. Грузія також бере участь у ряді навчань під керівництвом НАТО з метою підвищення взаємосумісності між грузинськими військовими та силами НАТО. Істотний пакет НАТО-Грузія, прийнятий на саміті в Уельсі у 2014 році, спрямований на підвищення обороноздатності Грузії, її стійкості та тіснішої співпраці з членами НАТО. Постійна співпраця Грузії з Заходом підвищила навички та професіоналізм грузинських морських сил, зокрема берегової охорони. Грузія активно сприяє спільній євроатлантичній безпеці через свою участь у операціях НАТО та ЄС. Грузія є найбільшим не</w:t>
      </w:r>
      <w:r w:rsidR="006A0D23">
        <w:rPr>
          <w:lang w:val="en-GB"/>
        </w:rPr>
        <w:t xml:space="preserve"> </w:t>
      </w:r>
      <w:r>
        <w:t xml:space="preserve">членом НАТО, який робить внесок у Місію «Рішуча підтримка» в Афганістані. </w:t>
      </w:r>
    </w:p>
    <w:p w:rsidR="007559C1" w:rsidRDefault="007A1411">
      <w:r>
        <w:t xml:space="preserve">На думку окремих аналітиків складна ситуація в Чорному морі вимагає свіжого геостратегічного підходу до регіону з боку країн, як внутрішніх, так і зовнішніх щодо цього району. Простіше кажучи, замість того, щоб думати переважно в термінах великого поколіннєвого проєкту, як-от членство в НАТО, Україна та Грузія та їхні прихильники також повинні прагнути до менших ініціатив, які є новими або базуються на існуючих формах стратегічної співпраці. Деякі з цих ініціатив можуть не досягти успіху, але їх варто спробувати, причому Україна, Грузія та їхні партнери не стануть </w:t>
      </w:r>
      <w:r>
        <w:lastRenderedPageBreak/>
        <w:t>гіршими від своїх зусиль. Хоча вони не повинні зменшувати свої амбіції щодо приєднання до НАТО, Київ і Тбілісі повинні підвищувати свою національну стійкість, розвивати тісніші двосторонні та багатосторонні відносини та дискурсивно переосмислювати свій власний регіон. Ці ініціативи можуть не обов’язково запобігти певним сценаріям агресії, але вони можуть допомогти Україні, Грузії та їхнім прихильникам схилити баланс ймовірностей на свою користь щодо росії, дозволяючи їм виграти час, покращити загальне стримування та зміцнити довіру як всередині України та Грузії, так і поза ними (Galeotti, Lanoszka, Rogers, 2021).</w:t>
      </w:r>
    </w:p>
    <w:p w:rsidR="007559C1" w:rsidRDefault="007A1411">
      <w:r>
        <w:rPr>
          <w:highlight w:val="white"/>
        </w:rPr>
        <w:t xml:space="preserve">В 2019 р. Одеса зустріла американський корабель «Дональд Кук». Це стало ознакою того, що НАТО посилює свою присутність у Чорному морі. Хоча це й не виставляє напоказ. Вже в березні 2019 р. </w:t>
      </w:r>
      <w:r>
        <w:t>американським законодавцям головний командувач НАТО в Європі заявив, що для протистояння зростаючій російській загрозі, існує потреба в збільшенні військової присутності в Європі та за її межами: «росія вторглася в Україну, окупувала Крим, здійснила кібератаки проти країн Балтії та України, втрутилася у вибори в США та інших країнах Заходу, а також атакувала кораблі ВМС України, які намагалися пройти через Керченську протоку до українських портів в Азовському морі». «Ми вже досягли значних успіхів у адаптації позиції наших європейських сил для протидії цим загрозам», – сказав він під час слухань у Комітеті збройних сил Сенату США (United States House of representatives committee on Armed Services statement by general Curtis M. Scaparrotti, 2019).</w:t>
      </w:r>
    </w:p>
    <w:p w:rsidR="007559C1" w:rsidRDefault="007A1411">
      <w:pPr>
        <w:rPr>
          <w:highlight w:val="white"/>
        </w:rPr>
      </w:pPr>
      <w:r>
        <w:rPr>
          <w:highlight w:val="white"/>
        </w:rPr>
        <w:t> 3 квітня США оголосили про намір посилити військову присутність НАТО в Чорному морі шляхом відправлення нових кораблів. «Ми гарантуємо, що у нас є спроможність стримувати дуже агресивну росію</w:t>
      </w:r>
      <w:r w:rsidR="00C37538" w:rsidRPr="00F96D16">
        <w:t>»</w:t>
      </w:r>
      <w:r w:rsidR="00F96D16">
        <w:rPr>
          <w:lang w:val="en-GB"/>
        </w:rPr>
        <w:t>,</w:t>
      </w:r>
      <w:r>
        <w:rPr>
          <w:highlight w:val="white"/>
        </w:rPr>
        <w:t xml:space="preserve"> — заявила посол США в НАТО Кей Бейлі Гатчісон. Вона запевнила, що пропозиція США спрямована на те, щоб «забезпечити безпечний прохід українських кораблів через Керченську протоку» (</w:t>
      </w:r>
      <w:r>
        <w:t>Trouillard, 2019)</w:t>
      </w:r>
      <w:r>
        <w:rPr>
          <w:highlight w:val="white"/>
        </w:rPr>
        <w:t>.</w:t>
      </w:r>
    </w:p>
    <w:p w:rsidR="007559C1" w:rsidRDefault="007A1411">
      <w:pPr>
        <w:rPr>
          <w:highlight w:val="white"/>
        </w:rPr>
      </w:pPr>
      <w:r>
        <w:rPr>
          <w:highlight w:val="white"/>
        </w:rPr>
        <w:t xml:space="preserve">Цей план з’явився після листопадового військово-морського інциденту між Україною та росією, коли російська берегова охорона взяла на борт </w:t>
      </w:r>
      <w:r>
        <w:rPr>
          <w:highlight w:val="white"/>
        </w:rPr>
        <w:lastRenderedPageBreak/>
        <w:t>українські військові кораблі, які намагалися увійти в Азовське море через Керченську протоку, що відокремлює його від Чорного моря. Внаслідок інциденту троє людей отримали поранення, 24 українських моряків потрапили в полон.</w:t>
      </w:r>
    </w:p>
    <w:p w:rsidR="007559C1" w:rsidRDefault="007A1411">
      <w:r>
        <w:rPr>
          <w:highlight w:val="white"/>
        </w:rPr>
        <w:t>Американська ініціатива є перш за все відповіддю на погіршення ситуації в Чорноморському регіоні. Цими діями а</w:t>
      </w:r>
      <w:r>
        <w:t>мериканці хотіли заспокоїти Болгарію, Румунію та Грузію. Також, можливо, це була ідея допомогти президенту України Порошенку, який перебуває у поганому становищі перед другим туром президентських виборів», – пояснює він.</w:t>
      </w:r>
    </w:p>
    <w:p w:rsidR="007559C1" w:rsidRDefault="007A1411">
      <w:pPr>
        <w:rPr>
          <w:highlight w:val="white"/>
        </w:rPr>
      </w:pPr>
      <w:r>
        <w:rPr>
          <w:highlight w:val="white"/>
        </w:rPr>
        <w:t>На думку Б. Ходжеса на найширшому рівні Вашингтон має підвищити пріоритетність Чорноморського регіону та розробити стратегію, яка розмістить Чорне море в центрі геостратегічної карти Євразії. Відповідно, НАТО має оголосити всі можливості на східному фланзі альянсу «передовою присутністю» проти «розширених» і «спеціалізованих».</w:t>
      </w:r>
    </w:p>
    <w:p w:rsidR="007559C1" w:rsidRDefault="007A1411">
      <w:pPr>
        <w:rPr>
          <w:highlight w:val="white"/>
        </w:rPr>
      </w:pPr>
      <w:r>
        <w:rPr>
          <w:highlight w:val="white"/>
        </w:rPr>
        <w:t>Крім того, НАТО має покращити командування місією, обмін розвідданими та свою фізичну присутність у Чорноморському регіоні. Це має початися з поступового плану оборони, подібного до того, що було затверджено для Балтійського регіону. НАТО має також створити спільний тризірковий штаб для Чорноморського регіону. Це командування використовуватиме розвідувальні дані з усіх джерел, покращуючи обізнаність про ситуацію та підвищуючи «швидкість розпізнавання» в Чорноморському регіоні.</w:t>
      </w:r>
    </w:p>
    <w:p w:rsidR="007559C1" w:rsidRDefault="007A1411">
      <w:r>
        <w:t>Це особливо важливо з огляду на уроки гібридного вторгнення Москви в Крим. Цей епізод чітко показав, що НАТО потрібно покращити свою швидкість: (1) швидкість визнання намірів Кремля, незважаючи на російські кібератаки та зусилля з дезінформації, а також навчання та пересування; (2) швидкість прийняття рішень на всіх ешелонах альянсу та/або національних сил; і (3) швидкість збирання для запобігання або реагування на потенційну кризу. Навчання та забезпечення ресурсами, таким чином, повинні бути спрямовані на швидке, ефективне та швидке реагування.</w:t>
      </w:r>
    </w:p>
    <w:p w:rsidR="007559C1" w:rsidRDefault="007A1411">
      <w:r>
        <w:t xml:space="preserve">Що стосується фізичної присутності, НАТО має зміцнити оборону </w:t>
      </w:r>
      <w:r>
        <w:lastRenderedPageBreak/>
        <w:t>західної частини Чорного моря за допомогою безпілотних морських систем і систем наземного базування, включаючи протикорабельні ракети, безпілотники та гвинтокрилу штурмову авіацію. Подібно до місії повітряного контролю НАТО в Балтії, Альянс повинен виконувати постійні місії з охорони морського флоту за допомогою військово-морської присутності НАТО поза межами прибережної території. НАТО має також створити Центр передового досвіду безпілотних літальних апаратів у Румунії (Hodges, 2020).</w:t>
      </w:r>
    </w:p>
    <w:p w:rsidR="007559C1" w:rsidRDefault="007A1411">
      <w:pPr>
        <w:rPr>
          <w:highlight w:val="white"/>
        </w:rPr>
      </w:pPr>
      <w:r>
        <w:rPr>
          <w:highlight w:val="white"/>
        </w:rPr>
        <w:t>Щоб підтримати ці сили, альянс має покращити зв’язок, командування місією, транспорт, розвідку, паливо, зберігання боєприпасів та інфраструктуру району збору в Чорноморському регіоні. Кодифікація 10-річної дорожньої карти американсько-румунського оборонного співробітництва у жовтні 2020 року стала позитивним кроком. Румунія модернізує авіабазу Михайло Когальнічану біля Чорного моря (</w:t>
      </w:r>
      <w:r>
        <w:t>Vergun, 2020). Це також в</w:t>
      </w:r>
      <w:r>
        <w:rPr>
          <w:highlight w:val="white"/>
        </w:rPr>
        <w:t>имагає посилення та інтеграції протиповітряної та протиракетної оборони (ПРО). Можливості AMD мають бути багаторівневими для максимального захисту. Румунія має американську систему Aegis Ashore і вже отримала систему ППО Patriot. Проте в регіоні потрібні додаткові ресурси AMD. Крім того, щоб забезпечити та підтримувати готовність, альянс має проводити регулярні навчання ПРО на ТВД, командно-штабні навчання та бойові стрільби.</w:t>
      </w:r>
    </w:p>
    <w:p w:rsidR="007559C1" w:rsidRDefault="007A1411">
      <w:pPr>
        <w:rPr>
          <w:highlight w:val="white"/>
        </w:rPr>
      </w:pPr>
      <w:r>
        <w:rPr>
          <w:highlight w:val="white"/>
        </w:rPr>
        <w:t>Ці передові елементи також мають бути повністю інтегровані в ширшу зону відповідальності Верховного головнокомандувача ОЗС НАТО в Європі. Передові елементи в Чорноморському регіоні мають підтримуватися трансконтинентальною транспортною інфраструктурою, більш частими навчаннями з матеріально-технічного забезпечення та розгортання, а також покращеною військовою мобільністю. При цьому кіберзахист має бути пріоритетом, враховуючи залежність  росії від цього інструменту асиметричної війни.</w:t>
      </w:r>
    </w:p>
    <w:p w:rsidR="007559C1" w:rsidRDefault="007A1411">
      <w:pPr>
        <w:rPr>
          <w:highlight w:val="white"/>
        </w:rPr>
      </w:pPr>
      <w:r>
        <w:rPr>
          <w:highlight w:val="white"/>
        </w:rPr>
        <w:t xml:space="preserve">Вашингтон, безумовно, повинен заохочувати та допомагати керувати цими зусиллями, але більшість сил може і повинна надходити від інших членів НАТО, що ще раз підкреслює цінність альянсу для американців. </w:t>
      </w:r>
      <w:r>
        <w:t xml:space="preserve">Значні розбіжності між союзниками та партнерами НАТО в Чорному морі добре </w:t>
      </w:r>
      <w:r>
        <w:lastRenderedPageBreak/>
        <w:t>відомі. Тому на кінець 2 десятиліття ХХ століття існувала необхідність у створенні спеціального форуму, змодельованого за зразком «Northern Future Forum» між Великою Британією та країнами Балтії і Північної Європи, міг би стати платформою для пом'якшення напруженості та об’єднання регіональних країн-однодумців у спільному союзі.</w:t>
      </w:r>
    </w:p>
    <w:p w:rsidR="007559C1" w:rsidRDefault="007A1411">
      <w:r>
        <w:rPr>
          <w:highlight w:val="white"/>
        </w:rPr>
        <w:t xml:space="preserve">Таким чином, агресія росії проти України суттєво активізувала зусилля НАТО в Чорноморському регіоні. Більше уваги почало приділятися військовим навчанням, посилилося усвідомлення в необхідності нарощення присутності НАТО в країнах-членах, що входять до цього регіону. Особлива увага приділялася Румунії, яка межує з Молдавією, що пов’язана з підвищеними ризиками подальшої анексії зі сторони росії. При цьому Туреччина проводила потрійну політику, націлену на реалізацію власних амбіцій, обережні відносини з росією та маневрування в рамках НАТО. В цілому з 2014 року НАТО досягла значного прогресу вздовж свого східного флангу з росією, що включало збільшення ротаційних сил, більше попереднього обладнання та значне збільшення кількості, складності та масштабу навчань НАТО. Однак детальна оцінка змін свідчить, що більша частина цього прогресу відбулася в країнах Балтії та Польщі. Тому зміни підходів НАТО до Чорноморського регіону варто оцінювати як повільні та недостатні для протидії впливу росії. </w:t>
      </w:r>
      <w:r>
        <w:t>На найширшому регіональному рівні НАТО все ще має фігурувати в стратегічних амбіціях України та Грузії, але очікування щодо його фокусу на регіон мають бути реалістичними. Альянс не має чіткої стратегії щодо Чорного моря, не кажучи вже про чіткий шлях для будь-якої країни до отримання навіть ПДЧ (Плану дій щодо членства). Відповідно назріла необхідність в розробці Стратегії НАТО щодо Чорного моря.</w:t>
      </w:r>
    </w:p>
    <w:p w:rsidR="007559C1" w:rsidRDefault="007A1411">
      <w:pPr>
        <w:widowControl/>
        <w:spacing w:line="240" w:lineRule="auto"/>
        <w:ind w:firstLine="0"/>
        <w:jc w:val="left"/>
      </w:pPr>
      <w:r>
        <w:br w:type="page"/>
      </w:r>
    </w:p>
    <w:p w:rsidR="007559C1" w:rsidRDefault="007A1411">
      <w:pPr>
        <w:pStyle w:val="1"/>
      </w:pPr>
      <w:bookmarkStart w:id="4" w:name="_heading=h.2et92p0" w:colFirst="0" w:colLast="0"/>
      <w:bookmarkEnd w:id="4"/>
      <w:r>
        <w:lastRenderedPageBreak/>
        <w:t>РОЗДІЛ 4. ЗМІНИ В ЧОРНОМОРСЬКІЙ СТРАТЕГІЇ НАТО ПІСЛЯ АКТИВІЗАЦІЇ ВІЙСЬКОВОЇ АГРЕСІЇ РОСІЇ В УКРАЇНІ В 2022-2023 РОКАХ</w:t>
      </w:r>
    </w:p>
    <w:p w:rsidR="007559C1" w:rsidRDefault="007559C1">
      <w:pPr>
        <w:rPr>
          <w:highlight w:val="white"/>
        </w:rPr>
      </w:pPr>
    </w:p>
    <w:p w:rsidR="007559C1" w:rsidRDefault="007A1411">
      <w:pPr>
        <w:rPr>
          <w:highlight w:val="white"/>
        </w:rPr>
      </w:pPr>
      <w:r>
        <w:rPr>
          <w:highlight w:val="white"/>
        </w:rPr>
        <w:t xml:space="preserve">22 лютого 2022 р. росія розпочала новий виток військової агресії проти України. Напередодні цього, 19 лютого 2022 р. вийшла стаття Х. Уллмана (2022) де було зафіксована ситуація, коли НАТО після розширення членства у регіоні в 2004 р. нехтувала Чорним морем. Не зважаючи на певні зусилля НАТО, окупації росією Південної Осетії в 2008 р,, Криму та частини східної України в 2014 р. суттєвих заходів посилення стримування та заспокоєння в Чорноморському регіоні здійснено не було. Більш того, не було надано відповідь як може бути стратегічно використаний Чорноморський регіон. При цьому накопичення військ біля кордонів України та посилення Чорноморського флоту напередодні агресії однозначно свідчило про необхідність ув’язування стратегії НАТО в Чорному морі з Україною. </w:t>
      </w:r>
    </w:p>
    <w:p w:rsidR="007559C1" w:rsidRDefault="007A1411">
      <w:pPr>
        <w:rPr>
          <w:highlight w:val="white"/>
        </w:rPr>
      </w:pPr>
      <w:r>
        <w:rPr>
          <w:highlight w:val="white"/>
        </w:rPr>
        <w:t>Х. Уллман (2022) напередодні війни робив висновок про те, що Україна може стати для НАТО своєрідною версією Fulda Gap, тобто територією, яка в епоху холодної війни вважалася одним з основних потенційних напрямків вторгнення в Західну Європу сил варшавського блоку. На думку автора підвищення ймовірності нападу росії на Україну автоматично приводило д</w:t>
      </w:r>
      <w:r w:rsidR="00B405CB">
        <w:rPr>
          <w:highlight w:val="white"/>
          <w:lang w:val="en-GB"/>
        </w:rPr>
        <w:t xml:space="preserve">о </w:t>
      </w:r>
      <w:r>
        <w:rPr>
          <w:highlight w:val="white"/>
        </w:rPr>
        <w:t xml:space="preserve">розширення свого військового потенціалу та розміру своїх сил, розміщених у Європі, посилення озброєння, запровадження більш жорстких санкцій. Однак це все ще не стратегія. Потенційна загроза з боку росії від ймовірного захоплення о. Зміїний поблизу Одеси для Болгарії та Румунії, гирла Дунаю обумовлює необхідність розробки та впровадження такої стратегії. </w:t>
      </w:r>
    </w:p>
    <w:p w:rsidR="007559C1" w:rsidRDefault="007A1411">
      <w:pPr>
        <w:rPr>
          <w:highlight w:val="white"/>
        </w:rPr>
      </w:pPr>
      <w:r>
        <w:rPr>
          <w:highlight w:val="white"/>
        </w:rPr>
        <w:t xml:space="preserve">Якою б могла бути така стратегія? Основою цієї стратегії мало б бути запобігання та захист від російських ініціатив і політики, за допомогою стратегічних, військових, економічних і дипломатичних засобів, а також залучення, де це можливо. В цьому контексті на першому етапі Україну пропонувалося  перетворити на інструмент «захисту дикобраза» – тобто використовуючи Україну надати росії таких втрат, щоб вона не змогла </w:t>
      </w:r>
      <w:r>
        <w:rPr>
          <w:highlight w:val="white"/>
        </w:rPr>
        <w:lastRenderedPageBreak/>
        <w:t>посилити власне і захоплене Чорноморське узбережжя.</w:t>
      </w:r>
    </w:p>
    <w:p w:rsidR="007559C1" w:rsidRDefault="007A1411">
      <w:pPr>
        <w:rPr>
          <w:highlight w:val="white"/>
        </w:rPr>
      </w:pPr>
      <w:r>
        <w:rPr>
          <w:highlight w:val="white"/>
        </w:rPr>
        <w:t>На другому етапі принцип Porcupine Defense (Захист дикобраза) пропонувалося використати щодо Румунії та Болгарії. Сили, що захищаються, повинні бути здатні завдати максимальних руйнувань, а отже, болю та витрат, у найкоротший час для атакуючої сили. Десятки тисяч безпілотних літальних апаратів, що працюють на суші, в морі та під водою, а також у повітрі, огортатимуть і намагатимуться подолати ворога. Porcupine Defense передбачатиме використання вибухових пристроїв вагою 20 000 фунтів для знищення та блокування під’їзних шляхів до Болгарії та Румунії, що перешкоджає доступу. Обман, введення в оману, дезінформація, дезінформація та повний спектр інформаційних війн будуть спрямовані проти будь-якої атакуючої сили разом із кінетичними протитанковими та протиповітряними ракетами з плеча у величезній кількості. Охорона або партизанські загони були навчені турбувати ворога за допомогою партизанської тактики.</w:t>
      </w:r>
    </w:p>
    <w:p w:rsidR="007559C1" w:rsidRDefault="007A1411">
      <w:r>
        <w:t>Серед найвищих пріоритетів Чорноморський флот росії має бути підданий ризику на відстані. Для Румунії та її ВМС Porcupine вимагає отримання крилатих ракет великої дальності, щоб загрожувати Чорноморському флоту в його рідних водах; набір безпілотних датчиків ПЛО і ПВО та зброї для доповнення цієї стратегії; і навіть придбання підводних човнів за програмою, паралельною з AUKUS (Австралія-Великобританія-США), в рамках якої Австралія планує придбати аж десяток атомних підводних човнів; та радари Over Horizon (OTH) в аеростатах/транспортних засобах легших за повітря (LTA), відомих як Blimps; РЕБ обман, дезінформація та системи дезінформації; та інші можливості. Метою має бути поставити під загрозу Чорноморський флот.</w:t>
      </w:r>
    </w:p>
    <w:p w:rsidR="007559C1" w:rsidRDefault="007A1411">
      <w:r>
        <w:t xml:space="preserve">Порт Констанца на східному узбережжі Румунії має бути перетворений на міні-Калінінград у військовому плані та порт розміром з Роттердам з економічної точки зору. Системи протиповітряної та протиповітряної боротьби будуть посилені сусідньою авіабазою Михайла Коґальнічану (MK), яка перебуває в процесі модернізації для розміщення літаків п’ятого </w:t>
      </w:r>
      <w:r>
        <w:lastRenderedPageBreak/>
        <w:t>покоління. Літаки США та НАТО також розмістять більше літаків на МК, щоб зміцнити можливості НАТО.</w:t>
      </w:r>
    </w:p>
    <w:p w:rsidR="007559C1" w:rsidRDefault="007A1411">
      <w:pPr>
        <w:rPr>
          <w:highlight w:val="white"/>
        </w:rPr>
      </w:pPr>
      <w:r>
        <w:t xml:space="preserve">Обхід Конвенції Монтре пропонувалося здійснити через Дунай. Для цього було необхідно </w:t>
      </w:r>
      <w:r>
        <w:rPr>
          <w:highlight w:val="white"/>
        </w:rPr>
        <w:t>зробить Констанцу еквівалентом Роттердаму. Серед варіантів – зміна прапорів військових кораблів до Румунії, які все ще перебувають під командуванням США або розміщення сил у дельті Дунаю, які можуть діяти без обмежень на вхід у Чорне море (</w:t>
      </w:r>
      <w:r>
        <w:t>Ullman, 2022)</w:t>
      </w:r>
      <w:r>
        <w:rPr>
          <w:highlight w:val="white"/>
        </w:rPr>
        <w:t>.</w:t>
      </w:r>
    </w:p>
    <w:p w:rsidR="007559C1" w:rsidRDefault="007A1411">
      <w:r>
        <w:rPr>
          <w:highlight w:val="white"/>
        </w:rPr>
        <w:t xml:space="preserve">Такий підхід свідчить про те, що пошук напрямків та заходів виваженої стратегії НАТО в Чорноморському регіоні активізувався через зростання загроз. З 2022 р. Чорне море стало основним фронтом агресії Кремля. Як на це відреагувало НАТО? </w:t>
      </w:r>
      <w:r>
        <w:t xml:space="preserve">НАТО визнало дисбаланс у своїй оборонній позиції проти росії та відреагувало, створивши єдину союзницьку присутність уздовж усього Східного флангу. </w:t>
      </w:r>
    </w:p>
    <w:p w:rsidR="007559C1" w:rsidRDefault="007A1411">
      <w:r>
        <w:t xml:space="preserve">В червні 2022 р. планувався черговий саміт НАТО. Експерти очікували від нього обговорень збільшення позиції сил НАТО на східному кордоні альянсу. При цьому в їх середовищі відчувалося певне розчарування, оскільки до першого вторгнення росії в Україну в 2014 році стратегічний фокус НАТО на регіоні з 2008 по 2012 рік обмежувався короткими згадками регіону майже побіжно в деклараціях і комюніке самітів. Посилання здебільшого обмежувалися коротким визнанням підтримки регіональних зусиль причорноморських держав щодо забезпечення безпеки та стабільності та відкритості альянсу до прогресу в консолідації регіональної співпраці. Навіть після анексії Криму та війни на Донбасі глави держав і урядів (HOSG) на саміті в Уельсі 2014 року повторили формулювання попередніх років, лише в одному реченні стверджуючи очевидне: що дії росії суперечать принципам на яких базувалися встановлені Заходи довіри в Чорному морі (Horrell, Kuz, 2022). </w:t>
      </w:r>
    </w:p>
    <w:p w:rsidR="007559C1" w:rsidRDefault="007A1411">
      <w:r>
        <w:t xml:space="preserve">Після 2014 року відповідь НАТО на посилення загрози членам НАТО в регіоні Чорного моря полягала у створенні посиленої передової присутності (eFP) у регіоні Балтійського моря. Але переважна більшість експертів вважала, що  альянс не повинен приймати рішення «або-або», які торгують між одним регіоном та іншим. НАТО стикається з єдиною загрозою, а тому  відповідь </w:t>
      </w:r>
      <w:r>
        <w:lastRenderedPageBreak/>
        <w:t>альянсу має бути як єдина присутність.</w:t>
      </w:r>
    </w:p>
    <w:p w:rsidR="007559C1" w:rsidRDefault="007A1411">
      <w:r>
        <w:t>В</w:t>
      </w:r>
      <w:r>
        <w:rPr>
          <w:highlight w:val="white"/>
        </w:rPr>
        <w:t xml:space="preserve"> червні 2022 р. на Мадридському Саміті була прийнята нова </w:t>
      </w:r>
      <w:r>
        <w:t>Стратегічна концепція НАТО, в якій Чорноморський регіон було визнано стратегічно важливим для Альянсу (NATO 2022 Strategic Concept, 2022, с. 11). Стратегія визначила ревізіоністську росію як супротивника Альянсу, що рухається вперед (а також підкреслить конкуренцію з Китаєм). </w:t>
      </w:r>
    </w:p>
    <w:p w:rsidR="007559C1" w:rsidRDefault="007A1411">
      <w:r>
        <w:t>Перед самітом союзники погодилися створити чотири нові багатонаціональні бойові групи, включаючи ті, що в чорноморських державах. Франція взяла на себе лідерство в зміцненні бойової групи в Румунії, до якої приєдналися сили з Бельгії, Нідерландів та Польщі. Італія стала національною базою для болгарської бойової групи, до складу якої входять внески від Албанії, Великобританії та США. Крім бойових військ, обидві бойові групи включають попередньо розташоване обладнання, таке як системи протиповітряної оборони, відповідно до нової моделі НАТО «передової обор</w:t>
      </w:r>
      <w:r w:rsidRPr="007E0655">
        <w:t>они» (</w:t>
      </w:r>
      <w:r w:rsidRPr="007E0655">
        <w:rPr>
          <w:rFonts w:eastAsia="Roboto Light"/>
          <w:color w:val="231F20"/>
        </w:rPr>
        <w:t>Romanyshyn, 2023)</w:t>
      </w:r>
      <w:r w:rsidRPr="007E0655">
        <w:t>.</w:t>
      </w:r>
    </w:p>
    <w:p w:rsidR="007559C1" w:rsidRDefault="007A1411">
      <w:r>
        <w:t>Лідер</w:t>
      </w:r>
      <w:r w:rsidR="00477477">
        <w:rPr>
          <w:lang w:val="en-GB"/>
        </w:rPr>
        <w:t>и</w:t>
      </w:r>
      <w:r>
        <w:t xml:space="preserve"> НАТО, США, загостри</w:t>
      </w:r>
      <w:r w:rsidR="00477477">
        <w:rPr>
          <w:lang w:val="en-GB"/>
        </w:rPr>
        <w:t>ли</w:t>
      </w:r>
      <w:r>
        <w:t xml:space="preserve"> свою увагу на Чорному морі. У лютому 2022 року Вашингтон вирішив передислокувати 1000 військових з Німеччини до Румунії, підвищивши загальну кількість своїх солдатів у країні до близько 1900. США також зобов'язалися розгорнути роту піхоти з броньованими машинами в складі бойової групи НАТО в Болгарії. Крім цих заходів для забезпечення безпеки, американські законодавці внесли двопартійний законопроєкт – «Акт про безпеку Чорного моря» (Black Sea Security Act,  2023), який закликає Вашингтон збільшити свої зобов'язання перед країнами регіону, посилити військову допомогу та покращити координацію з НАТО та ЄС. Якщо законопроєкт буде прийнятий, він стане основою для першої в своєму роді стратегії США щодо Чорноморського регіону.</w:t>
      </w:r>
    </w:p>
    <w:p w:rsidR="007559C1" w:rsidRDefault="007A1411">
      <w:r>
        <w:t xml:space="preserve">Агресія росії активізувала оборонні політики прибережних союзників НАТО. Через кілька місяців після вторгнення росії, Румунія зобов'язалася збільшити витрати на оборону до 2,5% від ВВП, дала зелене світло для розширення бойової групи НАТО до рівня бригади та завершила покупку 32 винищувачів F-16 для заміни старих радянських літаків. У значному кроці до </w:t>
      </w:r>
      <w:r>
        <w:lastRenderedPageBreak/>
        <w:t>зміцнення своїх військово-морських можливостей, Бухарест оголосив про намір придбати щонайменше два французькі підводні човни.</w:t>
      </w:r>
    </w:p>
    <w:p w:rsidR="007559C1" w:rsidRDefault="007A1411">
      <w:r>
        <w:t>Аналогічно, Болгарія стала більш реалістично оцінювати російську загрозу своїй безпеці. У січні 2022 року болгарське військове керівництво не було переконане в необхідності присутності військ НАТО в країні, але змінило свою позицію вже через кілька тижнів. Софія припинила імпорт російського газу, уклала угоду про модернізацію своїх військово-повітряних сил новими винищувачами F-16 та зобов'язалася передати зброю Україні.</w:t>
      </w:r>
    </w:p>
    <w:p w:rsidR="007559C1" w:rsidRDefault="007A1411">
      <w:r>
        <w:t>З іншого боку, Туреччина, в 2022 р. продовжила оцінювати свій підхід до регіональної безпеки. При цьому, агресія росії закріпила образ Анкари як нейтрального посередника, що підтверджується її роллю у врегулюванні угоди, яка зняла російську морську блокаду українських чорноморських портів, що використовуються для експорту продовольства. Тобто прагнення знайти середній шлях формувало турецьку відповідь. Анкара закрила протоку Босфор для російських військових кораблів, як того вимагає Конвенція Монтре, але також заборонила транзит усім іншим військовим суднам.</w:t>
      </w:r>
    </w:p>
    <w:p w:rsidR="007559C1" w:rsidRDefault="007A1411">
      <w:r>
        <w:t xml:space="preserve">Важливим сигналом для НАТО стало повернення Україною острова Зміїний, який фактично є ключом доступу до північно-західної частини Чорного моря. В цілому той факт, що Україна змогла зупинити та послабити російський Чорноморський флот, практично не маючи власного флоту, дозволив НАТО посилити підтримку України. </w:t>
      </w:r>
    </w:p>
    <w:p w:rsidR="007559C1" w:rsidRDefault="007A1411">
      <w:r>
        <w:t xml:space="preserve">Окремі союзники НАТО, насамперед США та Великобританія, взяли на себе провідну роль у відновленні військово-морських сил України. До лютого 2022 року Вашингтон подарував п'ять патрульних катерів класу Island і уклав угоду про продаж 16 катерів Mark-6. Крім того, Україна отримала кредит у розмірі 1,7 мільярда фунтів стерлінгів від Великобританії, щоб дозволити Києву придбати два тральщики та побудувати вісім нових ракетних катерів. Придбання цих суден відповідало військово-морській стратегії України 2018 року. Її головною метою було створення великого флоту малих, швидких і високоманеврових суден («москітний флот»), які могли б завдати шкоди більшим і потужнішим військовим кораблям російського Чорноморського </w:t>
      </w:r>
      <w:r>
        <w:lastRenderedPageBreak/>
        <w:t>флоту. Початковий успіх України у стримуванні флоту, що базується в Криму, засвідчив те, що динаміка безпеки в Чорному морі більше не визначається виключно традиційними військово-морськими силами, а все більше залежить від технологічно передових можливостей – ракет і дронів, призначених для знищення цих флотів.</w:t>
      </w:r>
    </w:p>
    <w:p w:rsidR="007559C1" w:rsidRDefault="007A1411">
      <w:r>
        <w:t>Після років нехтування війна росії проти України спонукала трансатлантичну спільноту змінити свою політику щодо Чорного моря. Оскільки НАТО консолідує свою присутність на південному сході, США надають регіону більше стратегічного значення, союзники стають більш одностайними, а Україна виявляє слабкі сторони військово-морської позиції росії, Альянс з 2023 р. почав доходити до того, що він тепер має можливість відбити експансіонізм росії та підтримувати регіональну безпеку на основі правил і принципів міжнародного права, включаючи свободу навігації.</w:t>
      </w:r>
    </w:p>
    <w:p w:rsidR="007559C1" w:rsidRDefault="007A1411">
      <w:r>
        <w:t>Ключем до досягнення цієї мети є подальша підтримка України, щоб Київ міг відновити свою територіальну цілісність. Союзницька допомога, така як протикорабельні ракети, протимінні можливості та бойові дрони, відіграли важливу роль у запобіганні відрізанню росією морських перевезень України. Допомога Україні у поверненні окупованих територій і морських районів є наступним кроком. Окрім існуючих наземних батарей, надання протикорабельних ракет на базі кораблів (ракетних катерів) і літаків (бойових дронів) дозволило б Києву постійно атакувати російські військово-морські бази в Криму та завдати непоправної шкоди їхнім військово-морським силам. Посилення військово-морських можливостей України є інвестицією в колективну безпеку Альянсу.</w:t>
      </w:r>
    </w:p>
    <w:p w:rsidR="007559C1" w:rsidRPr="002A5EA5" w:rsidRDefault="007A1411">
      <w:pPr>
        <w:rPr>
          <w:rFonts w:eastAsia="Roboto Light"/>
          <w:color w:val="231F20"/>
        </w:rPr>
      </w:pPr>
      <w:r>
        <w:t xml:space="preserve">Ще одним пріоритетом є зміцнення передової присутності союзників у цьому регіоні. Як визнає будь-який союзник зі Східного флангу, навряд чи є кращий засіб стримування російської загрози, ніж розгорнуті сили НАТО. Хоча наземні та повітряні компоненти оборонної позиції НАТО в Чорноморському регіоні були посилені, морський елемент залишається недостатнім. Один із способів покращити ситуацію – допомогти прибережним союзникам – Болгарії та Румунії – модернізувати свій поточний флот </w:t>
      </w:r>
      <w:r>
        <w:lastRenderedPageBreak/>
        <w:t>надводних кораблів і розробити нові можливості, такі як підводні човни та морські дрони. Тим часом, поки тривають програми переозброєння, окремі країни-члени НАТО можуть збільшити свою морську присутність у Чорному морі. США можуть взяти на себе лідерство, але цей крок ідеально було б реалізувати на основі європейських зусиль, залучаючи ресурси Великобританії, Франції, Італії, Нідерландів та Німеччини. Це надіслало б потужний сигнал про трансатлантичну єдн</w:t>
      </w:r>
      <w:r w:rsidRPr="002A5EA5">
        <w:t xml:space="preserve">ість </w:t>
      </w:r>
      <w:r w:rsidRPr="002A5EA5">
        <w:rPr>
          <w:rFonts w:eastAsia="Roboto Light"/>
          <w:color w:val="231F20"/>
        </w:rPr>
        <w:t xml:space="preserve">(Romanyshyn, 2023). </w:t>
      </w:r>
    </w:p>
    <w:p w:rsidR="007559C1" w:rsidRDefault="007A1411">
      <w:r>
        <w:t xml:space="preserve">На думку Т. Кулик та Д. Прошина (2022) дії росії спрямовані не тільки проти України, а й проти відкритих суспільств, способу життя, самої ідеї вільної Європи (с. 46). Однак оцінка авторів цього концептуального документу дуже стримана, адже не було відмінено Основоположний акт НАТО – росія. А переважна більшість практичних дій знову обмежилася лише заявами (с. 46).  </w:t>
      </w:r>
    </w:p>
    <w:p w:rsidR="007559C1" w:rsidRDefault="007A1411">
      <w:r>
        <w:t xml:space="preserve">На думку С. Хоррелла та І. Кузь (2022) стратегія Чорного моря від НАТО повинна була включати наступні положення: </w:t>
      </w:r>
    </w:p>
    <w:p w:rsidR="007559C1" w:rsidRDefault="007A1411">
      <w:r>
        <w:t>– регіональне лідерство має вирішальне значення для успішної стратегії НАТО в Чорноморському регіоні. Балтійський регіон отримав заслужену увагу, оскільки його регіональні союзники здебільшого виступали в один голос. Трьом союзникам НАТО, які є прибережними державами Чорного моря, з іншого боку, бракує спільного бачення загрози та найкращого шляху. Пошук спільної мови між Туреччиною, Болгарією та Румунією є важливим для безпеки НАТО в Чорному морі;</w:t>
      </w:r>
    </w:p>
    <w:p w:rsidR="007559C1" w:rsidRDefault="007A1411">
      <w:r>
        <w:t>– збільшення позиції сил буде ключовим для посилення стримування та колективної самооборони. Постійні бази з обертальними силами становлять дійсну основу для збільшення присутності. Ці нові сили мають бути багатокраїнними;</w:t>
      </w:r>
    </w:p>
    <w:p w:rsidR="007559C1" w:rsidRDefault="007A1411">
      <w:r>
        <w:t>– розвідка, спостереження та розвідка (ISR), включно з безпілотними системами, можуть стати важливим примножувачем сил НАТО в Чорному морі;</w:t>
      </w:r>
    </w:p>
    <w:p w:rsidR="007559C1" w:rsidRDefault="007A1411">
      <w:r>
        <w:t xml:space="preserve">– військова мобільність має вирішальне значення для надійного стримування. Попереднє обладнання, боєприпаси та логістика також будуть критичними; </w:t>
      </w:r>
    </w:p>
    <w:p w:rsidR="007559C1" w:rsidRDefault="007A1411">
      <w:r>
        <w:lastRenderedPageBreak/>
        <w:t>– стратегія НАТО щодо Чорноморського регіону повинна включати відповідь на російські загрози у сфері гібридної війни;</w:t>
      </w:r>
    </w:p>
    <w:p w:rsidR="007559C1" w:rsidRDefault="007A1411">
      <w:r>
        <w:t>– НАТО має координувати дії з Європейським Союзом (ЄС) та іншими міжнародними організаціями щодо заходів економічної безпеки, зокрема щодо енергетики та продовольства. Альянс повинен бути готовий до вирішення завдань, включаючи захист енергетичної інфраструктури або військово-морський ескорт для поставок продовольства та енергії;</w:t>
      </w:r>
    </w:p>
    <w:p w:rsidR="007559C1" w:rsidRDefault="007A1411">
      <w:r>
        <w:t>– стратегія НАТО має включати країни, що не є союзниками в регіоні (Україну, Молдову та Грузію), щоб нарощувати їхній військовий потенціал і потенціал, їхню економічну безпеку та покращувати їх стійкість до демократії.</w:t>
      </w:r>
    </w:p>
    <w:p w:rsidR="007559C1" w:rsidRDefault="007A1411">
      <w:pPr>
        <w:rPr>
          <w:highlight w:val="white"/>
        </w:rPr>
      </w:pPr>
      <w:r>
        <w:t xml:space="preserve">На зважаючи на це </w:t>
      </w:r>
      <w:r>
        <w:rPr>
          <w:highlight w:val="white"/>
        </w:rPr>
        <w:t>НАТО просто продовжувало свої військово-морські навчання в Чорному морі в 2022 році, коли розгорталася війна в Україні, замість нарощення їх. Не була реалізована ідея румунсько</w:t>
      </w:r>
      <w:r>
        <w:rPr>
          <w:rFonts w:ascii="Arial" w:eastAsia="Arial" w:hAnsi="Arial" w:cs="Arial"/>
          <w:i/>
          <w:color w:val="000000"/>
          <w:sz w:val="23"/>
          <w:szCs w:val="23"/>
          <w:highlight w:val="white"/>
        </w:rPr>
        <w:t>-</w:t>
      </w:r>
      <w:r>
        <w:t>болгарсько-турецької флотилії</w:t>
      </w:r>
      <w:r>
        <w:rPr>
          <w:highlight w:val="white"/>
        </w:rPr>
        <w:t>, яка висувалася ще в 2016 році. У відповідь на вторгнення росії в Україну НАТО запустило плани поетапного реагування, які призвели до розгортання 800 військовослужбовців із Франції та Бельгії в Румунії в складі Сил реагування НАТО дуже високої готовності (VJTF). У травні 2022 року НАТО також посилило можливості спостереження та оборони повітряного простору в рамках посиленої місії з контролю повітряного простору за участю Туреччини, Італії, Німеччини та США. Франція розгорнула в Румунії системи протиповітряної оборони SAMP-T. Однак це були поодинокі та несистемні заходи (How the War in Ukraine Impacts NATO Policy in the Black Sea Region, 2023).</w:t>
      </w:r>
    </w:p>
    <w:p w:rsidR="007559C1" w:rsidRDefault="007A1411">
      <w:r>
        <w:t xml:space="preserve">Тому вже в кінці 2022 р. з’явилися думки експертів, які вважали, що </w:t>
      </w:r>
      <w:r>
        <w:rPr>
          <w:highlight w:val="white"/>
        </w:rPr>
        <w:t>НАТО та ЄС не змогли обговорити чорноморську стратегію через розбіжність інтересів держав-членів та сприйняття загроз. Фахівці висловлювали  думку про необхідність розробки окремої стратегії по Чорному морю (</w:t>
      </w:r>
      <w:r>
        <w:t>Inayeh, 2022 &amp; Hodges, Horrell, and Kuz, 2022).</w:t>
      </w:r>
    </w:p>
    <w:p w:rsidR="007559C1" w:rsidRDefault="007A1411">
      <w:r>
        <w:t xml:space="preserve">В цілому у рамках довгострокової адаптації до російської загрози Північноатлантична рада (NAC) вирішила розгорнути багатонаціональні бойові групи в Чорноморському регіоні. У Румунії роль рамкової держави, яка </w:t>
      </w:r>
      <w:r>
        <w:lastRenderedPageBreak/>
        <w:t>забезпечує командування та основні оперативні сили, взяла на себе Франція за підтримки голландського контингенту (загалом близько 570 військовослужбовців). Бойова група НАТО також була створена в Болгарії, яка раніше скептично ставилася до збільшення присутності сил НАТО в регіоні. Роль рамкової країни для угруповання чисельністю майже 1000 осіб взяла на себе Італія, яку підтримують війська з Греції та США. Крім сил НАТО в регіоні (переважно в Румунії), там також розміщено близько 4000 військовослужбовців США. Американський контингент був збільшений у 2022 році, але розгорнутий поза структурою Альянсу, що значно полегшує його виведення. В інтересах країн регіону зберегти сили НАТО в довгостроковій перспективі, що зміцнить їхнє відчуття безпеки, а також обороноздатність і можливості Альянсу щодо стримування.</w:t>
      </w:r>
    </w:p>
    <w:p w:rsidR="007559C1" w:rsidRDefault="007A1411">
      <w:r>
        <w:t>Згідно з новою стратегією НАТО, держави-члени також мають посилити свою стійкість – спроможність (цивільну та військову) готуватися до криз, протистояти їм, реагувати на них та швидко відновлюватися після криз, спричинених стихійними лихами, збоями критичної інфраструктури, гібридними атаками чи військовими. дію. Для протидії гібридним загрозам у Чорноморському регіоні НАТО оголосило про розширення підтримки Молдови в рамках програми зміцнення оборонного потенціалу (DBI) , в якій також бере участь Грузія.</w:t>
      </w:r>
    </w:p>
    <w:p w:rsidR="007559C1" w:rsidRDefault="007A1411">
      <w:r>
        <w:t xml:space="preserve">В 2023 р. виник перший інцидент в Чорному морі – під час одного з розвідувальних польотів – призначеного для підвищення обізнаності союзників у Чорноморському регіоні – безпілотник США був переслідуваний та зіткнувся з російським літаком, що змусило безпілотник впасти в Чорне море (Hubbard and Harman, 2023). Хоча знищення безпілотника було унікальним випадком, активи НАТО стикаються з дедалі більшою кількістю переслідувань у регіоні з моменту вторгнення росії (Hubbard and Harman, 2023). В цьому ж році Туреччина закрила Чорне море для всіх військових кораблів держав, що не є прибережними чорноморськими державами, відповідно до Конвенції Монтре. В результаті цього НАТО почало активно працювати над підвищенням своїх можливостей збору розвідданих та </w:t>
      </w:r>
      <w:r>
        <w:lastRenderedPageBreak/>
        <w:t xml:space="preserve">військової мобільності в Чорноморському регіоні, щоб бути готовим до будь-яких надзвичайних ситуацій.  </w:t>
      </w:r>
    </w:p>
    <w:p w:rsidR="007559C1" w:rsidRDefault="007A1411">
      <w:r>
        <w:t xml:space="preserve">В середині 2023 р. був проведений черговий саміт НАТО. У Вільнюсі було </w:t>
      </w:r>
      <w:r>
        <w:rPr>
          <w:highlight w:val="white"/>
        </w:rPr>
        <w:t>зафіксовано прогрес з часів попередньої зустрічі в Мадриді у 2022 р., а також затверджено підхід до реагування на агресію РФ та можливу агресію проти Альянсу, який передбачає модернізацію регіональних оборонних планів і посилення передової присутності НАТО вздовж потенційної лінії фронту з росією від північних кордонів союзників до Середземного моря (зокрема, за рахунок вступу Фінляндії та в майбутньому Швеції до Альянсу) (</w:t>
      </w:r>
      <w:r>
        <w:t>Комюніке Вільнюського саміту, 2023)</w:t>
      </w:r>
      <w:r>
        <w:rPr>
          <w:highlight w:val="white"/>
        </w:rPr>
        <w:t xml:space="preserve">. На Саміті було зафіксовано прагнення України до євроатлантичної спільноти, в майбутньому стати членом НАТО, а також готовності надавати щонайменше на двосторонній основі всебічну підтримку і допомогу для відновлення своєї територіальної цілісності та суверенітету в умовах збройної агресії РФ </w:t>
      </w:r>
      <w:r>
        <w:t>(Результати Вільнюського саміту НАТО 11-12 липня 2023 року, 2023). Розуміючи, наскільки війна росії в Україні погіршує нестабільність у Чорноморському регіоні, союзники пообіцяли «продовжувати моніторинг і оцінку подій [...] і посилювати нашу ситуаційну обізнаність, з особливим акцентом на загрози нашій безпеці та потенційні можливості для тіснішої співпраці з нашими партнерами в регіоні» (NATO Agrees Strong Package for Ukraine, Boosts Deterrence and Defence, 2023).</w:t>
      </w:r>
    </w:p>
    <w:p w:rsidR="007559C1" w:rsidRDefault="007A1411">
      <w:r>
        <w:t xml:space="preserve">Також у Вільнюсі союзники погодилися на тріаду нових регіональних оборонних планів, що сигналізують про найбільшу перебудову військової структури та позиції НАТО в постхолодну епоху. Ці плани розроблені для протидії двом основним загрозам для НАТО – росії та тероризму – і передбачають підготовку 300 000 союзних військ до високої бойової готовності. Плани передбачають значні сухопутні війська, підтримані суттєвою авіаційною та військово-морською бойовою потугою (NATO, 2023c). Плани поділяють зону відповідальності на Північ, Центр і Південь: Північ охоплює Атлантику та європейську Арктику; Центр – від Балтики до Альп; і Південь – Середземномор'я та Чорне море. Південний план рівною мірою розділить свою увагу між загрозами з боку росії та тероризму. </w:t>
      </w:r>
      <w:r>
        <w:lastRenderedPageBreak/>
        <w:t>Верховний головнокомандувач НАТО в Європі, генерал Крістофер Каволі, розподілить конкретні країни на певні частини регіону, що дозволить мати кращі знання місцевості в разі надзвичайної ситуації або кризи. Регіональні плани є значним кроком у реалізації нової бази стримування та оборони, оголошеної у Стратегічній концепції 2022 року.</w:t>
      </w:r>
    </w:p>
    <w:p w:rsidR="007559C1" w:rsidRDefault="007A1411">
      <w:r>
        <w:t>Нові плани не тільки розподілять відповідальність за більшу кількість готових сил, але також зобов'яжуть союзників встановити нові пріоритети для закупівель та інвестицій, щоб виконати свої нові обов'язки. Союзники визначили п’ять ключових невідкладних пріоритетів: боєздатні сухопутні війська; інтегровані системи ППО та ПРО, далекобійна вогнева міць, передові цифрові мережі та логістика (Lancaster, 2023).</w:t>
      </w:r>
    </w:p>
    <w:p w:rsidR="007559C1" w:rsidRDefault="007A1411">
      <w:r>
        <w:t xml:space="preserve">В кінці 2023 р. в результаті Ініціативи трансатлантичної безпеки Центру стратегії та безпеки Скоукрофта у партнерстві з Національною школою політичних та адміністративних досліджень (SNSPA) було розроблено </w:t>
      </w:r>
      <w:r>
        <w:rPr>
          <w:highlight w:val="white"/>
        </w:rPr>
        <w:t xml:space="preserve">рекомендації щодо посилення безпеки та стабільності геополітично важливого Чорноморського регіону, в яких стверджувалося, що для досягнення стабільності та безпеки в Чорноморському регіоні буде потрібне сильне лідерство США з НАТО. При цьому </w:t>
      </w:r>
      <w:r>
        <w:t>Стратегія безпеки в Чорному морі має бути вкладена в ширшу європейську архітектуру безпеки, основою якої є НАТО. В цих рекомендаціях також окреслено наслідки застосування росією ядерної зброї, хоча ймовірність цього оцінюється як нижче ніж конфлікт в Китаї.</w:t>
      </w:r>
    </w:p>
    <w:p w:rsidR="007559C1" w:rsidRDefault="007A1411">
      <w:pPr>
        <w:rPr>
          <w:highlight w:val="white"/>
        </w:rPr>
      </w:pPr>
      <w:r>
        <w:t xml:space="preserve">В рекомендаціях зафіксовано, що  серед країн НАТО  немає єдності: </w:t>
      </w:r>
      <w:r>
        <w:rPr>
          <w:highlight w:val="white"/>
        </w:rPr>
        <w:t xml:space="preserve">країни Балтії, скандинавські країни, Великобританія, Румунія та Польща підтримують більш сильну відповідь на російську агресію в Чорноморському регіоні та більш сприйнятливі до прискорених шляхів приєднання для чорноморських держав. Сполучені Штати, Туреччина, Франція, Італія, Німеччина та ЄС разом із деякими іншими країнами виступають проти «прискореного» членства, а деякі більш відкриті до врегулювання шляхом переговорів, яке може залишити росію у володінні частиною українських, молдовських, і території Грузії </w:t>
      </w:r>
      <w:r>
        <w:t>(A security strategy for the Black Sea, 2023).</w:t>
      </w:r>
    </w:p>
    <w:p w:rsidR="007559C1" w:rsidRDefault="007A1411">
      <w:pPr>
        <w:rPr>
          <w:highlight w:val="white"/>
        </w:rPr>
      </w:pPr>
      <w:r>
        <w:rPr>
          <w:highlight w:val="white"/>
        </w:rPr>
        <w:lastRenderedPageBreak/>
        <w:t>В кінці 2023 р. також став зрозумілим підхід США до безпеки в Чорному морі. Зокрема виступаючи перед Комітетом із закордонних справ Сенату, помічник держсекретаря США у справах Європи та Євразії О'Браєн окреслив п'ять стовпів стратегії: посилення двосторонньої та багатосторонньої взаємодії; регіональне співробітництво у сфері безпеки, підкріплене посиленням присутності НАТО; економічне співробітництво; енергетична безпека; і демократична стійкість (</w:t>
      </w:r>
      <w:r>
        <w:t>Assessing the Department of State’s Strategy for security in The Black Sea region, 2023)</w:t>
      </w:r>
      <w:r>
        <w:rPr>
          <w:highlight w:val="white"/>
        </w:rPr>
        <w:t xml:space="preserve">. Це засвідчує, що </w:t>
      </w:r>
      <w:r>
        <w:t>у столицях союзників зростає тиск щодо підвищення важливості Чорного моря в порядку денному НАТО, а також у їхніх власних національних порядках денних.</w:t>
      </w:r>
    </w:p>
    <w:p w:rsidR="007559C1" w:rsidRDefault="007A1411">
      <w:r>
        <w:t>Певні кроки НАТО зробило і в бік України. На Вільнюсівському саміті союзники пообіцяли не лише посилити політичну та практичну підтримку України», а й підтримувати її «стільки, скільки буде потрібно, погодилися обійти вимогу щодо Плану дій щодо членства (ПДЧ), тим самим полегшуючи майбутній вступ України до Альянсу, зробивши цей процес простішим.</w:t>
      </w:r>
    </w:p>
    <w:p w:rsidR="007559C1" w:rsidRDefault="007A1411">
      <w:r>
        <w:rPr>
          <w:highlight w:val="white"/>
        </w:rPr>
        <w:t xml:space="preserve">Вашингтонський саміт став ювілейним, 75 самітом. Він пройшов в </w:t>
      </w:r>
      <w:r>
        <w:t xml:space="preserve">9-11 липня 2024 р. Ключовими питаннями порядку денного стало подолання гострих загроз, що виходять з Чорноморського регіону, і прийняття стратегічного підходу до Близького Сходу та Африки. Прогнозувалося прийняття Південної стратегії (Joja, 2024). В Декларації Вашингтонського саміту (2024) було підтверджено тезу про те, що «росія залишається найбільш значною і прямою загрозою безпеці держав–членів Альянсу», «запровадження подальших заходів з метою зміцнення стримування і оборони НАТО», «втілення рішень щодо модернізації НАТО». При цьому серед заходів посилення НАТО було визначено: виділення військо, засобів та ресурсів з інфраструктурою, частіше проведення широкомасштабних навчань, реалізацію вимог Процесу оборонного планування НАТО, зміцнення системи командування та управління, проведення підготовки та навчання військ тощо (Декларація Вашингтонського саміту, 2024).  </w:t>
      </w:r>
    </w:p>
    <w:p w:rsidR="007559C1" w:rsidRDefault="007A1411">
      <w:r>
        <w:rPr>
          <w:highlight w:val="white"/>
        </w:rPr>
        <w:t xml:space="preserve">Із 44 параграфів Декларації Вашингтонського саміту майже половина зосереджена на росії: 11 прямо обговорюють агресію росії в Україні, а ще 11 </w:t>
      </w:r>
      <w:r>
        <w:rPr>
          <w:highlight w:val="white"/>
        </w:rPr>
        <w:lastRenderedPageBreak/>
        <w:t xml:space="preserve">опосередковано говорять про ризики, загрози чи виклики з боку росії. Ще 10 стосуються підтримки України з боку НАТО. Таким чином, майже три чверті комюніке присвячено росії чи Україні, обґрунтовуючи пріоритет, який Альянс надає цьому питанню. У комюніке повідомляється, що </w:t>
      </w:r>
      <w:r>
        <w:t>НАТО, нарешті, чер</w:t>
      </w:r>
      <w:r>
        <w:rPr>
          <w:highlight w:val="white"/>
        </w:rPr>
        <w:t>ез десять років після початку війни, інституціоналізує свою діяльність у галузі безпеки на підтримку України (</w:t>
      </w:r>
      <w:r>
        <w:t>Jager, 2024).</w:t>
      </w:r>
    </w:p>
    <w:p w:rsidR="007559C1" w:rsidRDefault="007A1411">
      <w:r>
        <w:t>Альянс повідомив про виділення 40 млрд євро, винищувачі до кінця літа 2024 р. та нові системи ППО проти російських ракет. Було започатковано механізм NATO Security Assistance and Training for Ukraine (NSATU) для координації надання військового обладнання та навчання українських військових, започаткування Спільного центру аналізу, підготовки та навчання НАТО-Україна (JATEC), літаки Ф16 і системи ППО, великі пакети допомоги від Канади (367 млн дол) і Австралії (170 млн дол), обіцянка Данії передати всі свої системи ППО.</w:t>
      </w:r>
    </w:p>
    <w:p w:rsidR="007559C1" w:rsidRDefault="007A1411">
      <w:r>
        <w:t xml:space="preserve">Саміт завершився підписанням «Українського договору», згідно з яким 22 країни НАТО, ЄС і Японія зобов'язалися забезпечувати Україну зброєю, боєприпасами та навчанням для військових. Цей договір відкритий для підписання іншими державами (Ukraine Compact, 2024). </w:t>
      </w:r>
    </w:p>
    <w:p w:rsidR="007559C1" w:rsidRDefault="007A1411">
      <w:r>
        <w:t xml:space="preserve">В більш ширшому контексті в Декларації </w:t>
      </w:r>
      <w:r>
        <w:rPr>
          <w:highlight w:val="white"/>
        </w:rPr>
        <w:t>схвалюється постійна підтримку державами-членами НАТО двох основних рамок співпраці, Середземаоморського діалогу (MD) та Стамбульської ініціативи співпраці (ICI), і оголошується про нові ініціативи щодо подальшої участі НАТО в цій сфері. У документі, який є більш складним для близькосхідних партнерів НАТО, які залежать від експорту вуглеводнів, також підтримується подальша робота з енергетичного переходу. При цьому мова не зайшла про триваючу війну в Газі (</w:t>
      </w:r>
      <w:r>
        <w:t>Jager, 2024)</w:t>
      </w:r>
      <w:r>
        <w:rPr>
          <w:highlight w:val="white"/>
        </w:rPr>
        <w:t>.</w:t>
      </w:r>
    </w:p>
    <w:p w:rsidR="007559C1" w:rsidRDefault="007A1411">
      <w:r>
        <w:t xml:space="preserve"> </w:t>
      </w:r>
      <w:r>
        <w:rPr>
          <w:highlight w:val="white"/>
        </w:rPr>
        <w:t>Таким чином, п</w:t>
      </w:r>
      <w:r>
        <w:t xml:space="preserve">овномасштабне жорстоке та незаконне вторгнення росії в Україну зробило Чорноморський регіон стратегічним розломом у його еволюційній загрозі для союзників і партнерів НАТО. Війна привернула стратегічну увагу союзників до регіону й значною мірою об'єднала раніше різні погляди союзників НАТО в Чорноморському регіоні на роль Альянсу в </w:t>
      </w:r>
      <w:r>
        <w:lastRenderedPageBreak/>
        <w:t>цьому регіоні. Стратегічна концепція 2022 року підкреслює важливість Чорноморського регіону і зобов'язує НАТО зміцнювати спроможності та стійкість чорноморських держав до зловмисного впливу, а також підтримувати їхню подальшу інтеграцію в євроатлантичний простір. Це привело до того, що НАТО розширює свої власні спроможності в регіоні. Зміщення ресурсів НАТО у напрямку Чорного моря включає створення чотирьох багатонаціональних бойових груп – дві з них у чорноморських прибережних державах Болгарії та Румунії – та домовленість про розширення бойових груп з рівня батальйону до рівня бригади, де і коли це буде необхідно. Від останнього саміту НАТО в 2024 р. очікувалося вироблення чіткої Чорноморської стратегії, але цієї мети так і не біло досягнуто: усі розроблені та оголошені заходи розвивають прийняті раніше рішення та лише підводять альянс до створення відповідної стратегії. Позитивним залишається значна концентрація уваги на Чорноморському регіоні та підтримки України в цьому контексті. Водночас мова про конкретні строки вступу України до НАТО поки що не йде.</w:t>
      </w:r>
    </w:p>
    <w:p w:rsidR="007559C1" w:rsidRDefault="007559C1"/>
    <w:p w:rsidR="007559C1" w:rsidRDefault="007A1411">
      <w:pPr>
        <w:widowControl/>
        <w:spacing w:line="240" w:lineRule="auto"/>
        <w:ind w:firstLine="0"/>
        <w:jc w:val="left"/>
      </w:pPr>
      <w:r>
        <w:br w:type="page"/>
      </w:r>
    </w:p>
    <w:p w:rsidR="007559C1" w:rsidRDefault="007A1411">
      <w:pPr>
        <w:pStyle w:val="1"/>
      </w:pPr>
      <w:bookmarkStart w:id="5" w:name="_heading=h.tyjcwt" w:colFirst="0" w:colLast="0"/>
      <w:bookmarkEnd w:id="5"/>
      <w:r>
        <w:lastRenderedPageBreak/>
        <w:t xml:space="preserve">ВИСНОВКИ </w:t>
      </w:r>
    </w:p>
    <w:p w:rsidR="007559C1" w:rsidRDefault="007559C1"/>
    <w:p w:rsidR="007559C1" w:rsidRDefault="007A1411">
      <w:r>
        <w:t>На підставі результатів проведеного дослідження можна зробити наступні висновки.</w:t>
      </w:r>
    </w:p>
    <w:p w:rsidR="007559C1" w:rsidRDefault="007A1411">
      <w:r>
        <w:t xml:space="preserve">На сьогодні низка теорій міжнародного права обґрунтовують необхідність протидії військовій агресії. Особливо в структурному реалізмі, який виходить з припущення, що світ має бути сприйнятий таким, як він є насправді. При цьому основними елементами міжнародної динаміки вважаються державні конфлікти та їх найбільш радикальний прояв – війна. В контексті загрози війни держави часто утворюють різноманітні військові та військово-політичні альянси для спільної оборони та протистояння, де співпраця виступає як вторинний, але важливий аспект. Саме такий підхід в повній мірі відображає події, які відбуваються в Чорноморському регіоні нині. </w:t>
      </w:r>
    </w:p>
    <w:p w:rsidR="007559C1" w:rsidRDefault="007A1411">
      <w:r>
        <w:t>Чорноморський регіон, розташований на стику Європи, Африки та Азії, став центром перетину глобальних політичних і економічних інтересів різних країн, включаючи причорноморські держави. росія сприймає цей регіон як останню опору тоталітаризму, яка дозволяє їй стримувати Захід і контролювати поширення ліберально-демократичних цінностей. У свою чергу, НАТО бачить у регіоні плацдарм, з якого демократія, як єдиний інструмент для збереження цінностей «відкритого суспільства», може поширюватися на схід, відкриваючи доступ до енергетичних ресурсів Каспію, Середньої Азії та азіатської частини росії.</w:t>
      </w:r>
    </w:p>
    <w:p w:rsidR="007559C1" w:rsidRDefault="007A1411">
      <w:r>
        <w:t>З 2000 по 2008 рік Чорноморський регіон став розширеною зоною впливу Північноатлантичного альянсу. Це стало можливим завдяки вступу Болгарії та Румунії до НАТО, закріпленню ролі Туреччини як форпосту Альянсу, а також переорієнтації України та Грузії на НАТО. Водночас це викликало посилення протидії з боку росії, яка в 2008 році розпочала війну в Грузії та закріпила свої інтереси в Україні. Але російська агресія проти Грузії в 2008 році  не сприяла підвищенню  реакції НАТО, що дало можливість путіну думати,  що можна йти далі. Нажаль, країни НАТО проігнорували і не надали більш жорстку відповідь на  агресивну політику путіна.</w:t>
      </w:r>
    </w:p>
    <w:p w:rsidR="007559C1" w:rsidRDefault="007A1411">
      <w:r>
        <w:lastRenderedPageBreak/>
        <w:t>Туреччина теж незадоволена просуванням НАТО, оскільки вважає Чорне море своєю сферою впливу. Така концентрація різноманітних інтересів призвела до формування комплексу викликів перед безпекою в Чорноморському регіоні.</w:t>
      </w:r>
    </w:p>
    <w:p w:rsidR="007559C1" w:rsidRDefault="007A1411">
      <w:r>
        <w:t>Агресія  росії проти України в 2014 р. суттєво активізувала зусилля НАТО в Чорноморському регіоні. Більше уваги почали приділяти військовим навчанням і необхідності збільшення присутності НАТО в країнах-членах, розташованих у цьому регіоні. Особливої уваги було приділено Румунії, яка межує з Молдовою, через підвищені ризики анексії з боку росії. Туреччина, зі свого боку, провадила потрійну політику, намагаючись реалізувати власні амбіції, зберігаючи обережні відносини з росією та маневруючи в рамках НАТО. Загалом, з 2014 року НАТО досягла значного прогресу на своєму східному фланзі з росією, що включає збільшення ротаційних сил, розміщення додаткового обладнання та збільшення кількості, складності та масштабів навчань НАТО. Проте детальний аналіз показує, що більша частина цього прогресу була зосереджена в країнах Балтії та Польщі, тоді як зміни в підходах НАТО до Чорноморського регіону відбувалися повільно і були недостатніми для протидії впливу росії. На ширшому регіональному рівні НАТО продовжує фігурувати в стратегічних амбіціях України та Грузії, але очікування щодо його фокусу на регіон мають бути реалістичними. Альянс станом на кінець другого десятиліття ХХІ століття не мав чіткої стратегії щодо Чорного моря, не кажучи вже про надання будь-якій країні навіть Плану дій щодо членства. Це підкреслює необхідність розробки стратегії НАТО для Чорного моря.</w:t>
      </w:r>
    </w:p>
    <w:p w:rsidR="007559C1" w:rsidRDefault="007A1411">
      <w:r>
        <w:t xml:space="preserve">Повномасштабне, жорстоке та незаконне вторгнення росії в Україну  в 2022 р. перетворило Чорноморський регіон на стратегічний розлом, який став значною загрозою для союзників і партнерів НАТО. Війна привернула стратегічну увагу Альянсу до регіону та значно об'єднала раніше різні погляди союзників НАТО щодо ролі Альянсу в цьому регіоні. Прийнята в 2022 р. Стратегічна концепція підкреслює важливість Чорноморського регіону та зобов'язує НАТО зміцнювати можливості та стійкість чорноморських держав до зловмисного впливу, а також підтримувати їхню подальшу інтеграцію в </w:t>
      </w:r>
      <w:r>
        <w:lastRenderedPageBreak/>
        <w:t>євроатлантичний простір. У результаті НАТО розширює свої можливості в регіоні, що включає створення чотирьох багатонаціональних бойових груп – двох у чорноморських прибережних державах Болгарії та Румунії – та домовленість про розширення цих груп до рівня бригади, коли це буде необхідно. На останньому саміті НАТО в 2024 році очікувалося вироблення чіткої стратегії щодо Чорного моря, але ця мета так і не була досягнута: усі прийняті та оголошені заходи лише розвивали раніше прийняті рішення і підготовлювали Альянс до створення відповідної стратегії. Позитивним аспектом залишається значна концентрація уваги на Чорноморському регіоні та підтримка України в цьому контексті. Однак питання про конкретні строки вступу України до НАТО поки що не обговорюється.</w:t>
      </w:r>
    </w:p>
    <w:p w:rsidR="007559C1" w:rsidRDefault="007A1411">
      <w:pPr>
        <w:pStyle w:val="1"/>
      </w:pPr>
      <w:bookmarkStart w:id="6" w:name="_heading=h.3dy6vkm" w:colFirst="0" w:colLast="0"/>
      <w:bookmarkEnd w:id="6"/>
      <w:r>
        <w:br w:type="page"/>
      </w:r>
      <w:r>
        <w:lastRenderedPageBreak/>
        <w:t>СПИСОК ПОСИЛАНЬ</w:t>
      </w:r>
    </w:p>
    <w:p w:rsidR="007559C1" w:rsidRDefault="007559C1">
      <w:pPr>
        <w:rPr>
          <w:color w:val="000000"/>
        </w:rPr>
      </w:pPr>
    </w:p>
    <w:p w:rsidR="007559C1" w:rsidRDefault="007A1411">
      <w:pPr>
        <w:numPr>
          <w:ilvl w:val="0"/>
          <w:numId w:val="1"/>
        </w:numPr>
        <w:pBdr>
          <w:top w:val="nil"/>
          <w:left w:val="nil"/>
          <w:bottom w:val="nil"/>
          <w:right w:val="nil"/>
          <w:between w:val="nil"/>
        </w:pBdr>
        <w:rPr>
          <w:color w:val="000000"/>
        </w:rPr>
      </w:pPr>
      <w:r>
        <w:rPr>
          <w:color w:val="000000"/>
          <w:highlight w:val="white"/>
        </w:rPr>
        <w:t xml:space="preserve">Бут, Ю. І. (2006). Енциклопедія Сучасної України. Київ : Інститут енциклопедичних досліджень НАН України. </w:t>
      </w:r>
    </w:p>
    <w:p w:rsidR="007559C1" w:rsidRDefault="007A1411">
      <w:pPr>
        <w:numPr>
          <w:ilvl w:val="0"/>
          <w:numId w:val="1"/>
        </w:numPr>
        <w:pBdr>
          <w:top w:val="nil"/>
          <w:left w:val="nil"/>
          <w:bottom w:val="nil"/>
          <w:right w:val="nil"/>
          <w:between w:val="nil"/>
        </w:pBdr>
        <w:rPr>
          <w:color w:val="000000"/>
        </w:rPr>
      </w:pPr>
      <w:r>
        <w:rPr>
          <w:color w:val="000000"/>
        </w:rPr>
        <w:t xml:space="preserve">Волинський, С. (2005). Ющенко веде Україну в НАТО. Взято з </w:t>
      </w:r>
      <w:hyperlink r:id="rId10">
        <w:r>
          <w:rPr>
            <w:color w:val="000000"/>
          </w:rPr>
          <w:t>https://www.radiosvoboda.org/a/927314.html</w:t>
        </w:r>
      </w:hyperlink>
    </w:p>
    <w:p w:rsidR="007559C1" w:rsidRDefault="007A1411">
      <w:pPr>
        <w:numPr>
          <w:ilvl w:val="0"/>
          <w:numId w:val="1"/>
        </w:numPr>
        <w:pBdr>
          <w:top w:val="nil"/>
          <w:left w:val="nil"/>
          <w:bottom w:val="nil"/>
          <w:right w:val="nil"/>
          <w:between w:val="nil"/>
        </w:pBdr>
        <w:rPr>
          <w:color w:val="000000"/>
        </w:rPr>
      </w:pPr>
      <w:r>
        <w:rPr>
          <w:color w:val="000000"/>
        </w:rPr>
        <w:t>Гевко, А. Спірідонов, Р. (2023). Зробити Чорне море «внутрішнім морем НАТО»? Про що говорили на Чорноморській безпековій конференції. Взято з https://ua.krymr.com/a/chorne-more-vnutrishnie-more-nato-persha-chornomorska-bezpekova-konferentsia/32367139.html</w:t>
      </w:r>
    </w:p>
    <w:p w:rsidR="007559C1" w:rsidRDefault="007A1411">
      <w:pPr>
        <w:numPr>
          <w:ilvl w:val="0"/>
          <w:numId w:val="1"/>
        </w:numPr>
        <w:rPr>
          <w:color w:val="000000"/>
        </w:rPr>
      </w:pPr>
      <w:r>
        <w:rPr>
          <w:color w:val="000000"/>
        </w:rPr>
        <w:t xml:space="preserve">Глебов, С. В. (2017 a). Євроатлантична інтеграція України і відносини з НАТО </w:t>
      </w:r>
      <w:r>
        <w:rPr>
          <w:i/>
          <w:color w:val="000000"/>
        </w:rPr>
        <w:t>Стратегічна культура та зовнішня політика України</w:t>
      </w:r>
      <w:r>
        <w:rPr>
          <w:color w:val="000000"/>
        </w:rPr>
        <w:t>. Одеса: Одеський національний університет імені І.І.  Мечникова.</w:t>
      </w:r>
    </w:p>
    <w:p w:rsidR="007559C1" w:rsidRDefault="007A1411">
      <w:pPr>
        <w:numPr>
          <w:ilvl w:val="0"/>
          <w:numId w:val="1"/>
        </w:numPr>
        <w:rPr>
          <w:color w:val="000000"/>
        </w:rPr>
      </w:pPr>
      <w:r>
        <w:rPr>
          <w:color w:val="000000"/>
        </w:rPr>
        <w:t xml:space="preserve">Глебов, С. В. (2017 b). Зовнішня політика України в Чорноморському регіоні. </w:t>
      </w:r>
      <w:r>
        <w:rPr>
          <w:i/>
          <w:color w:val="000000"/>
        </w:rPr>
        <w:t>Стратегічна культура та зовнішня політика України</w:t>
      </w:r>
      <w:r>
        <w:rPr>
          <w:color w:val="000000"/>
        </w:rPr>
        <w:t>. Одеса: Одеський національний університет імені І.І. Мечникова.</w:t>
      </w:r>
    </w:p>
    <w:p w:rsidR="007559C1" w:rsidRDefault="007A1411">
      <w:pPr>
        <w:numPr>
          <w:ilvl w:val="0"/>
          <w:numId w:val="1"/>
        </w:numPr>
        <w:rPr>
          <w:color w:val="000000"/>
        </w:rPr>
      </w:pPr>
      <w:r>
        <w:rPr>
          <w:color w:val="000000"/>
        </w:rPr>
        <w:t>Декларація Вашингтонського саміту (2024). Взято з https://www.nato.int/ cps/uk/natohq/official_texts_227678.htm?selectedLocale=uk</w:t>
      </w:r>
    </w:p>
    <w:p w:rsidR="007559C1" w:rsidRDefault="00E57BD2">
      <w:pPr>
        <w:numPr>
          <w:ilvl w:val="0"/>
          <w:numId w:val="1"/>
        </w:numPr>
        <w:pBdr>
          <w:top w:val="nil"/>
          <w:left w:val="nil"/>
          <w:bottom w:val="nil"/>
          <w:right w:val="nil"/>
          <w:between w:val="nil"/>
        </w:pBdr>
        <w:rPr>
          <w:color w:val="000000"/>
          <w:highlight w:val="white"/>
        </w:rPr>
      </w:pPr>
      <w:hyperlink r:id="rId11">
        <w:r w:rsidR="007A1411">
          <w:rPr>
            <w:color w:val="000000"/>
          </w:rPr>
          <w:t>Денисов, В. Н.</w:t>
        </w:r>
      </w:hyperlink>
      <w:r w:rsidR="007A1411">
        <w:rPr>
          <w:color w:val="000000"/>
        </w:rPr>
        <w:t xml:space="preserve"> (2024). Агресія військова. </w:t>
      </w:r>
      <w:r w:rsidR="007A1411">
        <w:rPr>
          <w:i/>
          <w:color w:val="000000"/>
        </w:rPr>
        <w:t>Велика українська енциклопедія.</w:t>
      </w:r>
      <w:r w:rsidR="007A1411">
        <w:rPr>
          <w:color w:val="000000"/>
        </w:rPr>
        <w:t xml:space="preserve"> </w:t>
      </w:r>
      <w:r w:rsidR="007A1411">
        <w:rPr>
          <w:color w:val="000000"/>
          <w:highlight w:val="white"/>
        </w:rPr>
        <w:t>Взято з https://vue.gov.ua/Агресія військова </w:t>
      </w:r>
    </w:p>
    <w:p w:rsidR="007559C1" w:rsidRDefault="007A1411">
      <w:pPr>
        <w:numPr>
          <w:ilvl w:val="0"/>
          <w:numId w:val="1"/>
        </w:numPr>
        <w:pBdr>
          <w:top w:val="nil"/>
          <w:left w:val="nil"/>
          <w:bottom w:val="nil"/>
          <w:right w:val="nil"/>
          <w:between w:val="nil"/>
        </w:pBdr>
        <w:rPr>
          <w:color w:val="000000"/>
        </w:rPr>
      </w:pPr>
      <w:r>
        <w:rPr>
          <w:color w:val="000000"/>
        </w:rPr>
        <w:t>Доктрина «Зі стратегічних комунікацій» (2020). Взято з https://sprotyvg7.com.ua/wp-content/uploads/2022/04/ ВКП-10-0049.01-Доктрина-зі-стратегічних-комунікацій.pdf</w:t>
      </w:r>
    </w:p>
    <w:p w:rsidR="007559C1" w:rsidRDefault="007A1411">
      <w:pPr>
        <w:numPr>
          <w:ilvl w:val="0"/>
          <w:numId w:val="1"/>
        </w:numPr>
        <w:pBdr>
          <w:top w:val="nil"/>
          <w:left w:val="nil"/>
          <w:bottom w:val="nil"/>
          <w:right w:val="nil"/>
          <w:between w:val="nil"/>
        </w:pBdr>
        <w:rPr>
          <w:color w:val="000000"/>
        </w:rPr>
      </w:pPr>
      <w:r>
        <w:rPr>
          <w:color w:val="000000"/>
        </w:rPr>
        <w:t xml:space="preserve">Засядько, М. (2023). Посилити роль США і НАТО в Чорноморському регіоні: Які ініціативи пропонують американські сенатори. Взято з </w:t>
      </w:r>
      <w:hyperlink r:id="rId12">
        <w:r>
          <w:rPr>
            <w:color w:val="000000"/>
          </w:rPr>
          <w:t>https://cfts.org.ua/articles/posiliti_rol_ssha_i_nato_v_chornomorskomu_regioni_yaki_initsiativi_proponuyut_amerikanski_senatori_1961</w:t>
        </w:r>
      </w:hyperlink>
    </w:p>
    <w:p w:rsidR="007559C1" w:rsidRDefault="007A1411">
      <w:pPr>
        <w:numPr>
          <w:ilvl w:val="0"/>
          <w:numId w:val="1"/>
        </w:numPr>
        <w:pBdr>
          <w:top w:val="nil"/>
          <w:left w:val="nil"/>
          <w:bottom w:val="nil"/>
          <w:right w:val="nil"/>
          <w:between w:val="nil"/>
        </w:pBdr>
        <w:rPr>
          <w:color w:val="000000"/>
        </w:rPr>
      </w:pPr>
      <w:r>
        <w:rPr>
          <w:color w:val="000000"/>
        </w:rPr>
        <w:t xml:space="preserve">Комюніке Брюссельського саміту, NATO (2021). Взято з  </w:t>
      </w:r>
      <w:hyperlink r:id="rId13">
        <w:r>
          <w:rPr>
            <w:color w:val="000000"/>
          </w:rPr>
          <w:t>https://www.nato.int/cps/uk/natohq/news_185000.htm?selectedLocale=uk</w:t>
        </w:r>
      </w:hyperlink>
    </w:p>
    <w:p w:rsidR="007559C1" w:rsidRDefault="007A1411">
      <w:pPr>
        <w:numPr>
          <w:ilvl w:val="0"/>
          <w:numId w:val="1"/>
        </w:numPr>
        <w:pBdr>
          <w:top w:val="nil"/>
          <w:left w:val="nil"/>
          <w:bottom w:val="nil"/>
          <w:right w:val="nil"/>
          <w:between w:val="nil"/>
        </w:pBdr>
        <w:rPr>
          <w:color w:val="000000"/>
        </w:rPr>
      </w:pPr>
      <w:r>
        <w:rPr>
          <w:color w:val="000000"/>
        </w:rPr>
        <w:t xml:space="preserve">Комюніке Вільнюського саміту, NATO (2023). Взято з https://www.nato.int/cps/uk/natohq/official_texts_217320.htm </w:t>
      </w:r>
    </w:p>
    <w:p w:rsidR="007559C1" w:rsidRDefault="007A1411">
      <w:pPr>
        <w:numPr>
          <w:ilvl w:val="0"/>
          <w:numId w:val="1"/>
        </w:numPr>
        <w:pBdr>
          <w:top w:val="nil"/>
          <w:left w:val="nil"/>
          <w:bottom w:val="nil"/>
          <w:right w:val="nil"/>
          <w:between w:val="nil"/>
        </w:pBdr>
        <w:rPr>
          <w:color w:val="000000"/>
        </w:rPr>
      </w:pPr>
      <w:r>
        <w:rPr>
          <w:color w:val="000000"/>
        </w:rPr>
        <w:lastRenderedPageBreak/>
        <w:t xml:space="preserve">Конвенція про режим проток (1992). Взято з </w:t>
      </w:r>
      <w:hyperlink r:id="rId14" w:anchor="Text">
        <w:r>
          <w:rPr>
            <w:color w:val="000000"/>
          </w:rPr>
          <w:t>https://zakon.rada.gov.ua/laws/show/995_228</w:t>
        </w:r>
      </w:hyperlink>
    </w:p>
    <w:p w:rsidR="007559C1" w:rsidRDefault="007A1411">
      <w:pPr>
        <w:numPr>
          <w:ilvl w:val="0"/>
          <w:numId w:val="1"/>
        </w:numPr>
        <w:pBdr>
          <w:top w:val="nil"/>
          <w:left w:val="nil"/>
          <w:bottom w:val="nil"/>
          <w:right w:val="nil"/>
          <w:between w:val="nil"/>
        </w:pBdr>
        <w:rPr>
          <w:color w:val="000000"/>
        </w:rPr>
      </w:pPr>
      <w:r>
        <w:rPr>
          <w:color w:val="000000"/>
        </w:rPr>
        <w:t xml:space="preserve">Кулик, Т., Прошин, Д. (2022). Стратегічна концепція НАТО 2022: пріоритети, спроможність та реальність в умовах стратегічної конкуренції. </w:t>
      </w:r>
      <w:r>
        <w:rPr>
          <w:i/>
          <w:color w:val="000000"/>
        </w:rPr>
        <w:t>Держава і право України в умовах воєнного стану</w:t>
      </w:r>
      <w:r>
        <w:rPr>
          <w:color w:val="000000"/>
        </w:rPr>
        <w:t>, 2, 43-53.</w:t>
      </w:r>
    </w:p>
    <w:p w:rsidR="007559C1" w:rsidRDefault="007A1411">
      <w:pPr>
        <w:numPr>
          <w:ilvl w:val="0"/>
          <w:numId w:val="1"/>
        </w:numPr>
        <w:pBdr>
          <w:top w:val="nil"/>
          <w:left w:val="nil"/>
          <w:bottom w:val="nil"/>
          <w:right w:val="nil"/>
          <w:between w:val="nil"/>
        </w:pBdr>
        <w:rPr>
          <w:color w:val="000000"/>
        </w:rPr>
      </w:pPr>
      <w:r>
        <w:rPr>
          <w:color w:val="000000"/>
        </w:rPr>
        <w:t>Навчання Rapid Trident: ретроспектива і топ-факти. 2013-2014 роки (2014). Взято з https://armyinform.com.ua/2020/09/12/navchannya-rapid-trident-retrospektyva-i-top-fakty-2013-2014-roky/</w:t>
      </w:r>
    </w:p>
    <w:p w:rsidR="007559C1" w:rsidRDefault="007A1411">
      <w:pPr>
        <w:numPr>
          <w:ilvl w:val="0"/>
          <w:numId w:val="1"/>
        </w:numPr>
        <w:pBdr>
          <w:top w:val="nil"/>
          <w:left w:val="nil"/>
          <w:bottom w:val="nil"/>
          <w:right w:val="nil"/>
          <w:between w:val="nil"/>
        </w:pBdr>
        <w:rPr>
          <w:color w:val="000000"/>
        </w:rPr>
      </w:pPr>
      <w:r>
        <w:rPr>
          <w:color w:val="000000"/>
        </w:rPr>
        <w:t xml:space="preserve">НАТО прийме Грузію, незважаючи на війну в Осетії (2008). Взято з </w:t>
      </w:r>
      <w:hyperlink r:id="rId15">
        <w:r>
          <w:rPr>
            <w:color w:val="000000"/>
          </w:rPr>
          <w:t>https://news.obozrevatel.com/ukr/politics/96342-nato-prijme-gruziyu-nezvazhayuchi-na-vijnu-v-osetii.htm</w:t>
        </w:r>
      </w:hyperlink>
    </w:p>
    <w:p w:rsidR="007559C1" w:rsidRDefault="007A1411">
      <w:pPr>
        <w:numPr>
          <w:ilvl w:val="0"/>
          <w:numId w:val="1"/>
        </w:numPr>
        <w:pBdr>
          <w:top w:val="nil"/>
          <w:left w:val="nil"/>
          <w:bottom w:val="nil"/>
          <w:right w:val="nil"/>
          <w:between w:val="nil"/>
        </w:pBdr>
        <w:rPr>
          <w:color w:val="000000"/>
        </w:rPr>
      </w:pPr>
      <w:r>
        <w:rPr>
          <w:color w:val="000000"/>
        </w:rPr>
        <w:t>Результати Вільнюського саміту НАТО 11-12 липня 2023 року (2023). Взято з https://niss.gov.ua/doslidzhennya/mizhnarodni-vidnosyny/rezultaty-vilnyuskoho-samitu-nato-11-12-lypnya-2023-roku</w:t>
      </w:r>
    </w:p>
    <w:p w:rsidR="007559C1" w:rsidRDefault="007A1411">
      <w:pPr>
        <w:numPr>
          <w:ilvl w:val="0"/>
          <w:numId w:val="1"/>
        </w:numPr>
        <w:pBdr>
          <w:top w:val="nil"/>
          <w:left w:val="nil"/>
          <w:bottom w:val="nil"/>
          <w:right w:val="nil"/>
          <w:between w:val="nil"/>
        </w:pBdr>
        <w:rPr>
          <w:color w:val="000000"/>
        </w:rPr>
      </w:pPr>
      <w:r>
        <w:rPr>
          <w:color w:val="000000"/>
          <w:highlight w:val="white"/>
        </w:rPr>
        <w:t>Спільні навчання України і НАТО в Одесі: Кулеба і Каденбах підписали документ (2020)</w:t>
      </w:r>
      <w:r>
        <w:rPr>
          <w:color w:val="000000"/>
        </w:rPr>
        <w:t xml:space="preserve">. Retrieved from </w:t>
      </w:r>
      <w:hyperlink r:id="rId16">
        <w:r>
          <w:rPr>
            <w:color w:val="000000"/>
          </w:rPr>
          <w:t>https://www.kmu.gov.ua/news/spilni-navchannya-ukrayini-i-nato-v-odesi-kuleba-i-kadenbah-pidpisali-dokument</w:t>
        </w:r>
      </w:hyperlink>
    </w:p>
    <w:p w:rsidR="007559C1" w:rsidRDefault="007A1411">
      <w:pPr>
        <w:numPr>
          <w:ilvl w:val="0"/>
          <w:numId w:val="1"/>
        </w:numPr>
        <w:pBdr>
          <w:top w:val="nil"/>
          <w:left w:val="nil"/>
          <w:bottom w:val="nil"/>
          <w:right w:val="nil"/>
          <w:between w:val="nil"/>
        </w:pBdr>
        <w:rPr>
          <w:color w:val="000000"/>
        </w:rPr>
      </w:pPr>
      <w:r>
        <w:rPr>
          <w:color w:val="000000"/>
        </w:rPr>
        <w:t xml:space="preserve">Столяренко Д. О. (2020). Класичний реалізм та неореалізм в теорії міжнародних відносин: порівняльна характеристика. </w:t>
      </w:r>
      <w:r>
        <w:rPr>
          <w:i/>
          <w:color w:val="000000"/>
        </w:rPr>
        <w:t xml:space="preserve">Вісник студентського наукового товариства ДонНУ імені Василя Стуса, </w:t>
      </w:r>
      <w:r>
        <w:rPr>
          <w:color w:val="000000"/>
        </w:rPr>
        <w:t>3, 132-136.</w:t>
      </w:r>
    </w:p>
    <w:p w:rsidR="007559C1" w:rsidRDefault="007A1411">
      <w:pPr>
        <w:numPr>
          <w:ilvl w:val="0"/>
          <w:numId w:val="1"/>
        </w:numPr>
        <w:pBdr>
          <w:top w:val="nil"/>
          <w:left w:val="nil"/>
          <w:bottom w:val="nil"/>
          <w:right w:val="nil"/>
          <w:between w:val="nil"/>
        </w:pBdr>
        <w:rPr>
          <w:color w:val="000000"/>
        </w:rPr>
      </w:pPr>
      <w:r>
        <w:rPr>
          <w:color w:val="000000"/>
          <w:highlight w:val="white"/>
        </w:rPr>
        <w:t xml:space="preserve">Стратегія національної безпеки України (2020). Взято з </w:t>
      </w:r>
      <w:hyperlink r:id="rId17" w:anchor="n5">
        <w:r>
          <w:rPr>
            <w:color w:val="000000"/>
            <w:highlight w:val="white"/>
          </w:rPr>
          <w:t>https://zakon.rada.gov.ua/laws/show/392/2020#n5</w:t>
        </w:r>
      </w:hyperlink>
    </w:p>
    <w:p w:rsidR="007559C1" w:rsidRDefault="007A1411">
      <w:pPr>
        <w:numPr>
          <w:ilvl w:val="0"/>
          <w:numId w:val="1"/>
        </w:numPr>
        <w:pBdr>
          <w:top w:val="nil"/>
          <w:left w:val="nil"/>
          <w:bottom w:val="nil"/>
          <w:right w:val="nil"/>
          <w:between w:val="nil"/>
        </w:pBdr>
        <w:rPr>
          <w:color w:val="000000"/>
          <w:highlight w:val="white"/>
        </w:rPr>
      </w:pPr>
      <w:r>
        <w:rPr>
          <w:color w:val="000000"/>
        </w:rPr>
        <w:t xml:space="preserve">Трішина, С. О. (2018). Поняття агресії в площині сучасних міжнародно-правових відносин. </w:t>
      </w:r>
      <w:r>
        <w:rPr>
          <w:i/>
          <w:color w:val="000000"/>
        </w:rPr>
        <w:t>Молодий вчений</w:t>
      </w:r>
      <w:r>
        <w:rPr>
          <w:color w:val="000000"/>
        </w:rPr>
        <w:t xml:space="preserve">, 11, 150-152. </w:t>
      </w:r>
    </w:p>
    <w:p w:rsidR="007559C1" w:rsidRDefault="007A1411">
      <w:pPr>
        <w:numPr>
          <w:ilvl w:val="0"/>
          <w:numId w:val="1"/>
        </w:numPr>
        <w:pBdr>
          <w:top w:val="nil"/>
          <w:left w:val="nil"/>
          <w:bottom w:val="nil"/>
          <w:right w:val="nil"/>
          <w:between w:val="nil"/>
        </w:pBdr>
        <w:rPr>
          <w:color w:val="000000"/>
        </w:rPr>
      </w:pPr>
      <w:r>
        <w:rPr>
          <w:color w:val="000000"/>
          <w:highlight w:val="white"/>
        </w:rPr>
        <w:t xml:space="preserve">Хартія про особливе партнерство між Україною й НАТО (1997). Взято з </w:t>
      </w:r>
      <w:hyperlink r:id="rId18" w:anchor="Text">
        <w:r>
          <w:rPr>
            <w:color w:val="000000"/>
            <w:highlight w:val="white"/>
          </w:rPr>
          <w:t>https://zakon.rada.gov.ua/laws/show/994_002#Text</w:t>
        </w:r>
      </w:hyperlink>
    </w:p>
    <w:p w:rsidR="007559C1" w:rsidRDefault="007A1411">
      <w:pPr>
        <w:numPr>
          <w:ilvl w:val="0"/>
          <w:numId w:val="1"/>
        </w:numPr>
        <w:pBdr>
          <w:top w:val="nil"/>
          <w:left w:val="nil"/>
          <w:bottom w:val="nil"/>
          <w:right w:val="nil"/>
          <w:between w:val="nil"/>
        </w:pBdr>
        <w:rPr>
          <w:color w:val="000000"/>
        </w:rPr>
      </w:pPr>
      <w:r>
        <w:rPr>
          <w:color w:val="000000"/>
        </w:rPr>
        <w:t xml:space="preserve">Хронологія взаємовідносин України з НАТО (2024). Взято з </w:t>
      </w:r>
      <w:hyperlink r:id="rId19">
        <w:r>
          <w:rPr>
            <w:color w:val="000000"/>
          </w:rPr>
          <w:t>https://kr-admin.gov.ua/start.php?q=Nato/Ua/chronology.html</w:t>
        </w:r>
      </w:hyperlink>
    </w:p>
    <w:p w:rsidR="007559C1" w:rsidRDefault="007A1411">
      <w:pPr>
        <w:numPr>
          <w:ilvl w:val="0"/>
          <w:numId w:val="1"/>
        </w:numPr>
        <w:pBdr>
          <w:top w:val="nil"/>
          <w:left w:val="nil"/>
          <w:bottom w:val="nil"/>
          <w:right w:val="nil"/>
          <w:between w:val="nil"/>
        </w:pBdr>
        <w:rPr>
          <w:color w:val="000000"/>
          <w:highlight w:val="white"/>
        </w:rPr>
      </w:pPr>
      <w:r>
        <w:rPr>
          <w:color w:val="000000"/>
        </w:rPr>
        <w:t xml:space="preserve">Чекаленко, Л. Д. (2017). Концепції безпеки: сучасне прочитання. </w:t>
      </w:r>
      <w:r>
        <w:rPr>
          <w:color w:val="000000"/>
          <w:highlight w:val="white"/>
        </w:rPr>
        <w:t>Зовнішня політика і дипломатія: традиції, тренди, досвід, 2, 12-17.</w:t>
      </w:r>
    </w:p>
    <w:p w:rsidR="007559C1" w:rsidRDefault="007A1411">
      <w:pPr>
        <w:numPr>
          <w:ilvl w:val="0"/>
          <w:numId w:val="1"/>
        </w:numPr>
        <w:pBdr>
          <w:top w:val="nil"/>
          <w:left w:val="nil"/>
          <w:bottom w:val="nil"/>
          <w:right w:val="nil"/>
          <w:between w:val="nil"/>
        </w:pBdr>
        <w:rPr>
          <w:color w:val="000000"/>
          <w:highlight w:val="white"/>
        </w:rPr>
      </w:pPr>
      <w:r>
        <w:rPr>
          <w:color w:val="000000"/>
        </w:rPr>
        <w:t xml:space="preserve">Чернега, О. Б., Іваненко, І. А. (2009). НАТО та система міжнародної </w:t>
      </w:r>
      <w:r>
        <w:rPr>
          <w:color w:val="000000"/>
        </w:rPr>
        <w:lastRenderedPageBreak/>
        <w:t>безпеки. Донецьк : [б.в.].</w:t>
      </w:r>
    </w:p>
    <w:p w:rsidR="007559C1" w:rsidRDefault="007A1411">
      <w:pPr>
        <w:numPr>
          <w:ilvl w:val="0"/>
          <w:numId w:val="1"/>
        </w:numPr>
        <w:pBdr>
          <w:top w:val="nil"/>
          <w:left w:val="nil"/>
          <w:bottom w:val="nil"/>
          <w:right w:val="nil"/>
          <w:between w:val="nil"/>
        </w:pBdr>
        <w:rPr>
          <w:color w:val="000000"/>
        </w:rPr>
      </w:pPr>
      <w:r>
        <w:rPr>
          <w:color w:val="000000"/>
        </w:rPr>
        <w:t xml:space="preserve">Чурікова, Н. (2022). «Україна змусила ЧФ РФ сховатися за Крим». Яка стратегія НАТО і США щодо Чорноморського регіону? Взято з </w:t>
      </w:r>
      <w:hyperlink r:id="rId20">
        <w:r>
          <w:rPr>
            <w:color w:val="000000"/>
          </w:rPr>
          <w:t>https://www.radiosvoboda.org/a/rosiya-ukrayina-chorne-more-nato-ssha-stratehiya/32033474.html</w:t>
        </w:r>
      </w:hyperlink>
    </w:p>
    <w:p w:rsidR="007559C1" w:rsidRDefault="007A1411">
      <w:pPr>
        <w:numPr>
          <w:ilvl w:val="0"/>
          <w:numId w:val="1"/>
        </w:numPr>
        <w:pBdr>
          <w:top w:val="nil"/>
          <w:left w:val="nil"/>
          <w:bottom w:val="nil"/>
          <w:right w:val="nil"/>
          <w:between w:val="nil"/>
        </w:pBdr>
        <w:rPr>
          <w:color w:val="000000"/>
        </w:rPr>
      </w:pPr>
      <w:r>
        <w:rPr>
          <w:color w:val="000000"/>
        </w:rPr>
        <w:t xml:space="preserve">Шелест, Г. (2021). Перспективи посилення НАТО в Чорноморському регіоні. Чи є Чорноморський регіон регіоном його відповідальності чи лише прикордонним (сусіднім) регіоном? Взято з </w:t>
      </w:r>
      <w:hyperlink r:id="rId21">
        <w:r>
          <w:rPr>
            <w:color w:val="000000"/>
          </w:rPr>
          <w:t>https://prismua.org/nato6/</w:t>
        </w:r>
      </w:hyperlink>
    </w:p>
    <w:p w:rsidR="007559C1" w:rsidRDefault="007A1411">
      <w:pPr>
        <w:numPr>
          <w:ilvl w:val="0"/>
          <w:numId w:val="1"/>
        </w:numPr>
        <w:pBdr>
          <w:top w:val="nil"/>
          <w:left w:val="nil"/>
          <w:bottom w:val="nil"/>
          <w:right w:val="nil"/>
          <w:between w:val="nil"/>
        </w:pBdr>
        <w:rPr>
          <w:color w:val="000000"/>
        </w:rPr>
      </w:pPr>
      <w:r>
        <w:rPr>
          <w:color w:val="000000"/>
        </w:rPr>
        <w:t xml:space="preserve">Шелест, Г. (2022). Чи існує чорноморська політика НАТО? Взято з </w:t>
      </w:r>
      <w:hyperlink r:id="rId22">
        <w:r>
          <w:rPr>
            <w:color w:val="000000"/>
          </w:rPr>
          <w:t>http://prismua.org.tilda.ws/blackseanato</w:t>
        </w:r>
      </w:hyperlink>
    </w:p>
    <w:p w:rsidR="007559C1" w:rsidRDefault="007A1411">
      <w:pPr>
        <w:numPr>
          <w:ilvl w:val="0"/>
          <w:numId w:val="1"/>
        </w:numPr>
        <w:pBdr>
          <w:top w:val="nil"/>
          <w:left w:val="nil"/>
          <w:bottom w:val="nil"/>
          <w:right w:val="nil"/>
          <w:between w:val="nil"/>
        </w:pBdr>
        <w:rPr>
          <w:color w:val="000000"/>
        </w:rPr>
      </w:pPr>
      <w:r>
        <w:rPr>
          <w:color w:val="000000"/>
        </w:rPr>
        <w:t xml:space="preserve">A security strategy for the Black Sea (2023). Retrieved from </w:t>
      </w:r>
      <w:hyperlink r:id="rId23">
        <w:r>
          <w:rPr>
            <w:color w:val="000000"/>
          </w:rPr>
          <w:t>https://www.atlanticcouncil.org/in-depth-research-reports/report/a-security-strategy-for-the-black-sea/</w:t>
        </w:r>
      </w:hyperlink>
    </w:p>
    <w:p w:rsidR="007559C1" w:rsidRDefault="007A1411">
      <w:pPr>
        <w:numPr>
          <w:ilvl w:val="0"/>
          <w:numId w:val="1"/>
        </w:numPr>
        <w:pBdr>
          <w:top w:val="nil"/>
          <w:left w:val="nil"/>
          <w:bottom w:val="nil"/>
          <w:right w:val="nil"/>
          <w:between w:val="nil"/>
        </w:pBdr>
        <w:rPr>
          <w:color w:val="000000"/>
        </w:rPr>
      </w:pPr>
      <w:r>
        <w:rPr>
          <w:color w:val="000000"/>
        </w:rPr>
        <w:t xml:space="preserve">Alliance Maritime Strategy (2011). </w:t>
      </w:r>
      <w:hyperlink r:id="rId24">
        <w:r>
          <w:rPr>
            <w:color w:val="000000"/>
          </w:rPr>
          <w:t>https://www.nato.int/cps/ru/natohq/ official_texts_75615.htm?selectedLocale=en</w:t>
        </w:r>
      </w:hyperlink>
    </w:p>
    <w:p w:rsidR="007559C1" w:rsidRDefault="007A1411">
      <w:pPr>
        <w:numPr>
          <w:ilvl w:val="0"/>
          <w:numId w:val="1"/>
        </w:numPr>
        <w:pBdr>
          <w:top w:val="nil"/>
          <w:left w:val="nil"/>
          <w:bottom w:val="nil"/>
          <w:right w:val="nil"/>
          <w:between w:val="nil"/>
        </w:pBdr>
        <w:rPr>
          <w:color w:val="000000"/>
        </w:rPr>
      </w:pPr>
      <w:r>
        <w:rPr>
          <w:color w:val="000000"/>
        </w:rPr>
        <w:t xml:space="preserve">Anastasov, P. (2018). The Black Sea region: a critical intersection. Retrieved from </w:t>
      </w:r>
      <w:hyperlink r:id="rId25">
        <w:r>
          <w:rPr>
            <w:color w:val="000000"/>
          </w:rPr>
          <w:t>https://www.nato.int/docu/review/articles/2018/05/25/the-black-sea-region-a-critical-intersection/index.html</w:t>
        </w:r>
      </w:hyperlink>
    </w:p>
    <w:p w:rsidR="007559C1" w:rsidRDefault="007A1411">
      <w:pPr>
        <w:numPr>
          <w:ilvl w:val="0"/>
          <w:numId w:val="1"/>
        </w:numPr>
        <w:pBdr>
          <w:top w:val="nil"/>
          <w:left w:val="nil"/>
          <w:bottom w:val="nil"/>
          <w:right w:val="nil"/>
          <w:between w:val="nil"/>
        </w:pBdr>
        <w:rPr>
          <w:color w:val="000000"/>
        </w:rPr>
      </w:pPr>
      <w:r>
        <w:rPr>
          <w:color w:val="000000"/>
        </w:rPr>
        <w:t xml:space="preserve">Antonenko, O. (2009). Towards a comprehensive regional security framework in the Black Sea region after the Russia–Georgia war. </w:t>
      </w:r>
      <w:r>
        <w:rPr>
          <w:i/>
          <w:color w:val="000000"/>
        </w:rPr>
        <w:t>Southeast European and Black Sea Studies</w:t>
      </w:r>
      <w:r>
        <w:rPr>
          <w:color w:val="000000"/>
        </w:rPr>
        <w:t>, 9, 259-269.</w:t>
      </w:r>
    </w:p>
    <w:p w:rsidR="007559C1" w:rsidRDefault="007A1411">
      <w:pPr>
        <w:numPr>
          <w:ilvl w:val="0"/>
          <w:numId w:val="1"/>
        </w:numPr>
        <w:pBdr>
          <w:top w:val="nil"/>
          <w:left w:val="nil"/>
          <w:bottom w:val="nil"/>
          <w:right w:val="nil"/>
          <w:between w:val="nil"/>
        </w:pBdr>
        <w:rPr>
          <w:color w:val="000000"/>
        </w:rPr>
      </w:pPr>
      <w:r>
        <w:rPr>
          <w:color w:val="000000"/>
        </w:rPr>
        <w:t xml:space="preserve">Assessing the Department of State’s Strategy for security in The Black Sea region (2023). Retrieved from </w:t>
      </w:r>
      <w:hyperlink r:id="rId26">
        <w:r>
          <w:rPr>
            <w:color w:val="000000"/>
          </w:rPr>
          <w:t>https://www.foreign.senate.gov/hearings/ assessing-the-department-of-states-strategy-for-security-in-the-black-sea-region</w:t>
        </w:r>
      </w:hyperlink>
    </w:p>
    <w:p w:rsidR="007559C1" w:rsidRDefault="007A1411">
      <w:pPr>
        <w:numPr>
          <w:ilvl w:val="0"/>
          <w:numId w:val="1"/>
        </w:numPr>
        <w:pBdr>
          <w:top w:val="nil"/>
          <w:left w:val="nil"/>
          <w:bottom w:val="nil"/>
          <w:right w:val="nil"/>
          <w:between w:val="nil"/>
        </w:pBdr>
        <w:rPr>
          <w:color w:val="000000"/>
        </w:rPr>
      </w:pPr>
      <w:r>
        <w:rPr>
          <w:color w:val="000000"/>
        </w:rPr>
        <w:t xml:space="preserve">Aydın, M. (2016). Geographical blessing versus geopolitical curse: great power security agendas for the Black Sea region and a Turkish alternative. Retrieved from  </w:t>
      </w:r>
      <w:hyperlink r:id="rId27">
        <w:r>
          <w:rPr>
            <w:color w:val="000000"/>
          </w:rPr>
          <w:t>https://www.tandfonline.com/doi/abs/10.1080/14683850902934283</w:t>
        </w:r>
      </w:hyperlink>
    </w:p>
    <w:p w:rsidR="007559C1" w:rsidRDefault="007A1411">
      <w:pPr>
        <w:numPr>
          <w:ilvl w:val="0"/>
          <w:numId w:val="1"/>
        </w:numPr>
        <w:pBdr>
          <w:top w:val="nil"/>
          <w:left w:val="nil"/>
          <w:bottom w:val="nil"/>
          <w:right w:val="nil"/>
          <w:between w:val="nil"/>
        </w:pBdr>
        <w:rPr>
          <w:color w:val="000000"/>
        </w:rPr>
      </w:pPr>
      <w:r>
        <w:rPr>
          <w:color w:val="000000"/>
        </w:rPr>
        <w:t xml:space="preserve">Black Sea Security Act (2023). Retrieved from </w:t>
      </w:r>
      <w:hyperlink r:id="rId28">
        <w:r>
          <w:rPr>
            <w:color w:val="000000"/>
          </w:rPr>
          <w:t>https://www.congress.gov/bill/118th-congress/senate-bill/804</w:t>
        </w:r>
      </w:hyperlink>
    </w:p>
    <w:p w:rsidR="007559C1" w:rsidRDefault="007A1411">
      <w:pPr>
        <w:numPr>
          <w:ilvl w:val="0"/>
          <w:numId w:val="1"/>
        </w:numPr>
        <w:pBdr>
          <w:top w:val="nil"/>
          <w:left w:val="nil"/>
          <w:bottom w:val="nil"/>
          <w:right w:val="nil"/>
          <w:between w:val="nil"/>
        </w:pBdr>
        <w:rPr>
          <w:color w:val="000000"/>
        </w:rPr>
      </w:pPr>
      <w:r>
        <w:rPr>
          <w:color w:val="000000"/>
          <w:highlight w:val="white"/>
        </w:rPr>
        <w:t>Boosting NATO’s Presence in the East and Southeast (2019)</w:t>
      </w:r>
      <w:r>
        <w:rPr>
          <w:color w:val="000000"/>
        </w:rPr>
        <w:t xml:space="preserve">. Retrieved from </w:t>
      </w:r>
      <w:hyperlink r:id="rId29">
        <w:r>
          <w:rPr>
            <w:color w:val="000000"/>
            <w:highlight w:val="white"/>
          </w:rPr>
          <w:t>https://www.nato.int/cps/en/natohq/topics_136388.htm</w:t>
        </w:r>
      </w:hyperlink>
    </w:p>
    <w:p w:rsidR="007559C1" w:rsidRDefault="007A1411">
      <w:pPr>
        <w:numPr>
          <w:ilvl w:val="0"/>
          <w:numId w:val="1"/>
        </w:numPr>
        <w:pBdr>
          <w:top w:val="nil"/>
          <w:left w:val="nil"/>
          <w:bottom w:val="nil"/>
          <w:right w:val="nil"/>
          <w:between w:val="nil"/>
        </w:pBdr>
        <w:rPr>
          <w:color w:val="000000"/>
        </w:rPr>
      </w:pPr>
      <w:r>
        <w:rPr>
          <w:color w:val="000000"/>
        </w:rPr>
        <w:lastRenderedPageBreak/>
        <w:t xml:space="preserve">Brussels Summit Declaration (2018). Retrieved from </w:t>
      </w:r>
      <w:hyperlink r:id="rId30">
        <w:r>
          <w:rPr>
            <w:color w:val="000000"/>
          </w:rPr>
          <w:t>https://www.nato.int/cps/en/natohq/official_texts_156624.htm</w:t>
        </w:r>
      </w:hyperlink>
    </w:p>
    <w:p w:rsidR="007559C1" w:rsidRDefault="007A1411">
      <w:pPr>
        <w:numPr>
          <w:ilvl w:val="0"/>
          <w:numId w:val="1"/>
        </w:numPr>
        <w:pBdr>
          <w:top w:val="nil"/>
          <w:left w:val="nil"/>
          <w:bottom w:val="nil"/>
          <w:right w:val="nil"/>
          <w:between w:val="nil"/>
        </w:pBdr>
        <w:rPr>
          <w:color w:val="000000"/>
        </w:rPr>
      </w:pPr>
      <w:r>
        <w:rPr>
          <w:color w:val="000000"/>
        </w:rPr>
        <w:t xml:space="preserve">Bucharest summit (2008). Retrieved from </w:t>
      </w:r>
      <w:hyperlink r:id="rId31">
        <w:r>
          <w:rPr>
            <w:color w:val="000000"/>
          </w:rPr>
          <w:t>https://www.nato.int/cps/en/natolive/official_texts_8443.htm</w:t>
        </w:r>
      </w:hyperlink>
    </w:p>
    <w:p w:rsidR="007559C1" w:rsidRDefault="007A1411">
      <w:pPr>
        <w:numPr>
          <w:ilvl w:val="0"/>
          <w:numId w:val="1"/>
        </w:numPr>
        <w:pBdr>
          <w:top w:val="nil"/>
          <w:left w:val="nil"/>
          <w:bottom w:val="nil"/>
          <w:right w:val="nil"/>
          <w:between w:val="nil"/>
        </w:pBdr>
        <w:rPr>
          <w:color w:val="000000"/>
          <w:highlight w:val="white"/>
        </w:rPr>
      </w:pPr>
      <w:r>
        <w:rPr>
          <w:color w:val="000000"/>
        </w:rPr>
        <w:t xml:space="preserve">Chan, S. (1997). In Search of Democratic Peace: Problems and Promise. </w:t>
      </w:r>
      <w:r>
        <w:rPr>
          <w:i/>
          <w:color w:val="000000"/>
          <w:highlight w:val="white"/>
        </w:rPr>
        <w:t>Mershon International Studies Review,</w:t>
      </w:r>
      <w:r>
        <w:rPr>
          <w:color w:val="000000"/>
          <w:highlight w:val="white"/>
        </w:rPr>
        <w:t xml:space="preserve"> 41, 1, 59-91.</w:t>
      </w:r>
    </w:p>
    <w:p w:rsidR="007559C1" w:rsidRDefault="007A1411">
      <w:pPr>
        <w:numPr>
          <w:ilvl w:val="0"/>
          <w:numId w:val="1"/>
        </w:numPr>
        <w:pBdr>
          <w:top w:val="nil"/>
          <w:left w:val="nil"/>
          <w:bottom w:val="nil"/>
          <w:right w:val="nil"/>
          <w:between w:val="nil"/>
        </w:pBdr>
        <w:rPr>
          <w:color w:val="000000"/>
        </w:rPr>
      </w:pPr>
      <w:r>
        <w:rPr>
          <w:color w:val="000000"/>
        </w:rPr>
        <w:t xml:space="preserve">Coalson, R. (2016). News Analysis: Russian Buildup Focuses Concerns Around The Black Sea. Retrieved from </w:t>
      </w:r>
      <w:hyperlink r:id="rId32">
        <w:r>
          <w:rPr>
            <w:color w:val="000000"/>
          </w:rPr>
          <w:t>https://www.rferl.org/a/russia-black-sea-military-buildup-turkey/27569877.html</w:t>
        </w:r>
      </w:hyperlink>
    </w:p>
    <w:p w:rsidR="007559C1" w:rsidRDefault="007A1411">
      <w:pPr>
        <w:numPr>
          <w:ilvl w:val="0"/>
          <w:numId w:val="1"/>
        </w:numPr>
        <w:pBdr>
          <w:top w:val="nil"/>
          <w:left w:val="nil"/>
          <w:bottom w:val="nil"/>
          <w:right w:val="nil"/>
          <w:between w:val="nil"/>
        </w:pBdr>
        <w:rPr>
          <w:color w:val="000000"/>
        </w:rPr>
      </w:pPr>
      <w:r>
        <w:rPr>
          <w:color w:val="000000"/>
        </w:rPr>
        <w:t>Collard, D. (1996). La société internationale après la guerre froide. Paris: A. Colin.</w:t>
      </w:r>
    </w:p>
    <w:p w:rsidR="007559C1" w:rsidRDefault="007A1411">
      <w:pPr>
        <w:numPr>
          <w:ilvl w:val="0"/>
          <w:numId w:val="1"/>
        </w:numPr>
        <w:pBdr>
          <w:top w:val="nil"/>
          <w:left w:val="nil"/>
          <w:bottom w:val="nil"/>
          <w:right w:val="nil"/>
          <w:between w:val="nil"/>
        </w:pBdr>
        <w:rPr>
          <w:color w:val="000000"/>
          <w:highlight w:val="white"/>
        </w:rPr>
      </w:pPr>
      <w:r>
        <w:rPr>
          <w:color w:val="000000"/>
        </w:rPr>
        <w:t xml:space="preserve">Evongelos, P. G. (1988). The strategic value of Aegean Islands and today's NATO policy. Alabama: Maxwell air force base. </w:t>
      </w:r>
    </w:p>
    <w:p w:rsidR="007559C1" w:rsidRDefault="007A1411">
      <w:pPr>
        <w:numPr>
          <w:ilvl w:val="0"/>
          <w:numId w:val="1"/>
        </w:numPr>
        <w:pBdr>
          <w:top w:val="nil"/>
          <w:left w:val="nil"/>
          <w:bottom w:val="nil"/>
          <w:right w:val="nil"/>
          <w:between w:val="nil"/>
        </w:pBdr>
        <w:rPr>
          <w:color w:val="000000"/>
        </w:rPr>
      </w:pPr>
      <w:r>
        <w:rPr>
          <w:color w:val="000000"/>
        </w:rPr>
        <w:t xml:space="preserve">Flanagan, S. J.,  Binnendijk, A., Chindea, I. A., Costello, K., Kirkwood, G., Massicot, D., Reach, C. (2020). Russia, NATO, and Black Sea Security. Retrieved from </w:t>
      </w:r>
      <w:hyperlink r:id="rId33">
        <w:r>
          <w:rPr>
            <w:color w:val="000000"/>
          </w:rPr>
          <w:t>https://www.rand.org/pubs/research_reports/RRA357-1.html</w:t>
        </w:r>
      </w:hyperlink>
    </w:p>
    <w:p w:rsidR="007559C1" w:rsidRDefault="007A1411">
      <w:pPr>
        <w:numPr>
          <w:ilvl w:val="0"/>
          <w:numId w:val="1"/>
        </w:numPr>
        <w:pBdr>
          <w:top w:val="nil"/>
          <w:left w:val="nil"/>
          <w:bottom w:val="nil"/>
          <w:right w:val="nil"/>
          <w:between w:val="nil"/>
        </w:pBdr>
        <w:rPr>
          <w:color w:val="000000"/>
        </w:rPr>
      </w:pPr>
      <w:r>
        <w:rPr>
          <w:color w:val="000000"/>
        </w:rPr>
        <w:t xml:space="preserve">Galeotti, M., Lanoszka, A., Rogers, J. (2021). The Black Sea region: Beyond NATO. Retrieved from </w:t>
      </w:r>
      <w:hyperlink r:id="rId34">
        <w:r>
          <w:rPr>
            <w:color w:val="000000"/>
          </w:rPr>
          <w:t>https://www.geostrategy.org.uk/app/uploads/2021/</w:t>
        </w:r>
      </w:hyperlink>
      <w:r>
        <w:rPr>
          <w:color w:val="000000"/>
        </w:rPr>
        <w:t xml:space="preserve"> 11/GPPP01-25112021a.pdf</w:t>
      </w:r>
    </w:p>
    <w:p w:rsidR="007559C1" w:rsidRDefault="007A1411">
      <w:pPr>
        <w:numPr>
          <w:ilvl w:val="0"/>
          <w:numId w:val="1"/>
        </w:numPr>
        <w:pBdr>
          <w:top w:val="nil"/>
          <w:left w:val="nil"/>
          <w:bottom w:val="nil"/>
          <w:right w:val="nil"/>
          <w:between w:val="nil"/>
        </w:pBdr>
        <w:rPr>
          <w:color w:val="000000"/>
        </w:rPr>
      </w:pPr>
      <w:r>
        <w:rPr>
          <w:color w:val="000000"/>
        </w:rPr>
        <w:t>Gramer, R. (2023). The U.S. and NATO Seek to Blunt Putin’s Black Sea Ambitions. Retrieved from https://foreignpolicy.com/2023/04/07/black-sea-war-geopolitics-russia-ukraine-nato/</w:t>
      </w:r>
    </w:p>
    <w:p w:rsidR="007559C1" w:rsidRDefault="007A1411">
      <w:pPr>
        <w:numPr>
          <w:ilvl w:val="0"/>
          <w:numId w:val="1"/>
        </w:numPr>
        <w:pBdr>
          <w:top w:val="nil"/>
          <w:left w:val="nil"/>
          <w:bottom w:val="nil"/>
          <w:right w:val="nil"/>
          <w:between w:val="nil"/>
        </w:pBdr>
        <w:rPr>
          <w:color w:val="000000"/>
        </w:rPr>
      </w:pPr>
      <w:r>
        <w:rPr>
          <w:color w:val="000000"/>
        </w:rPr>
        <w:t xml:space="preserve">Hamilton, D., Mangott, G. (2009). The Wider Black Sea Region in the 21st Century: Strategic, Economic and Energy Perspectives. Retrieved from </w:t>
      </w:r>
      <w:hyperlink r:id="rId35">
        <w:r>
          <w:rPr>
            <w:color w:val="000000"/>
          </w:rPr>
          <w:t>https://www.ceps.eu/wp-content/uploads/2009/08/1672.pdf</w:t>
        </w:r>
      </w:hyperlink>
    </w:p>
    <w:p w:rsidR="007559C1" w:rsidRDefault="007A1411">
      <w:pPr>
        <w:numPr>
          <w:ilvl w:val="0"/>
          <w:numId w:val="1"/>
        </w:numPr>
        <w:pBdr>
          <w:top w:val="nil"/>
          <w:left w:val="nil"/>
          <w:bottom w:val="nil"/>
          <w:right w:val="nil"/>
          <w:between w:val="nil"/>
        </w:pBdr>
        <w:rPr>
          <w:color w:val="000000"/>
          <w:highlight w:val="white"/>
        </w:rPr>
      </w:pPr>
      <w:r>
        <w:rPr>
          <w:color w:val="000000"/>
          <w:highlight w:val="white"/>
        </w:rPr>
        <w:t xml:space="preserve">Hassner, P. (1968). Change and Security in Europe. Adelphi Papers, 45 et 48, Londres. International Institute for Strategic Studies. </w:t>
      </w:r>
    </w:p>
    <w:p w:rsidR="007559C1" w:rsidRDefault="007A1411">
      <w:pPr>
        <w:numPr>
          <w:ilvl w:val="0"/>
          <w:numId w:val="1"/>
        </w:numPr>
        <w:pBdr>
          <w:top w:val="nil"/>
          <w:left w:val="nil"/>
          <w:bottom w:val="nil"/>
          <w:right w:val="nil"/>
          <w:between w:val="nil"/>
        </w:pBdr>
        <w:rPr>
          <w:color w:val="000000"/>
        </w:rPr>
      </w:pPr>
      <w:r>
        <w:rPr>
          <w:color w:val="000000"/>
        </w:rPr>
        <w:t xml:space="preserve">Hodges, B. (2020). Strengthening NATO in the Black Sea Region. Retrieved from </w:t>
      </w:r>
      <w:hyperlink r:id="rId36">
        <w:r>
          <w:rPr>
            <w:color w:val="000000"/>
          </w:rPr>
          <w:t>https://www.fdd.org/analysis/2020/12/15/defending-forward-streng-thening-nato-in-the-black-sea-region/</w:t>
        </w:r>
      </w:hyperlink>
    </w:p>
    <w:p w:rsidR="007559C1" w:rsidRDefault="007A1411">
      <w:pPr>
        <w:numPr>
          <w:ilvl w:val="0"/>
          <w:numId w:val="1"/>
        </w:numPr>
        <w:pBdr>
          <w:top w:val="nil"/>
          <w:left w:val="nil"/>
          <w:bottom w:val="nil"/>
          <w:right w:val="nil"/>
          <w:between w:val="nil"/>
        </w:pBdr>
        <w:rPr>
          <w:color w:val="000000"/>
        </w:rPr>
      </w:pPr>
      <w:r>
        <w:rPr>
          <w:color w:val="000000"/>
        </w:rPr>
        <w:t xml:space="preserve">Hodges, B., Horrell, S. and Kuz, I. (2022). Russia’s Militarization of the Black </w:t>
      </w:r>
      <w:r>
        <w:rPr>
          <w:color w:val="000000"/>
        </w:rPr>
        <w:lastRenderedPageBreak/>
        <w:t xml:space="preserve">Sea: Implications for the United States and NATO. Retrieved from </w:t>
      </w:r>
      <w:hyperlink r:id="rId37">
        <w:r>
          <w:rPr>
            <w:color w:val="000000"/>
          </w:rPr>
          <w:t>https://cepa.org/comprehensive-reports/russias-militarization-of-the-black-sea-implications-for-the-united-states-and-nato/</w:t>
        </w:r>
      </w:hyperlink>
    </w:p>
    <w:p w:rsidR="007559C1" w:rsidRDefault="007A1411">
      <w:pPr>
        <w:numPr>
          <w:ilvl w:val="0"/>
          <w:numId w:val="1"/>
        </w:numPr>
        <w:pBdr>
          <w:top w:val="nil"/>
          <w:left w:val="nil"/>
          <w:bottom w:val="nil"/>
          <w:right w:val="nil"/>
          <w:between w:val="nil"/>
        </w:pBdr>
        <w:rPr>
          <w:color w:val="000000"/>
        </w:rPr>
      </w:pPr>
      <w:r>
        <w:rPr>
          <w:color w:val="000000"/>
        </w:rPr>
        <w:t xml:space="preserve">Horrell, S. (2016). A NATO Strategy for Security in the Black Sea Region. Retrieved from </w:t>
      </w:r>
      <w:hyperlink r:id="rId38">
        <w:r>
          <w:rPr>
            <w:color w:val="000000"/>
          </w:rPr>
          <w:t>https://www.jstor.org/stable/resrep03475</w:t>
        </w:r>
      </w:hyperlink>
    </w:p>
    <w:p w:rsidR="007559C1" w:rsidRDefault="007A1411">
      <w:pPr>
        <w:numPr>
          <w:ilvl w:val="0"/>
          <w:numId w:val="1"/>
        </w:numPr>
        <w:pBdr>
          <w:top w:val="nil"/>
          <w:left w:val="nil"/>
          <w:bottom w:val="nil"/>
          <w:right w:val="nil"/>
          <w:between w:val="nil"/>
        </w:pBdr>
        <w:rPr>
          <w:color w:val="000000"/>
        </w:rPr>
      </w:pPr>
      <w:r>
        <w:rPr>
          <w:color w:val="000000"/>
        </w:rPr>
        <w:t xml:space="preserve">Horrell, S., Kuz, I. (2022). NATO – Back in the Black (Sea)? Retrieved from </w:t>
      </w:r>
      <w:hyperlink r:id="rId39">
        <w:r>
          <w:rPr>
            <w:color w:val="000000"/>
          </w:rPr>
          <w:t>https://cepa.org/article/nato-back-in-the-black-sea/</w:t>
        </w:r>
      </w:hyperlink>
    </w:p>
    <w:p w:rsidR="007559C1" w:rsidRDefault="007A1411">
      <w:pPr>
        <w:numPr>
          <w:ilvl w:val="0"/>
          <w:numId w:val="1"/>
        </w:numPr>
        <w:pBdr>
          <w:top w:val="nil"/>
          <w:left w:val="nil"/>
          <w:bottom w:val="nil"/>
          <w:right w:val="nil"/>
          <w:between w:val="nil"/>
        </w:pBdr>
        <w:rPr>
          <w:color w:val="000000"/>
        </w:rPr>
      </w:pPr>
      <w:r>
        <w:rPr>
          <w:color w:val="000000"/>
        </w:rPr>
        <w:t xml:space="preserve">How the War in Ukraine Impacts NATO Policy in the Black Sea Region (2023). Retrieved from </w:t>
      </w:r>
      <w:hyperlink r:id="rId40">
        <w:r>
          <w:rPr>
            <w:color w:val="000000"/>
          </w:rPr>
          <w:t>https://pism.pl/publications/how-the-war-in-ukraine-impacts-nato-policy-in-the-black-sea-region</w:t>
        </w:r>
      </w:hyperlink>
    </w:p>
    <w:p w:rsidR="007559C1" w:rsidRDefault="007A1411">
      <w:pPr>
        <w:numPr>
          <w:ilvl w:val="0"/>
          <w:numId w:val="1"/>
        </w:numPr>
        <w:pBdr>
          <w:top w:val="nil"/>
          <w:left w:val="nil"/>
          <w:bottom w:val="nil"/>
          <w:right w:val="nil"/>
          <w:between w:val="nil"/>
        </w:pBdr>
        <w:rPr>
          <w:color w:val="000000"/>
        </w:rPr>
      </w:pPr>
      <w:r>
        <w:rPr>
          <w:color w:val="000000"/>
        </w:rPr>
        <w:t xml:space="preserve">Hubbard, B. and Harman, G. Why the Black Sea Is a Flashpoint Between Russia and the West (2023). Retrieved from </w:t>
      </w:r>
      <w:hyperlink r:id="rId41">
        <w:r>
          <w:rPr>
            <w:color w:val="000000"/>
          </w:rPr>
          <w:t>https://www.nytimes.com/ 2023/03/15/world/middleeast/black-sea-ukraine-war.html</w:t>
        </w:r>
      </w:hyperlink>
    </w:p>
    <w:p w:rsidR="007559C1" w:rsidRDefault="007A1411">
      <w:pPr>
        <w:numPr>
          <w:ilvl w:val="0"/>
          <w:numId w:val="1"/>
        </w:numPr>
        <w:pBdr>
          <w:top w:val="nil"/>
          <w:left w:val="nil"/>
          <w:bottom w:val="nil"/>
          <w:right w:val="nil"/>
          <w:between w:val="nil"/>
        </w:pBdr>
        <w:rPr>
          <w:color w:val="000000"/>
        </w:rPr>
      </w:pPr>
      <w:r>
        <w:rPr>
          <w:color w:val="000000"/>
        </w:rPr>
        <w:t xml:space="preserve">Inayeh, A. (2022). Black Sea Security and Development: The Need for a Regional Strategy. Retrieved from </w:t>
      </w:r>
      <w:hyperlink r:id="rId42">
        <w:r>
          <w:rPr>
            <w:color w:val="000000"/>
          </w:rPr>
          <w:t>https://www.gmfus.org/news/black-sea-security-and-development-need-regional-strategy</w:t>
        </w:r>
      </w:hyperlink>
    </w:p>
    <w:p w:rsidR="007559C1" w:rsidRDefault="007A1411">
      <w:pPr>
        <w:numPr>
          <w:ilvl w:val="0"/>
          <w:numId w:val="1"/>
        </w:numPr>
        <w:pBdr>
          <w:top w:val="nil"/>
          <w:left w:val="nil"/>
          <w:bottom w:val="nil"/>
          <w:right w:val="nil"/>
          <w:between w:val="nil"/>
        </w:pBdr>
        <w:rPr>
          <w:color w:val="000000"/>
        </w:rPr>
      </w:pPr>
      <w:r>
        <w:rPr>
          <w:color w:val="000000"/>
        </w:rPr>
        <w:t xml:space="preserve">Is There a Need to Develop a NATO Strategy for the Black Sea Security? (2023). Retrieved from </w:t>
      </w:r>
      <w:hyperlink r:id="rId43">
        <w:r>
          <w:rPr>
            <w:color w:val="000000"/>
          </w:rPr>
          <w:t>https://edam.org.tr/en/foreign-policy-and-security/is-there-a-need-to-develop-a-nato-strategy-for-the-black-sea-security</w:t>
        </w:r>
      </w:hyperlink>
    </w:p>
    <w:p w:rsidR="007559C1" w:rsidRDefault="007A1411">
      <w:pPr>
        <w:numPr>
          <w:ilvl w:val="0"/>
          <w:numId w:val="1"/>
        </w:numPr>
        <w:pBdr>
          <w:top w:val="nil"/>
          <w:left w:val="nil"/>
          <w:bottom w:val="nil"/>
          <w:right w:val="nil"/>
          <w:between w:val="nil"/>
        </w:pBdr>
        <w:rPr>
          <w:color w:val="000000"/>
        </w:rPr>
      </w:pPr>
      <w:r>
        <w:rPr>
          <w:color w:val="000000"/>
        </w:rPr>
        <w:t>Jager, J. (2024). Key takeaways for NATO and the Middle East from the Washington Summit Declaration. Retrieved from https://www.mei.edu/ publications/key-takeaways-nato-and-middle-east-washington-summit-declaration</w:t>
      </w:r>
    </w:p>
    <w:p w:rsidR="007559C1" w:rsidRDefault="007A1411">
      <w:pPr>
        <w:numPr>
          <w:ilvl w:val="0"/>
          <w:numId w:val="1"/>
        </w:numPr>
        <w:pBdr>
          <w:top w:val="nil"/>
          <w:left w:val="nil"/>
          <w:bottom w:val="nil"/>
          <w:right w:val="nil"/>
          <w:between w:val="nil"/>
        </w:pBdr>
        <w:rPr>
          <w:color w:val="000000"/>
        </w:rPr>
      </w:pPr>
      <w:r>
        <w:rPr>
          <w:color w:val="000000"/>
        </w:rPr>
        <w:t>James, P. (1995). Structural Realism and the Causes of War. Mershon International Studies Review, 39, 2, pp. 181-208</w:t>
      </w:r>
    </w:p>
    <w:p w:rsidR="007559C1" w:rsidRDefault="007A1411">
      <w:pPr>
        <w:numPr>
          <w:ilvl w:val="0"/>
          <w:numId w:val="1"/>
        </w:numPr>
        <w:pBdr>
          <w:top w:val="nil"/>
          <w:left w:val="nil"/>
          <w:bottom w:val="nil"/>
          <w:right w:val="nil"/>
          <w:between w:val="nil"/>
        </w:pBdr>
        <w:rPr>
          <w:color w:val="000000"/>
          <w:highlight w:val="white"/>
        </w:rPr>
      </w:pPr>
      <w:r>
        <w:rPr>
          <w:color w:val="000000"/>
          <w:highlight w:val="white"/>
        </w:rPr>
        <w:t xml:space="preserve">Jockel, J., Sokolsky, J. (2000). Lloyd Axworthy's Legacy: Human Security and the Rescue of Canadian Defence Policy. </w:t>
      </w:r>
      <w:r>
        <w:rPr>
          <w:i/>
          <w:color w:val="000000"/>
          <w:highlight w:val="white"/>
        </w:rPr>
        <w:t>International Journal</w:t>
      </w:r>
      <w:r>
        <w:rPr>
          <w:color w:val="000000"/>
          <w:highlight w:val="white"/>
        </w:rPr>
        <w:t>, 56, 1, 1-18.</w:t>
      </w:r>
    </w:p>
    <w:p w:rsidR="007559C1" w:rsidRDefault="007A1411">
      <w:pPr>
        <w:numPr>
          <w:ilvl w:val="0"/>
          <w:numId w:val="1"/>
        </w:numPr>
        <w:pBdr>
          <w:top w:val="nil"/>
          <w:left w:val="nil"/>
          <w:bottom w:val="nil"/>
          <w:right w:val="nil"/>
          <w:between w:val="nil"/>
        </w:pBdr>
        <w:rPr>
          <w:color w:val="000000"/>
        </w:rPr>
      </w:pPr>
      <w:r>
        <w:rPr>
          <w:color w:val="000000"/>
        </w:rPr>
        <w:t xml:space="preserve">Joint press conference with Military Committee Chairman General Knud Bartels, SACEUR General Breedlove and SACT General Paloméros (2015).  Retrieved from </w:t>
      </w:r>
      <w:hyperlink r:id="rId44">
        <w:r>
          <w:rPr>
            <w:color w:val="000000"/>
          </w:rPr>
          <w:t>https://www.nato.int/cps/en/natohq/opinions_119868.htm</w:t>
        </w:r>
      </w:hyperlink>
      <w:r>
        <w:rPr>
          <w:color w:val="000000"/>
        </w:rPr>
        <w:t xml:space="preserve"> </w:t>
      </w:r>
    </w:p>
    <w:p w:rsidR="007559C1" w:rsidRDefault="007A1411">
      <w:pPr>
        <w:numPr>
          <w:ilvl w:val="0"/>
          <w:numId w:val="1"/>
        </w:numPr>
        <w:pBdr>
          <w:top w:val="nil"/>
          <w:left w:val="nil"/>
          <w:bottom w:val="nil"/>
          <w:right w:val="nil"/>
          <w:between w:val="nil"/>
        </w:pBdr>
        <w:rPr>
          <w:color w:val="000000"/>
        </w:rPr>
      </w:pPr>
      <w:r>
        <w:rPr>
          <w:color w:val="000000"/>
        </w:rPr>
        <w:t xml:space="preserve">Joja, I.-S. (2024). Toward a NATO Black Sea strategy. Retrieved from </w:t>
      </w:r>
      <w:hyperlink r:id="rId45">
        <w:r>
          <w:rPr>
            <w:color w:val="000000"/>
          </w:rPr>
          <w:t>https://www.mei.edu/publications/toward-nato-black-sea-strategy</w:t>
        </w:r>
      </w:hyperlink>
    </w:p>
    <w:p w:rsidR="007559C1" w:rsidRDefault="007A1411">
      <w:pPr>
        <w:numPr>
          <w:ilvl w:val="0"/>
          <w:numId w:val="1"/>
        </w:numPr>
        <w:pBdr>
          <w:top w:val="nil"/>
          <w:left w:val="nil"/>
          <w:bottom w:val="nil"/>
          <w:right w:val="nil"/>
          <w:between w:val="nil"/>
        </w:pBdr>
        <w:rPr>
          <w:color w:val="000000"/>
        </w:rPr>
      </w:pPr>
      <w:r>
        <w:rPr>
          <w:color w:val="000000"/>
        </w:rPr>
        <w:t>Keohane, R. O. (1997). Independence in World Politics. The Theoretical Evolution of International Political Economy: a reader. New York: Oxford University Press.</w:t>
      </w:r>
    </w:p>
    <w:p w:rsidR="007559C1" w:rsidRDefault="007A1411">
      <w:pPr>
        <w:numPr>
          <w:ilvl w:val="0"/>
          <w:numId w:val="1"/>
        </w:numPr>
        <w:pBdr>
          <w:top w:val="nil"/>
          <w:left w:val="nil"/>
          <w:bottom w:val="nil"/>
          <w:right w:val="nil"/>
          <w:between w:val="nil"/>
        </w:pBdr>
        <w:rPr>
          <w:color w:val="000000"/>
        </w:rPr>
      </w:pPr>
      <w:r>
        <w:rPr>
          <w:color w:val="000000"/>
        </w:rPr>
        <w:t xml:space="preserve">Kupchan, Ch. A. (2004). Renewing the Atlantic Partnership, Report of an Independent Task Force sponsored by the Council on Foreign Relations, U.S.A. </w:t>
      </w:r>
    </w:p>
    <w:p w:rsidR="007559C1" w:rsidRDefault="007A1411">
      <w:pPr>
        <w:numPr>
          <w:ilvl w:val="0"/>
          <w:numId w:val="1"/>
        </w:numPr>
        <w:pBdr>
          <w:top w:val="nil"/>
          <w:left w:val="nil"/>
          <w:bottom w:val="nil"/>
          <w:right w:val="nil"/>
          <w:between w:val="nil"/>
        </w:pBdr>
        <w:rPr>
          <w:color w:val="000000"/>
        </w:rPr>
      </w:pPr>
      <w:r>
        <w:rPr>
          <w:color w:val="000000"/>
        </w:rPr>
        <w:t xml:space="preserve">Lancaster, M. (2023). 2023 - revised - troubled waters – how Russia’s war in Ukraine changes Black Sea security. Retrieved from </w:t>
      </w:r>
      <w:hyperlink r:id="rId46">
        <w:r>
          <w:rPr>
            <w:color w:val="000000"/>
          </w:rPr>
          <w:t>https://www.nato-pa.int/document/2023-black-sea-security-report-lancaster-020-dscfc</w:t>
        </w:r>
      </w:hyperlink>
    </w:p>
    <w:p w:rsidR="007559C1" w:rsidRDefault="007A1411">
      <w:pPr>
        <w:numPr>
          <w:ilvl w:val="0"/>
          <w:numId w:val="1"/>
        </w:numPr>
        <w:pBdr>
          <w:top w:val="nil"/>
          <w:left w:val="nil"/>
          <w:bottom w:val="nil"/>
          <w:right w:val="nil"/>
          <w:between w:val="nil"/>
        </w:pBdr>
        <w:rPr>
          <w:color w:val="000000"/>
        </w:rPr>
      </w:pPr>
      <w:r>
        <w:rPr>
          <w:color w:val="000000"/>
        </w:rPr>
        <w:t xml:space="preserve">Lehovich, V., Hashim, A. (2000). Issues for the U.S. Navy in the Black Sea Region: Country Profiles and Recommendations Russia, Turkey, Ukraine, Romania, Bulgaria, Georgia. Retrieved from </w:t>
      </w:r>
      <w:hyperlink r:id="rId47">
        <w:r>
          <w:rPr>
            <w:color w:val="000000"/>
          </w:rPr>
          <w:t>https://www.cna.org/archive/CNA_Files/pdf/d0000572.a2.pdf</w:t>
        </w:r>
      </w:hyperlink>
    </w:p>
    <w:p w:rsidR="007559C1" w:rsidRDefault="007A1411">
      <w:pPr>
        <w:numPr>
          <w:ilvl w:val="0"/>
          <w:numId w:val="1"/>
        </w:numPr>
        <w:pBdr>
          <w:top w:val="nil"/>
          <w:left w:val="nil"/>
          <w:bottom w:val="nil"/>
          <w:right w:val="nil"/>
          <w:between w:val="nil"/>
        </w:pBdr>
        <w:rPr>
          <w:color w:val="000000"/>
        </w:rPr>
      </w:pPr>
      <w:r>
        <w:rPr>
          <w:color w:val="000000"/>
        </w:rPr>
        <w:t xml:space="preserve">London Declaration (2019). Retrieved from </w:t>
      </w:r>
      <w:hyperlink r:id="rId48">
        <w:r>
          <w:rPr>
            <w:color w:val="000000"/>
          </w:rPr>
          <w:t>https://www.nato.int/cps/en/natohq/official_texts_171584.htm</w:t>
        </w:r>
      </w:hyperlink>
    </w:p>
    <w:p w:rsidR="007559C1" w:rsidRDefault="007A1411">
      <w:pPr>
        <w:numPr>
          <w:ilvl w:val="0"/>
          <w:numId w:val="1"/>
        </w:numPr>
        <w:pBdr>
          <w:top w:val="nil"/>
          <w:left w:val="nil"/>
          <w:bottom w:val="nil"/>
          <w:right w:val="nil"/>
          <w:between w:val="nil"/>
        </w:pBdr>
        <w:rPr>
          <w:color w:val="000000"/>
        </w:rPr>
      </w:pPr>
      <w:r>
        <w:rPr>
          <w:color w:val="000000"/>
        </w:rPr>
        <w:t xml:space="preserve">Madrid NATO Summit (1997). Retrieved from </w:t>
      </w:r>
      <w:hyperlink r:id="rId49">
        <w:r>
          <w:rPr>
            <w:color w:val="000000"/>
          </w:rPr>
          <w:t>https://www.nato.int/docu/comm/1997/970708/home.htm</w:t>
        </w:r>
      </w:hyperlink>
    </w:p>
    <w:p w:rsidR="007559C1" w:rsidRDefault="007A1411">
      <w:pPr>
        <w:numPr>
          <w:ilvl w:val="0"/>
          <w:numId w:val="1"/>
        </w:numPr>
        <w:pBdr>
          <w:top w:val="nil"/>
          <w:left w:val="nil"/>
          <w:bottom w:val="nil"/>
          <w:right w:val="nil"/>
          <w:between w:val="nil"/>
        </w:pBdr>
        <w:rPr>
          <w:color w:val="000000"/>
        </w:rPr>
      </w:pPr>
      <w:r>
        <w:rPr>
          <w:color w:val="000000"/>
        </w:rPr>
        <w:t>Maksak, H., Turcsányi, R. Q., Vorotnyuk, M. (2018). Understanding strategic adaptations: security strategies and policies after 2014. Bratislava Kyiv.</w:t>
      </w:r>
    </w:p>
    <w:p w:rsidR="007559C1" w:rsidRDefault="007A1411">
      <w:pPr>
        <w:numPr>
          <w:ilvl w:val="0"/>
          <w:numId w:val="1"/>
        </w:numPr>
        <w:pBdr>
          <w:top w:val="nil"/>
          <w:left w:val="nil"/>
          <w:bottom w:val="nil"/>
          <w:right w:val="nil"/>
          <w:between w:val="nil"/>
        </w:pBdr>
        <w:rPr>
          <w:color w:val="000000"/>
        </w:rPr>
      </w:pPr>
      <w:r>
        <w:rPr>
          <w:color w:val="000000"/>
        </w:rPr>
        <w:t xml:space="preserve">Morgenthau, H. (1956). Politics Among Nations. New York: Alfred A. Knopf. </w:t>
      </w:r>
    </w:p>
    <w:p w:rsidR="007559C1" w:rsidRDefault="007A1411">
      <w:pPr>
        <w:numPr>
          <w:ilvl w:val="0"/>
          <w:numId w:val="1"/>
        </w:numPr>
        <w:pBdr>
          <w:top w:val="nil"/>
          <w:left w:val="nil"/>
          <w:bottom w:val="nil"/>
          <w:right w:val="nil"/>
          <w:between w:val="nil"/>
        </w:pBdr>
        <w:rPr>
          <w:color w:val="000000"/>
        </w:rPr>
      </w:pPr>
      <w:r>
        <w:rPr>
          <w:color w:val="000000"/>
        </w:rPr>
        <w:t xml:space="preserve">NATO 2022 Strategic Concept (2022). Retrieved from </w:t>
      </w:r>
      <w:hyperlink r:id="rId50">
        <w:r>
          <w:rPr>
            <w:color w:val="000000"/>
          </w:rPr>
          <w:t>https://www.nato.int/ nato_static_fl2014/assets/pdf/2022/6/pdf/290622-strategic-concept-ukr.pdf</w:t>
        </w:r>
      </w:hyperlink>
    </w:p>
    <w:p w:rsidR="007559C1" w:rsidRDefault="007A1411">
      <w:pPr>
        <w:numPr>
          <w:ilvl w:val="0"/>
          <w:numId w:val="1"/>
        </w:numPr>
        <w:pBdr>
          <w:top w:val="nil"/>
          <w:left w:val="nil"/>
          <w:bottom w:val="nil"/>
          <w:right w:val="nil"/>
          <w:between w:val="nil"/>
        </w:pBdr>
        <w:rPr>
          <w:color w:val="000000"/>
        </w:rPr>
      </w:pPr>
      <w:r>
        <w:rPr>
          <w:color w:val="000000"/>
        </w:rPr>
        <w:t>NATO Agrees Strong Package for Ukraine, Boosts Deterrence and Defence (2023). Retrieved from https://www.nato.int/cps/en/natohq/news_217059.htm</w:t>
      </w:r>
    </w:p>
    <w:p w:rsidR="007559C1" w:rsidRDefault="007A1411">
      <w:pPr>
        <w:numPr>
          <w:ilvl w:val="0"/>
          <w:numId w:val="1"/>
        </w:numPr>
        <w:pBdr>
          <w:top w:val="nil"/>
          <w:left w:val="nil"/>
          <w:bottom w:val="nil"/>
          <w:right w:val="nil"/>
          <w:between w:val="nil"/>
        </w:pBdr>
        <w:rPr>
          <w:color w:val="000000"/>
        </w:rPr>
      </w:pPr>
      <w:r>
        <w:rPr>
          <w:color w:val="000000"/>
        </w:rPr>
        <w:t xml:space="preserve">NATO Foreign Ministers agree to enhance security in the Black Sea region (2019). Retrieved from </w:t>
      </w:r>
      <w:hyperlink r:id="rId51">
        <w:r>
          <w:rPr>
            <w:color w:val="000000"/>
          </w:rPr>
          <w:t>https://www.nato.int/cps/en/natohq/news_165253.htm</w:t>
        </w:r>
      </w:hyperlink>
    </w:p>
    <w:p w:rsidR="007559C1" w:rsidRDefault="007A1411">
      <w:pPr>
        <w:numPr>
          <w:ilvl w:val="0"/>
          <w:numId w:val="1"/>
        </w:numPr>
        <w:pBdr>
          <w:top w:val="nil"/>
          <w:left w:val="nil"/>
          <w:bottom w:val="nil"/>
          <w:right w:val="nil"/>
          <w:between w:val="nil"/>
        </w:pBdr>
        <w:rPr>
          <w:color w:val="000000"/>
        </w:rPr>
      </w:pPr>
      <w:r>
        <w:rPr>
          <w:color w:val="000000"/>
        </w:rPr>
        <w:t xml:space="preserve">NATO package to support Ukraine in Black Sea contains confidential provisions – Klimkin (2019). Retrieved from </w:t>
      </w:r>
      <w:hyperlink r:id="rId52">
        <w:r>
          <w:rPr>
            <w:color w:val="000000"/>
          </w:rPr>
          <w:t>https://www.unian.info/ politics/10506531-nato-package-to-support-ukraine-in-black-sea-contains-confidential-provisions-klimkin.html</w:t>
        </w:r>
      </w:hyperlink>
    </w:p>
    <w:p w:rsidR="007559C1" w:rsidRDefault="007A1411">
      <w:pPr>
        <w:numPr>
          <w:ilvl w:val="0"/>
          <w:numId w:val="1"/>
        </w:numPr>
        <w:pBdr>
          <w:top w:val="nil"/>
          <w:left w:val="nil"/>
          <w:bottom w:val="nil"/>
          <w:right w:val="nil"/>
          <w:between w:val="nil"/>
        </w:pBdr>
        <w:rPr>
          <w:color w:val="000000"/>
        </w:rPr>
      </w:pPr>
      <w:r>
        <w:rPr>
          <w:color w:val="000000"/>
        </w:rPr>
        <w:t xml:space="preserve">NATO reviews package of measures on Black Sea security (2019). Retrieved </w:t>
      </w:r>
      <w:r>
        <w:rPr>
          <w:color w:val="000000"/>
        </w:rPr>
        <w:lastRenderedPageBreak/>
        <w:t xml:space="preserve">from </w:t>
      </w:r>
      <w:hyperlink r:id="rId53">
        <w:r>
          <w:rPr>
            <w:color w:val="000000"/>
          </w:rPr>
          <w:t>https://www.ukrinform.net/rubric-polytics/2822556-nato-reviews-package-of-measures-on-black-sea-security.html</w:t>
        </w:r>
      </w:hyperlink>
    </w:p>
    <w:p w:rsidR="007559C1" w:rsidRDefault="007A1411">
      <w:pPr>
        <w:numPr>
          <w:ilvl w:val="0"/>
          <w:numId w:val="1"/>
        </w:numPr>
        <w:pBdr>
          <w:top w:val="nil"/>
          <w:left w:val="nil"/>
          <w:bottom w:val="nil"/>
          <w:right w:val="nil"/>
          <w:between w:val="nil"/>
        </w:pBdr>
        <w:rPr>
          <w:color w:val="000000"/>
        </w:rPr>
      </w:pPr>
      <w:r>
        <w:rPr>
          <w:color w:val="000000"/>
        </w:rPr>
        <w:t>NATO. Boosting NATO’s presence in the east and southeast (2017). Retrieved from http://www.nato.int/cps/en/natohq/topics_136388.htm?selectedLocale=en</w:t>
      </w:r>
    </w:p>
    <w:p w:rsidR="007559C1" w:rsidRDefault="007A1411">
      <w:pPr>
        <w:numPr>
          <w:ilvl w:val="0"/>
          <w:numId w:val="1"/>
        </w:numPr>
        <w:pBdr>
          <w:top w:val="nil"/>
          <w:left w:val="nil"/>
          <w:bottom w:val="nil"/>
          <w:right w:val="nil"/>
          <w:between w:val="nil"/>
        </w:pBdr>
        <w:rPr>
          <w:color w:val="000000"/>
        </w:rPr>
      </w:pPr>
      <w:r>
        <w:rPr>
          <w:color w:val="000000"/>
        </w:rPr>
        <w:t xml:space="preserve">NATO. Warsaw Summit Communiqué (2016). Retrieved from  </w:t>
      </w:r>
      <w:hyperlink r:id="rId54">
        <w:r>
          <w:rPr>
            <w:color w:val="000000"/>
          </w:rPr>
          <w:t>http://www.nato.int/cps/en/natohq/official_texts_133169.htm</w:t>
        </w:r>
      </w:hyperlink>
    </w:p>
    <w:p w:rsidR="007559C1" w:rsidRDefault="007A1411">
      <w:pPr>
        <w:numPr>
          <w:ilvl w:val="0"/>
          <w:numId w:val="1"/>
        </w:numPr>
        <w:pBdr>
          <w:top w:val="nil"/>
          <w:left w:val="nil"/>
          <w:bottom w:val="nil"/>
          <w:right w:val="nil"/>
          <w:between w:val="nil"/>
        </w:pBdr>
        <w:rPr>
          <w:color w:val="000000"/>
        </w:rPr>
      </w:pPr>
      <w:r>
        <w:rPr>
          <w:color w:val="000000"/>
        </w:rPr>
        <w:t xml:space="preserve">NATO-Ukraine Council addresses serious security situation in the Black Sea (2023). Retrieved from </w:t>
      </w:r>
      <w:hyperlink r:id="rId55">
        <w:r>
          <w:rPr>
            <w:color w:val="000000"/>
          </w:rPr>
          <w:t>https://www.nato.int/cps/ru/natohq/ news_217835.htm?selectedLocale=en</w:t>
        </w:r>
      </w:hyperlink>
    </w:p>
    <w:p w:rsidR="007559C1" w:rsidRDefault="007A1411">
      <w:pPr>
        <w:numPr>
          <w:ilvl w:val="0"/>
          <w:numId w:val="1"/>
        </w:numPr>
        <w:pBdr>
          <w:top w:val="nil"/>
          <w:left w:val="nil"/>
          <w:bottom w:val="nil"/>
          <w:right w:val="nil"/>
          <w:between w:val="nil"/>
        </w:pBdr>
        <w:rPr>
          <w:color w:val="000000"/>
        </w:rPr>
      </w:pPr>
      <w:r>
        <w:rPr>
          <w:color w:val="000000"/>
        </w:rPr>
        <w:t xml:space="preserve">Naval arms control and maritime security in the mediterranean (1992). Retrieved from </w:t>
      </w:r>
      <w:hyperlink r:id="rId56">
        <w:r>
          <w:rPr>
            <w:color w:val="000000"/>
          </w:rPr>
          <w:t>https://www.iai.it/sites/default/files/conf_1992_05_07-8_rome.pdf</w:t>
        </w:r>
      </w:hyperlink>
    </w:p>
    <w:p w:rsidR="007559C1" w:rsidRDefault="007A1411">
      <w:pPr>
        <w:numPr>
          <w:ilvl w:val="0"/>
          <w:numId w:val="1"/>
        </w:numPr>
        <w:pBdr>
          <w:top w:val="nil"/>
          <w:left w:val="nil"/>
          <w:bottom w:val="nil"/>
          <w:right w:val="nil"/>
          <w:between w:val="nil"/>
        </w:pBdr>
        <w:rPr>
          <w:color w:val="000000"/>
        </w:rPr>
      </w:pPr>
      <w:r>
        <w:rPr>
          <w:color w:val="000000"/>
        </w:rPr>
        <w:t xml:space="preserve">Press Conference by the Supreme Allied Commander Europe, General Philip M. Breedlove (2014). Retrieved from </w:t>
      </w:r>
      <w:hyperlink r:id="rId57">
        <w:r>
          <w:rPr>
            <w:color w:val="000000"/>
          </w:rPr>
          <w:t>https://www.nato.int/cps/en/natohq/ opinions_113201.htm</w:t>
        </w:r>
      </w:hyperlink>
    </w:p>
    <w:p w:rsidR="007559C1" w:rsidRDefault="007A1411">
      <w:pPr>
        <w:numPr>
          <w:ilvl w:val="0"/>
          <w:numId w:val="1"/>
        </w:numPr>
        <w:pBdr>
          <w:top w:val="nil"/>
          <w:left w:val="nil"/>
          <w:bottom w:val="nil"/>
          <w:right w:val="nil"/>
          <w:between w:val="nil"/>
        </w:pBdr>
        <w:rPr>
          <w:color w:val="000000"/>
          <w:highlight w:val="white"/>
        </w:rPr>
      </w:pPr>
      <w:r>
        <w:rPr>
          <w:color w:val="000000"/>
          <w:highlight w:val="white"/>
        </w:rPr>
        <w:t>Rassett, В., Starr, H. (1981). World politics. Menu for Choice. San Francisco.</w:t>
      </w:r>
    </w:p>
    <w:p w:rsidR="007559C1" w:rsidRDefault="007A1411">
      <w:pPr>
        <w:numPr>
          <w:ilvl w:val="0"/>
          <w:numId w:val="1"/>
        </w:numPr>
        <w:pBdr>
          <w:top w:val="nil"/>
          <w:left w:val="nil"/>
          <w:bottom w:val="nil"/>
          <w:right w:val="nil"/>
          <w:between w:val="nil"/>
        </w:pBdr>
        <w:rPr>
          <w:color w:val="000000"/>
        </w:rPr>
      </w:pPr>
      <w:r>
        <w:rPr>
          <w:color w:val="000000"/>
        </w:rPr>
        <w:t xml:space="preserve">Romanyshyn, I. (2023). Ukraine, NATO and the Black Sea. Retrieved from </w:t>
      </w:r>
      <w:hyperlink r:id="rId58">
        <w:r>
          <w:rPr>
            <w:color w:val="000000"/>
          </w:rPr>
          <w:t>https://www.ndc.nato.int/news/news.php?icode=1792</w:t>
        </w:r>
      </w:hyperlink>
    </w:p>
    <w:p w:rsidR="007559C1" w:rsidRDefault="007A1411">
      <w:pPr>
        <w:numPr>
          <w:ilvl w:val="0"/>
          <w:numId w:val="1"/>
        </w:numPr>
        <w:pBdr>
          <w:top w:val="nil"/>
          <w:left w:val="nil"/>
          <w:bottom w:val="nil"/>
          <w:right w:val="nil"/>
          <w:between w:val="nil"/>
        </w:pBdr>
        <w:rPr>
          <w:color w:val="000000"/>
        </w:rPr>
      </w:pPr>
      <w:r>
        <w:rPr>
          <w:color w:val="000000"/>
          <w:highlight w:val="white"/>
        </w:rPr>
        <w:t>Soros, G. (1993). Toward a New World Order: The Future of NATO</w:t>
      </w:r>
      <w:r>
        <w:rPr>
          <w:color w:val="000000"/>
        </w:rPr>
        <w:t xml:space="preserve">. Retrieved from </w:t>
      </w:r>
      <w:hyperlink r:id="rId59">
        <w:r>
          <w:rPr>
            <w:color w:val="000000"/>
          </w:rPr>
          <w:t>https://www.georgesoros.com/1993/11/01/toward-a-new-world-order-the-future-of-nato/</w:t>
        </w:r>
      </w:hyperlink>
    </w:p>
    <w:p w:rsidR="007559C1" w:rsidRDefault="007A1411">
      <w:pPr>
        <w:numPr>
          <w:ilvl w:val="0"/>
          <w:numId w:val="1"/>
        </w:numPr>
        <w:pBdr>
          <w:top w:val="nil"/>
          <w:left w:val="nil"/>
          <w:bottom w:val="nil"/>
          <w:right w:val="nil"/>
          <w:between w:val="nil"/>
        </w:pBdr>
        <w:rPr>
          <w:color w:val="000000"/>
        </w:rPr>
      </w:pPr>
      <w:r>
        <w:rPr>
          <w:color w:val="000000"/>
        </w:rPr>
        <w:t xml:space="preserve">Special report (2017). On the civil dimension of security advancing stability in the Black Sea region. Retrieved from </w:t>
      </w:r>
      <w:hyperlink r:id="rId60">
        <w:r>
          <w:rPr>
            <w:color w:val="000000"/>
          </w:rPr>
          <w:t>https://www.nato-pa.int/download-file?filename=sites/default/files/2017-11/2017%20-%20159%20CDS% 2017%20E%20rev.%201%20-%20BLACK%20SEA%20-%20SCHMIDT%20REPORT.pdf</w:t>
        </w:r>
      </w:hyperlink>
    </w:p>
    <w:p w:rsidR="007559C1" w:rsidRDefault="007A1411">
      <w:pPr>
        <w:numPr>
          <w:ilvl w:val="0"/>
          <w:numId w:val="1"/>
        </w:numPr>
        <w:pBdr>
          <w:top w:val="nil"/>
          <w:left w:val="nil"/>
          <w:bottom w:val="nil"/>
          <w:right w:val="nil"/>
          <w:between w:val="nil"/>
        </w:pBdr>
        <w:rPr>
          <w:color w:val="000000"/>
        </w:rPr>
      </w:pPr>
      <w:r>
        <w:rPr>
          <w:color w:val="000000"/>
        </w:rPr>
        <w:t xml:space="preserve">Statement on the occasion of NATO's 70th Anniversary (2019). Retrieved from </w:t>
      </w:r>
      <w:hyperlink r:id="rId61">
        <w:r>
          <w:rPr>
            <w:color w:val="000000"/>
          </w:rPr>
          <w:t>https://www.nato.int/cps/en/natohq/official_texts_165243.htm</w:t>
        </w:r>
      </w:hyperlink>
    </w:p>
    <w:p w:rsidR="007559C1" w:rsidRDefault="007A1411">
      <w:pPr>
        <w:numPr>
          <w:ilvl w:val="0"/>
          <w:numId w:val="1"/>
        </w:numPr>
        <w:pBdr>
          <w:top w:val="nil"/>
          <w:left w:val="nil"/>
          <w:bottom w:val="nil"/>
          <w:right w:val="nil"/>
          <w:between w:val="nil"/>
        </w:pBdr>
        <w:rPr>
          <w:color w:val="000000"/>
        </w:rPr>
      </w:pPr>
      <w:r>
        <w:rPr>
          <w:color w:val="000000"/>
        </w:rPr>
        <w:t xml:space="preserve">Strategic Concept for the Defence and Security of the Members of the North Atlantic Treaty Organization (2010). Retrieved from </w:t>
      </w:r>
      <w:hyperlink r:id="rId62">
        <w:r>
          <w:rPr>
            <w:color w:val="000000"/>
          </w:rPr>
          <w:t>https://www.nato.int/nato_static_fl2014/assets/pdf/pdf_publications/20120214_strategic-concept-2010-eng.pdf</w:t>
        </w:r>
      </w:hyperlink>
    </w:p>
    <w:p w:rsidR="007559C1" w:rsidRDefault="007A1411">
      <w:pPr>
        <w:numPr>
          <w:ilvl w:val="0"/>
          <w:numId w:val="1"/>
        </w:numPr>
        <w:pBdr>
          <w:top w:val="nil"/>
          <w:left w:val="nil"/>
          <w:bottom w:val="nil"/>
          <w:right w:val="nil"/>
          <w:between w:val="nil"/>
        </w:pBdr>
        <w:rPr>
          <w:color w:val="000000"/>
          <w:highlight w:val="white"/>
        </w:rPr>
      </w:pPr>
      <w:r>
        <w:rPr>
          <w:color w:val="000000"/>
        </w:rPr>
        <w:lastRenderedPageBreak/>
        <w:t xml:space="preserve">The Alliance's New Strategic Concept (1991). Retrieved from </w:t>
      </w:r>
      <w:hyperlink r:id="rId63">
        <w:r>
          <w:rPr>
            <w:color w:val="000000"/>
          </w:rPr>
          <w:t>https://www.nato.int/cps/en/natohq/official_texts_23847.htm</w:t>
        </w:r>
      </w:hyperlink>
    </w:p>
    <w:p w:rsidR="007559C1" w:rsidRDefault="007A1411">
      <w:pPr>
        <w:numPr>
          <w:ilvl w:val="0"/>
          <w:numId w:val="1"/>
        </w:numPr>
        <w:pBdr>
          <w:top w:val="nil"/>
          <w:left w:val="nil"/>
          <w:bottom w:val="nil"/>
          <w:right w:val="nil"/>
          <w:between w:val="nil"/>
        </w:pBdr>
        <w:rPr>
          <w:color w:val="000000"/>
          <w:highlight w:val="white"/>
        </w:rPr>
      </w:pPr>
      <w:r>
        <w:rPr>
          <w:color w:val="000000"/>
        </w:rPr>
        <w:t xml:space="preserve">The London Declaration on a transformed North Atlantic Alliance (1990). Retrieved from </w:t>
      </w:r>
      <w:hyperlink r:id="rId64">
        <w:r>
          <w:rPr>
            <w:color w:val="000000"/>
          </w:rPr>
          <w:t>https://www.cvce.eu/en/obj/the_london_declaration_on_a_ transformed_north_atlantic_alliance_6_july_1990-en-9c5fa86b-12a0-4f59-ad90-e69503ef6036.html</w:t>
        </w:r>
      </w:hyperlink>
    </w:p>
    <w:p w:rsidR="007559C1" w:rsidRDefault="007A1411">
      <w:pPr>
        <w:numPr>
          <w:ilvl w:val="0"/>
          <w:numId w:val="1"/>
        </w:numPr>
        <w:pBdr>
          <w:top w:val="nil"/>
          <w:left w:val="nil"/>
          <w:bottom w:val="nil"/>
          <w:right w:val="nil"/>
          <w:between w:val="nil"/>
        </w:pBdr>
        <w:rPr>
          <w:color w:val="000000"/>
        </w:rPr>
      </w:pPr>
      <w:r>
        <w:rPr>
          <w:color w:val="000000"/>
        </w:rPr>
        <w:t xml:space="preserve">Towards a New NATO Strategic Concept (2023). Retrieved from </w:t>
      </w:r>
      <w:hyperlink r:id="rId65">
        <w:r>
          <w:rPr>
            <w:color w:val="000000"/>
          </w:rPr>
          <w:t>https://edam.org.tr/en/foreign-policy-and-security/towards-a-new-nato-strategic-concept</w:t>
        </w:r>
      </w:hyperlink>
    </w:p>
    <w:p w:rsidR="007559C1" w:rsidRDefault="007A1411">
      <w:pPr>
        <w:numPr>
          <w:ilvl w:val="0"/>
          <w:numId w:val="1"/>
        </w:numPr>
        <w:pBdr>
          <w:top w:val="nil"/>
          <w:left w:val="nil"/>
          <w:bottom w:val="nil"/>
          <w:right w:val="nil"/>
          <w:between w:val="nil"/>
        </w:pBdr>
        <w:rPr>
          <w:color w:val="000000"/>
        </w:rPr>
      </w:pPr>
      <w:r>
        <w:rPr>
          <w:color w:val="000000"/>
        </w:rPr>
        <w:t xml:space="preserve">Trouillard, S. (2019). 'No NATO country will taunt the Russians' in the Black Sea. Retrieved from </w:t>
      </w:r>
      <w:hyperlink r:id="rId66">
        <w:r>
          <w:rPr>
            <w:color w:val="000000"/>
          </w:rPr>
          <w:t>https://www.france24.com/en/20190414-russia-putin-crimea-ukraine-nato-black-sea-kerch-usa-romania-hungary</w:t>
        </w:r>
      </w:hyperlink>
    </w:p>
    <w:p w:rsidR="007559C1" w:rsidRDefault="007A1411">
      <w:pPr>
        <w:numPr>
          <w:ilvl w:val="0"/>
          <w:numId w:val="1"/>
        </w:numPr>
        <w:pBdr>
          <w:top w:val="nil"/>
          <w:left w:val="nil"/>
          <w:bottom w:val="nil"/>
          <w:right w:val="nil"/>
          <w:between w:val="nil"/>
        </w:pBdr>
        <w:rPr>
          <w:color w:val="000000"/>
        </w:rPr>
      </w:pPr>
      <w:r>
        <w:rPr>
          <w:color w:val="000000"/>
        </w:rPr>
        <w:t xml:space="preserve">Ukraine Compact (2024). Retrieved from </w:t>
      </w:r>
      <w:hyperlink r:id="rId67">
        <w:r>
          <w:rPr>
            <w:color w:val="000000"/>
          </w:rPr>
          <w:t>https://neighbourhood-enlargement.ec.europa.eu/news/ukraine-compact-2024-07-12_en</w:t>
        </w:r>
      </w:hyperlink>
    </w:p>
    <w:p w:rsidR="007559C1" w:rsidRDefault="007A1411">
      <w:pPr>
        <w:numPr>
          <w:ilvl w:val="0"/>
          <w:numId w:val="1"/>
        </w:numPr>
        <w:pBdr>
          <w:top w:val="nil"/>
          <w:left w:val="nil"/>
          <w:bottom w:val="nil"/>
          <w:right w:val="nil"/>
          <w:between w:val="nil"/>
        </w:pBdr>
        <w:rPr>
          <w:color w:val="000000"/>
        </w:rPr>
      </w:pPr>
      <w:r>
        <w:rPr>
          <w:color w:val="000000"/>
        </w:rPr>
        <w:t>Ullman, H. (2022). NATO must seize the current strategic opportunity in the Black Sea. Retrieved from https://www.atlanticcouncil.org/blogs/ ukrainealert/nato-must-seize-the-current-strategic-opportunity-in-the-black-sea/</w:t>
      </w:r>
    </w:p>
    <w:p w:rsidR="007559C1" w:rsidRDefault="007A1411">
      <w:pPr>
        <w:numPr>
          <w:ilvl w:val="0"/>
          <w:numId w:val="1"/>
        </w:numPr>
        <w:pBdr>
          <w:top w:val="nil"/>
          <w:left w:val="nil"/>
          <w:bottom w:val="nil"/>
          <w:right w:val="nil"/>
          <w:between w:val="nil"/>
        </w:pBdr>
        <w:rPr>
          <w:color w:val="000000"/>
        </w:rPr>
      </w:pPr>
      <w:r>
        <w:rPr>
          <w:color w:val="000000"/>
        </w:rPr>
        <w:t xml:space="preserve">United States House of representatives committee on Armed Services statement by general Curtis M. Scaparrotti (2019). Retrieved from </w:t>
      </w:r>
      <w:hyperlink r:id="rId68">
        <w:r>
          <w:rPr>
            <w:color w:val="000000"/>
          </w:rPr>
          <w:t>https://shape.nato.int/saceur/united-states-hourse-of-representatives-committee-on-armed-services-statement-by-general-curtis-m-scaparrotti</w:t>
        </w:r>
      </w:hyperlink>
    </w:p>
    <w:p w:rsidR="007559C1" w:rsidRDefault="007A1411">
      <w:pPr>
        <w:numPr>
          <w:ilvl w:val="0"/>
          <w:numId w:val="1"/>
        </w:numPr>
        <w:pBdr>
          <w:top w:val="nil"/>
          <w:left w:val="nil"/>
          <w:bottom w:val="nil"/>
          <w:right w:val="nil"/>
          <w:between w:val="nil"/>
        </w:pBdr>
        <w:rPr>
          <w:color w:val="000000"/>
        </w:rPr>
      </w:pPr>
      <w:r>
        <w:rPr>
          <w:color w:val="000000"/>
        </w:rPr>
        <w:t>Vergun, D. (2020). U.S. Department of Defense, “U.S., Romania Chart 10-Year Road Map for Military Cooperation. Retrieved from https://www.defense.gov/Explore/News/Article/Article/2376797/us-romania-chart-10-year-road-map-for-military-cooperation/source/GovDelivery/</w:t>
      </w:r>
    </w:p>
    <w:p w:rsidR="007559C1" w:rsidRDefault="007A1411">
      <w:pPr>
        <w:numPr>
          <w:ilvl w:val="0"/>
          <w:numId w:val="1"/>
        </w:numPr>
        <w:pBdr>
          <w:top w:val="nil"/>
          <w:left w:val="nil"/>
          <w:bottom w:val="nil"/>
          <w:right w:val="nil"/>
          <w:between w:val="nil"/>
        </w:pBdr>
        <w:rPr>
          <w:color w:val="000000"/>
        </w:rPr>
      </w:pPr>
      <w:r>
        <w:rPr>
          <w:color w:val="000000"/>
        </w:rPr>
        <w:t xml:space="preserve">Vladova, G., Knieling, J. (2014). Potential and challenges for the Black Sea regional cooperation. Retrieved from </w:t>
      </w:r>
      <w:hyperlink r:id="rId69">
        <w:r>
          <w:rPr>
            <w:color w:val="000000"/>
          </w:rPr>
          <w:t>https://ejes.uaic.ro/articles/ EJES2014_0501_VLA.pdf</w:t>
        </w:r>
      </w:hyperlink>
    </w:p>
    <w:p w:rsidR="007559C1" w:rsidRDefault="007A1411">
      <w:pPr>
        <w:numPr>
          <w:ilvl w:val="0"/>
          <w:numId w:val="1"/>
        </w:numPr>
        <w:pBdr>
          <w:top w:val="nil"/>
          <w:left w:val="nil"/>
          <w:bottom w:val="nil"/>
          <w:right w:val="nil"/>
          <w:between w:val="nil"/>
        </w:pBdr>
        <w:rPr>
          <w:color w:val="000000"/>
        </w:rPr>
      </w:pPr>
      <w:r>
        <w:rPr>
          <w:color w:val="000000"/>
        </w:rPr>
        <w:t xml:space="preserve">Vorotnyuk, M. (2020). Black sea security deadlocks: NATO-Russia confrontation. Retrieved from </w:t>
      </w:r>
      <w:hyperlink r:id="rId70">
        <w:r>
          <w:rPr>
            <w:color w:val="000000"/>
          </w:rPr>
          <w:t>https://ukraine-analytica.org/black-sea-security-deadlocks-nato-russia-confrontation/</w:t>
        </w:r>
      </w:hyperlink>
    </w:p>
    <w:p w:rsidR="007559C1" w:rsidRDefault="007A1411">
      <w:pPr>
        <w:numPr>
          <w:ilvl w:val="0"/>
          <w:numId w:val="1"/>
        </w:numPr>
        <w:pBdr>
          <w:top w:val="nil"/>
          <w:left w:val="nil"/>
          <w:bottom w:val="nil"/>
          <w:right w:val="nil"/>
          <w:between w:val="nil"/>
        </w:pBdr>
        <w:rPr>
          <w:color w:val="000000"/>
        </w:rPr>
      </w:pPr>
      <w:r>
        <w:rPr>
          <w:color w:val="000000"/>
        </w:rPr>
        <w:lastRenderedPageBreak/>
        <w:t xml:space="preserve">Wales Summit Declaration (2014). Retrieved from </w:t>
      </w:r>
      <w:hyperlink r:id="rId71">
        <w:r>
          <w:rPr>
            <w:color w:val="000000"/>
          </w:rPr>
          <w:t>https://www.nato.int/cps/en/natohq/official_texts_112964.htm</w:t>
        </w:r>
      </w:hyperlink>
    </w:p>
    <w:p w:rsidR="007559C1" w:rsidRDefault="007A1411">
      <w:pPr>
        <w:numPr>
          <w:ilvl w:val="0"/>
          <w:numId w:val="1"/>
        </w:numPr>
        <w:pBdr>
          <w:top w:val="nil"/>
          <w:left w:val="nil"/>
          <w:bottom w:val="nil"/>
          <w:right w:val="nil"/>
          <w:between w:val="nil"/>
        </w:pBdr>
        <w:rPr>
          <w:color w:val="000000"/>
        </w:rPr>
      </w:pPr>
      <w:r>
        <w:rPr>
          <w:color w:val="000000"/>
        </w:rPr>
        <w:t xml:space="preserve">Waltz, K. (1979). Theory of International Politics. United States: McGraw-Hill. </w:t>
      </w:r>
    </w:p>
    <w:p w:rsidR="007559C1" w:rsidRDefault="007A1411">
      <w:pPr>
        <w:numPr>
          <w:ilvl w:val="0"/>
          <w:numId w:val="1"/>
        </w:numPr>
        <w:pBdr>
          <w:top w:val="nil"/>
          <w:left w:val="nil"/>
          <w:bottom w:val="nil"/>
          <w:right w:val="nil"/>
          <w:between w:val="nil"/>
        </w:pBdr>
        <w:rPr>
          <w:color w:val="000000"/>
        </w:rPr>
      </w:pPr>
      <w:r>
        <w:rPr>
          <w:color w:val="000000"/>
        </w:rPr>
        <w:t xml:space="preserve">Waltz, K. (1988). The Origins of War in Neorealist Theory. </w:t>
      </w:r>
      <w:r>
        <w:rPr>
          <w:i/>
          <w:color w:val="000000"/>
        </w:rPr>
        <w:t>Journal of Interdisciplinary History</w:t>
      </w:r>
      <w:r>
        <w:rPr>
          <w:color w:val="000000"/>
        </w:rPr>
        <w:t>, 18, 615-628.</w:t>
      </w:r>
    </w:p>
    <w:p w:rsidR="007559C1" w:rsidRDefault="007A1411">
      <w:pPr>
        <w:numPr>
          <w:ilvl w:val="0"/>
          <w:numId w:val="1"/>
        </w:numPr>
        <w:pBdr>
          <w:top w:val="nil"/>
          <w:left w:val="nil"/>
          <w:bottom w:val="nil"/>
          <w:right w:val="nil"/>
          <w:between w:val="nil"/>
        </w:pBdr>
        <w:rPr>
          <w:color w:val="000000"/>
        </w:rPr>
      </w:pPr>
      <w:bookmarkStart w:id="7" w:name="_heading=h.1t3h5sf" w:colFirst="0" w:colLast="0"/>
      <w:bookmarkEnd w:id="7"/>
      <w:r>
        <w:rPr>
          <w:color w:val="000000"/>
        </w:rPr>
        <w:t>Waltz, K. N. (2000).  Structural Realism after the Cold War. International Security, 25, 1, pp. 5-41.</w:t>
      </w:r>
    </w:p>
    <w:p w:rsidR="007559C1" w:rsidRDefault="007A1411">
      <w:pPr>
        <w:numPr>
          <w:ilvl w:val="0"/>
          <w:numId w:val="1"/>
        </w:numPr>
        <w:pBdr>
          <w:top w:val="nil"/>
          <w:left w:val="nil"/>
          <w:bottom w:val="nil"/>
          <w:right w:val="nil"/>
          <w:between w:val="nil"/>
        </w:pBdr>
        <w:rPr>
          <w:color w:val="000000"/>
        </w:rPr>
      </w:pPr>
      <w:r>
        <w:rPr>
          <w:color w:val="000000"/>
        </w:rPr>
        <w:t xml:space="preserve">Warsaw Summit Communiqué (2016). Retrieved from </w:t>
      </w:r>
      <w:hyperlink r:id="rId72">
        <w:r>
          <w:rPr>
            <w:color w:val="000000"/>
          </w:rPr>
          <w:t>https://www.nato.int/cps/en/natohq/official_texts_133169.htm</w:t>
        </w:r>
      </w:hyperlink>
    </w:p>
    <w:p w:rsidR="007559C1" w:rsidRDefault="007A1411">
      <w:pPr>
        <w:numPr>
          <w:ilvl w:val="0"/>
          <w:numId w:val="1"/>
        </w:numPr>
        <w:pBdr>
          <w:top w:val="nil"/>
          <w:left w:val="nil"/>
          <w:bottom w:val="nil"/>
          <w:right w:val="nil"/>
          <w:between w:val="nil"/>
        </w:pBdr>
        <w:rPr>
          <w:color w:val="000000"/>
        </w:rPr>
      </w:pPr>
      <w:r>
        <w:rPr>
          <w:color w:val="000000"/>
        </w:rPr>
        <w:t xml:space="preserve">Washington Summit (1999). Retrieved from </w:t>
      </w:r>
      <w:hyperlink r:id="rId73">
        <w:r>
          <w:rPr>
            <w:color w:val="000000"/>
          </w:rPr>
          <w:t>https://www.nato.int/cps/en/natohq/news_27286.htm?selectedLocale=en</w:t>
        </w:r>
      </w:hyperlink>
    </w:p>
    <w:p w:rsidR="007559C1" w:rsidRDefault="007A1411">
      <w:pPr>
        <w:numPr>
          <w:ilvl w:val="0"/>
          <w:numId w:val="1"/>
        </w:numPr>
        <w:pBdr>
          <w:top w:val="nil"/>
          <w:left w:val="nil"/>
          <w:bottom w:val="nil"/>
          <w:right w:val="nil"/>
          <w:between w:val="nil"/>
        </w:pBdr>
        <w:rPr>
          <w:color w:val="000000"/>
        </w:rPr>
      </w:pPr>
      <w:r>
        <w:rPr>
          <w:color w:val="000000"/>
        </w:rPr>
        <w:t xml:space="preserve">Weitz, R. (2015). Black Sea Battles. Retrieved from </w:t>
      </w:r>
      <w:hyperlink r:id="rId74">
        <w:r>
          <w:rPr>
            <w:color w:val="000000"/>
          </w:rPr>
          <w:t>https://icds.ee/en/black-sea-battles/</w:t>
        </w:r>
      </w:hyperlink>
    </w:p>
    <w:p w:rsidR="007559C1" w:rsidRDefault="007A1411">
      <w:pPr>
        <w:numPr>
          <w:ilvl w:val="0"/>
          <w:numId w:val="1"/>
        </w:numPr>
        <w:pBdr>
          <w:top w:val="nil"/>
          <w:left w:val="nil"/>
          <w:bottom w:val="nil"/>
          <w:right w:val="nil"/>
          <w:between w:val="nil"/>
        </w:pBdr>
        <w:rPr>
          <w:color w:val="000000"/>
        </w:rPr>
      </w:pPr>
      <w:r>
        <w:rPr>
          <w:color w:val="000000"/>
        </w:rPr>
        <w:t>Zazhigaev, B. (2011). The greater Black Sea Region– a Gateway to Eurasia. Central Asia and the Caucasus, 2, 98-108.</w:t>
      </w:r>
    </w:p>
    <w:p w:rsidR="007559C1" w:rsidRDefault="007559C1">
      <w:pPr>
        <w:pBdr>
          <w:top w:val="nil"/>
          <w:left w:val="nil"/>
          <w:bottom w:val="nil"/>
          <w:right w:val="nil"/>
          <w:between w:val="nil"/>
        </w:pBdr>
        <w:ind w:left="360" w:firstLine="0"/>
        <w:rPr>
          <w:color w:val="000000"/>
        </w:rPr>
      </w:pPr>
    </w:p>
    <w:p w:rsidR="007559C1" w:rsidRDefault="007559C1">
      <w:pPr>
        <w:pStyle w:val="1"/>
      </w:pPr>
      <w:bookmarkStart w:id="8" w:name="_heading=h.4d34og8" w:colFirst="0" w:colLast="0"/>
      <w:bookmarkEnd w:id="8"/>
    </w:p>
    <w:p w:rsidR="007559C1" w:rsidRDefault="007559C1">
      <w:pPr>
        <w:pStyle w:val="1"/>
        <w:jc w:val="both"/>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A1411">
      <w:pPr>
        <w:pStyle w:val="1"/>
      </w:pPr>
      <w:r>
        <w:lastRenderedPageBreak/>
        <w:t>Додаток 1</w:t>
      </w:r>
    </w:p>
    <w:p w:rsidR="007559C1" w:rsidRDefault="007559C1"/>
    <w:p w:rsidR="007559C1" w:rsidRDefault="007A1411">
      <w:pPr>
        <w:ind w:firstLine="0"/>
        <w:jc w:val="center"/>
        <w:rPr>
          <w:b/>
        </w:rPr>
      </w:pPr>
      <w:r>
        <w:rPr>
          <w:b/>
        </w:rPr>
        <w:t>Розширення країн НАТО</w:t>
      </w:r>
    </w:p>
    <w:p w:rsidR="007559C1" w:rsidRDefault="007559C1">
      <w:pPr>
        <w:ind w:firstLine="0"/>
        <w:jc w:val="center"/>
        <w:rPr>
          <w:color w:val="000000"/>
        </w:rPr>
      </w:pPr>
    </w:p>
    <w:p w:rsidR="007559C1" w:rsidRDefault="007A1411">
      <w:pPr>
        <w:ind w:firstLine="0"/>
        <w:jc w:val="center"/>
        <w:rPr>
          <w:color w:val="000000"/>
        </w:rPr>
      </w:pPr>
      <w:r>
        <w:rPr>
          <w:noProof/>
          <w:color w:val="000000"/>
        </w:rPr>
        <w:drawing>
          <wp:inline distT="0" distB="0" distL="0" distR="0">
            <wp:extent cx="6127750" cy="4681220"/>
            <wp:effectExtent l="0" t="0" r="0" b="0"/>
            <wp:docPr id="17" name="image2.png" descr="Історія розширення НАТО"/>
            <wp:cNvGraphicFramePr/>
            <a:graphic xmlns:a="http://schemas.openxmlformats.org/drawingml/2006/main">
              <a:graphicData uri="http://schemas.openxmlformats.org/drawingml/2006/picture">
                <pic:pic xmlns:pic="http://schemas.openxmlformats.org/drawingml/2006/picture">
                  <pic:nvPicPr>
                    <pic:cNvPr id="0" name="image2.png" descr="Історія розширення НАТО"/>
                    <pic:cNvPicPr preferRelativeResize="0"/>
                  </pic:nvPicPr>
                  <pic:blipFill>
                    <a:blip r:embed="rId75"/>
                    <a:srcRect/>
                    <a:stretch>
                      <a:fillRect/>
                    </a:stretch>
                  </pic:blipFill>
                  <pic:spPr>
                    <a:xfrm>
                      <a:off x="0" y="0"/>
                      <a:ext cx="6127750" cy="4681220"/>
                    </a:xfrm>
                    <a:prstGeom prst="rect">
                      <a:avLst/>
                    </a:prstGeom>
                    <a:ln/>
                  </pic:spPr>
                </pic:pic>
              </a:graphicData>
            </a:graphic>
          </wp:inline>
        </w:drawing>
      </w:r>
    </w:p>
    <w:p w:rsidR="007559C1" w:rsidRDefault="007A1411">
      <w:pPr>
        <w:pStyle w:val="1"/>
      </w:pPr>
      <w:bookmarkStart w:id="9" w:name="_heading=h.2s8eyo1" w:colFirst="0" w:colLast="0"/>
      <w:bookmarkEnd w:id="9"/>
      <w:r>
        <w:br w:type="page"/>
      </w:r>
      <w:r>
        <w:lastRenderedPageBreak/>
        <w:t xml:space="preserve">Додаток 2 </w:t>
      </w:r>
    </w:p>
    <w:p w:rsidR="007559C1" w:rsidRDefault="007559C1">
      <w:pPr>
        <w:ind w:firstLine="0"/>
        <w:jc w:val="center"/>
        <w:rPr>
          <w:b/>
        </w:rPr>
      </w:pPr>
    </w:p>
    <w:p w:rsidR="007559C1" w:rsidRDefault="007A1411">
      <w:pPr>
        <w:ind w:firstLine="0"/>
        <w:jc w:val="center"/>
        <w:rPr>
          <w:b/>
        </w:rPr>
      </w:pPr>
      <w:r>
        <w:rPr>
          <w:b/>
        </w:rPr>
        <w:t>Російські війська у Великому Чорноморському регіоні</w:t>
      </w:r>
    </w:p>
    <w:p w:rsidR="007559C1" w:rsidRDefault="007559C1">
      <w:pPr>
        <w:ind w:firstLine="0"/>
        <w:jc w:val="center"/>
        <w:rPr>
          <w:color w:val="000000"/>
        </w:rPr>
      </w:pPr>
    </w:p>
    <w:p w:rsidR="007559C1" w:rsidRDefault="007A1411">
      <w:pPr>
        <w:ind w:firstLine="0"/>
        <w:jc w:val="center"/>
        <w:rPr>
          <w:color w:val="000000"/>
        </w:rPr>
      </w:pPr>
      <w:r>
        <w:rPr>
          <w:noProof/>
          <w:color w:val="000000"/>
        </w:rPr>
        <w:drawing>
          <wp:inline distT="0" distB="0" distL="0" distR="0">
            <wp:extent cx="6127750" cy="4312920"/>
            <wp:effectExtent l="0" t="0" r="0" b="0"/>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6"/>
                    <a:srcRect/>
                    <a:stretch>
                      <a:fillRect/>
                    </a:stretch>
                  </pic:blipFill>
                  <pic:spPr>
                    <a:xfrm>
                      <a:off x="0" y="0"/>
                      <a:ext cx="6127750" cy="4312920"/>
                    </a:xfrm>
                    <a:prstGeom prst="rect">
                      <a:avLst/>
                    </a:prstGeom>
                    <a:ln/>
                  </pic:spPr>
                </pic:pic>
              </a:graphicData>
            </a:graphic>
          </wp:inline>
        </w:drawing>
      </w:r>
    </w:p>
    <w:p w:rsidR="007559C1" w:rsidRDefault="007559C1">
      <w:pPr>
        <w:ind w:firstLine="0"/>
        <w:jc w:val="center"/>
        <w:rPr>
          <w:color w:val="000000"/>
        </w:rPr>
      </w:pPr>
    </w:p>
    <w:p w:rsidR="007559C1" w:rsidRDefault="007A1411">
      <w:pPr>
        <w:pStyle w:val="1"/>
      </w:pPr>
      <w:bookmarkStart w:id="10" w:name="_heading=h.17dp8vu" w:colFirst="0" w:colLast="0"/>
      <w:bookmarkEnd w:id="10"/>
      <w:r>
        <w:br w:type="page"/>
      </w:r>
      <w:r>
        <w:lastRenderedPageBreak/>
        <w:t xml:space="preserve">Додаток 3 </w:t>
      </w:r>
    </w:p>
    <w:p w:rsidR="007559C1" w:rsidRDefault="007559C1">
      <w:pPr>
        <w:ind w:firstLine="0"/>
        <w:jc w:val="center"/>
        <w:rPr>
          <w:b/>
          <w:color w:val="000000"/>
        </w:rPr>
      </w:pPr>
    </w:p>
    <w:p w:rsidR="007559C1" w:rsidRDefault="007A1411">
      <w:pPr>
        <w:ind w:firstLine="0"/>
        <w:jc w:val="center"/>
        <w:rPr>
          <w:b/>
          <w:color w:val="000000"/>
        </w:rPr>
      </w:pPr>
      <w:r>
        <w:rPr>
          <w:b/>
          <w:color w:val="000000"/>
        </w:rPr>
        <w:t>Базові діапазони з авіаційної бази НАТО</w:t>
      </w:r>
    </w:p>
    <w:p w:rsidR="007559C1" w:rsidRDefault="007559C1">
      <w:pPr>
        <w:ind w:firstLine="0"/>
        <w:jc w:val="center"/>
        <w:rPr>
          <w:b/>
          <w:color w:val="000000"/>
        </w:rPr>
      </w:pPr>
    </w:p>
    <w:p w:rsidR="007559C1" w:rsidRDefault="007A1411">
      <w:pPr>
        <w:ind w:firstLine="0"/>
        <w:jc w:val="center"/>
        <w:rPr>
          <w:color w:val="000000"/>
        </w:rPr>
        <w:sectPr w:rsidR="007559C1">
          <w:headerReference w:type="default" r:id="rId77"/>
          <w:pgSz w:w="11907" w:h="16840"/>
          <w:pgMar w:top="1134" w:right="851" w:bottom="1134" w:left="1701" w:header="0" w:footer="0" w:gutter="0"/>
          <w:pgNumType w:start="1"/>
          <w:cols w:space="720"/>
          <w:titlePg/>
        </w:sectPr>
      </w:pPr>
      <w:r>
        <w:rPr>
          <w:noProof/>
          <w:color w:val="000000"/>
        </w:rPr>
        <w:drawing>
          <wp:inline distT="0" distB="0" distL="0" distR="0">
            <wp:extent cx="5070608" cy="4080886"/>
            <wp:effectExtent l="0" t="0" r="0" b="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8"/>
                    <a:srcRect/>
                    <a:stretch>
                      <a:fillRect/>
                    </a:stretch>
                  </pic:blipFill>
                  <pic:spPr>
                    <a:xfrm>
                      <a:off x="0" y="0"/>
                      <a:ext cx="5070608" cy="4080886"/>
                    </a:xfrm>
                    <a:prstGeom prst="rect">
                      <a:avLst/>
                    </a:prstGeom>
                    <a:ln/>
                  </pic:spPr>
                </pic:pic>
              </a:graphicData>
            </a:graphic>
          </wp:inline>
        </w:drawing>
      </w:r>
    </w:p>
    <w:p w:rsidR="007559C1" w:rsidRDefault="007A1411">
      <w:pPr>
        <w:pStyle w:val="1"/>
        <w:spacing w:line="240" w:lineRule="auto"/>
      </w:pPr>
      <w:bookmarkStart w:id="11" w:name="_heading=h.3rdcrjn" w:colFirst="0" w:colLast="0"/>
      <w:bookmarkEnd w:id="11"/>
      <w:r>
        <w:lastRenderedPageBreak/>
        <w:t>Додаток 4</w:t>
      </w:r>
    </w:p>
    <w:p w:rsidR="007559C1" w:rsidRDefault="007559C1"/>
    <w:p w:rsidR="007559C1" w:rsidRDefault="007559C1">
      <w:pPr>
        <w:spacing w:line="240" w:lineRule="auto"/>
        <w:ind w:firstLine="0"/>
        <w:jc w:val="center"/>
        <w:rPr>
          <w:b/>
          <w:color w:val="000000"/>
        </w:rPr>
      </w:pPr>
    </w:p>
    <w:p w:rsidR="007559C1" w:rsidRDefault="007A1411">
      <w:pPr>
        <w:spacing w:line="240" w:lineRule="auto"/>
        <w:ind w:firstLine="0"/>
        <w:jc w:val="center"/>
        <w:rPr>
          <w:b/>
          <w:color w:val="000000"/>
        </w:rPr>
      </w:pPr>
      <w:r>
        <w:rPr>
          <w:b/>
          <w:color w:val="000000"/>
        </w:rPr>
        <w:t>росія на півострові Крим</w:t>
      </w:r>
    </w:p>
    <w:p w:rsidR="007559C1" w:rsidRDefault="007559C1">
      <w:pPr>
        <w:spacing w:line="240" w:lineRule="auto"/>
        <w:ind w:firstLine="0"/>
        <w:jc w:val="center"/>
        <w:rPr>
          <w:b/>
          <w:color w:val="000000"/>
        </w:rPr>
      </w:pPr>
    </w:p>
    <w:p w:rsidR="007559C1" w:rsidRDefault="007A1411">
      <w:pPr>
        <w:ind w:firstLine="0"/>
        <w:jc w:val="center"/>
        <w:rPr>
          <w:color w:val="000000"/>
        </w:rPr>
      </w:pPr>
      <w:r>
        <w:rPr>
          <w:noProof/>
          <w:color w:val="000000"/>
        </w:rPr>
        <w:drawing>
          <wp:inline distT="0" distB="0" distL="0" distR="0">
            <wp:extent cx="5886315" cy="3872509"/>
            <wp:effectExtent l="0" t="0" r="0" b="0"/>
            <wp:docPr id="21" name="image5.jpg" descr="Росія демонструє свою військову міць у Чорному морі та за його межами"/>
            <wp:cNvGraphicFramePr/>
            <a:graphic xmlns:a="http://schemas.openxmlformats.org/drawingml/2006/main">
              <a:graphicData uri="http://schemas.openxmlformats.org/drawingml/2006/picture">
                <pic:pic xmlns:pic="http://schemas.openxmlformats.org/drawingml/2006/picture">
                  <pic:nvPicPr>
                    <pic:cNvPr id="0" name="image5.jpg" descr="Росія демонструє свою військову міць у Чорному морі та за його межами"/>
                    <pic:cNvPicPr preferRelativeResize="0"/>
                  </pic:nvPicPr>
                  <pic:blipFill>
                    <a:blip r:embed="rId79"/>
                    <a:srcRect/>
                    <a:stretch>
                      <a:fillRect/>
                    </a:stretch>
                  </pic:blipFill>
                  <pic:spPr>
                    <a:xfrm>
                      <a:off x="0" y="0"/>
                      <a:ext cx="5886315" cy="3872509"/>
                    </a:xfrm>
                    <a:prstGeom prst="rect">
                      <a:avLst/>
                    </a:prstGeom>
                    <a:ln/>
                  </pic:spPr>
                </pic:pic>
              </a:graphicData>
            </a:graphic>
          </wp:inline>
        </w:drawing>
      </w:r>
    </w:p>
    <w:p w:rsidR="007559C1" w:rsidRDefault="007559C1">
      <w:pPr>
        <w:ind w:firstLine="0"/>
        <w:jc w:val="center"/>
        <w:rPr>
          <w:color w:val="000000"/>
        </w:rPr>
      </w:pPr>
    </w:p>
    <w:p w:rsidR="007559C1" w:rsidRDefault="007A1411">
      <w:pPr>
        <w:ind w:firstLine="0"/>
        <w:jc w:val="center"/>
        <w:rPr>
          <w:color w:val="000000"/>
        </w:rPr>
        <w:sectPr w:rsidR="007559C1">
          <w:headerReference w:type="default" r:id="rId80"/>
          <w:pgSz w:w="11907" w:h="16840"/>
          <w:pgMar w:top="1134" w:right="851" w:bottom="1134" w:left="1701" w:header="0" w:footer="0" w:gutter="0"/>
          <w:cols w:space="720"/>
          <w:titlePg/>
        </w:sectPr>
      </w:pPr>
      <w:r>
        <w:br w:type="page"/>
      </w:r>
      <w:r>
        <w:rPr>
          <w:noProof/>
          <w:color w:val="000000"/>
        </w:rPr>
        <w:lastRenderedPageBreak/>
        <w:drawing>
          <wp:inline distT="0" distB="0" distL="0" distR="0">
            <wp:extent cx="5772451" cy="3823447"/>
            <wp:effectExtent l="0" t="0" r="0" b="0"/>
            <wp:docPr id="20" name="image6.jpg" descr="військово-морський компонент 2"/>
            <wp:cNvGraphicFramePr/>
            <a:graphic xmlns:a="http://schemas.openxmlformats.org/drawingml/2006/main">
              <a:graphicData uri="http://schemas.openxmlformats.org/drawingml/2006/picture">
                <pic:pic xmlns:pic="http://schemas.openxmlformats.org/drawingml/2006/picture">
                  <pic:nvPicPr>
                    <pic:cNvPr id="0" name="image6.jpg" descr="військово-морський компонент 2"/>
                    <pic:cNvPicPr preferRelativeResize="0"/>
                  </pic:nvPicPr>
                  <pic:blipFill>
                    <a:blip r:embed="rId81"/>
                    <a:srcRect/>
                    <a:stretch>
                      <a:fillRect/>
                    </a:stretch>
                  </pic:blipFill>
                  <pic:spPr>
                    <a:xfrm>
                      <a:off x="0" y="0"/>
                      <a:ext cx="5772451" cy="3823447"/>
                    </a:xfrm>
                    <a:prstGeom prst="rect">
                      <a:avLst/>
                    </a:prstGeom>
                    <a:ln/>
                  </pic:spPr>
                </pic:pic>
              </a:graphicData>
            </a:graphic>
          </wp:inline>
        </w:drawing>
      </w:r>
      <w:r>
        <w:rPr>
          <w:color w:val="000000"/>
        </w:rPr>
        <w:t xml:space="preserve"> </w:t>
      </w:r>
    </w:p>
    <w:p w:rsidR="007559C1" w:rsidRDefault="007559C1">
      <w:pPr>
        <w:pStyle w:val="1"/>
      </w:pPr>
      <w:bookmarkStart w:id="12" w:name="_heading=h.26in1rg" w:colFirst="0" w:colLast="0"/>
      <w:bookmarkEnd w:id="12"/>
    </w:p>
    <w:p w:rsidR="007559C1" w:rsidRDefault="007559C1">
      <w:pPr>
        <w:pStyle w:val="1"/>
      </w:pPr>
    </w:p>
    <w:p w:rsidR="007559C1" w:rsidRDefault="007A1411">
      <w:pPr>
        <w:pStyle w:val="1"/>
      </w:pPr>
      <w:r>
        <w:rPr>
          <w:noProof/>
        </w:rPr>
        <w:drawing>
          <wp:inline distT="0" distB="0" distL="0" distR="0">
            <wp:extent cx="6470374" cy="4296649"/>
            <wp:effectExtent l="0" t="0" r="0" b="0"/>
            <wp:docPr id="16" name="image7.jpg" descr="повітряна складова"/>
            <wp:cNvGraphicFramePr/>
            <a:graphic xmlns:a="http://schemas.openxmlformats.org/drawingml/2006/main">
              <a:graphicData uri="http://schemas.openxmlformats.org/drawingml/2006/picture">
                <pic:pic xmlns:pic="http://schemas.openxmlformats.org/drawingml/2006/picture">
                  <pic:nvPicPr>
                    <pic:cNvPr id="0" name="image7.jpg" descr="повітряна складова"/>
                    <pic:cNvPicPr preferRelativeResize="0"/>
                  </pic:nvPicPr>
                  <pic:blipFill>
                    <a:blip r:embed="rId82"/>
                    <a:srcRect/>
                    <a:stretch>
                      <a:fillRect/>
                    </a:stretch>
                  </pic:blipFill>
                  <pic:spPr>
                    <a:xfrm>
                      <a:off x="0" y="0"/>
                      <a:ext cx="6470374" cy="4296649"/>
                    </a:xfrm>
                    <a:prstGeom prst="rect">
                      <a:avLst/>
                    </a:prstGeom>
                    <a:ln/>
                  </pic:spPr>
                </pic:pic>
              </a:graphicData>
            </a:graphic>
          </wp:inline>
        </w:drawing>
      </w: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pPr>
    </w:p>
    <w:p w:rsidR="007559C1" w:rsidRDefault="007559C1">
      <w:pPr>
        <w:pStyle w:val="1"/>
        <w:jc w:val="both"/>
      </w:pPr>
    </w:p>
    <w:p w:rsidR="007559C1" w:rsidRDefault="007559C1">
      <w:pPr>
        <w:pStyle w:val="1"/>
        <w:jc w:val="both"/>
      </w:pPr>
    </w:p>
    <w:p w:rsidR="007559C1" w:rsidRDefault="007A1411">
      <w:pPr>
        <w:pStyle w:val="1"/>
        <w:jc w:val="both"/>
      </w:pPr>
      <w:r>
        <w:t xml:space="preserve"> </w:t>
      </w:r>
    </w:p>
    <w:p w:rsidR="007559C1" w:rsidRDefault="007A1411">
      <w:pPr>
        <w:pStyle w:val="1"/>
        <w:jc w:val="both"/>
      </w:pPr>
      <w:r>
        <w:lastRenderedPageBreak/>
        <w:t xml:space="preserve">                                                                 Додаток 5 </w:t>
      </w:r>
    </w:p>
    <w:p w:rsidR="007559C1" w:rsidRDefault="007559C1"/>
    <w:p w:rsidR="007559C1" w:rsidRDefault="007A1411">
      <w:pPr>
        <w:ind w:firstLine="0"/>
        <w:rPr>
          <w:b/>
          <w:color w:val="000000"/>
        </w:rPr>
      </w:pPr>
      <w:r>
        <w:rPr>
          <w:b/>
          <w:color w:val="000000"/>
        </w:rPr>
        <w:t xml:space="preserve">                                                 Чорне море з позиції росії</w:t>
      </w:r>
    </w:p>
    <w:p w:rsidR="007559C1" w:rsidRDefault="007559C1">
      <w:pPr>
        <w:ind w:firstLine="0"/>
        <w:rPr>
          <w:b/>
          <w:color w:val="000000"/>
        </w:rPr>
      </w:pPr>
    </w:p>
    <w:p w:rsidR="007559C1" w:rsidRDefault="007A1411">
      <w:pPr>
        <w:ind w:firstLine="0"/>
        <w:jc w:val="center"/>
        <w:rPr>
          <w:b/>
          <w:color w:val="000000"/>
        </w:rPr>
      </w:pPr>
      <w:r>
        <w:rPr>
          <w:noProof/>
          <w:color w:val="000000"/>
        </w:rPr>
        <w:drawing>
          <wp:inline distT="0" distB="0" distL="0" distR="0">
            <wp:extent cx="5713260" cy="7416072"/>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3"/>
                    <a:srcRect/>
                    <a:stretch>
                      <a:fillRect/>
                    </a:stretch>
                  </pic:blipFill>
                  <pic:spPr>
                    <a:xfrm>
                      <a:off x="0" y="0"/>
                      <a:ext cx="5713260" cy="7416072"/>
                    </a:xfrm>
                    <a:prstGeom prst="rect">
                      <a:avLst/>
                    </a:prstGeom>
                    <a:ln/>
                  </pic:spPr>
                </pic:pic>
              </a:graphicData>
            </a:graphic>
          </wp:inline>
        </w:drawing>
      </w:r>
    </w:p>
    <w:sectPr w:rsidR="007559C1">
      <w:pgSz w:w="11907" w:h="16840"/>
      <w:pgMar w:top="1134" w:right="1701" w:bottom="1134" w:left="851"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34194" w:rsidRDefault="00934194">
      <w:pPr>
        <w:spacing w:line="240" w:lineRule="auto"/>
      </w:pPr>
      <w:r>
        <w:separator/>
      </w:r>
    </w:p>
  </w:endnote>
  <w:endnote w:type="continuationSeparator" w:id="0">
    <w:p w:rsidR="00934194" w:rsidRDefault="0093419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Roboto Light">
    <w:panose1 w:val="02000000000000000000"/>
    <w:charset w:val="00"/>
    <w:family w:val="auto"/>
    <w:pitch w:val="variable"/>
    <w:sig w:usb0="E00002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34194" w:rsidRDefault="00934194">
      <w:pPr>
        <w:spacing w:line="240" w:lineRule="auto"/>
      </w:pPr>
      <w:r>
        <w:separator/>
      </w:r>
    </w:p>
  </w:footnote>
  <w:footnote w:type="continuationSeparator" w:id="0">
    <w:p w:rsidR="00934194" w:rsidRDefault="0093419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59C1" w:rsidRDefault="007559C1">
    <w:pPr>
      <w:pBdr>
        <w:top w:val="nil"/>
        <w:left w:val="nil"/>
        <w:bottom w:val="nil"/>
        <w:right w:val="nil"/>
        <w:between w:val="nil"/>
      </w:pBdr>
      <w:tabs>
        <w:tab w:val="center" w:pos="4844"/>
        <w:tab w:val="right" w:pos="9689"/>
      </w:tabs>
      <w:jc w:val="right"/>
      <w:rPr>
        <w:color w:val="000000"/>
      </w:rPr>
    </w:pPr>
  </w:p>
  <w:p w:rsidR="007559C1" w:rsidRDefault="007A1411">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separate"/>
    </w:r>
    <w:r w:rsidR="004C4E6B">
      <w:rPr>
        <w:noProof/>
        <w:color w:val="000000"/>
      </w:rPr>
      <w:t>2</w:t>
    </w:r>
    <w:r>
      <w:rPr>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559C1" w:rsidRDefault="007559C1">
    <w:pPr>
      <w:pBdr>
        <w:top w:val="nil"/>
        <w:left w:val="nil"/>
        <w:bottom w:val="nil"/>
        <w:right w:val="nil"/>
        <w:between w:val="nil"/>
      </w:pBdr>
      <w:tabs>
        <w:tab w:val="center" w:pos="4844"/>
        <w:tab w:val="right" w:pos="9689"/>
      </w:tabs>
      <w:jc w:val="right"/>
      <w:rPr>
        <w:color w:val="000000"/>
      </w:rPr>
    </w:pPr>
  </w:p>
  <w:p w:rsidR="007559C1" w:rsidRDefault="007A1411">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separate"/>
    </w:r>
    <w:r w:rsidR="004C4E6B">
      <w:rPr>
        <w:noProof/>
        <w:color w:val="000000"/>
      </w:rPr>
      <w:t>87</w:t>
    </w:r>
    <w:r>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3C3939"/>
    <w:multiLevelType w:val="multilevel"/>
    <w:tmpl w:val="FFFFFFFF"/>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9844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9C1"/>
    <w:rsid w:val="00000BE6"/>
    <w:rsid w:val="00002E8C"/>
    <w:rsid w:val="00047691"/>
    <w:rsid w:val="00057AB8"/>
    <w:rsid w:val="0007624A"/>
    <w:rsid w:val="000970CE"/>
    <w:rsid w:val="000E4033"/>
    <w:rsid w:val="000F3137"/>
    <w:rsid w:val="00102231"/>
    <w:rsid w:val="001063C3"/>
    <w:rsid w:val="001E46D4"/>
    <w:rsid w:val="00211662"/>
    <w:rsid w:val="00215BF1"/>
    <w:rsid w:val="00246B3C"/>
    <w:rsid w:val="002778B8"/>
    <w:rsid w:val="002A5EA5"/>
    <w:rsid w:val="0031177F"/>
    <w:rsid w:val="003610B7"/>
    <w:rsid w:val="00375DDF"/>
    <w:rsid w:val="003A5D3F"/>
    <w:rsid w:val="003C5A22"/>
    <w:rsid w:val="004571EB"/>
    <w:rsid w:val="00477477"/>
    <w:rsid w:val="00483106"/>
    <w:rsid w:val="004C4E6B"/>
    <w:rsid w:val="004D067F"/>
    <w:rsid w:val="004D45E1"/>
    <w:rsid w:val="004E3380"/>
    <w:rsid w:val="005015A3"/>
    <w:rsid w:val="0053315E"/>
    <w:rsid w:val="00541566"/>
    <w:rsid w:val="005431A2"/>
    <w:rsid w:val="00552581"/>
    <w:rsid w:val="0056561F"/>
    <w:rsid w:val="005824ED"/>
    <w:rsid w:val="005A61BD"/>
    <w:rsid w:val="00654863"/>
    <w:rsid w:val="0066703E"/>
    <w:rsid w:val="006A0D23"/>
    <w:rsid w:val="006B2159"/>
    <w:rsid w:val="0074447B"/>
    <w:rsid w:val="007559C1"/>
    <w:rsid w:val="007A1411"/>
    <w:rsid w:val="007E0655"/>
    <w:rsid w:val="007E6FD8"/>
    <w:rsid w:val="007F3EC6"/>
    <w:rsid w:val="00845958"/>
    <w:rsid w:val="0089422D"/>
    <w:rsid w:val="008D7C51"/>
    <w:rsid w:val="0090419C"/>
    <w:rsid w:val="00934194"/>
    <w:rsid w:val="0094305A"/>
    <w:rsid w:val="00987636"/>
    <w:rsid w:val="009900AE"/>
    <w:rsid w:val="009A100B"/>
    <w:rsid w:val="009E0176"/>
    <w:rsid w:val="00A155EB"/>
    <w:rsid w:val="00A21FC3"/>
    <w:rsid w:val="00A30E42"/>
    <w:rsid w:val="00A65882"/>
    <w:rsid w:val="00AD0988"/>
    <w:rsid w:val="00AD09C9"/>
    <w:rsid w:val="00AD1977"/>
    <w:rsid w:val="00AD548A"/>
    <w:rsid w:val="00B32968"/>
    <w:rsid w:val="00B405CB"/>
    <w:rsid w:val="00B856A2"/>
    <w:rsid w:val="00BA3A5A"/>
    <w:rsid w:val="00C37538"/>
    <w:rsid w:val="00C41C23"/>
    <w:rsid w:val="00C75F80"/>
    <w:rsid w:val="00D24EFE"/>
    <w:rsid w:val="00D71FCB"/>
    <w:rsid w:val="00DA5BF6"/>
    <w:rsid w:val="00DE770F"/>
    <w:rsid w:val="00DF1649"/>
    <w:rsid w:val="00E70F3E"/>
    <w:rsid w:val="00E902F2"/>
    <w:rsid w:val="00EC5E20"/>
    <w:rsid w:val="00F07B0E"/>
    <w:rsid w:val="00F345EB"/>
    <w:rsid w:val="00F622FD"/>
    <w:rsid w:val="00F96D16"/>
    <w:rsid w:val="00FC48A3"/>
    <w:rsid w:val="00FE4C44"/>
    <w:rsid w:val="00FE69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4:docId w14:val="5AD10BA4"/>
  <w15:docId w15:val="{0F16CE60-9C7A-7B4E-A025-DC95AE31E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uk-UA" w:bidi="ar-SA"/>
      </w:rPr>
    </w:rPrDefault>
    <w:pPrDefault>
      <w:pPr>
        <w:widowControl w:val="0"/>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7BCD"/>
    <w:rPr>
      <w:szCs w:val="22"/>
      <w:lang w:eastAsia="en-US"/>
    </w:rPr>
  </w:style>
  <w:style w:type="paragraph" w:styleId="1">
    <w:name w:val="heading 1"/>
    <w:basedOn w:val="a"/>
    <w:next w:val="a"/>
    <w:link w:val="10"/>
    <w:uiPriority w:val="9"/>
    <w:qFormat/>
    <w:rsid w:val="00302354"/>
    <w:pPr>
      <w:suppressAutoHyphens/>
      <w:ind w:firstLine="0"/>
      <w:jc w:val="center"/>
      <w:outlineLvl w:val="0"/>
    </w:pPr>
    <w:rPr>
      <w:b/>
      <w:color w:val="000000"/>
      <w:szCs w:val="32"/>
    </w:rPr>
  </w:style>
  <w:style w:type="paragraph" w:styleId="2">
    <w:name w:val="heading 2"/>
    <w:basedOn w:val="a"/>
    <w:next w:val="a"/>
    <w:link w:val="20"/>
    <w:uiPriority w:val="9"/>
    <w:semiHidden/>
    <w:unhideWhenUsed/>
    <w:qFormat/>
    <w:rsid w:val="00BB749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B1789D"/>
    <w:pPr>
      <w:keepNext/>
      <w:keepLines/>
      <w:spacing w:before="40"/>
      <w:outlineLvl w:val="2"/>
    </w:pPr>
    <w:rPr>
      <w:rFonts w:ascii="Calibri Light" w:hAnsi="Calibri Light"/>
      <w:color w:val="1F4D78"/>
      <w:sz w:val="24"/>
      <w:szCs w:val="24"/>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customStyle="1" w:styleId="10">
    <w:name w:val="Заголовок 1 Знак"/>
    <w:link w:val="1"/>
    <w:uiPriority w:val="9"/>
    <w:rsid w:val="00302354"/>
    <w:rPr>
      <w:rFonts w:ascii="Times New Roman" w:eastAsia="Times New Roman" w:hAnsi="Times New Roman"/>
      <w:b/>
      <w:color w:val="000000"/>
      <w:sz w:val="28"/>
      <w:szCs w:val="32"/>
      <w:lang w:val="uk-UA"/>
    </w:rPr>
  </w:style>
  <w:style w:type="paragraph" w:styleId="a4">
    <w:name w:val="List Paragraph"/>
    <w:basedOn w:val="a"/>
    <w:uiPriority w:val="34"/>
    <w:qFormat/>
    <w:rsid w:val="002223FA"/>
    <w:pPr>
      <w:ind w:left="720"/>
      <w:contextualSpacing/>
    </w:pPr>
  </w:style>
  <w:style w:type="character" w:styleId="a5">
    <w:name w:val="Hyperlink"/>
    <w:uiPriority w:val="99"/>
    <w:unhideWhenUsed/>
    <w:rsid w:val="002223FA"/>
    <w:rPr>
      <w:color w:val="0563C1"/>
      <w:u w:val="single"/>
    </w:rPr>
  </w:style>
  <w:style w:type="character" w:styleId="a6">
    <w:name w:val="Strong"/>
    <w:uiPriority w:val="22"/>
    <w:qFormat/>
    <w:rsid w:val="002223FA"/>
    <w:rPr>
      <w:b/>
      <w:bCs/>
    </w:rPr>
  </w:style>
  <w:style w:type="paragraph" w:styleId="a7">
    <w:name w:val="Normal (Web)"/>
    <w:basedOn w:val="a"/>
    <w:uiPriority w:val="99"/>
    <w:semiHidden/>
    <w:unhideWhenUsed/>
    <w:rsid w:val="0087313C"/>
    <w:pPr>
      <w:widowControl/>
      <w:spacing w:before="100" w:beforeAutospacing="1" w:after="100" w:afterAutospacing="1" w:line="240" w:lineRule="auto"/>
      <w:ind w:firstLine="0"/>
      <w:jc w:val="left"/>
    </w:pPr>
    <w:rPr>
      <w:sz w:val="24"/>
      <w:szCs w:val="24"/>
    </w:rPr>
  </w:style>
  <w:style w:type="character" w:customStyle="1" w:styleId="apple-converted-space">
    <w:name w:val="apple-converted-space"/>
    <w:basedOn w:val="a0"/>
    <w:rsid w:val="00A72C7D"/>
  </w:style>
  <w:style w:type="character" w:customStyle="1" w:styleId="30">
    <w:name w:val="Заголовок 3 Знак"/>
    <w:link w:val="3"/>
    <w:uiPriority w:val="9"/>
    <w:semiHidden/>
    <w:rsid w:val="00B1789D"/>
    <w:rPr>
      <w:rFonts w:ascii="Calibri Light" w:eastAsia="Times New Roman" w:hAnsi="Calibri Light" w:cs="Times New Roman"/>
      <w:color w:val="1F4D78"/>
      <w:sz w:val="24"/>
      <w:szCs w:val="24"/>
    </w:rPr>
  </w:style>
  <w:style w:type="paragraph" w:styleId="a8">
    <w:name w:val="header"/>
    <w:basedOn w:val="a"/>
    <w:link w:val="a9"/>
    <w:uiPriority w:val="99"/>
    <w:unhideWhenUsed/>
    <w:rsid w:val="000424C1"/>
    <w:pPr>
      <w:tabs>
        <w:tab w:val="center" w:pos="4844"/>
        <w:tab w:val="right" w:pos="9689"/>
      </w:tabs>
    </w:pPr>
  </w:style>
  <w:style w:type="character" w:customStyle="1" w:styleId="a9">
    <w:name w:val="Верхній колонтитул Знак"/>
    <w:link w:val="a8"/>
    <w:uiPriority w:val="99"/>
    <w:rsid w:val="000424C1"/>
    <w:rPr>
      <w:rFonts w:ascii="Times New Roman" w:hAnsi="Times New Roman"/>
      <w:sz w:val="28"/>
      <w:szCs w:val="22"/>
      <w:lang w:val="uk-UA"/>
    </w:rPr>
  </w:style>
  <w:style w:type="paragraph" w:styleId="aa">
    <w:name w:val="footer"/>
    <w:basedOn w:val="a"/>
    <w:link w:val="ab"/>
    <w:uiPriority w:val="99"/>
    <w:unhideWhenUsed/>
    <w:rsid w:val="000424C1"/>
    <w:pPr>
      <w:tabs>
        <w:tab w:val="center" w:pos="4844"/>
        <w:tab w:val="right" w:pos="9689"/>
      </w:tabs>
    </w:pPr>
  </w:style>
  <w:style w:type="character" w:customStyle="1" w:styleId="ab">
    <w:name w:val="Нижній колонтитул Знак"/>
    <w:link w:val="aa"/>
    <w:uiPriority w:val="99"/>
    <w:rsid w:val="000424C1"/>
    <w:rPr>
      <w:rFonts w:ascii="Times New Roman" w:hAnsi="Times New Roman"/>
      <w:sz w:val="28"/>
      <w:szCs w:val="22"/>
      <w:lang w:val="uk-UA"/>
    </w:rPr>
  </w:style>
  <w:style w:type="paragraph" w:customStyle="1" w:styleId="ac">
    <w:name w:val="Основной."/>
    <w:link w:val="ad"/>
    <w:qFormat/>
    <w:rsid w:val="003F5B97"/>
    <w:pPr>
      <w:ind w:firstLine="680"/>
    </w:pPr>
    <w:rPr>
      <w:szCs w:val="22"/>
    </w:rPr>
  </w:style>
  <w:style w:type="character" w:customStyle="1" w:styleId="ad">
    <w:name w:val="Основной. Знак Знак"/>
    <w:link w:val="ac"/>
    <w:rsid w:val="003F5B97"/>
    <w:rPr>
      <w:rFonts w:ascii="Times New Roman" w:hAnsi="Times New Roman"/>
      <w:sz w:val="28"/>
      <w:szCs w:val="22"/>
      <w:lang w:val="uk-UA" w:eastAsia="ru-RU"/>
    </w:rPr>
  </w:style>
  <w:style w:type="character" w:customStyle="1" w:styleId="vue-autor-link">
    <w:name w:val="vue-autor-link"/>
    <w:rsid w:val="009810F4"/>
  </w:style>
  <w:style w:type="character" w:customStyle="1" w:styleId="ae">
    <w:name w:val="Основной текст_"/>
    <w:link w:val="21"/>
    <w:rsid w:val="004B129B"/>
    <w:rPr>
      <w:rFonts w:ascii="Times New Roman" w:eastAsia="Times New Roman" w:hAnsi="Times New Roman"/>
      <w:spacing w:val="-1"/>
      <w:sz w:val="21"/>
      <w:szCs w:val="21"/>
      <w:shd w:val="clear" w:color="auto" w:fill="FFFFFF"/>
    </w:rPr>
  </w:style>
  <w:style w:type="paragraph" w:customStyle="1" w:styleId="21">
    <w:name w:val="Основной текст2"/>
    <w:basedOn w:val="a"/>
    <w:link w:val="ae"/>
    <w:rsid w:val="004B129B"/>
    <w:pPr>
      <w:shd w:val="clear" w:color="auto" w:fill="FFFFFF"/>
      <w:spacing w:before="300" w:after="180" w:line="298" w:lineRule="exact"/>
      <w:ind w:hanging="360"/>
    </w:pPr>
    <w:rPr>
      <w:spacing w:val="-1"/>
      <w:sz w:val="21"/>
      <w:szCs w:val="21"/>
      <w:lang w:val="en-US"/>
    </w:rPr>
  </w:style>
  <w:style w:type="character" w:customStyle="1" w:styleId="11">
    <w:name w:val="Основной текст1"/>
    <w:rsid w:val="00610A9A"/>
    <w:rPr>
      <w:rFonts w:ascii="Times New Roman" w:eastAsia="Times New Roman" w:hAnsi="Times New Roman" w:cs="Times New Roman"/>
      <w:b w:val="0"/>
      <w:bCs w:val="0"/>
      <w:i w:val="0"/>
      <w:iCs w:val="0"/>
      <w:smallCaps w:val="0"/>
      <w:strike w:val="0"/>
      <w:color w:val="000000"/>
      <w:spacing w:val="8"/>
      <w:w w:val="100"/>
      <w:position w:val="0"/>
      <w:sz w:val="16"/>
      <w:szCs w:val="16"/>
      <w:u w:val="none"/>
      <w:shd w:val="clear" w:color="auto" w:fill="FFFFFF"/>
      <w:lang w:val="uk"/>
    </w:rPr>
  </w:style>
  <w:style w:type="character" w:customStyle="1" w:styleId="af">
    <w:name w:val="Основной текст + Курсив"/>
    <w:aliases w:val="Интервал 0 pt"/>
    <w:rsid w:val="00AA0315"/>
    <w:rPr>
      <w:rFonts w:ascii="Times New Roman" w:eastAsia="Times New Roman" w:hAnsi="Times New Roman" w:cs="Times New Roman"/>
      <w:b w:val="0"/>
      <w:bCs w:val="0"/>
      <w:i/>
      <w:iCs/>
      <w:smallCaps w:val="0"/>
      <w:strike w:val="0"/>
      <w:color w:val="000000"/>
      <w:spacing w:val="-4"/>
      <w:w w:val="100"/>
      <w:position w:val="0"/>
      <w:sz w:val="16"/>
      <w:szCs w:val="16"/>
      <w:u w:val="none"/>
      <w:shd w:val="clear" w:color="auto" w:fill="FFFFFF"/>
      <w:lang w:val="uk"/>
    </w:rPr>
  </w:style>
  <w:style w:type="paragraph" w:styleId="z-">
    <w:name w:val="HTML Top of Form"/>
    <w:basedOn w:val="a"/>
    <w:next w:val="a"/>
    <w:link w:val="z-0"/>
    <w:hidden/>
    <w:uiPriority w:val="99"/>
    <w:semiHidden/>
    <w:unhideWhenUsed/>
    <w:rsid w:val="008E654F"/>
    <w:pPr>
      <w:widowControl/>
      <w:pBdr>
        <w:bottom w:val="single" w:sz="6" w:space="1" w:color="auto"/>
      </w:pBdr>
      <w:spacing w:line="240" w:lineRule="auto"/>
      <w:ind w:firstLine="0"/>
      <w:jc w:val="center"/>
    </w:pPr>
    <w:rPr>
      <w:rFonts w:ascii="Arial" w:hAnsi="Arial" w:cs="Arial"/>
      <w:vanish/>
      <w:sz w:val="16"/>
      <w:szCs w:val="16"/>
      <w:lang w:val="en-US"/>
    </w:rPr>
  </w:style>
  <w:style w:type="character" w:customStyle="1" w:styleId="z-0">
    <w:name w:val="z-Початок форми Знак"/>
    <w:link w:val="z-"/>
    <w:uiPriority w:val="99"/>
    <w:semiHidden/>
    <w:rsid w:val="008E654F"/>
    <w:rPr>
      <w:rFonts w:ascii="Arial" w:eastAsia="Times New Roman" w:hAnsi="Arial" w:cs="Arial"/>
      <w:vanish/>
      <w:sz w:val="16"/>
      <w:szCs w:val="16"/>
    </w:rPr>
  </w:style>
  <w:style w:type="paragraph" w:customStyle="1" w:styleId="selectionshareable">
    <w:name w:val="selectionshareable"/>
    <w:basedOn w:val="a"/>
    <w:rsid w:val="000E1AF2"/>
    <w:pPr>
      <w:widowControl/>
      <w:spacing w:before="100" w:beforeAutospacing="1" w:after="100" w:afterAutospacing="1" w:line="240" w:lineRule="auto"/>
      <w:ind w:firstLine="0"/>
      <w:jc w:val="left"/>
    </w:pPr>
    <w:rPr>
      <w:sz w:val="24"/>
      <w:szCs w:val="24"/>
      <w:lang w:val="en-US"/>
    </w:rPr>
  </w:style>
  <w:style w:type="character" w:customStyle="1" w:styleId="easy-footnote">
    <w:name w:val="easy-footnote"/>
    <w:basedOn w:val="a0"/>
    <w:rsid w:val="000E1AF2"/>
  </w:style>
  <w:style w:type="paragraph" w:styleId="af0">
    <w:name w:val="Balloon Text"/>
    <w:basedOn w:val="a"/>
    <w:link w:val="af1"/>
    <w:uiPriority w:val="99"/>
    <w:semiHidden/>
    <w:unhideWhenUsed/>
    <w:rsid w:val="00B75C93"/>
    <w:pPr>
      <w:spacing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B75C93"/>
    <w:rPr>
      <w:rFonts w:ascii="Tahoma" w:hAnsi="Tahoma" w:cs="Tahoma"/>
      <w:sz w:val="16"/>
      <w:szCs w:val="16"/>
      <w:lang w:val="uk-UA" w:eastAsia="en-US"/>
    </w:rPr>
  </w:style>
  <w:style w:type="character" w:customStyle="1" w:styleId="20">
    <w:name w:val="Заголовок 2 Знак"/>
    <w:basedOn w:val="a0"/>
    <w:link w:val="2"/>
    <w:uiPriority w:val="9"/>
    <w:semiHidden/>
    <w:rsid w:val="00BB7497"/>
    <w:rPr>
      <w:rFonts w:asciiTheme="majorHAnsi" w:eastAsiaTheme="majorEastAsia" w:hAnsiTheme="majorHAnsi" w:cstheme="majorBidi"/>
      <w:color w:val="365F91" w:themeColor="accent1" w:themeShade="BF"/>
      <w:sz w:val="26"/>
      <w:szCs w:val="26"/>
      <w:lang w:val="uk-UA" w:eastAsia="en-US"/>
    </w:rPr>
  </w:style>
  <w:style w:type="character" w:styleId="af2">
    <w:name w:val="Emphasis"/>
    <w:basedOn w:val="a0"/>
    <w:uiPriority w:val="20"/>
    <w:qFormat/>
    <w:rsid w:val="0084013B"/>
    <w:rPr>
      <w:i/>
      <w:iCs/>
    </w:rPr>
  </w:style>
  <w:style w:type="paragraph" w:styleId="af3">
    <w:name w:val="TOC Heading"/>
    <w:basedOn w:val="1"/>
    <w:next w:val="a"/>
    <w:uiPriority w:val="39"/>
    <w:unhideWhenUsed/>
    <w:qFormat/>
    <w:rsid w:val="0006008F"/>
    <w:pPr>
      <w:keepNext/>
      <w:keepLines/>
      <w:widowControl/>
      <w:suppressAutoHyphens w:val="0"/>
      <w:spacing w:before="240" w:line="259" w:lineRule="auto"/>
      <w:jc w:val="left"/>
      <w:outlineLvl w:val="9"/>
    </w:pPr>
    <w:rPr>
      <w:rFonts w:asciiTheme="majorHAnsi" w:eastAsiaTheme="majorEastAsia" w:hAnsiTheme="majorHAnsi" w:cstheme="majorBidi"/>
      <w:b w:val="0"/>
      <w:color w:val="365F91" w:themeColor="accent1" w:themeShade="BF"/>
      <w:sz w:val="32"/>
      <w:lang w:val="en-US"/>
    </w:rPr>
  </w:style>
  <w:style w:type="paragraph" w:styleId="12">
    <w:name w:val="toc 1"/>
    <w:basedOn w:val="a"/>
    <w:next w:val="a"/>
    <w:autoRedefine/>
    <w:uiPriority w:val="39"/>
    <w:unhideWhenUsed/>
    <w:rsid w:val="002E4E48"/>
    <w:pPr>
      <w:tabs>
        <w:tab w:val="right" w:leader="dot" w:pos="9214"/>
      </w:tabs>
      <w:spacing w:after="100"/>
      <w:ind w:right="991" w:firstLine="0"/>
      <w:jc w:val="left"/>
    </w:pPr>
  </w:style>
  <w:style w:type="paragraph" w:customStyle="1" w:styleId="22">
    <w:name w:val="Обычный2"/>
    <w:rsid w:val="002D2DD6"/>
    <w:rPr>
      <w:rFonts w:cs="Calibri"/>
    </w:rPr>
  </w:style>
  <w:style w:type="paragraph" w:styleId="af4">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1205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nato.int/cps/uk/natohq/news_185000.htm?selectedLocale=uk" TargetMode="External" /><Relationship Id="rId18" Type="http://schemas.openxmlformats.org/officeDocument/2006/relationships/hyperlink" Target="https://zakon.rada.gov.ua/laws/show/994_002" TargetMode="External" /><Relationship Id="rId26" Type="http://schemas.openxmlformats.org/officeDocument/2006/relationships/hyperlink" Target="https://www.foreign.senate.gov/hearings/assessing-the-department-of-states-strategy-for-security-in-the-black-sea-region" TargetMode="External" /><Relationship Id="rId39" Type="http://schemas.openxmlformats.org/officeDocument/2006/relationships/hyperlink" Target="https://cepa.org/article/nato-back-in-the-black-sea/" TargetMode="External" /><Relationship Id="rId21" Type="http://schemas.openxmlformats.org/officeDocument/2006/relationships/hyperlink" Target="https://prismua.org/nato6/" TargetMode="External" /><Relationship Id="rId34" Type="http://schemas.openxmlformats.org/officeDocument/2006/relationships/hyperlink" Target="https://www.geostrategy.org.uk/app/uploads/2021/" TargetMode="External" /><Relationship Id="rId42" Type="http://schemas.openxmlformats.org/officeDocument/2006/relationships/hyperlink" Target="https://www.gmfus.org/news/black-sea-security-and-development-need-regional-strategy" TargetMode="External" /><Relationship Id="rId47" Type="http://schemas.openxmlformats.org/officeDocument/2006/relationships/hyperlink" Target="https://www.cna.org/archive/CNA_Files/pdf/d0000572.a2.pdf" TargetMode="External" /><Relationship Id="rId50" Type="http://schemas.openxmlformats.org/officeDocument/2006/relationships/hyperlink" Target="https://www.nato.int/nato_static_fl2014/assets/pdf/2022/6/pdf/290622-strategic-concept-ukr.pdf" TargetMode="External" /><Relationship Id="rId55" Type="http://schemas.openxmlformats.org/officeDocument/2006/relationships/hyperlink" Target="https://www.nato.int/cps/ru/natohq/news_217835.htm?selectedLocale=en" TargetMode="External" /><Relationship Id="rId63" Type="http://schemas.openxmlformats.org/officeDocument/2006/relationships/hyperlink" Target="https://www.nato.int/cps/en/natohq/official_texts_23847.htm" TargetMode="External" /><Relationship Id="rId68" Type="http://schemas.openxmlformats.org/officeDocument/2006/relationships/hyperlink" Target="https://shape.nato.int/saceur/united-states-hourse-of-representatives-committee-on-armed-services-statement-by-general-curtis-m-scaparrotti" TargetMode="External" /><Relationship Id="rId76" Type="http://schemas.openxmlformats.org/officeDocument/2006/relationships/image" Target="media/image2.png" /><Relationship Id="rId84" Type="http://schemas.openxmlformats.org/officeDocument/2006/relationships/fontTable" Target="fontTable.xml" /><Relationship Id="rId7" Type="http://schemas.openxmlformats.org/officeDocument/2006/relationships/endnotes" Target="endnotes.xml" /><Relationship Id="rId71" Type="http://schemas.openxmlformats.org/officeDocument/2006/relationships/hyperlink" Target="https://www.nato.int/cps/en/natohq/official_texts_112964.htm" TargetMode="External" /><Relationship Id="rId2" Type="http://schemas.openxmlformats.org/officeDocument/2006/relationships/numbering" Target="numbering.xml" /><Relationship Id="rId16" Type="http://schemas.openxmlformats.org/officeDocument/2006/relationships/hyperlink" Target="https://www.kmu.gov.ua/news/spilni-navchannya-ukrayini-i-nato-v-odesi-kuleba-i-kadenbah-pidpisali-dokument" TargetMode="External" /><Relationship Id="rId29" Type="http://schemas.openxmlformats.org/officeDocument/2006/relationships/hyperlink" Target="https://www.nato.int/cps/en/natohq/topics_136388.htm" TargetMode="External" /><Relationship Id="rId11" Type="http://schemas.openxmlformats.org/officeDocument/2006/relationships/hyperlink" Target="https://vue.gov.ua/%D0%94%D0%B5%D0%BD%D0%B8%D1%81%D0%BE%D0%B2_%D0%92._%D0%9D." TargetMode="External" /><Relationship Id="rId24" Type="http://schemas.openxmlformats.org/officeDocument/2006/relationships/hyperlink" Target="https://www.nato.int/cps/ru/natohq/official_texts_75615.htm?selectedLocale=en" TargetMode="External" /><Relationship Id="rId32" Type="http://schemas.openxmlformats.org/officeDocument/2006/relationships/hyperlink" Target="https://www.rferl.org/a/russia-black-sea-military-buildup-turkey/27569877.html" TargetMode="External" /><Relationship Id="rId37" Type="http://schemas.openxmlformats.org/officeDocument/2006/relationships/hyperlink" Target="https://cepa.org/comprehensive-reports/russias-militarization-of-the-black-sea-implications-for-the-united-states-and-nato/" TargetMode="External" /><Relationship Id="rId40" Type="http://schemas.openxmlformats.org/officeDocument/2006/relationships/hyperlink" Target="https://pism.pl/publications/how-the-war-in-ukraine-impacts-nato-policy-in-the-black-sea-region" TargetMode="External" /><Relationship Id="rId45" Type="http://schemas.openxmlformats.org/officeDocument/2006/relationships/hyperlink" Target="https://www.mei.edu/publications/toward-nato-black-sea-strategy" TargetMode="External" /><Relationship Id="rId53" Type="http://schemas.openxmlformats.org/officeDocument/2006/relationships/hyperlink" Target="https://www.ukrinform.net/rubric-polytics/2822556-nato-reviews-package-of-measures-on-black-sea-security.html" TargetMode="External" /><Relationship Id="rId58" Type="http://schemas.openxmlformats.org/officeDocument/2006/relationships/hyperlink" Target="https://www.ndc.nato.int/news/news.php?icode=1792" TargetMode="External" /><Relationship Id="rId66" Type="http://schemas.openxmlformats.org/officeDocument/2006/relationships/hyperlink" Target="https://www.france24.com/en/20190414-russia-putin-crimea-ukraine-nato-black-sea-kerch-usa-romania-hungary" TargetMode="External" /><Relationship Id="rId74" Type="http://schemas.openxmlformats.org/officeDocument/2006/relationships/hyperlink" Target="https://icds.ee/en/black-sea-battles/" TargetMode="External" /><Relationship Id="rId79" Type="http://schemas.openxmlformats.org/officeDocument/2006/relationships/image" Target="media/image4.jpg" /><Relationship Id="rId5" Type="http://schemas.openxmlformats.org/officeDocument/2006/relationships/webSettings" Target="webSettings.xml" /><Relationship Id="rId61" Type="http://schemas.openxmlformats.org/officeDocument/2006/relationships/hyperlink" Target="https://www.nato.int/cps/en/natohq/official_texts_165243.htm" TargetMode="External" /><Relationship Id="rId82" Type="http://schemas.openxmlformats.org/officeDocument/2006/relationships/image" Target="media/image6.jpg" /><Relationship Id="rId19" Type="http://schemas.openxmlformats.org/officeDocument/2006/relationships/hyperlink" Target="https://kr-admin.gov.ua/start.php?q=Nato/Ua/chronology.html" TargetMode="External" /><Relationship Id="rId4" Type="http://schemas.openxmlformats.org/officeDocument/2006/relationships/settings" Target="settings.xml" /><Relationship Id="rId9" Type="http://schemas.openxmlformats.org/officeDocument/2006/relationships/hyperlink" Target="https://vue.gov.ua/%D0%94%D0%B5%D0%BD%D0%B8%D1%81%D0%BE%D0%B2_%D0%92._%D0%9D." TargetMode="External" /><Relationship Id="rId14" Type="http://schemas.openxmlformats.org/officeDocument/2006/relationships/hyperlink" Target="https://zakon.rada.gov.ua/laws/show/995_228" TargetMode="External" /><Relationship Id="rId22" Type="http://schemas.openxmlformats.org/officeDocument/2006/relationships/hyperlink" Target="http://prismua.org.tilda.ws/blackseanato" TargetMode="External" /><Relationship Id="rId27" Type="http://schemas.openxmlformats.org/officeDocument/2006/relationships/hyperlink" Target="https://www.tandfonline.com/doi/abs/10.1080/14683850902934283" TargetMode="External" /><Relationship Id="rId30" Type="http://schemas.openxmlformats.org/officeDocument/2006/relationships/hyperlink" Target="https://www.nato.int/cps/en/natohq/official_texts_156624.htm" TargetMode="External" /><Relationship Id="rId35" Type="http://schemas.openxmlformats.org/officeDocument/2006/relationships/hyperlink" Target="https://www.ceps.eu/wp-content/uploads/2009/08/1672.pdf" TargetMode="External" /><Relationship Id="rId43" Type="http://schemas.openxmlformats.org/officeDocument/2006/relationships/hyperlink" Target="https://edam.org.tr/en/foreign-policy-and-security/is-there-a-need-to-develop-a-nato-strategy-for-the-black-sea-security" TargetMode="External" /><Relationship Id="rId48" Type="http://schemas.openxmlformats.org/officeDocument/2006/relationships/hyperlink" Target="https://www.nato.int/cps/en/natohq/official_texts_171584.htm" TargetMode="External" /><Relationship Id="rId56" Type="http://schemas.openxmlformats.org/officeDocument/2006/relationships/hyperlink" Target="https://www.iai.it/sites/default/files/conf_1992_05_07-8_rome.pdf" TargetMode="External" /><Relationship Id="rId64" Type="http://schemas.openxmlformats.org/officeDocument/2006/relationships/hyperlink" Target="https://www.cvce.eu/en/obj/the_london_declaration_on_a_transformed_north_atlantic_alliance_6_july_1990-en-9c5fa86b-12a0-4f59-ad90-e69503ef6036.html" TargetMode="External" /><Relationship Id="rId69" Type="http://schemas.openxmlformats.org/officeDocument/2006/relationships/hyperlink" Target="https://ejes.uaic.ro/articles/EJES2014_0501_VLA.pdf" TargetMode="External" /><Relationship Id="rId77" Type="http://schemas.openxmlformats.org/officeDocument/2006/relationships/header" Target="header1.xml" /><Relationship Id="rId8" Type="http://schemas.openxmlformats.org/officeDocument/2006/relationships/hyperlink" Target="https://vue.gov.ua/%D0%94%D0%B5%D0%BD%D0%B8%D1%81%D0%BE%D0%B2_%D0%92._%D0%9D." TargetMode="External" /><Relationship Id="rId51" Type="http://schemas.openxmlformats.org/officeDocument/2006/relationships/hyperlink" Target="https://www.nato.int/cps/en/natohq/news_165253.htm" TargetMode="External" /><Relationship Id="rId72" Type="http://schemas.openxmlformats.org/officeDocument/2006/relationships/hyperlink" Target="https://www.nato.int/cps/en/natohq/official_texts_133169.htm" TargetMode="External" /><Relationship Id="rId80" Type="http://schemas.openxmlformats.org/officeDocument/2006/relationships/header" Target="header2.xml" /><Relationship Id="rId85" Type="http://schemas.openxmlformats.org/officeDocument/2006/relationships/theme" Target="theme/theme1.xml" /><Relationship Id="rId3" Type="http://schemas.openxmlformats.org/officeDocument/2006/relationships/styles" Target="styles.xml" /><Relationship Id="rId12" Type="http://schemas.openxmlformats.org/officeDocument/2006/relationships/hyperlink" Target="https://cfts.org.ua/articles/posiliti_rol_ssha_i_nato_v_chornomorskomu_regioni_yaki_initsiativi_proponuyut_amerikanski_senatori_1961" TargetMode="External" /><Relationship Id="rId17" Type="http://schemas.openxmlformats.org/officeDocument/2006/relationships/hyperlink" Target="https://zakon.rada.gov.ua/laws/show/392/2020" TargetMode="External" /><Relationship Id="rId25" Type="http://schemas.openxmlformats.org/officeDocument/2006/relationships/hyperlink" Target="https://www.nato.int/docu/review/articles/2018/05/25/the-black-sea-region-a-critical-intersection/index.html" TargetMode="External" /><Relationship Id="rId33" Type="http://schemas.openxmlformats.org/officeDocument/2006/relationships/hyperlink" Target="https://www.rand.org/pubs/research_reports/RRA357-1.html" TargetMode="External" /><Relationship Id="rId38" Type="http://schemas.openxmlformats.org/officeDocument/2006/relationships/hyperlink" Target="https://www.jstor.org/stable/resrep03475" TargetMode="External" /><Relationship Id="rId46" Type="http://schemas.openxmlformats.org/officeDocument/2006/relationships/hyperlink" Target="https://www.nato-pa.int/document/2023-black-sea-security-report-lancaster-020-dscfc" TargetMode="External" /><Relationship Id="rId59" Type="http://schemas.openxmlformats.org/officeDocument/2006/relationships/hyperlink" Target="https://www.georgesoros.com/1993/11/01/toward-a-new-world-order-the-future-of-nato/" TargetMode="External" /><Relationship Id="rId67" Type="http://schemas.openxmlformats.org/officeDocument/2006/relationships/hyperlink" Target="https://neighbourhood-enlargement.ec.europa.eu/news/ukraine-compact-2024-07-12_en" TargetMode="External" /><Relationship Id="rId20" Type="http://schemas.openxmlformats.org/officeDocument/2006/relationships/hyperlink" Target="https://www.radiosvoboda.org/a/rosiya-ukrayina-chorne-more-nato-ssha-stratehiya/32033474.html" TargetMode="External" /><Relationship Id="rId41" Type="http://schemas.openxmlformats.org/officeDocument/2006/relationships/hyperlink" Target="https://www.nytimes.com/2023/03/15/world/middleeast/black-sea-ukraine-war.html" TargetMode="External" /><Relationship Id="rId54" Type="http://schemas.openxmlformats.org/officeDocument/2006/relationships/hyperlink" Target="http://www.nato.int/cps/en/natohq/official_texts_133169.htm" TargetMode="External" /><Relationship Id="rId62" Type="http://schemas.openxmlformats.org/officeDocument/2006/relationships/hyperlink" Target="https://www.nato.int/nato_static_fl2014/assets/pdf/pdf_publications/20120214_strategic-concept-2010-eng.pdf" TargetMode="External" /><Relationship Id="rId70" Type="http://schemas.openxmlformats.org/officeDocument/2006/relationships/hyperlink" Target="https://ukraine-analytica.org/black-sea-security-deadlocks-nato-russia-confrontation/" TargetMode="External" /><Relationship Id="rId75" Type="http://schemas.openxmlformats.org/officeDocument/2006/relationships/image" Target="media/image1.png" /><Relationship Id="rId83" Type="http://schemas.openxmlformats.org/officeDocument/2006/relationships/image" Target="media/image7.png" /><Relationship Id="rId1" Type="http://schemas.openxmlformats.org/officeDocument/2006/relationships/customXml" Target="../customXml/item1.xml" /><Relationship Id="rId6" Type="http://schemas.openxmlformats.org/officeDocument/2006/relationships/footnotes" Target="footnotes.xml" /><Relationship Id="rId15" Type="http://schemas.openxmlformats.org/officeDocument/2006/relationships/hyperlink" Target="https://news.obozrevatel.com/ukr/politics/96342-nato-prijme-gruziyu-nezvazhayuchi-na-vijnu-v-osetii.htm" TargetMode="External" /><Relationship Id="rId23" Type="http://schemas.openxmlformats.org/officeDocument/2006/relationships/hyperlink" Target="https://www.atlanticcouncil.org/in-depth-research-reports/report/a-security-strategy-for-the-black-sea/" TargetMode="External" /><Relationship Id="rId28" Type="http://schemas.openxmlformats.org/officeDocument/2006/relationships/hyperlink" Target="https://www.congress.gov/bill/118th-congress/senate-bill/804" TargetMode="External" /><Relationship Id="rId36" Type="http://schemas.openxmlformats.org/officeDocument/2006/relationships/hyperlink" Target="https://www.fdd.org/analysis/2020/12/15/defending-forward-streng-thening-nato-in-the-black-sea-region/" TargetMode="External" /><Relationship Id="rId49" Type="http://schemas.openxmlformats.org/officeDocument/2006/relationships/hyperlink" Target="https://www.nato.int/docu/comm/1997/970708/home.htm" TargetMode="External" /><Relationship Id="rId57" Type="http://schemas.openxmlformats.org/officeDocument/2006/relationships/hyperlink" Target="https://www.nato.int/cps/en/natohq/opinions_113201.htm" TargetMode="External" /><Relationship Id="rId10" Type="http://schemas.openxmlformats.org/officeDocument/2006/relationships/hyperlink" Target="https://www.radiosvoboda.org/a/927314.html" TargetMode="External" /><Relationship Id="rId31" Type="http://schemas.openxmlformats.org/officeDocument/2006/relationships/hyperlink" Target="https://www.nato.int/cps/en/natolive/official_texts_8443.htm" TargetMode="External" /><Relationship Id="rId44" Type="http://schemas.openxmlformats.org/officeDocument/2006/relationships/hyperlink" Target="https://www.nato.int/cps/en/natohq/opinions_119868.htm" TargetMode="External" /><Relationship Id="rId52" Type="http://schemas.openxmlformats.org/officeDocument/2006/relationships/hyperlink" Target="https://www.unian.info/politics/10506531-nato-package-to-support-ukraine-in-black-sea-contains-confidential-provisions-klimkin.html" TargetMode="External" /><Relationship Id="rId60" Type="http://schemas.openxmlformats.org/officeDocument/2006/relationships/hyperlink" Target="https://www.nato-pa.int/download-file?filename=sites/default/files/2017-11/2017%20-%20159%20CDS%2017%20E%20rev.%201%20-%20BLACK%20SEA%20-%20SCHMIDT%20REPORT.pdf" TargetMode="External" /><Relationship Id="rId65" Type="http://schemas.openxmlformats.org/officeDocument/2006/relationships/hyperlink" Target="https://edam.org.tr/en/foreign-policy-and-security/towards-a-new-nato-strategic-concept" TargetMode="External" /><Relationship Id="rId73" Type="http://schemas.openxmlformats.org/officeDocument/2006/relationships/hyperlink" Target="https://www.nato.int/cps/en/natohq/news_27286.htm?selectedLocale=en" TargetMode="External" /><Relationship Id="rId78" Type="http://schemas.openxmlformats.org/officeDocument/2006/relationships/image" Target="media/image3.png" /><Relationship Id="rId81" Type="http://schemas.openxmlformats.org/officeDocument/2006/relationships/image" Target="media/image5.jpg"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nYaKNeonYGdLYx/DXHD6g/YXfQ==">CgMxLjAyCGguZ2pkZ3hzMgloLjMwajB6bGwyCWguMWZvYjl0ZTIJaC4zem55c2g3MgloLjJldDkycDAyCGgudHlqY3d0MgloLjNkeTZ2a20yCWguMXQzaDVzZjIJaC40ZDM0b2c4MgloLjJzOGV5bzEyCWguMTdkcDh2dTIJaC4zcmRjcmpuMgloLjI2aW4xcmc4AHIhMWhKTWUzUm0wSFpVSnF2SWhEeF9aeDlNTHRVVDBkR3gy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106207</Words>
  <Characters>60538</Characters>
  <Application>Microsoft Office Word</Application>
  <DocSecurity>0</DocSecurity>
  <Lines>504</Lines>
  <Paragraphs>332</Paragraphs>
  <ScaleCrop>false</ScaleCrop>
  <Company/>
  <LinksUpToDate>false</LinksUpToDate>
  <CharactersWithSpaces>166413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Viktoria Ostryakova</cp:lastModifiedBy>
  <cp:revision>2</cp:revision>
  <dcterms:created xsi:type="dcterms:W3CDTF">2025-01-09T12:34:00Z</dcterms:created>
  <dcterms:modified xsi:type="dcterms:W3CDTF">2025-01-09T12:34:00Z</dcterms:modified>
</cp:coreProperties>
</file>