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«Захист прав національних меншин в Україні: оцінки Венеційської комісії Ради Європи»</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P</w:t>
      </w:r>
      <w:r w:rsidDel="00000000" w:rsidR="00000000" w:rsidRPr="00000000">
        <w:rPr>
          <w:rFonts w:ascii="Times New Roman" w:cs="Times New Roman" w:eastAsia="Times New Roman" w:hAnsi="Times New Roman"/>
          <w:b w:val="1"/>
          <w:sz w:val="28"/>
          <w:szCs w:val="28"/>
          <w:rtl w:val="0"/>
        </w:rPr>
        <w:t xml:space="preserve">rotection of the rights of national minorities in Ukraine: assessment of the Venice Commission of the Council of Europe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Виконала:  здобувачка заочної форми навчання</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968" w:right="0" w:firstLine="28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 «Політологія»</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 Політологія</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right"/>
        <w:rPr>
          <w:rFonts w:ascii="Times New Roman" w:cs="Times New Roman" w:eastAsia="Times New Roman" w:hAnsi="Times New Roman"/>
          <w:b w:val="1"/>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Красюк Ангеліна Юріївна</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righ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s>
        <w:spacing w:after="0" w:before="120" w:line="24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Керівник: к.політ.н., доцент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Хорошилов 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2552"/>
          <w:tab w:val="left" w:leader="none" w:pos="5245"/>
        </w:tabs>
        <w:spacing w:after="0" w:before="120" w:line="240" w:lineRule="auto"/>
        <w:ind w:left="2552"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д.політ.н., професор </w:t>
      </w: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Коч С.В.</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Олег ХОРОШИЛОВ</w:t>
            </w: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2024</w:t>
      </w:r>
      <w:r w:rsidDel="00000000" w:rsidR="00000000" w:rsidRPr="00000000">
        <w:br w:type="page"/>
      </w:r>
      <w:r w:rsidDel="00000000" w:rsidR="00000000" w:rsidRPr="00000000">
        <w:rPr>
          <w:rtl w:val="0"/>
        </w:rPr>
      </w:r>
    </w:p>
    <w:p w:rsidR="00000000" w:rsidDel="00000000" w:rsidP="00000000" w:rsidRDefault="00000000" w:rsidRPr="00000000" w14:paraId="00000033">
      <w:pPr>
        <w:pageBreakBefore w:val="1"/>
        <w:widowControl w:val="0"/>
        <w:spacing w:after="0" w:line="360" w:lineRule="auto"/>
        <w:jc w:val="center"/>
        <w:rPr>
          <w:rFonts w:ascii="Liberation Serif" w:cs="Liberation Serif" w:eastAsia="Liberation Serif" w:hAnsi="Liberation Serif"/>
          <w:sz w:val="24"/>
          <w:szCs w:val="24"/>
        </w:rPr>
      </w:pPr>
      <w:r w:rsidDel="00000000" w:rsidR="00000000" w:rsidRPr="00000000">
        <w:rPr>
          <w:rFonts w:ascii="Times New Roman" w:cs="Times New Roman" w:eastAsia="Times New Roman" w:hAnsi="Times New Roman"/>
          <w:b w:val="1"/>
          <w:sz w:val="28"/>
          <w:szCs w:val="28"/>
          <w:rtl w:val="0"/>
        </w:rPr>
        <w:t xml:space="preserve">ЗМІСТ</w:t>
      </w:r>
      <w:r w:rsidDel="00000000" w:rsidR="00000000" w:rsidRPr="00000000">
        <w:rPr>
          <w:rtl w:val="0"/>
        </w:rPr>
      </w:r>
    </w:p>
    <w:p w:rsidR="00000000" w:rsidDel="00000000" w:rsidP="00000000" w:rsidRDefault="00000000" w:rsidRPr="00000000" w14:paraId="00000034">
      <w:pPr>
        <w:widowControl w:val="0"/>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                                                                                                         С.3</w:t>
      </w:r>
    </w:p>
    <w:p w:rsidR="00000000" w:rsidDel="00000000" w:rsidP="00000000" w:rsidRDefault="00000000" w:rsidRPr="00000000" w14:paraId="00000035">
      <w:pPr>
        <w:widowControl w:val="0"/>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 «ЗАХИСТ ПРАВ НАЦІОНАЛЬНИХ МЕНШИН В ПРОБЛЕМНОМУ ПОЛІ СУЧАСНОЇ НАУКИ»</w:t>
      </w:r>
    </w:p>
    <w:p w:rsidR="00000000" w:rsidDel="00000000" w:rsidP="00000000" w:rsidRDefault="00000000" w:rsidRPr="00000000" w14:paraId="0000003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420" w:right="0" w:hanging="42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Права меншин в проблемному полі сучасного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42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суспільствознавства</w:t>
        <w:tab/>
        <w:tab/>
        <w:tab/>
        <w:tab/>
        <w:tab/>
        <w:tab/>
        <w:tab/>
        <w:tab/>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С.6</w:t>
      </w:r>
      <w:r w:rsidDel="00000000" w:rsidR="00000000" w:rsidRPr="00000000">
        <w:rPr>
          <w:rtl w:val="0"/>
        </w:rPr>
      </w:r>
    </w:p>
    <w:p w:rsidR="00000000" w:rsidDel="00000000" w:rsidP="00000000" w:rsidRDefault="00000000" w:rsidRPr="00000000" w14:paraId="0000003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420" w:right="0" w:hanging="42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Організаційна інфраструктура захисту прав національних</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420" w:right="0"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меншин</w:t>
        <w:tab/>
        <w:tab/>
        <w:tab/>
        <w:tab/>
        <w:tab/>
        <w:tab/>
        <w:tab/>
        <w:tab/>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   </w:t>
        <w:tab/>
        <w:t xml:space="preserve">    С.28</w:t>
      </w:r>
      <w:r w:rsidDel="00000000" w:rsidR="00000000" w:rsidRPr="00000000">
        <w:rPr>
          <w:rtl w:val="0"/>
        </w:rPr>
      </w:r>
    </w:p>
    <w:p w:rsidR="00000000" w:rsidDel="00000000" w:rsidP="00000000" w:rsidRDefault="00000000" w:rsidRPr="00000000" w14:paraId="0000003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І</w:t>
        <w:tab/>
        <w:tab/>
        <w:tab/>
        <w:tab/>
        <w:tab/>
        <w:tab/>
        <w:tab/>
        <w:tab/>
        <w:tab/>
        <w:t xml:space="preserve">    </w:t>
      </w:r>
      <w:r w:rsidDel="00000000" w:rsidR="00000000" w:rsidRPr="00000000">
        <w:rPr>
          <w:rFonts w:ascii="Times New Roman" w:cs="Times New Roman" w:eastAsia="Times New Roman" w:hAnsi="Times New Roman"/>
          <w:sz w:val="28"/>
          <w:szCs w:val="28"/>
          <w:rtl w:val="0"/>
        </w:rPr>
        <w:t xml:space="preserve">С.40</w:t>
      </w:r>
    </w:p>
    <w:p w:rsidR="00000000" w:rsidDel="00000000" w:rsidP="00000000" w:rsidRDefault="00000000" w:rsidRPr="00000000" w14:paraId="0000003C">
      <w:pP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3D">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 «ВІТЧИЗНЯНА ПРАКТИКА ЗАХИСТУ ПРАВ НАЦІОНАЛЬНИХ МЕНШИН: РЕТРОСПЕКТИВА ТА СУЧАСНИЙ СТАН»</w:t>
      </w:r>
    </w:p>
    <w:p w:rsidR="00000000" w:rsidDel="00000000" w:rsidP="00000000" w:rsidRDefault="00000000" w:rsidRPr="00000000" w14:paraId="000000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2.1 Національні меншини як об’єкт етнополітики української держави: визначення статусу</w:t>
        <w:tab/>
        <w:tab/>
        <w:tab/>
        <w:tab/>
        <w:tab/>
        <w:tab/>
        <w:tab/>
        <w:tab/>
        <w:tab/>
        <w:t xml:space="preserve">    </w:t>
      </w:r>
      <w:r w:rsidDel="00000000" w:rsidR="00000000" w:rsidRPr="00000000">
        <w:rPr>
          <w:rFonts w:ascii="Times New Roman" w:cs="Times New Roman" w:eastAsia="Times New Roman" w:hAnsi="Times New Roman"/>
          <w:sz w:val="28"/>
          <w:szCs w:val="28"/>
          <w:rtl w:val="0"/>
        </w:rPr>
        <w:t xml:space="preserve">С.42</w:t>
      </w:r>
    </w:p>
    <w:p w:rsidR="00000000" w:rsidDel="00000000" w:rsidP="00000000" w:rsidRDefault="00000000" w:rsidRPr="00000000" w14:paraId="0000003F">
      <w:pPr>
        <w:spacing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2.2 Правові та інституційні новації етнополітики України: оцінка Венеціанської комісії, національна дискусія</w:t>
        <w:tab/>
        <w:tab/>
        <w:tab/>
        <w:tab/>
        <w:tab/>
        <w:t xml:space="preserve">    </w:t>
      </w:r>
      <w:r w:rsidDel="00000000" w:rsidR="00000000" w:rsidRPr="00000000">
        <w:rPr>
          <w:rFonts w:ascii="Times New Roman" w:cs="Times New Roman" w:eastAsia="Times New Roman" w:hAnsi="Times New Roman"/>
          <w:sz w:val="28"/>
          <w:szCs w:val="28"/>
          <w:rtl w:val="0"/>
        </w:rPr>
        <w:t xml:space="preserve">С.50</w:t>
      </w:r>
      <w:r w:rsidDel="00000000" w:rsidR="00000000" w:rsidRPr="00000000">
        <w:rPr>
          <w:rtl w:val="0"/>
        </w:rPr>
      </w:r>
    </w:p>
    <w:p w:rsidR="00000000" w:rsidDel="00000000" w:rsidP="00000000" w:rsidRDefault="00000000" w:rsidRPr="00000000" w14:paraId="00000040">
      <w:pP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ІІ</w:t>
        <w:tab/>
        <w:tab/>
        <w:tab/>
        <w:tab/>
        <w:tab/>
        <w:tab/>
        <w:tab/>
        <w:tab/>
        <w:tab/>
        <w:t xml:space="preserve">    </w:t>
      </w:r>
      <w:r w:rsidDel="00000000" w:rsidR="00000000" w:rsidRPr="00000000">
        <w:rPr>
          <w:rFonts w:ascii="Times New Roman" w:cs="Times New Roman" w:eastAsia="Times New Roman" w:hAnsi="Times New Roman"/>
          <w:sz w:val="28"/>
          <w:szCs w:val="28"/>
          <w:rtl w:val="0"/>
        </w:rPr>
        <w:t xml:space="preserve">С.61</w:t>
      </w:r>
    </w:p>
    <w:p w:rsidR="00000000" w:rsidDel="00000000" w:rsidP="00000000" w:rsidRDefault="00000000" w:rsidRPr="00000000" w14:paraId="00000042">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tab/>
        <w:tab/>
        <w:tab/>
        <w:tab/>
        <w:tab/>
        <w:tab/>
        <w:tab/>
        <w:tab/>
        <w:tab/>
        <w:tab/>
        <w:t xml:space="preserve">    </w:t>
      </w:r>
      <w:r w:rsidDel="00000000" w:rsidR="00000000" w:rsidRPr="00000000">
        <w:rPr>
          <w:rFonts w:ascii="Times New Roman" w:cs="Times New Roman" w:eastAsia="Times New Roman" w:hAnsi="Times New Roman"/>
          <w:sz w:val="28"/>
          <w:szCs w:val="28"/>
          <w:rtl w:val="0"/>
        </w:rPr>
        <w:t xml:space="preserve">С.63</w:t>
      </w:r>
    </w:p>
    <w:p w:rsidR="00000000" w:rsidDel="00000000" w:rsidP="00000000" w:rsidRDefault="00000000" w:rsidRPr="00000000" w14:paraId="00000044">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tab/>
        <w:tab/>
        <w:tab/>
        <w:tab/>
        <w:tab/>
        <w:t xml:space="preserve">    </w:t>
      </w:r>
      <w:r w:rsidDel="00000000" w:rsidR="00000000" w:rsidRPr="00000000">
        <w:rPr>
          <w:rFonts w:ascii="Times New Roman" w:cs="Times New Roman" w:eastAsia="Times New Roman" w:hAnsi="Times New Roman"/>
          <w:sz w:val="28"/>
          <w:szCs w:val="28"/>
          <w:rtl w:val="0"/>
        </w:rPr>
        <w:t xml:space="preserve">С.67</w:t>
      </w:r>
    </w:p>
    <w:p w:rsidR="00000000" w:rsidDel="00000000" w:rsidP="00000000" w:rsidRDefault="00000000" w:rsidRPr="00000000" w14:paraId="0000004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ДОДАТКИ</w:t>
        <w:tab/>
        <w:tab/>
        <w:tab/>
        <w:tab/>
        <w:tab/>
        <w:tab/>
        <w:tab/>
        <w:tab/>
        <w:tab/>
        <w:tab/>
        <w:tab/>
        <w:t xml:space="preserve">    </w:t>
      </w:r>
      <w:r w:rsidDel="00000000" w:rsidR="00000000" w:rsidRPr="00000000">
        <w:rPr>
          <w:rFonts w:ascii="Times New Roman" w:cs="Times New Roman" w:eastAsia="Times New Roman" w:hAnsi="Times New Roman"/>
          <w:sz w:val="28"/>
          <w:szCs w:val="28"/>
          <w:rtl w:val="0"/>
        </w:rPr>
        <w:t xml:space="preserve">С.75</w:t>
      </w:r>
    </w:p>
    <w:p w:rsidR="00000000" w:rsidDel="00000000" w:rsidP="00000000" w:rsidRDefault="00000000" w:rsidRPr="00000000" w14:paraId="00000046">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Актуальність теми </w:t>
      </w:r>
      <w:r w:rsidDel="00000000" w:rsidR="00000000" w:rsidRPr="00000000">
        <w:rPr>
          <w:rFonts w:ascii="Times New Roman" w:cs="Times New Roman" w:eastAsia="Times New Roman" w:hAnsi="Times New Roman"/>
          <w:sz w:val="28"/>
          <w:szCs w:val="28"/>
          <w:rtl w:val="0"/>
        </w:rPr>
        <w:t xml:space="preserve">кваліфікаційної роботи магістра зумовлена євроінтеграційним курсом нашої держави. Проголосивши намір інтеграції до ЄС, Україна взяла на себе обов’язок дотримуватися стандартів демократії по захисту прав людини, в тому числі у такому їх розділі, як права на збереження етнокультурної самобутності різноманітних меншин.</w:t>
      </w:r>
    </w:p>
    <w:p w:rsidR="00000000" w:rsidDel="00000000" w:rsidP="00000000" w:rsidRDefault="00000000" w:rsidRPr="00000000" w14:paraId="0000004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актуальність центральної теми кваліфікаційної роботи зумовлюється наявністю у складі соціальної структури українського суспільства представників більш, ніж 130 етнічних груп, кожна з яких має свій певний юридичний статус. Зважаючи на практику цілеспрямованого використання етнокультурних ознак різних груп населення в якості ресурсів політичної мобілізації вітчизняними та зарубіжними акторами, наукове, дійсно неупереджене дослідження стану захисту прав національних меншин в країні набуває на лише теоретичного, але й практично-прикладного значення.</w:t>
      </w:r>
    </w:p>
    <w:p w:rsidR="00000000" w:rsidDel="00000000" w:rsidP="00000000" w:rsidRDefault="00000000" w:rsidRPr="00000000" w14:paraId="0000004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Об’єктом кваліфікаційної роботи</w:t>
      </w:r>
      <w:r w:rsidDel="00000000" w:rsidR="00000000" w:rsidRPr="00000000">
        <w:rPr>
          <w:rFonts w:ascii="Times New Roman" w:cs="Times New Roman" w:eastAsia="Times New Roman" w:hAnsi="Times New Roman"/>
          <w:sz w:val="28"/>
          <w:szCs w:val="28"/>
          <w:rtl w:val="0"/>
        </w:rPr>
        <w:t xml:space="preserve"> виступає захист прав національних меншин, який постає як неодмінна складова етнополітики української держави.</w:t>
      </w:r>
    </w:p>
    <w:p w:rsidR="00000000" w:rsidDel="00000000" w:rsidP="00000000" w:rsidRDefault="00000000" w:rsidRPr="00000000" w14:paraId="0000004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Предметом роботи</w:t>
      </w:r>
      <w:r w:rsidDel="00000000" w:rsidR="00000000" w:rsidRPr="00000000">
        <w:rPr>
          <w:rFonts w:ascii="Times New Roman" w:cs="Times New Roman" w:eastAsia="Times New Roman" w:hAnsi="Times New Roman"/>
          <w:sz w:val="28"/>
          <w:szCs w:val="28"/>
          <w:rtl w:val="0"/>
        </w:rPr>
        <w:t xml:space="preserve"> є реальний стан реалізації прав національних меншин в Україні, в тому числі і в оцінці Венеціанської комісії за демократію через право.</w:t>
      </w:r>
    </w:p>
    <w:p w:rsidR="00000000" w:rsidDel="00000000" w:rsidP="00000000" w:rsidRDefault="00000000" w:rsidRPr="00000000" w14:paraId="0000004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Метою</w:t>
      </w:r>
      <w:r w:rsidDel="00000000" w:rsidR="00000000" w:rsidRPr="00000000">
        <w:rPr>
          <w:rFonts w:ascii="Times New Roman" w:cs="Times New Roman" w:eastAsia="Times New Roman" w:hAnsi="Times New Roman"/>
          <w:sz w:val="28"/>
          <w:szCs w:val="28"/>
          <w:rtl w:val="0"/>
        </w:rPr>
        <w:t xml:space="preserve"> роботи є визначення досягнень та недоліків української держави у справі захисту прав національних меншин, як в призмі створення профільного національного законодавства, так і у вимірі реалізації норм та вимог міжнародних правових актів та рекомендацій експертних структур.</w:t>
      </w:r>
    </w:p>
    <w:p w:rsidR="00000000" w:rsidDel="00000000" w:rsidP="00000000" w:rsidRDefault="00000000" w:rsidRPr="00000000" w14:paraId="0000004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поставленої мети реалізується через наступні конкретно-наукові завдання:</w:t>
      </w:r>
    </w:p>
    <w:p w:rsidR="00000000" w:rsidDel="00000000" w:rsidP="00000000" w:rsidRDefault="00000000" w:rsidRPr="00000000" w14:paraId="0000004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0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особливості вітчизняного наукового дискурсу з приводу захисту прав національних меншин в Україні;</w:t>
      </w:r>
    </w:p>
    <w:p w:rsidR="00000000" w:rsidDel="00000000" w:rsidP="00000000" w:rsidRDefault="00000000" w:rsidRPr="00000000" w14:paraId="0000004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0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сучасну міжнародну інфраструктуру, яка забезпечує надійний рівень контролю за станом реалізації прав національних меншин у конкретних політичних системах та здійснює за потреби необхідний корегуючий вплив на цей процес.</w:t>
      </w:r>
    </w:p>
    <w:p w:rsidR="00000000" w:rsidDel="00000000" w:rsidP="00000000" w:rsidRDefault="00000000" w:rsidRPr="00000000" w14:paraId="0000005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0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еволюцію етнополітики української держави в сфері надання гарантій національним меншинам України та реалізації цих гарантій на практиці;</w:t>
      </w:r>
    </w:p>
    <w:p w:rsidR="00000000" w:rsidDel="00000000" w:rsidP="00000000" w:rsidRDefault="00000000" w:rsidRPr="00000000" w14:paraId="0000005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100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зауваження, зроблені Венеціанською комісією до демократії через право до новацій, які відбулися в українському законодавстві та торкаються в тій або іншій мірі проблеми захисту прав національних меншин.</w:t>
      </w:r>
    </w:p>
    <w:p w:rsidR="00000000" w:rsidDel="00000000" w:rsidP="00000000" w:rsidRDefault="00000000" w:rsidRPr="00000000" w14:paraId="0000005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Характеризуючи </w:t>
      </w:r>
      <w:r w:rsidDel="00000000" w:rsidR="00000000" w:rsidRPr="00000000">
        <w:rPr>
          <w:rFonts w:ascii="Times New Roman" w:cs="Times New Roman" w:eastAsia="Times New Roman" w:hAnsi="Times New Roman"/>
          <w:i w:val="1"/>
          <w:sz w:val="28"/>
          <w:szCs w:val="28"/>
          <w:rtl w:val="0"/>
        </w:rPr>
        <w:t xml:space="preserve">ступінь наукової розробки проблеми</w:t>
      </w:r>
      <w:r w:rsidDel="00000000" w:rsidR="00000000" w:rsidRPr="00000000">
        <w:rPr>
          <w:rFonts w:ascii="Times New Roman" w:cs="Times New Roman" w:eastAsia="Times New Roman" w:hAnsi="Times New Roman"/>
          <w:sz w:val="28"/>
          <w:szCs w:val="28"/>
          <w:rtl w:val="0"/>
        </w:rPr>
        <w:t xml:space="preserve">, слід визначити його цілком високий рівень. Етнополітика української держави в цілому і в справі захисту прав національних меншин постає об’єктом дослідження одразу двох спеціалізованих науково-дослідних інституцій – Інституту політичних і етнонаціональних досліджень імені І.Ф. Кураса та Інституту держави і права імені В. Корецького. Окрім наукових працівників цих центрів, до проблематики, яка є центральною для даної кваліфікаційної роботи, долучилася в різні періоди представники інших наукових центрів та університетських колективів. Зокрема, особливу цінність для написання кваліфікаційної роботи мали дослідження таких вчених, як: І. Кресіна, В. Явір, М. Зан, К. Вітман, В. Ліхачов, В. Луценко та ін.</w:t>
      </w:r>
    </w:p>
    <w:p w:rsidR="00000000" w:rsidDel="00000000" w:rsidP="00000000" w:rsidRDefault="00000000" w:rsidRPr="00000000" w14:paraId="0000005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w:t>
      </w:r>
      <w:r w:rsidDel="00000000" w:rsidR="00000000" w:rsidRPr="00000000">
        <w:rPr>
          <w:rFonts w:ascii="Times New Roman" w:cs="Times New Roman" w:eastAsia="Times New Roman" w:hAnsi="Times New Roman"/>
          <w:i w:val="1"/>
          <w:sz w:val="28"/>
          <w:szCs w:val="28"/>
          <w:rtl w:val="0"/>
        </w:rPr>
        <w:t xml:space="preserve">методів</w:t>
      </w:r>
      <w:r w:rsidDel="00000000" w:rsidR="00000000" w:rsidRPr="00000000">
        <w:rPr>
          <w:rFonts w:ascii="Times New Roman" w:cs="Times New Roman" w:eastAsia="Times New Roman" w:hAnsi="Times New Roman"/>
          <w:sz w:val="28"/>
          <w:szCs w:val="28"/>
          <w:rtl w:val="0"/>
        </w:rPr>
        <w:t xml:space="preserve">, використаних під час написання кваліфікаційної роботи, особливе місце належить системному і методу критичного контент-аналізу текстів. Перший активно використовувався авторкою під час аналізу еволюції етнополітики української держави у справі надання гарантій національним меншинам та подальшій практичній реалізації цих гарантій. Зокрема, була виявлена тенденція надмірного спрощення інституційної інфраструктури української етнополітики, що негативно вплинуло на стан її керованості та ефективності.</w:t>
      </w:r>
    </w:p>
    <w:p w:rsidR="00000000" w:rsidDel="00000000" w:rsidP="00000000" w:rsidRDefault="00000000" w:rsidRPr="00000000" w14:paraId="0000005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метод критичного контент-аналізу текстів використовувався задля виявлення змісту профільних законів України, які конкретизували права національних меншин, а також рекомендацій та зауважень Венеціанської комісії до демократії через право, наданих з приводу правових новацій в сфері прав національних меншин в Україні. Результати цього аналізу конкретизовані у висновках до кваліфікаційної роботи.</w:t>
      </w:r>
    </w:p>
    <w:p w:rsidR="00000000" w:rsidDel="00000000" w:rsidP="00000000" w:rsidRDefault="00000000" w:rsidRPr="00000000" w14:paraId="0000005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Структура кваліфікаційної роботи</w:t>
      </w:r>
      <w:r w:rsidDel="00000000" w:rsidR="00000000" w:rsidRPr="00000000">
        <w:rPr>
          <w:rFonts w:ascii="Times New Roman" w:cs="Times New Roman" w:eastAsia="Times New Roman" w:hAnsi="Times New Roman"/>
          <w:sz w:val="28"/>
          <w:szCs w:val="28"/>
          <w:rtl w:val="0"/>
        </w:rPr>
        <w:t xml:space="preserve"> підпорядкована логіці розкриття змісту центральної проблеми дослідження. Вона представлена вступом, двома розділами, поділеними на підрозділи, висновків до розділів, висновками до роботи в цілому, списком використаних джерел та додатком.</w:t>
      </w:r>
    </w:p>
    <w:p w:rsidR="00000000" w:rsidDel="00000000" w:rsidP="00000000" w:rsidRDefault="00000000" w:rsidRPr="00000000" w14:paraId="0000005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Підрозділи першого розділу мають історіографічний характер, а також присвячені аналізу міжнародної інституційної інфраструктури, яка має за мету власного функціонування моніторинг стану захисту прав національних меншин в сучасних державах.</w:t>
      </w:r>
    </w:p>
    <w:p w:rsidR="00000000" w:rsidDel="00000000" w:rsidP="00000000" w:rsidRDefault="00000000" w:rsidRPr="00000000" w14:paraId="0000005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Другий розділ із відповідними тематичними підрозділами присвяченій реалізації в етнополітиці України гарантій національним меншинам, а також виправленню тих зауважень, які були зроблені міжнародними моніторинговими структурами.</w:t>
      </w:r>
    </w:p>
    <w:p w:rsidR="00000000" w:rsidDel="00000000" w:rsidP="00000000" w:rsidRDefault="00000000" w:rsidRPr="00000000" w14:paraId="0000005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висновках підбиваються результати дослідження в цілому.</w:t>
      </w:r>
    </w:p>
    <w:p w:rsidR="00000000" w:rsidDel="00000000" w:rsidP="00000000" w:rsidRDefault="00000000" w:rsidRPr="00000000" w14:paraId="0000005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представлений 56 найменуваннями.</w:t>
      </w:r>
    </w:p>
    <w:p w:rsidR="00000000" w:rsidDel="00000000" w:rsidP="00000000" w:rsidRDefault="00000000" w:rsidRPr="00000000" w14:paraId="0000005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Додатку конкретизуються різновиди політик сучасних держав по відношенню до прав національних меншин.</w:t>
      </w:r>
      <w:r w:rsidDel="00000000" w:rsidR="00000000" w:rsidRPr="00000000">
        <w:br w:type="page"/>
      </w:r>
      <w:r w:rsidDel="00000000" w:rsidR="00000000" w:rsidRPr="00000000">
        <w:rPr>
          <w:rtl w:val="0"/>
        </w:rPr>
      </w:r>
    </w:p>
    <w:p w:rsidR="00000000" w:rsidDel="00000000" w:rsidP="00000000" w:rsidRDefault="00000000" w:rsidRPr="00000000" w14:paraId="0000005B">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 «ЗАХИСТ ПРАВ НАЦІОНАЛЬНИХ МЕНШИН В ПРОБЛЕМНОМУ ПОЛІ СУЧАСНОЇ НАУКИ»</w:t>
      </w:r>
    </w:p>
    <w:p w:rsidR="00000000" w:rsidDel="00000000" w:rsidP="00000000" w:rsidRDefault="00000000" w:rsidRPr="00000000" w14:paraId="0000005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1.1 Права меншин в проблемному полі сучасного суспільствознавства</w:t>
      </w:r>
      <w:r w:rsidDel="00000000" w:rsidR="00000000" w:rsidRPr="00000000">
        <w:rPr>
          <w:rtl w:val="0"/>
        </w:rPr>
      </w:r>
    </w:p>
    <w:p w:rsidR="00000000" w:rsidDel="00000000" w:rsidP="00000000" w:rsidRDefault="00000000" w:rsidRPr="00000000" w14:paraId="0000005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Захист прав національних меншин є одночасно політичною і юридичною за своїм змістом проблемою. Політичний вимір полягає у певній логіці реалізації етнополітики інститутами конкретної держави. Юридичний вимір даної проблеми проявляється, з одного боку, у певних традиціях, які закладені в межах національної системи права, з іншого боку, чітко проявляється вплив міжнародного законодавства як стандарту демократичного ставлення до меншин. Зважаючи на це, проблема захисту прав національних меншин в сучасній Україні постала об’єктом досліджень представників як класичної політології, так і власне юриспруденції.</w:t>
      </w:r>
    </w:p>
    <w:p w:rsidR="00000000" w:rsidDel="00000000" w:rsidP="00000000" w:rsidRDefault="00000000" w:rsidRPr="00000000" w14:paraId="0000005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Представники вітчизняної політології та етнополітології звертають увагу, перш за все, на проблеми відповідності вітчизняної етнополітики в плані захисту прав національних меншин міжнародним (зокрема – європейським) правовим актам.</w:t>
      </w:r>
    </w:p>
    <w:p w:rsidR="00000000" w:rsidDel="00000000" w:rsidP="00000000" w:rsidRDefault="00000000" w:rsidRPr="00000000" w14:paraId="0000005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наприклад, Є.І. Сафронюк присвятила своє дослідження перипетіям імплементації норм Європейської хартії регіональних мов або мов меншин у вітчизняних умовах [46, С.141 – 148]. Вона констатує наявність певного плюралізму думок представників зарубіжної та української політичної науки та практики щодо змісту приписів Хартії та проблем, пов’язаних із перебігом її імплементації в Україні. Симптоматично, що авторка вказує на наявність чіткого взаємозв’язку між успіхом процесу євроінтеграції України з впровадженням норм Хартії у вітчизняну етнополітику [46, С.141]. На підставі думок західних експертів, Є. Сафронюк констатує, що чи не основним недоліком даної Хартії, у варіанті, ратифікованому Україною, є довільний характер змісту понять: «мова», «діалект», «національна меншина» урядами національних держав. Відповідно, практика поширення гарантованих цим документом обсягу прав та гарантій відрізняється від країни до країни та поширюється на різні групи мінори тарних колективів [46, С.142]. Дослідниця зазначає, що не всі країни ЄС приєдналися до Хартії, зважаючи на власну етнополітичну безпеку: «Албанія, Андорра, Бельгія, Болгарія, Греція, Грузія, Латвія, Ірландія, Литва, Монако, Португалія, Сан-Марино, Естонія та ін.» [46, С.144].</w:t>
      </w:r>
    </w:p>
    <w:p w:rsidR="00000000" w:rsidDel="00000000" w:rsidP="00000000" w:rsidRDefault="00000000" w:rsidRPr="00000000" w14:paraId="0000006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Важливими аспектами практичного застосування хартії в країнах Європейського Союзу та в Україні є також і наступні питання: 1) Яким саме меншинним групам надавати основну підтримку: тим, які є класичними «регіональними меншинами» на зразок бретонців у Франції, або тим, які є класичними «національними меншинами» на зразок угорців в Україні; 2) Якими саме критеріями визначати потребу у захисті: компактне – дисперсне розселення в межах країни, відсоток у складі населення конкретної території/регіону тощо? [46, С.143].</w:t>
      </w:r>
    </w:p>
    <w:p w:rsidR="00000000" w:rsidDel="00000000" w:rsidP="00000000" w:rsidRDefault="00000000" w:rsidRPr="00000000" w14:paraId="0000006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Сафронюк по відношенню до українських реалій після 2014 року констатує, що імплементація Хартії на практиці викликає й навіть актуалізує власне політичні проблеми. Так, зокрема, наявність у національному переліку мов, які потребують захисту, російської мови, сприймається багатьма науковцями та політичними діячами як спроба перешкодити політиці деколонізації, що розгортається в країні. З іншого боку, питання захисту діалекту етнографічної групи русинів на Закарпатті може спровокувати поглиблення сепаратистських настроїв в регіоні. Нарешті, широкі гарантії збереження мовних прав зокрема угорців Закарпаття знижують рівень інтеграції представників цієї національної меншини до структур та практик українського суспільства [46, С.143 – 144]. Нарешті, після ухвалення Закону України «Про корінні народи», до вітчизняної політико-юридичної практики введена нова категорія і виникає потреба конкретизації, чи поширюються норми Хартії на такі корінні народи України, як кримські татари, кримчаки та караїми?</w:t>
      </w:r>
    </w:p>
    <w:p w:rsidR="00000000" w:rsidDel="00000000" w:rsidP="00000000" w:rsidRDefault="00000000" w:rsidRPr="00000000" w14:paraId="0000006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Такої, що заслуговує на подальшу наукову дискусію, є теза авторки про автентичність перекладу основних термінів Хартії: використання поняття «minority languages» на її думку не містить обов’язкової прив’язки до етнічності. Йдеться лише про кількість користувачів конкретної мови в конкретному регіоні. Якщо пристати на цю логіку, то в українських реаліях в захисті потребують як раз не мови етнічних меншин в згаданому вже Закарпатті, а саме українська мова [46, С.145].</w:t>
      </w:r>
    </w:p>
    <w:p w:rsidR="00000000" w:rsidDel="00000000" w:rsidP="00000000" w:rsidRDefault="00000000" w:rsidRPr="00000000" w14:paraId="0000006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перший періодичний звіт щодо виконання Україною положень Європейської Хартії регіональних мов або мов меншин Є. Сафронюк констатує, що експертами Ради Європи ще у 2007 році робилися зауваження до вітчизняної етнополітики в сфері захисту прав меншин щодо вдосконалення системи освіти мовами цих груп. Крім того, наголошувалося на необхідності постійного моніторингу реальних потреб національних меншин у певних заходах з боку держави та відповідної корекції вжитих заходів. Лунала критика щодо потрапляння до списку мов, які захищає держава, мов тих груп, які реально домінують у соціальному житті певних регіонів та країни в цілому. З іншого боку, позитивно оцінювалися наміри української держави захищати мови кримчаків та караїмів, яким дійсно загрожує зникнення [45, С.203].</w:t>
      </w:r>
    </w:p>
    <w:p w:rsidR="00000000" w:rsidDel="00000000" w:rsidP="00000000" w:rsidRDefault="00000000" w:rsidRPr="00000000" w14:paraId="0000006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Проблема співвідношення національного суверенітету (як прояву права конкретної етнічної нації на політичне самовизначення) та захисту прав національних меншин постала об’єктом дослідження Т.О. Каменчук, яка звернулася до моделі «етнічної демократії», окремі елементи якої реалізовані в таких державах, як: Ізраїль, Естонія, Латвії тощо [30, С. 8]. За визначенням авторки, етнодемократія передбачає в своєму функціонуванні два своєрідні «шари»: перший «шар» передбачає надання рівного обсягу прав та свобод громадянам держави. Але другий «шар» констатує певну нерівність: представники титульної нації, яка утворила цю державу як форму прояву свого права на політичне самовизначення, мають право вимагати від всіх інших меншинних колективів беззастережно приймати свій культурний код. Йдеться про обов’язкове володіння національною мовою, дотримання (як у випадку з Ізраїлем) певної релігійної доктрини тощо. В кінцевому випадку, виконання/не виконання умов цього «другого шару» призводить до формування в політичному просторі країни двох категорій населення: «громадян» та «негромадян» [30, С. 11].</w:t>
      </w:r>
    </w:p>
    <w:p w:rsidR="00000000" w:rsidDel="00000000" w:rsidP="00000000" w:rsidRDefault="00000000" w:rsidRPr="00000000" w14:paraId="0000006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всій небезпечності для внутрішньої стабільності такої ситуації, «етнічна демократія» все ж більш «демократична» за звичайну «етнократію», адже передбачає можливість для меншин оголошувати про свої проблеми в парламентський спосіб та, в разі дотримання норм та процедур безконфліктного просування колективних зазіхань, призводить до покращення становища меншин в конкретній країні [30, С. 12].</w:t>
      </w:r>
    </w:p>
    <w:p w:rsidR="00000000" w:rsidDel="00000000" w:rsidP="00000000" w:rsidRDefault="00000000" w:rsidRPr="00000000" w14:paraId="0000006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Дотримання основних принципів політики інклюзивності по відношенню до національних меншин України вважає обов’язковою умовою успіху у формуванні макрополітичної національної ідентичності дослідник О.В. Мендрін [40, С.54]. В цьому відношенні він радить українським політикам дослухатися до порад Ради Європи та відмовлятися від надмірного директивного підходу у справі інтеграції національних меншин до українського суспільства. Реальним змістом політики має бути, на переконання автора, «управління етнокультурним плюралізмом», яке передбачає, окрім іншого, координацію зусиль державних органів та інститутів громадянського суспільства (в тому числі і організацій національних меншин).</w:t>
      </w:r>
    </w:p>
    <w:p w:rsidR="00000000" w:rsidDel="00000000" w:rsidP="00000000" w:rsidRDefault="00000000" w:rsidRPr="00000000" w14:paraId="0000006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О.В. Мендрін зазначає, що після початку агресії Російської Федерації проти України в науковому та суспільно-політичному дискурсах нашої країни конкурують два протилежних комплекси ідей по відношенню до мовних ознак національної більшості та найбільшої національної меншини країни – російської. Перший дискурс побудований на ідеї сек’юритизації української мови і інтерпретації російськомовного сегменту як «небажаного Іншого». Другий дискурс відстоює необхідність повернення до компромісу 1989 – 2004 років та підкреслює загрозу зайвої політизації мовного питання аж до внутрішньополітичної конфронтації [40, С.55]. Очевидно, що від інтелектуальної та практично-прикладної «перемоги» одного із дискурсів буде залежати етнополітика української держави в подальшому. </w:t>
      </w:r>
    </w:p>
    <w:p w:rsidR="00000000" w:rsidDel="00000000" w:rsidP="00000000" w:rsidRDefault="00000000" w:rsidRPr="00000000" w14:paraId="0000006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дослідниця Л. Мазука у своїй статті звертає увагу на специфічний аспект захисту прав національних меншин. Вона вказує на те, що війна Росії проти України спричинила значний міграційний відтік громадян нашої країни за кордон. Таким чином, певна частка з приблизно 7 млн. українських біженців, яка залишиться в приймаючих країнах на тривалий період або назавжди, перетвориться на представників національної меншини та поповнить ряди закордонного українства. Як наслідок, важливою складовою зовнішньої політики України стає недопущення асиміляції українців в інших країнах. Але змістом цієї складової зовнішньої політики держави, на переконання авторки має бути: «врахування правильного підходу у поєднанні етнічного та національно-громадянського в процесі вдосконалення державної політики щодо закордонного українства» [38, С.160]. </w:t>
      </w:r>
    </w:p>
    <w:p w:rsidR="00000000" w:rsidDel="00000000" w:rsidP="00000000" w:rsidRDefault="00000000" w:rsidRPr="00000000" w14:paraId="0000006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Авторка піддає критичному аналізу Закон України «Про закордонних українців» (2004 рік прийняття та подальша редакція 2012 р.) та зазначає, що наведені в ньому дефініції (зокрема «національність») не в повній мірі відповідає етнополітичній ситуації та особливостям ідентичностей закордонних українців [38, С.164]. В якості пропозицій щодо покращення політики захисту прав закордонних українців, авторка пропонує наступні: внести зміни-уточнення до профільного Закону, продовжувати тісні контакти зі Світовим Конгресом Українців, розробити та ухвалити комплексну програму підтримки закордонного українства у співпраці МОН та МЗС України, створити відповідну структуру, яка на державному рівні буде опікуватися процесом повернення українців на історичну Батьківщину [38, С.176]. Симптоматично, що наприкінці серпня 2024 року Президентом України В. Зеленським було анонсовано створення відповідного Міністерства по сприянню повернення українців на Батьківщину [34].</w:t>
      </w:r>
    </w:p>
    <w:p w:rsidR="00000000" w:rsidDel="00000000" w:rsidP="00000000" w:rsidRDefault="00000000" w:rsidRPr="00000000" w14:paraId="0000006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Участі національних меншин України у справі визначення змісту та реалізації політики транскордонної співпраці із сусідніми країнами присвячено дослідження О.Б. Соколовського. Автор констатує важливість здійснення політики транскордонного співробітництва, яка виступає важливим інструментом підтримки національними меншинами країни зв’язків з власними історичними Батьківщинами, допомагає у вирішенні не лише культурних, але й економічних проблем прикордонних регіонів, виступає свідченням демократизму етнонаціональної політики України тощо [48, С.91]. Дослідник відстоює думку, що найбільш вдалою організаційною формою для наповнення реальним змістом політики захисту та реалізації прав національних меншин є «Єврорегіони». Саме вони дають можливість реалізовувати культурні, освітні, економічні тощо права національних меншин, зокрема через таку форму мобільності, як «малий прикордонний рух». Не менш вагому роль тут відіграють міжурядові угоди щодо підготовки педагогічних кадрів для національних меншин, створення міжнародних фондів для реалізації інфраструктурних проєктів тощо [48, С.92].</w:t>
      </w:r>
    </w:p>
    <w:p w:rsidR="00000000" w:rsidDel="00000000" w:rsidP="00000000" w:rsidRDefault="00000000" w:rsidRPr="00000000" w14:paraId="0000006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О.Б. Соколовський критикує український уряд за недостатньо серйозне використання цього інституційного засобу реалізації прав національних меншин та зазначає, що з десяти угод про євро регіони в реальності працюють більш-менш ефективно лише чотири: «Нижній Дунай», «Карпати», «Буг» та «Верхній Прут» [48, С.92]. На ефективність діяльності євро регіонів впливають також і міжнародні чинники. Зокрема – україно-угорські суперечності щодо прав угорської меншини в Закарпатті. </w:t>
      </w:r>
    </w:p>
    <w:p w:rsidR="00000000" w:rsidDel="00000000" w:rsidP="00000000" w:rsidRDefault="00000000" w:rsidRPr="00000000" w14:paraId="0000006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проблем подвійного громадянства національних меншин в практиці держав регіону Центральної та Східної Європи звертаються у своїй праці дослідниці Г. Луцишин та І. Климчук. Авторки зазначають, що набуття представниками національних меншин подвійного громадянства є реаліями тих країн регіону, в структурі населення яких присутні значні масиви національних меншин. Для останніх процедура набуття подвійного громадянства (одне з яких пов’язує національну меншину з її історичною Батьківщиною) є не лише актом збереження власної ідентичності, але також і заходом із поліпшення власного соціально-економічного положення. Одночасно це створює певний конфлікт між різними системами права, які врегульовують права національної меншини як громадян різних держав. Наголошується на тому, що попри розповсюдженість феномену подвійного громадянства (в умовах України це угорці Закарпаття, поляки Галичини та Волині, румуни Північної Буковини), єдиного рецепту розв’язання цієї проблеми не існує [4, С.90].</w:t>
      </w:r>
    </w:p>
    <w:p w:rsidR="00000000" w:rsidDel="00000000" w:rsidP="00000000" w:rsidRDefault="00000000" w:rsidRPr="00000000" w14:paraId="0000006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Авторки констатують, що набуття подвійного громадянства представниками національних меншин у таких регіонах, як Крим, Закарпаття, Чернівецька область створює реальну політичну загрозу для суверенітету та територіальної цілісності України [4, С.92]. Як продемонстрували події анексії АРК Російською Федерацією, сам факт наявності в регіоні великого масиву російської національної меншини із паспортами Російської Федерації значно облегшив факт відторгнення цієї території від решти країни. На жаль, готового рецепту подолання проблеми подвійного громадянства (легалізація чи подальша сувора заборона) дослідниці не надають. Тому проблема залишається актуальною для подальшого дослідження.</w:t>
      </w:r>
    </w:p>
    <w:p w:rsidR="00000000" w:rsidDel="00000000" w:rsidP="00000000" w:rsidRDefault="00000000" w:rsidRPr="00000000" w14:paraId="0000006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внесок у розробку проблеми захисту прав національних меншин, в тому числі і права на політичне представництво своїх групових інтересів, а також на співучасть у здійсненні етнополітики конкретної держави зробив М.П. Зан. Використовуючи порівняльний аналіз, український дослідник продемонстрував як конкретні держави Східної Європи (Словаччина, Угорщина, Румунія тощо) вирішують цю складну та конфліктогенну проблему. Так, за даними дослідника, у Словаччині активно впроваджується на практиці квотний принцип визнання мов національних меншин (не менше 15% населення конкретного регіону), присутності представників конкретної меншини в органах місцевого самоуправління та державного менеджменту [24, С.88 – 89]. Легалізовані та активно беруть участь у політичному житті регіону та країни в цілому партії, побудовані на етнічному чиннику. Заслуговує на увагу той факт, що українська національна меншина, відповідно до словацького законодавства, сегментована на власне українців та русинів, мови обох груп отримали відповідний статус, а самі групи – право на представництво [24, С.90]. Така політика словацького уряду по відношенню до українців – русинів призвела до дезінтеграції цієї національної меншини, зниження рівня мобілізації її членів і, як загальний підсумок, зменшення конкурентного потенціалу у справі захисту колективних прав своїх членів [24, С.92 – 93].</w:t>
      </w:r>
    </w:p>
    <w:p w:rsidR="00000000" w:rsidDel="00000000" w:rsidP="00000000" w:rsidRDefault="00000000" w:rsidRPr="00000000" w14:paraId="0000006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Звісно, що така модель може бути певним прикладом для етнополітики української держави у сфері захисту прав національних меншин, але в повному обсязі не може бути перейнятою. На думку авторки кваліфікаційної роботи, певним стримуючим чинником проти сепаратизму в умовах Словаччини є факт членства цієї країни в ЄС (так само, як і країн, які виступають у ролі історичних Батьківщин для угорців та румунів цієї країни). В нашій країні такий стримуючий чинник відсутній. Більше того, за умов високого ступеню політизації угорської меншини та відкритою агресії з боку Росії, побудова політичного представництва в тому числі і на етнічному чиннику постане тут в якості потужного дестабілізуючого фактора.</w:t>
      </w:r>
    </w:p>
    <w:p w:rsidR="00000000" w:rsidDel="00000000" w:rsidP="00000000" w:rsidRDefault="00000000" w:rsidRPr="00000000" w14:paraId="0000007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Порівнюючи наявні канали та засоби представництва міноритарних груп у Словаччині та в Україні М.П. Зан констатує, що обидві країни слід відносити до розряду тих, в структурі населення яких присутні відчутні ознаки поліетнічності. На підставі експертного опитування, дослідник констатує, що і у Словаччині, і в Україні фіксується високий ступінь довіри до партій, які претендують на висловлення групових інтересів національних меншин, особливо – в тих районах країн, де такі меншини проживають компактно [27, С.132]. Для України таким регіоном виступає Закарпаття, де є відчутною політизація угорської, словацької та румунської меншин. На додаток до цього, свої вимоги час від часу артикулює така етнографічна група українського етносу, як русини, частина лідерів яких претендує на надання цій групі статусу окремого народу із відповідними автономістськими структурами.</w:t>
      </w:r>
    </w:p>
    <w:p w:rsidR="00000000" w:rsidDel="00000000" w:rsidP="00000000" w:rsidRDefault="00000000" w:rsidRPr="00000000" w14:paraId="0000007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висновками М.П. Зана, серед словацьких експертів та в реальній політиці цієї держави партії, побудовані на етнокультурній ознаці (угорців, ромів, русинів) не лише сприймаються як необхідні для забезпечення належного рівня демократичності національного політичного процесу, але й виступають як реальні гравці на місцевому, регіональному і подекуди – загальнонаціональному рівнях. В свою чергу, попри високу позитивну оцінку необхідності існування партій національних меншин, висловлену українськими експертами у 2020 році (40% висловилися «За»), чинним вітчизняним законодавством участь таких партій в загальнонаціональному політичному процесі унеможливлена [27, С.135]. Це, в свою чергу, на думку авторки кваліфікаційної роботи є своєрідним кроком назад у справі захисту прав національних меншин в нашій країні.</w:t>
      </w:r>
    </w:p>
    <w:p w:rsidR="00000000" w:rsidDel="00000000" w:rsidP="00000000" w:rsidRDefault="00000000" w:rsidRPr="00000000" w14:paraId="0000007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М.П. Зан у своєму дослідженні вказує на ще одну загрозливу тенденцію, яку виявило проведене ним опитування експертів: лише 8% фахівців пов’язували успішність в представництві інтересів національних меншин України з діяльністю держави в цілому та її окремих органів. При цьому, 60% опитаних експертів пов’язували суспільно-політичну та культурну успішність відповідних громад нашої країни із підтримкою, надану національним меншинам з боку історичних Батьківщин [27, С.136]. Невтішним є і загальний висновок автора: «На наш погляд, Словаччина репрезентує збалансовану національну модель соціальної інтеграції етнічних меншин, а Україна представляє пострадянську, транзитно лібералізовану модель етнополітики» [27, С.138].</w:t>
      </w:r>
    </w:p>
    <w:p w:rsidR="00000000" w:rsidDel="00000000" w:rsidP="00000000" w:rsidRDefault="00000000" w:rsidRPr="00000000" w14:paraId="0000007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оцінкою М. Зана, етнополітичний державний менеджмент Словаччини є більш структурований, хоч і не передбачає, так само, як і в Україні, включення представників національних меншин до найвищого законодавчого органу країни [26, С.177]. Дослідник зазначає, що у Словаччині на рівні урядового управління справами національних меншин присутні посада Уповноваженого у справах національних меншин та діє відповідний комітет Парламенту. Дорадчі органи національних меншин існують при окремих міністерствах країни, зокрема при Міністерстві освіти. В Україні, в свою чергу, аналогічна посада з’явилася тимчасово у 2019 році, вже наступного року була скасована, а колись потужне Міністерство у справах національностей врешті – решт була зведена до статусу Державної служби з етнополітики та свободи совісті, яка знаходиться у підпорядкуванні Міністерства культури України [26, С.179].</w:t>
      </w:r>
    </w:p>
    <w:p w:rsidR="00000000" w:rsidDel="00000000" w:rsidP="00000000" w:rsidRDefault="00000000" w:rsidRPr="00000000" w14:paraId="0000007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парламентського представництва інтересів національних меншин в Україні та в Словаччині має спільні та відмінні риси. Як вже зазначалося вище, в Парламенті Словаччині присутні фракції від політичних партій, побудованих за етнонаціональною ознакою. В Україні таке представництво здійснюється на рівні окремих депутатів, адже існування партій національних меншин унеможливлено профільним законодавством. В свою чергу, на рівні інституцій обох парламентів є схожість: і в Словаччині, і в Україні проблема захисту прав національних меншин належить до функціоналу Комітетів з прав людини [26, С.181].</w:t>
      </w:r>
    </w:p>
    <w:p w:rsidR="00000000" w:rsidDel="00000000" w:rsidP="00000000" w:rsidRDefault="00000000" w:rsidRPr="00000000" w14:paraId="0000007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подібний у двох країнах є регіональний рівень представництва інтересів національних меншин: при місцевих адміністраціях створені відповідні центри, а в структурі місцевих органів державної влади діють профільні департаменти. Враховуючи внутрішньо несуперечливий та усталений дизайн системи етнополітичного менеджменту в Словаччині та постійні системні трансформації в Україні, М. Зан робить висновок: «Структура етнополітичного менеджменту СР порівняно з Україною більш стабільна й функціональна» [26, С.182].</w:t>
      </w:r>
    </w:p>
    <w:p w:rsidR="00000000" w:rsidDel="00000000" w:rsidP="00000000" w:rsidRDefault="00000000" w:rsidRPr="00000000" w14:paraId="0000007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своєрідний підсумок для своїх досліджень міжнародної практики захисту прав національних меншин та політики держави по відношенню до міноритарних спільнот, М.П. Зан констатує існування чотирьох основних моделей етнополітики: 1. Демократична етнополітика, яка в своїх проявах коливається від парадигми територіальної автономії національних меншин до політики держави, яка спрямована на перешкоджання виникненню сепаратистських тенденцій серед національних меншин; 2. Етнократія, яка орієнтована у всьому багатоманітні своїх проявів на ствердження влади титульного етнічного колективу та завдання необхідних етнокультурних стандартів для меншин, які проживають на території етнократії; 3. Інтеграторська модель, орієнтована на надання всім громадянам рівного обсягу цивільних прав, з одночасною політикою, спрямованою на залучення представників національних меншин до соціокультурних процесів та структур «приймаючого» суспільства; 4. Мультикультуралізм, який передбачає співіснування в єдиному політичному просторі декількох етнічних громад із збереженням за ними широкої етнокультурної та/або територіальної автономії. Держава при цьому виступає в ролі неупередженого арбітра, який покликаний підтримувати статус кво, який історично склався між етнонаціональними спільнотами в даній політичній системі [9, С.118 – 124].</w:t>
      </w:r>
    </w:p>
    <w:p w:rsidR="00000000" w:rsidDel="00000000" w:rsidP="00000000" w:rsidRDefault="00000000" w:rsidRPr="00000000" w14:paraId="0000007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Порівняльний метод у вивченні практики захисту прав національних меншин у політиці Литви та України застосовує і литовська автора А. Жемайтите. Дослідниця констатує, що проблема юридичного уточнення змісту поняття «національна меншина»/спільнота є спільною для законодавства обох країн. З іншого боку, як визнає авторка, проблема захисту прав національних меншин для Литви є менш кричущою, зважаючи на той факт, що ступінь поліетнічності цієї країни є набагато меншим, ніж в Україні (лише 11 етнічних груп Литви за своєю чисельністю перевищують 1 тис. осіб.) [9, С.105]. На відміну від України, Литва більш консервативно підходить до питання адаптації норм міжнародного права з захисту прав національних меншин у своїй практиці. Так, наприклад, Конституція Литви не містить поняття «національні меншини», а Європейська Хартія регіональних мов або мов меншин не ратифікована цією країною досі. Етнополітика Литви ґрунтується на дотриманні норм Рамкової конвенції прав національних меншин, але не передбачає якихось спеціалізованих програм фінансування національних спільнот. В законодавстві держави чітко підкреслюється, що статус приналежності до національної спільноти є результатом добровільного індивідуального вибору. За індивідом зберігається право збереження «національного» варіанту написання його імені та прізвища, населені пункти, в яких компактно проживають національні спільноти можуть мати «національну» назву. Представники національних спільнот мають право звертатися рідною мовою до відповідних державних закладів. Але, на цьому перелік «особливостей» для національних меншин закінчується. Натомість держава гарантує і реально дотримується широкого спектру загальних прав та свобод, гарантованих литовським законодавством [9, С.107].</w:t>
      </w:r>
    </w:p>
    <w:p w:rsidR="00000000" w:rsidDel="00000000" w:rsidP="00000000" w:rsidRDefault="00000000" w:rsidRPr="00000000" w14:paraId="0000007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Спільним моментом для України та Литви є високий ступінь політизації російської національної меншини. В обох випадках ця політизація спирається на підтримку Російської Федерації та проявляється у спротиву представників старшого покоління цієї меншини щодо етнокультурної інтеграції у «суспільство присутності». Крім того, присутність політизованої польської меншини в Литві в районах Клайпеди та Вільнюса, а також досвід перебування цих регіонів у складі Другої Речі Посполитої створюють в Литві певну подібність «кримської ситуації» та змушують еліти цієї країни дуже критично ставитися до будь-яких спроб провести через парламент закон про етнокультурну автономію меншин [9, С.109].</w:t>
      </w:r>
    </w:p>
    <w:p w:rsidR="00000000" w:rsidDel="00000000" w:rsidP="00000000" w:rsidRDefault="00000000" w:rsidRPr="00000000" w14:paraId="0000007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плюралізм національних досвідів управління соціокультурним різноманіттям констатує у своїй статті О.З. Филик. Дослідник констатує, що формально, політику держав по відношенню до національних меншин та визначення їхніх прав можна звести до двох полюсів: «інтеграторського республіканізму» та мультикультуралізму. Перший «полюс» передбачає інтеграцію представників національних меншин до соціального життя «приймаючого суспільства» на підставі універсальних політичних цінностей: рівності виборчого права, громадянських свобод тощо. При цьому, особливості мови, релігії, культури конкретного громадянина залишаються його індивідуальною справою та не підлягають суспільно-політичній маніфестації. Сутністю другого «полюсу» є намагання суспільно-політичної інтеграції суспільства через групи, які зберігають свої особливості, але підтримують єдність політичного союзу через певний формальний чи неформальний суспільний договір. І якщо прикладом першого полюсу за думкою дослідника виступає сучасна Франція, то прикладом другого – Швейцарія [51, С.106 – 107].</w:t>
      </w:r>
    </w:p>
    <w:p w:rsidR="00000000" w:rsidDel="00000000" w:rsidP="00000000" w:rsidRDefault="00000000" w:rsidRPr="00000000" w14:paraId="0000007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на практиці, як констатує О. Филік, простежується більша різноманітність політик держав по відношенню до національних меншин. Так, наприклад, Великобританія демонструє великий ступінь терпимості по відношенню до спільнотного багатоманіття, в той самий час, як згадана вже Франція намагається відстоювати саме громадянський принцип побудови нації, й важко йде на діалог з ісламською спільнотою, яка не сприймає норми та цінності цивілізму. В свою чергу, Данія намагається вирішити проблему інтеграції меншин через феномен соціальної держави, стимулюючи лояльність згаданої вже ісламської спільноти за допомогою широких програм соціальної підтримки [51, С.108]. Наявні та можливі для сучасної України варіанти політики держави по відношенню до прав меншин автор пропонує узагальнити за наступною схемою: Див. Додаток №1.</w:t>
      </w:r>
    </w:p>
    <w:p w:rsidR="00000000" w:rsidDel="00000000" w:rsidP="00000000" w:rsidRDefault="00000000" w:rsidRPr="00000000" w14:paraId="0000007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етноконфесійних відносин в Україні після початку широкомасштабного вторгнення Російської Федерації в Україні знайшли своє висвітлення в статті О. Хмільовської. Авторка зазначає, що питання поновлення суб’єктності УПЦ, в тому числі і через отримання Томосу від Вселенського Патріарху, є важливим аспектом утвердження української нації як державоутворюючої. З іншого боку, перехід релігійних громад із підпорядкування УПЦ (МП) подається зовнішніми пропагандистами як ущемлення прав православних України в цілому, порушення принципу відокремлення держави від церкви. Але, як констатує дослідниця, цей процес жодним чином не ущемляє прав національних меншин, адже відбувається на добровільній основі та не здійснюється в межах якихось конкретних етнічних спільнот [52, С. 99 – 100].</w:t>
      </w:r>
    </w:p>
    <w:p w:rsidR="00000000" w:rsidDel="00000000" w:rsidP="00000000" w:rsidRDefault="00000000" w:rsidRPr="00000000" w14:paraId="0000007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Тематику забезпечення прав етноконфесійних меншин продовжує у своєму дослідженні В. Луценко. Авторка зазначає, що в українському законодавстві відсутнє поняття «релігійні меншини» на відміну від комплексу міжнародного законодавства [36, С.422]. Вона констатує, що : «У практиці державного управління України поняття «релігійні меншини» найчастіше розглядають як дериват (похідне) від поняття «національні меншини» й визначають як конфесійні групи, які за чисельністю, поширенням і впливом у релігійному середовищі не займають домінуючого положення, а віросповідна й культова практика яких має свою самодостатність і самобутність» [36, С.423]. Актуальним завданням української держави дослідниця вважає недопущення будь-яких форм дискримінації в сфері законодавства та соціальної практики на релігійному підґрунті [36, С.427]. З іншого боку, слід перешкоджати проявам деструктивних впливів на внутрішньополітичну стабільність з боку окремих конфесій та їхніх керівних інституцій, які часто знаходяться поза межами України.</w:t>
      </w:r>
    </w:p>
    <w:p w:rsidR="00000000" w:rsidDel="00000000" w:rsidP="00000000" w:rsidRDefault="00000000" w:rsidRPr="00000000" w14:paraId="0000007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Характеризуючи власне </w:t>
      </w:r>
      <w:r w:rsidDel="00000000" w:rsidR="00000000" w:rsidRPr="00000000">
        <w:rPr>
          <w:rFonts w:ascii="Times New Roman" w:cs="Times New Roman" w:eastAsia="Times New Roman" w:hAnsi="Times New Roman"/>
          <w:i w:val="1"/>
          <w:sz w:val="28"/>
          <w:szCs w:val="28"/>
          <w:rtl w:val="0"/>
        </w:rPr>
        <w:t xml:space="preserve">юридичний підхід</w:t>
      </w:r>
      <w:r w:rsidDel="00000000" w:rsidR="00000000" w:rsidRPr="00000000">
        <w:rPr>
          <w:rFonts w:ascii="Times New Roman" w:cs="Times New Roman" w:eastAsia="Times New Roman" w:hAnsi="Times New Roman"/>
          <w:sz w:val="28"/>
          <w:szCs w:val="28"/>
          <w:rtl w:val="0"/>
        </w:rPr>
        <w:t xml:space="preserve"> до захисту прав національних меншин, слід, перш за все, звернутися до концепції так званих «поколінь прав людини». Ця проблема, зокрема, розглядається в дослідженні українського автора А.Б. Манасаряна. За його концепцією, до «першого покоління» прав людини належать ті права, які передбачають певні негативні принципи. Йдеться про відмову держави від практики застосування не правового насильства, позбавлення людини власності, участі в політичному житті тощо. Реалізація цього покоління прав відбулося в ході буржуазних революцій в Європі та країнах Північної Америки протягом XVIII – XIX століть.</w:t>
      </w:r>
    </w:p>
    <w:p w:rsidR="00000000" w:rsidDel="00000000" w:rsidP="00000000" w:rsidRDefault="00000000" w:rsidRPr="00000000" w14:paraId="0000007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«другого покоління прав людини» пов’язано з позитивними принципами діяльності держави. Йдеться про гарантії прав людини на працю, на освіту, соціальний захист тощо. Реалізація цього покоління відбулося в ході соціальних реформ XX століття й пов’язано із соціал-демократичною та соціал-ліберальною ідеологіями.</w:t>
      </w:r>
    </w:p>
    <w:p w:rsidR="00000000" w:rsidDel="00000000" w:rsidP="00000000" w:rsidRDefault="00000000" w:rsidRPr="00000000" w14:paraId="0000007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«третє покоління» прав людини, пов’язано із солідарно-дієвими принципами та передбачає такі перетворення, як деколонізацію, культурний плюралізм у внутрішній політиці держав, реалізацію права окремих колективів на збереження своєї культурної самобутності тощо [39, С.28].</w:t>
      </w:r>
    </w:p>
    <w:p w:rsidR="00000000" w:rsidDel="00000000" w:rsidP="00000000" w:rsidRDefault="00000000" w:rsidRPr="00000000" w14:paraId="0000008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переконатися із аналізу концепції автора, захист прав національних меншин належить як раз до «третього покоління» прав людини. Цій логіці добре відповідає хронологія «третьої хвилі демократизації», яка на міжнародному рівні була позначена творенням ООН, Міжнародного Суду, ухваленням Загальної декларації прав людини, Європейської конвенції про захист прав людини та основних свобод, профільних Хартій по захисту прав меншин тощо. В абсолютній хронології цей період набуття правами національних меншин статусу неодмінної складової прав людини припадає на другу половину ХХ ст. та триває досі.</w:t>
      </w:r>
    </w:p>
    <w:p w:rsidR="00000000" w:rsidDel="00000000" w:rsidP="00000000" w:rsidRDefault="00000000" w:rsidRPr="00000000" w14:paraId="0000008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Саме з періодом, коли актуалізувалося «третє покоління» прав людини пов’язує формування політичних націй в Європі українська дослідниця Ю.Ю. Руденко. На її погляд, формування політичної (громадянської) нації передбачало на той момент (1960 – 1970-ті рр.) поєднання справжнього демократизму та мультикультуралізму як змістовних проявів внутрішньої політики держав регіону. У світлі проблеми, яка розглядається в даній кваліфікаційній роботі, мультикультуралізм у варіанті другої половини ХХ століття передбачав, відповідно до авторки, відмову від етнічної, расової, релігійної дискримінації, розширення прав корінних народів та наповнення реальним змістом різноманітних групових та індивідуальних автономій [44, С.39]. Після певної критики теорії та практики мультикультуралізму, яка надходила і від інтелектуальних кіл, і від професійних політиків, і від громадськості, на думку Ю. Руденко настав час для нового етапу у процесі захисту прав національних меншин – інтеркультуралізму. Науковиця зазначає, що останній передбачає не просто співіснування різних етнічних спільнот в єдиному політичному просторі, але й співучасть їхніх представників у вирішення актуальних етнокультурних та етнополітичних питань [44, С.41].</w:t>
      </w:r>
    </w:p>
    <w:p w:rsidR="00000000" w:rsidDel="00000000" w:rsidP="00000000" w:rsidRDefault="00000000" w:rsidRPr="00000000" w14:paraId="0000008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зауваженням з боку дослідниці, яке, на погляд авторки кваліфікаційної роботи має важливе значення для розуміння реальної сутності процесу захисту прав меншин, є констатація того факту, що формування політичної нації, як форми громадянської інтеграції та прояву культурного плюралізму, не має передбачати односторонній (з боку держави) процес «захисту прав меншин». Позитивний результат інтеркультурації залежить від позиції самих меншин, адже останні мають демонструвати: «позитивну здатність брати продуктивну участь в економічному і культурному житті суспільства, а результатом такої участі має бути не асиміляція, а розвиток багатшої, плюралістичної культури, що охоплює суспільство в цілому» [44, С.41].</w:t>
      </w:r>
    </w:p>
    <w:p w:rsidR="00000000" w:rsidDel="00000000" w:rsidP="00000000" w:rsidRDefault="00000000" w:rsidRPr="00000000" w14:paraId="0000008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Звертаючись до власне української специфіки захисту прав національних меншин та корінних народів, Ю. Руденко констатує, що нашій країні не вдасться уникнути «етнічного парадоксу» глобального світу: так, з одного боку відбувається певна уніфікація матеріальних (зовнішніх) ознак життя всіх етнічних груп, представлених в українському етнополітичному просторі. Але з іншого боку, саме етнічна ідентичність окремих індивідів та їхніх груп зміцнюється, внаслідок чого питання мови, культури, історичної пам’яті набувають особливого (політичного) значення. Українське законодавство, таким чином, має врівноважено визначати культурно-цивілізаційну роль саме української етнічної нації, пропонуючи прийнятну формулу інтеркультурності для представників національних меншин та корінних народів країни [44, С.42]. Йдеться про зважений підхід в сфері освіти, збереженні сторичної пам’яті, конфесійної ідентичності української нації та національних меншин. Одночасно мають створюватися структури та надаватися надійні гарантії для досягнення міжетнічного компромісу в процесі творення української політичної нації.</w:t>
      </w:r>
    </w:p>
    <w:p w:rsidR="00000000" w:rsidDel="00000000" w:rsidP="00000000" w:rsidRDefault="00000000" w:rsidRPr="00000000" w14:paraId="0000008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Вітчизняна дослідниця етнополітичних проблем В. Явір наголошує також на тому, що в конкретизації потребують норми, передбачені Законами України. Серед них Закон України «Про засади запобігання та протидії дискримінації в Україні», положення якого, за оцінкою авторки, є декларативними [54, С.145]. </w:t>
      </w:r>
    </w:p>
    <w:p w:rsidR="00000000" w:rsidDel="00000000" w:rsidP="00000000" w:rsidRDefault="00000000" w:rsidRPr="00000000" w14:paraId="0000008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додаток до цього, В. Явір констатує, що у конкретизації потребують і норми ст.161 Кримінального кодексу України, адже: «Європейська комісія проти расизму та нетерпимості неодноразово висловлювала стурбованість неефективністю кримінальних антидискримінаційних норм українського законодавства, які поширюються лише на громадян та потребують доведення умисності дій правопорушника (ст. 161 ККУ), тому рідко застосовуються у судочинстві» [54, С.145].</w:t>
      </w:r>
    </w:p>
    <w:p w:rsidR="00000000" w:rsidDel="00000000" w:rsidP="00000000" w:rsidRDefault="00000000" w:rsidRPr="00000000" w14:paraId="0000008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рівні фундаментальних зрушень законодавчого забезпечення захисту прав національних меншин в Україні В. Явір визначає: 1. Ухвалення «Концепції етнополітики України», яка б виступала в ролі своєрідного дороговказу для всіх органів державної влади незалежно від зміни персонального складу керівників та службовців уряду; 2. Ієрархізацію профільних законодавчих актів, що визначають поведінку державних службовців у конкретних випадках захисту прав національних меншин; 3. Створення Міністерства етнополітики України [54, С.146].</w:t>
      </w:r>
    </w:p>
    <w:p w:rsidR="00000000" w:rsidDel="00000000" w:rsidP="00000000" w:rsidRDefault="00000000" w:rsidRPr="00000000" w14:paraId="0000008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Піддаючи критиці недосконалість вітчизняній правової системи захисту прав національних меншин в Україні, В.Явір звертає увагу на те, що нещодавній Закон України «Про корінні народи України» був ухвалений більше під впливом політичної кон’юнктури, аніж етнополітичних реалій нашого суспільства. Так, зокрема, вона звертає увагу на те, що до переліку корінних народів країни (і, відповідно до гарантій їхніх прав) не потрапив гагаузький народ, який розділений у своєму існуванні державним кордоном України та Молдови, але етногенез якого відбувався на єдиному етнополітичному просторі [53, С.149]. В свою чергу, авторка констатує, що визнання Україною у профільному законі права корінних народів на політичне самовизначення та введення до вітчизняного інституційного простору таких органів самоорганізації корінних народів, як Меджліс та Курултай кримськотатарського народу створює передумови для політизації етнічності, надає нового імпульсу для порушень питань щодо територіальної цілісності країни та відкриває базу для втручання у внутрішню політику держави інших держав [53, С.149].</w:t>
      </w:r>
    </w:p>
    <w:p w:rsidR="00000000" w:rsidDel="00000000" w:rsidP="00000000" w:rsidRDefault="00000000" w:rsidRPr="00000000" w14:paraId="0000008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Розглядаючи захист прав національних меншин як запоруку реалізації евроінтеграційних намірів України, В. Явір констатує, що самою угодою України та ЄС щодо Асоціації були закладені обов’язки нашої країни забезпечувати належний стан захисту прав національних меншин: «Сторони, що її уклали, засвідчують відданість тісним і тривалим відносинам, які ґрунтуються на спільних цінностях, зокрема: на повазі до демократичних принципів, верховенства права, прав людини і основоположних свобод, у тому числі прав осіб, які належать до національних меншин, недискримінації осіб, які належать до меншин, і повазі до різноманітності та ін.» [56, С.248]. </w:t>
      </w:r>
    </w:p>
    <w:p w:rsidR="00000000" w:rsidDel="00000000" w:rsidP="00000000" w:rsidRDefault="00000000" w:rsidRPr="00000000" w14:paraId="0000008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авторка констатує, що в плані інституційного забезпечення цього процесу вітчизняна еліта в останні роки є не завжди послідовною. Так, зокрема, на думку дослідниці, утворення в складі Верховної Ради України IX скликання Комітету «З питань прав людини, деокупації та реінтеграції тимчасово окупованих територій у Донецькій, Луганській областях та АРК, м. Севастополя, національних меншин і міжнаціональних відносин» неминуче призведе до розмивання функцій саме у сфері захисту прав національних меншин та негативно вплине на діяльність Верховної Ради в цьому напрямі в цілому [55, С.56].</w:t>
      </w:r>
    </w:p>
    <w:p w:rsidR="00000000" w:rsidDel="00000000" w:rsidP="00000000" w:rsidRDefault="00000000" w:rsidRPr="00000000" w14:paraId="0000008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необхідність більш ретельного підходу до визначення юридичних підвалин процесу захисту прав національних меншин закликає вітчизняна дослідниця Є. Томашевська. Аналізуючи досвід спроб ратифікації Україною Європейської Хартії регіональних мов або мов меншин, вона вказує на відсутність зв’язку між законотворчим процесом та профільними науковими дослідженнями етнічної структури українського суспільства. Так, зокрема, до переліку мов меншин, які держава брала на себе обов’язок захищати, потрапили «єврейська» (незрозуміло, чи йдеться про ідиш чи про іврит), «молдовська» (за визначенням фахівців – це лише діалект румунської), «грецька» (існує у вигляді діалектів, поєднаних загальним поняттям «новогрецька» мова) тощо [49, С.156]. Традиційними вже були спекуляції навколо статусу російської мови тощо. Дослідниця звертає увагу також і на те, що в Україні після 2001 року не проводилися Всеукраїнські переписи населення, не існує достеменної етнографічної мапи регіонів країни, відсутнє чітке понятійне розмежування «національності», «нації», «національної меншини» тощо. Все це не лише негативно впливає на якість законів, на підставі яких має здійснюватися процес захисту прав національних меншин, але й провокує процеси політизації етнічності в країні, стимулює сепаратистські тенденції та зовнішнє втручання у справи України інших держав.</w:t>
      </w:r>
    </w:p>
    <w:p w:rsidR="00000000" w:rsidDel="00000000" w:rsidP="00000000" w:rsidRDefault="00000000" w:rsidRPr="00000000" w14:paraId="0000008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Піддаючи ретельному аналізу еволюцію етнополітики України в справі захисту прав меншин, вітчизняний дослідник та правозахисник В. Ліхачов констатує непослідовність цього процесу. По-перше, за його діагнозом, ухваливши профільний закон «Про національні меншини» у 1992 р., українська держава фактично втратила інтерес до цієї проблеми. Внаслідок чого відбулася певна деградація системи управління етнічними процесами, а етап початку деколонізації (2017 – 2019 рр.) взагалі характеризувався «значним зниженням стандартів задоволення етнокультурних потреб національних меншин у цілому» [35, С.4]. Зокрема, новації закону «Про освіту» у першій редакції призвели фактично до повного припинення надання освітніх послуг мовами національних меншин, хоч і подавалися елітою країни в якості необхідного заходу захисту державного статусу української мови. Після зауважень з боку Венеційської комісії, в грудні 2023 року були ухвалені зміни до закону. Вони дозволили надання освітніх послуг мовами національних меншин, чиї мови є мовами народів Європейського Союзу. Але в такий спосіб був порушений принцип рівності перед законом і представники російської меншини в країні опинилися в статусі фактичної дискримінації [35, С.5]. В цілому дослідник характеризує еволюцію політики української держави на вимоги Венеційської комісії в іронічний спосіб, порівнюючи це з стадіями реакції психіки людини на виклики об’єктивної дійсності: «заперечення, криза, прийняття».</w:t>
      </w:r>
    </w:p>
    <w:p w:rsidR="00000000" w:rsidDel="00000000" w:rsidP="00000000" w:rsidRDefault="00000000" w:rsidRPr="00000000" w14:paraId="0000008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Звертаючись до проблем захисту прав національних меншин в Україні, О. Ляшенко констатує, що найбільш політизованим в цьому відношенні є міжнародні аспекти зносин України з такими державами, як Росія, Угорщина, Словаччина і, в меншому ступені, Польща. Автор зазначає, що якщо польська національна меншина цілком конструктивно інтегрована до соціальної тканини українського суспільства, то, наприклад, угорська громада в Закарпатті внаслідок політики своєї історичної Батьківщини опинилася в ролі агента по збереженню ідеї та просування проєкту «Великої Угорщини». Саме внаслідок цього Угорщина здійснює різноманітний вплив на зовнішню та внутрішню політику України з намаганням просувати свої в першу чергу геополітичні інтереси. В свою чергу, Росія відверто використала факт присутності російської національної меншини в деяких регіонах нашої країни для просування своїх експансіоналістських інтересів і виправдання анексії територій [37, С.144]. Автор робить висновок про те, що політизація національних меншин в Україні і надалі буде позначатися на зовнішніх відносинах нашої країни та з метою нормалізації потребуватиме консолідації зусиль вітчизняних законодавців та дипломатів [37, С.159].</w:t>
      </w:r>
    </w:p>
    <w:p w:rsidR="00000000" w:rsidDel="00000000" w:rsidP="00000000" w:rsidRDefault="00000000" w:rsidRPr="00000000" w14:paraId="0000008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потребі реконцептуалізації етнополітики української держави в справі захисту прав національних меншин наголошує І. Кресіна. З її точки зору, основною формулою такої трансформації логіки діяльності держави в цьому напрямі є етнокультурна автономія меншин до якої на добровільних засадах та в індивідуальний спосіб може приєднатися будь-який громадянин України, який позиціонує себе як член конкретної етнічної спільноти [32, С.205 – 206]. Дослідниця зазначає, що саме етнокультурна автономія, яка пов’язана зі збереженням мовних, культурних, ідентитарних особливостей конкретної спільноти, є найбільш прийнятною в умовах України, яка потерпає від спекуляцій сусідніх держав (Росії, Угорщини, Румунії) щодо «захисту прав їхніх співвітчизників», адже не передбачає створення окремих територіально-адміністративних одиниць для національних меншин. Останні, на думку І. Кресіної, можуть постати (вже постали) базою для сепаратистських тенденцій [32, С.209 – 210].</w:t>
      </w:r>
    </w:p>
    <w:p w:rsidR="00000000" w:rsidDel="00000000" w:rsidP="00000000" w:rsidRDefault="00000000" w:rsidRPr="00000000" w14:paraId="0000008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дослідниці, в Україні склалися об’єктивні передумови для ухвалення профільного Закону «Про етнокультурну автономію», який, окрім іншого, має передбачати створення реєстру представників етнокультурних спільнот країни та визначати дієві засоби та канали реалізації їхніх мовних та культурних прав. Центральним принципом такого реєстру має бути принцип добровільності громадян України щодо приєднання до органів самоорганізації національних меншин та декларування своєї подвійної – політичної та етнокультурної – ідентичності.</w:t>
      </w:r>
    </w:p>
    <w:p w:rsidR="00000000" w:rsidDel="00000000" w:rsidP="00000000" w:rsidRDefault="00000000" w:rsidRPr="00000000" w14:paraId="0000008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комплексність проблеми захисту прав національних меншин звертає увагу й український дослідник К. Вітман. Він демонструє, що політизація етнічності в таких районах компактного проживання національних меншин, як зокрема Закарпаття, стосується не лише питань реалізації мовних прав міноритарних спільнот, але й проведення в Україні реформ децентралізації та адміністративно-територіального устрою. Зокрема, К. Вітман вказує на загрози етносепаратизму, які могли б виникнути внаслідок реалізації плану правлячої на сьогодні в Україні еліти щодо укрупнення районів в місцях компактного проживання угорської меншини Закарпаття та утворення єдиного Берегівського району, в якому були б об’єднані всі угорські населені пункти [12, С.204 – 205]. Дослідник звертає увагу на те, що сама логіка реформи децентралізації, орієнтована на створення об’єднаних територіальних громад та утворення на їх основі адміністративних одиниць, об’єктивно надає юридичні підстави для активізації питань про автономію угорців в даному регіоні. На разі дане питання не отримало зрозумілою відповіді з боку політичного класу України і залишається актуальним викликом для внутрішньополітичного процесу та зовнішньополітичних зносин із Угорщиною.</w:t>
      </w:r>
    </w:p>
    <w:p w:rsidR="00000000" w:rsidDel="00000000" w:rsidP="00000000" w:rsidRDefault="00000000" w:rsidRPr="00000000" w14:paraId="0000009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Піддаючи критиці український Закон «Про корінні народи», К. Вітман стверджує, що саме поняття включене до вітчизняного правового простору не критично, з порушенням логіки застосування відповідного поняття в світовій практиці, де ним зазвичай позначають спільноти, які зберігають у сучасних умовах племінний спосіб життя та не зазнали суттєвої «модернізації» своїх суспільно-економічних структур та відносин. Відповідно, по відношенню до таких спільнот України, як кримські татари, кримчаки та караїми К. Вітман пропонує застосовувати інше поняття – «автохтонна національна меншина» [13, С.232].</w:t>
      </w:r>
    </w:p>
    <w:p w:rsidR="00000000" w:rsidDel="00000000" w:rsidP="00000000" w:rsidRDefault="00000000" w:rsidRPr="00000000" w14:paraId="0000009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переконатися із викладу матеріалу підрозділу, вітчизняне наукове співтовариство приділяє багато уваги проблемі захисту прав національних меншин в українському законодавстві та в етнополітиці держави. Спільним для переважної частини дослідників є критичний погляд на якість та дієву спроможність вітчизняного профільного законодавства та інституційне оформлення етнополітики. На жаль, до рекомендацій науковців у справі поліпшення політики держави у справі захисту прав національних меншин урядовці дослухаються дише в поодиноких випадках.</w:t>
      </w:r>
    </w:p>
    <w:p w:rsidR="00000000" w:rsidDel="00000000" w:rsidP="00000000" w:rsidRDefault="00000000" w:rsidRPr="00000000" w14:paraId="00000092">
      <w:pPr>
        <w:spacing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9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1.2 Організаційна інфраструктура захисту прав національних меншин</w:t>
      </w: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Акцентуючи увагу на тому, що справа захисту прав національних меншин на сьогодні сприймається світовою демократичною спільнотою як неодмінна складова глобальної боротьби за права людини, авторка даної кваліфікаційної роботи вважає за потрібне продемонструвати доволі розгалужену міжнародну інфраструктуру, створену з цією метою.</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повоєнному світі першість у справі захисту прав людини та національних меншин зокрема належить такій організації, як ООН.</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Відповідно до структури Організації Об’єднаних Націй, провідними інституціями в її складі, які опікуються справою захисту прав міноритарних груп є: Управління Верховного комісару ООН з прав людини. Розташована організаційно в Женеві, управління має свої регіональні офіси по всьому світові і відповідає за глобальний моніторинг із дотримання прав людини у країнах-підписантах Статут ООН. Саме на цій підставі здійснюється (в разі потреби) інтелектуальний супровід миротворчим місіям Організації, в разі, якщо ухвалюється рішення про силовий сценарій розв’язання конфліктних ситуацій. Верховний комісар має належні повноваження, які дозволяють йому проводити розслідування випадків порушення прав людини, зокрема – членів національних меншин [11].</w:t>
      </w:r>
    </w:p>
    <w:p w:rsidR="00000000" w:rsidDel="00000000" w:rsidP="00000000" w:rsidRDefault="00000000" w:rsidRPr="00000000" w14:paraId="0000009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профільним органом ООН, який відповідає за захист прав людини є Рада з прав людини ООН. Це міжурядовий орган країн членів Організації до складу якого входять представники 47 держав, які взяли на себе повноваження щодо моніторингу та захисту прав людини по всьому світові. Засідання Ради відбуваються протягом поточного календарного року та забезпечують сталість та системність контролю ООН за глобальним станом прав людини в країнах-членах.</w:t>
      </w:r>
    </w:p>
    <w:p w:rsidR="00000000" w:rsidDel="00000000" w:rsidP="00000000" w:rsidRDefault="00000000" w:rsidRPr="00000000" w14:paraId="0000009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Інструментальні функції щодо попередження порушень прав людини належать, зокрема Спеціальним радникам із запобігання геноциду, які покликані вести не лише контрольну, але й просвітницьку роботу серед членів ООН з метою недопущення виникнення такої соціальної практики по відношенню до різноманітних меншин, як геноцид [41]. </w:t>
      </w:r>
    </w:p>
    <w:p w:rsidR="00000000" w:rsidDel="00000000" w:rsidP="00000000" w:rsidRDefault="00000000" w:rsidRPr="00000000" w14:paraId="0000009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комітет» ООН зосереджений на вирішенні соціальних, гуманітарних питань та питань культури. Саме на його розгляд передає питання, пов’язані із дотриманням прав людини в сфері культури, Генеральна Асамблея ООН. Як правило, протягом року Комітет заслуховує більш, ніж 50 доповідей запрошених експертів, спостерігачів, свідків щодо окремих питань, пов’язаних із порушенням прав людини в культурній та соціальній сфері [41].</w:t>
      </w:r>
    </w:p>
    <w:p w:rsidR="00000000" w:rsidDel="00000000" w:rsidP="00000000" w:rsidRDefault="00000000" w:rsidRPr="00000000" w14:paraId="0000009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правило, до кола уваги Комітету потрапляють наступні питання: покращення становища жінок, захист дітей, питання корінних народів світу, поводження з біженцями, заохочення основних свобод шляхом ліквідації расизму та расової дискримінації, право на самовизначення. У вирішенні циx питань Комітет активно співпрацює з Комісією з прав людини, Підкомісією із запобігання дискримінації та захисту меншин [41].</w:t>
      </w:r>
    </w:p>
    <w:p w:rsidR="00000000" w:rsidDel="00000000" w:rsidP="00000000" w:rsidRDefault="00000000" w:rsidRPr="00000000" w14:paraId="0000009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результат визначення світових стандартів із дотримання прав людини, зокрема на збереження своєї етнокультурної приналежності та відповідної ідентичності, ООН та її спеціалізовані органи за останні 80 років підготували наступні фундаментальні документи: «Загальна декларація прав людини», «Конвенція про запобігання геноцидові та покарання за нього», «Міжнародна конвенція про ліквідацію всіх форм расової дискримінації», «Міжнародний пакт про економічні, соціальні та культурні права», «Декларація про ліквідацію всіх форм нетерпимості та дискримінації на ґрунті релігій чи переконань» тощо [14; 20; 41]. </w:t>
      </w:r>
    </w:p>
    <w:p w:rsidR="00000000" w:rsidDel="00000000" w:rsidP="00000000" w:rsidRDefault="00000000" w:rsidRPr="00000000" w14:paraId="0000009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На європейському континенті провідна роль у моніторингу та забезпеченню дотримання прав людини належить ОБСЄ. </w:t>
      </w:r>
      <w:r w:rsidDel="00000000" w:rsidR="00000000" w:rsidRPr="00000000">
        <w:rPr>
          <w:rFonts w:ascii="Times New Roman" w:cs="Times New Roman" w:eastAsia="Times New Roman" w:hAnsi="Times New Roman"/>
          <w:sz w:val="28"/>
          <w:szCs w:val="28"/>
          <w:rtl w:val="0"/>
        </w:rPr>
        <w:t xml:space="preserve">Виникнувши в ході Наради з безпеки та співробітництва в Європі та внаслідок підписання Гельсінського заключного акту 1975 року, ОБСЄ покликано сприяти стабільності, миру та демократії через всеосяжну концепцію безпеки, яка охоплює політико-військовий, економічний, екологічний, а також людський вимір [19].</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Профільною структурою в цій організації виступає Верховний комісар у справах національних меншин. Відповідно до статуту, Верховний комісар у своєму функціонуванні зосереджений як раз на вивченні ситуації з правами людини, зокрема з правами меншин у конкретних державах і втручається у реальну політику цих держав в разі, якщо дійсно виявлені порушення європейських стандартів прав людини.</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Як зазначає офіційний ресурс ОБСЄ переважну більшість роботи Верховного комісару складає виявлення можливих джерел міжетнічної напруги, які загрожують виникнення конфліктів. Відповідно, Верховний комісар зосереджується на питаннях усунення причин етнічної напруженості та конфліктів [5]. </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Першим етапом втручання Верховного комісару до конфліктних ситуацій, які пов’язані із дотриманням чи недотриманням прав меншин, є надання національному уряду конкретної держави рекомендацій та порад щодо дотримання взятих раніше на себе зобов’язань. Не даремно, на підставі отриманої інформації та попереднього досвіду Верховний комісар та його офіс періодично видають Рекомендації та керівні принципи щодо ефективної участі національних меншин в соціальному та економічному житті. Останні такі рекомендації були оприлюднені у жовтні 2023 р. [6]. В них, зокрема зазначається, що національні уряди мають сприяти на добровільній основі залученню представників національних меншин до культурного та соціально-економічного життя конкретного національного суспільства. Одночасно з цим наголошується на принципах індивідуалізму в декларації приналежності людини до конкретної міноритарної групи. В економічному житті національні уряди закликають бути відкритими у проголошенні наявних у них ресурсів для реалізації прав національних меншин. Центральною лінією етнополітики національних урядів проголошується уникнення всіх форм дискримінації на національному підґрунті [6].</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Важливо, з огляду на українські реалії, що Рекомендації 2023 року наголошують на необхідності наявності в складі уряду або окремого міністерства, або спеціалізованого органу, який на науковій основі збирає належну інформацію щодо життя та потреб національних меншин та виробляє на цій підставі відповідну політику (Принцип 10 Порад) [6].</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Окремо наголошується, що уряди мають забезпечити адекватну участь національних меншин у процесі ухвалення рішень, які стосуються їхнього життя. При цьому вказується, що адекватне представництво інтересів національних меншин має бути створено на всіх «поверхах» політичної системи [6, р.25].</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 плані освіти національних меншин Рекомендації констатують, що: «Держави повинні створити системи освіти, включаючи професійно-технічне навчання, щоб забезпечити кожному рівний доступ до набуття навичок, необхідних для ефективної участі в економіці. Відповідні органи влади можуть розглянути можливість вжиття позитивних заходів для підтримки доступу до освіти та професійної підготовки для осіб, які належать до національних меншин, та розширити їхню участь в економіці, особливо для молоді та жінок, національних меншин» [6, р.39].</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Окрім моніторингу ситуації на видання Рекомендацій, Верховний комісар може надавати урядам або окремим національним колективам структурну підтримку через невеликі спільні проєкти, спрямовані на досягнення стійкості шляхом підвищення місцевої відповідальності.</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своїй діяльності щодо захисту прав національних меншин на Європейському континенті, Верховний комісар ОБСЄ діє у своєрідному тандемі із Радою Європи. Одним із наочних результатів їхньої діяльності стала Рамкова конвенція про захист національних меншин. За визначенням експертного середовища, ця Конвенція стала першим міжнародним договором щодо захисту прав національних меншин. Так само, як і в основі діяльності ООН та ОБСЄ вона має своїм осереддям відмові всіх держав – підписантів від політики асиміляції та геноциду по відношенню до національних меншин, які проживають на їх території. Країни-підписанти беруть на себе зобов’язання зберігати ідентичність та культурну своєрідність національних меншин (релігію, мову, традиції та культурну спадщину) [10].</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Важливими аспектами Конвенції є наголос на тому, що факт приналежності до конкретної меншини встановлюється конкретною людиною індивідуально і не може бути актом примусу. З іншого блоку, національні колективи як традиційні для даної місцевості громади мають право на використання своїх мов у соціальних практиках і на утворення своїх недержавних закладів освіти. На додаток до цього, відповідно до Конвенції, національні меншини отримали право на транскордонні контакти зі своїми етнічним родичами та історичними Батьківщинами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[10].</w:t>
      </w:r>
      <w:r w:rsidDel="00000000" w:rsidR="00000000" w:rsidRPr="00000000">
        <w:rPr>
          <w:rtl w:val="0"/>
        </w:rPr>
      </w:r>
    </w:p>
    <w:p w:rsidR="00000000" w:rsidDel="00000000" w:rsidP="00000000" w:rsidRDefault="00000000" w:rsidRPr="00000000" w14:paraId="000000A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вже зазначалося в попередньому підрозділі, дух і букву європейського розуміння стандартів захисту прав національних меншин висловлює ухвалена Радою Європи «Європейська хартія регіональних мов або мов меншин». Постаючи як свого роду договір між державами-учасницями Ради Європи, ця Хартія задає спільні стандарти в наданні допомоги з боку держав тим міноритарним групам, які знаходяться в стані зникнення або популяційного, або у вимірі використання їхніх мов. Сфера гарантій, які надаються таким меншинам – достатньо широка. Йдеться про можливості для мовлення у сфері освіти, судочинства, спілкування із адміністративними органами, засоби масової інформації тощо </w:t>
      </w:r>
      <w:r w:rsidDel="00000000" w:rsidR="00000000" w:rsidRPr="00000000">
        <w:rPr>
          <w:rFonts w:ascii="Times New Roman" w:cs="Times New Roman" w:eastAsia="Times New Roman" w:hAnsi="Times New Roman"/>
          <w:color w:val="000000"/>
          <w:sz w:val="28"/>
          <w:szCs w:val="28"/>
          <w:highlight w:val="white"/>
          <w:rtl w:val="0"/>
        </w:rPr>
        <w:t xml:space="preserve">[18].</w:t>
      </w:r>
      <w:r w:rsidDel="00000000" w:rsidR="00000000" w:rsidRPr="00000000">
        <w:rPr>
          <w:rtl w:val="0"/>
        </w:rPr>
      </w:r>
    </w:p>
    <w:p w:rsidR="00000000" w:rsidDel="00000000" w:rsidP="00000000" w:rsidRDefault="00000000" w:rsidRPr="00000000" w14:paraId="000000A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раз важливо підкреслити, що основними суб’єктами, які потрапляють під дію норм Хартії, є користувачі регіональних мов і мов меншин незалежно від їхньої етнічної приналежності.</w:t>
      </w:r>
    </w:p>
    <w:p w:rsidR="00000000" w:rsidDel="00000000" w:rsidP="00000000" w:rsidRDefault="00000000" w:rsidRPr="00000000" w14:paraId="000000A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дієвості реалізації норм Хартії, утворений Комітет експертів, який уважно аналізує сучасні загрози та виклики існуванню регіональним мовам на Європейському континенті. Так, наприклад, у 2022 році цей Комітет проаналізував вплив штучного інтелекту на просування регіональних мов у соціальному житті європейських країн. Експерти дійшли висновку, що додатки штучного інтелекту можуть сприяти щоденному використанню регіональних мов або мов меншин та підтримувати органи влади у їх просуванні відповідно до Хартії. Комітет експертів закликав держави сприяти включенню регіональних мов або мов меншин у дослідження та вивчення з метою підтримки розробки відповідних додатків, а також розробляти у співпраці з користувачами таких мов та приватним сектором структурований підхід до використання додатків у різних галузях, охоплених Хартією </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11</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A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справою захисту національних меншин від можливих дискримінаційних практик опікуються і інші структури Ради Європи. Так, наприклад, у 2023 році свої рекомендації щодо активного залучення до політичної участі молоді національних меншин оприлюднив Комітет Міністрів Ради Європи.</w:t>
      </w:r>
    </w:p>
    <w:p w:rsidR="00000000" w:rsidDel="00000000" w:rsidP="00000000" w:rsidRDefault="00000000" w:rsidRPr="00000000" w14:paraId="000000A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той факт, що в країнах Європи національні меншини живуть як компактно, так і дисперсно в межах конкретних адміністративно-територіальних одиниць (регіонів), свої рекомендації щодо принципів взаємодії органів самоорганізації національних меншин та органів місцевого та регіонального самоврядування розробляє і Конгрес місцевих та регіональних влад Ради Європи.</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ffffff" w:val="clear"/>
        <w:spacing w:after="150" w:before="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Важливим структурами Ради Європи, які надають реального виміру політиці захисту прав людини, є Європейський Суд з прав людини та Уповноважений з прав людини Ради Європи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в межах організації створюються профільні комітети, які власне і забезпечують спеціалізацію здійснюваної політики по напрямам. Так, наприклад, слід згадати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Керівний комітет з боротьби з дискримінацією, різноманітністю та інклюзивністю,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створений Комітетом міністрів у 2019 році. Цей Комітет надає консультаційну допомогу Раді Європи з профільних питань, включаючи запобігання та боротьбу зі злочинами на ґрунті ненависті, розпалюванням ненависті та дискримінацією за ознакою «раси», кольору шкіри, мови, релігії, національного/етнічного походження та сприяння міжкультурній інтеграції. До обов’язків Комітету входить також заохочення обмін досвідом, накопиченим у різних державах щодо уникнення різноманітних форм дискримінації, культурного обміну тощо. </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У 2021 році CDADI прийняв дослідження про активну політичну участь молоді з-поміж національних меншин, зібравши передовий досвід і сформулювавши рекомендації для держав.</w:t>
      </w:r>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Спільна для багатьох країн Європи проблема ромського етносі знайшла своє інституційне втілення у діяльності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Комітету експертів з питань рома та кочівників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(ADI-ROM), до сфери компетентності якого входять питання інтеграції ромського етносу в соціальні практики європейських країн. Тут основними об’єктами аналізу виступають положення національного законодавства, реальні приклади діяльності адміністративних органів щодо ромів. Матеріалом для аналізу виступають тематичні звіти національних урядів та візити контролерів на місця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AF">
      <w:pPr>
        <w:shd w:fill="ffffff" w:val="clear"/>
        <w:spacing w:after="165" w:before="28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Комітет експертів з міжкультурної інтеграції</w:t>
      </w:r>
      <w:r w:rsidDel="00000000" w:rsidR="00000000" w:rsidRPr="00000000">
        <w:rPr>
          <w:rFonts w:ascii="Times New Roman" w:cs="Times New Roman" w:eastAsia="Times New Roman" w:hAnsi="Times New Roman"/>
          <w:sz w:val="28"/>
          <w:szCs w:val="28"/>
          <w:rtl w:val="0"/>
        </w:rPr>
        <w:t xml:space="preserve"> (ADI-INT) діє під загальним керівництвом Керівного комітету боротьби з дискримінацією, різноманітністю та інклюзивністю (CDADI). Персоналу цього комітету доручено виконати такі завдання: розробка стратегій визначення основних принципів міжкультурної інтеграції; визначення принципів навчання національних урядів демократичним стандартам та методології міжкультурної інтеграції; стимулювання ініціатив на рівні національних урядів політиці багаторівневої міжкультурної інтеграції та управління культурним різноманіттям, в тому числі і в питаннях, які пов’язані із «новими мігрантами» </w:t>
      </w:r>
      <w:r w:rsidDel="00000000" w:rsidR="00000000" w:rsidRPr="00000000">
        <w:rPr>
          <w:color w:val="000000"/>
          <w:sz w:val="28"/>
          <w:szCs w:val="28"/>
          <w:highlight w:val="white"/>
          <w:rtl w:val="0"/>
        </w:rPr>
        <w:t xml:space="preserve">[2].</w:t>
      </w: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Комітет експертів з боротьби з розпалюванням ненависті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(ADI/MSI-DIS). Має особливе, з точки зору міграційних потоків, що посилюються в країнах Європи, значення щодо визначення рекомендацій по боротьбі з нетерпимістю та її пропагандою в межах реальних соціальних практик та в інформаційному середовищі зокрема. Практичним проявом діяльності Комітету стали, окрім іншого, Рекомендації 2022 року, ухвалені на засіданні </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Комітету міністрів у Туріні.</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Arial" w:cs="Arial" w:eastAsia="Arial" w:hAnsi="Arial"/>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161616"/>
          <w:sz w:val="28"/>
          <w:szCs w:val="28"/>
          <w:u w:val="none"/>
          <w:shd w:fill="auto" w:val="clear"/>
          <w:vertAlign w:val="baseline"/>
          <w:rtl w:val="0"/>
        </w:rPr>
        <w:t xml:space="preserve">Європейська комісія з боротьби з расизмом і нетерпимістю</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 (ЕКРН) робить важливий внесок у боротьбу з дискримінацією осіб, які належать до меншин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Загалом, окрім згаданих вже документів, ухвалених в межах діяльності Ради Європи, слід назвати:</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1. «Європейську конвенцію Про права людини» (її універсально застосовні індивідуальні права можуть також бути потрібні особам, що належать до національних меншин);</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2. «Європейську соціальну хартію» (захищає меншини у соціальній та економічній сферах);</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161616"/>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Справа експертної оцінки відповідності національного законодавства і реальних політичних практик європейським стандартам в сфері захисту прав людини і, в тому числі, прав національних меншин покладена на </w:t>
      </w:r>
      <w:r w:rsidDel="00000000" w:rsidR="00000000" w:rsidRPr="00000000">
        <w:rPr>
          <w:rFonts w:ascii="Times New Roman" w:cs="Times New Roman" w:eastAsia="Times New Roman" w:hAnsi="Times New Roman"/>
          <w:b w:val="0"/>
          <w:i w:val="1"/>
          <w:smallCaps w:val="0"/>
          <w:strike w:val="0"/>
          <w:color w:val="161616"/>
          <w:sz w:val="28"/>
          <w:szCs w:val="28"/>
          <w:u w:val="none"/>
          <w:shd w:fill="auto" w:val="clear"/>
          <w:vertAlign w:val="baseline"/>
          <w:rtl w:val="0"/>
        </w:rPr>
        <w:t xml:space="preserve">Європейську (Венеціанську) комісію за демократію через право. </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Утворена у 1990 р. 18 членами Ради Європи, на початковому етапі свого існування, Комісія відіграла важливу роль у визначенні конституційних принципів нових членів (переважно східноєвропейських держав, які тільки що вийшли із соціалістичного табору). На сьогоднішній момент, до Комісії приєдналися всі держави – члени Ради Європи, а сама вона у своїй природі перетворилася на широку міжнародну угоду, до якої приєдналися не лише європейські країни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Киргизстан, Чилі, Республіка Корея, Марокко, Алжир, Ізраїль, Перу, Бразилія, Туніс, США, Косово, Коста-Ріка, Канада). Таким чином, Комісія налічує 61 члена</w:t>
      </w: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 Європейська комісія, Бюро Демократичних Інститутів і Прав Людини ОБСЄ (ОБСЄ/БДІПЛ) та Організація Американських Держав регулярно беруть участь у пленарних засіданнях Венеціанської комісії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61616"/>
          <w:sz w:val="28"/>
          <w:szCs w:val="28"/>
          <w:u w:val="none"/>
          <w:shd w:fill="auto" w:val="clear"/>
          <w:vertAlign w:val="baseline"/>
          <w:rtl w:val="0"/>
        </w:rPr>
        <w:t xml:space="preserve">Як визначають засадничі документи Ради Європи,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 завданням Комісії є надання конституційної та правової допомоги, переважно, державам, які беруть участь у її діяльності. Комісія надає висновки на запит не лише держав, а й статутних органів Ради Європи та міжнародних організацій, які беруть участь у її роботі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сферу компетентності Комісії входить підготовка доповідей за наступними проблемами: функціонування демократичних інститутів та захист основних прав; вибори, референдуми та політичні партії, конституційне правосуддя.</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межах хвилі демократизації, яка охопила країни Східної Європи після розвалу соціалістичного табору, Комісія набула особливого статусу – почала виконувати роль незалежного від національних урядів форуму щодо обміну ідеями у правовій сфері. </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Статуту Комісії, вона складається із незалежних експертів, що мають відповідний досвід роботи в демократичних інституціях та мають високу репутацію як на національному, так і на міжнародному рівнях. До складу таких експертів залучаються як теоретики (викладачі права у провідних університетах), так і практики (судді верховних та конституційних судів, депутати національних парламентів). Ці експерти призначаються державами-членами Європейської Комісії на чотирирічний термін. З 2021 року Президентом комісії є Клер Базі Малорі (Франція)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організаційної структури, то вона складається із наступних елементів: Бюро Венеціанської комісії (Голова, три Віце-голови, чотири інші члени Бюро). Голова керує роботою Комісії. За межами пленарних сесій він чи вона приймає рішення від імені Комісії, за необхідності консультуючись із Бюро. Бюро зазвичай вирішує, чи приймати запити на думки у рамках термінової процедури. До складу Комісії також входять Спеціальний представник та три Почесні президенти. Бюро може також збиратися у складі Розширеного бюро разом із головами підкомісій. Такі засідання зазвичай проводять перед пленарною сесією.</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Підкомісії у складі Венеціанської комісії мають тематичний характер: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Основні права; Федеральна та регіональна держава; Міжнародне право; Захист національних меншин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своїй роботі Європейська комісія за демократію через право керується трьома базовими принципами європейської конституційної спадщини, що лежать в основі діяльності Ради Європи, а саме: демократією, захистом прав людини та верховенством закону. Ці три принципи знаходять практичну реалізацію в чотирьох сферах діяльності: Сприяння у сфері конституційного права; Вибори та референдуми; Співпраця з конституційними судами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28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Венеціанська комісія приймає висновки, висновки незалежних експертів, дослідження та керівні принципи в галузі захисту основних прав, включаючи, зокрема, свободу об'єднань, заборону дискримінації, свободу зборів, свободу вираження поглядів та свободу совісті та віросповідання. Крім того Комісія проводить профільні дослідження, оприлюднює доповіді та здійснює «транснаціональні» семінари.</w:t>
      </w:r>
    </w:p>
    <w:p w:rsidR="00000000" w:rsidDel="00000000" w:rsidP="00000000" w:rsidRDefault="00000000" w:rsidRPr="00000000" w14:paraId="000000BE">
      <w:pPr>
        <w:shd w:fill="ffffff" w:val="clear"/>
        <w:spacing w:after="0" w:line="360" w:lineRule="auto"/>
        <w:ind w:right="24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проведені Венеціанською комісією та її експертні висновки останніх років підтверджують її статус міжнародної структури. Крім того, дається взнаки провідний принцип функціонування Комісії: вона не виробляє штучні вимоги, перед державами-членами Ради Європи, а лише визначає невідповідність законодавчих практик власне національному законодавству. Якщо деталізувати, то об’єктами експертної активності Комісії в останнє десятиліття стали Вірменія та Азербайджан (виявлені порушення законодавчих норм в сфері свободи совісті та думки), Боснія та Герцеговина, Угорщина та Косово (виявлені порушення прав меншин та політичної опозиції). Зокрема, національними урядами цих держав творилися перешкоди на шляху набуття статусу юридичної особи органами самоорганізації національних меншин та релігійних громад, фіксувалися випадки образ на релігійному на національному підґрунті. Як результат, у червні 2014 року Комісія опублікувала Керівні принципи щодо правосуб'єктності релігійних громад або громад, які дотримуються певних переконань </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2</w:t>
      </w:r>
      <w:r w:rsidDel="00000000" w:rsidR="00000000" w:rsidRPr="00000000">
        <w:rPr>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0BF">
      <w:pPr>
        <w:shd w:fill="ffffff" w:val="clear"/>
        <w:spacing w:after="0" w:line="360" w:lineRule="auto"/>
        <w:ind w:right="24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ущемлення прав національних меншин в сфері освіти також потрапляли до кола уваги Венеціанської комісії. Так, зокрема, </w:t>
      </w:r>
      <w:r w:rsidDel="00000000" w:rsidR="00000000" w:rsidRPr="00000000">
        <w:rPr>
          <w:rFonts w:ascii="Times New Roman" w:cs="Times New Roman" w:eastAsia="Times New Roman" w:hAnsi="Times New Roman"/>
          <w:i w:val="0"/>
          <w:sz w:val="28"/>
          <w:szCs w:val="28"/>
          <w:rtl w:val="0"/>
        </w:rPr>
        <w:t xml:space="preserve">у 2017 році Комісія розглянула поправки до Закону про національну вищу освіту Угорщини 2011 року. Поправки запровадили суворіші вимоги до ліцензування та роботи іноземних університетів, що, зокрема, поставило під питання саме існування Центральноєвропейського університету (CEU), створеного та законно чинного в Угорщині протягом багатьох років. Згідно з висновком, запровадження без дуже вагомих підстав таких обмежувальних правил щодо вже чинних іноземних університетів, із серйозними правовими наслідками, були засуджені. Наприкінці рекомендувалося звільнити університети, що вже діють, від більшості нових вимог, які мали відверте дискримінаційне значення </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2</w:t>
      </w:r>
      <w:r w:rsidDel="00000000" w:rsidR="00000000" w:rsidRPr="00000000">
        <w:rPr>
          <w:color w:val="000000"/>
          <w:sz w:val="28"/>
          <w:szCs w:val="28"/>
          <w:highlight w:val="white"/>
          <w:rtl w:val="0"/>
        </w:rPr>
        <w:t xml:space="preserve">].</w:t>
      </w: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сфері захисту меншин Комісія, зокрема, розглянула участь національних меншин у прийнятті рішень, включаючи питання подвійного голосування для осіб, що належать до національних меншин (див. звіт 2008 року, питання про права негромадян та меншин ( Звіт про права негромадян та меншин, 2007) рік), а також, вже в 2001 році, питання про переважне ставлення до національних меншин з боку їхньої спорідненої держави (Звіт про переважне ставлення до національних меншин з боку їхньої спорідненої держави)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w:t>
      </w: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можна переконатися із матеріалу, наведеного в підрозділі, в сучасній Європі та в світі загалом створена достатньо розгалужена інституційна інфраструктура та правова база, яка покликана не лише визначати міжнародні стандарти в сфері захисту прав національних меншин, але також і забезпечувати їх реалізацію в практиці національних держав.</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Важливим аспектом проблеми, що розглядається в кваліфікаційній роботі, є особливий наголос міжнародної демократичної спільноти на тому, що захист прав національних меншин є невід’ємною складовою загального процесу захисту прав людини і не може розглядатися як монопольне право окремих держав. Одночасно робиться наголос, що приєднання конкретної держави до комплексі міжнародного законодавства в сфері захисту прав національних меншин є справою добровільною, а сам захист прав національних меншин не має призвести до дискримінації національної більшості або постати основою для сепаратизму та створювати загрозу для територіальної цілісності та суверенітету вже існуючих політичних систем.</w:t>
      </w:r>
    </w:p>
    <w:p w:rsidR="00000000" w:rsidDel="00000000" w:rsidP="00000000" w:rsidRDefault="00000000" w:rsidRPr="00000000" w14:paraId="000000C3">
      <w:pPr>
        <w:spacing w:line="360" w:lineRule="auto"/>
        <w:ind w:firstLine="567"/>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4">
      <w:pPr>
        <w:spacing w:line="360" w:lineRule="auto"/>
        <w:ind w:firstLine="567"/>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p>
    <w:p w:rsidR="00000000" w:rsidDel="00000000" w:rsidP="00000000" w:rsidRDefault="00000000" w:rsidRPr="00000000" w14:paraId="000000C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якості інтегральних висновків до розділу можуть бути наведені наступні:</w:t>
      </w:r>
    </w:p>
    <w:p w:rsidR="00000000" w:rsidDel="00000000" w:rsidP="00000000" w:rsidRDefault="00000000" w:rsidRPr="00000000" w14:paraId="000000C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Захист прав національних меншин є однією з умов побудови справді демократичного суспільства, ґрунтованого на принципах політичного та культурного плюралізму. Попри очевидність такої констатації, на практиці процес надання національним меншинам належного рівня гарантій збереження їхньої самобутності наштовхується на низку перешкод, породжених реаліями внутрішньої та зовнішньої політики, провадженої конкретними національними урядами. До таких перешкод слід віднести: ідеологічні орієнтації правлячих еліт, особливості політичних культур окремих суспільств, тактики та стратегії поведінки самих національних меншин, намагання урядів «історичних Батьківщин» національних меншин використовувати останніх в якості важелів впливу на інші суверенні держави тощо.</w:t>
      </w:r>
    </w:p>
    <w:p w:rsidR="00000000" w:rsidDel="00000000" w:rsidP="00000000" w:rsidRDefault="00000000" w:rsidRPr="00000000" w14:paraId="000000C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Згадані труднощі на шляху реалізації прав меншин потребують у належному рівні наукової рефлексії, що в українських умовах проявляється у сталому інтересі вітчизняних інтелектуалів до згаданої проблеми. Станом на сьогодні можна констатувати наявність в Україні експертного середовища, здатного надавати урядовцям належні консультативні послуги та здійснювати експертизу законотворчих ініціатив.</w:t>
      </w:r>
    </w:p>
    <w:p w:rsidR="00000000" w:rsidDel="00000000" w:rsidP="00000000" w:rsidRDefault="00000000" w:rsidRPr="00000000" w14:paraId="000000C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рівні міжнародних структур та організацій створена належна інфраструктура, яка не лише виробляє стандарти для реалізації етнополітики держав-членів, але й допомагає національним урядам виправляти помилки у законодавчих ініціативах, яки були ними допущені. Провідними структурами в цьому відношенні слід назвати ООН, ОБСЄ, Раду Європи. Саме в межах останньої функціонує Європейська (Венеціанська) комісія за демократію через право, яка виступає як провідний експерт в плані оцінки виконання Україною взятих на себе зобов’язань в межах Угоди про Асоціацію з ЄС. Рекомендації та зауваження Комісії, зроблені щодо вітчизняного законодавства в сфері освіти та прав національних меншин, детально розглядаються в наступному розділі.</w:t>
      </w:r>
    </w:p>
    <w:p w:rsidR="00000000" w:rsidDel="00000000" w:rsidP="00000000" w:rsidRDefault="00000000" w:rsidRPr="00000000" w14:paraId="000000C9">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A">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ІІ «ВІТЧИЗНЯНА ПРАКТИКА ЗАХИСТУ ПРАВ НАЦІОНАЛЬНИХ МЕНШИН: РЕТРОСПЕКТИВА ТА СУЧАСНИЙ СТАН»</w:t>
      </w:r>
    </w:p>
    <w:p w:rsidR="00000000" w:rsidDel="00000000" w:rsidP="00000000" w:rsidRDefault="00000000" w:rsidRPr="00000000" w14:paraId="000000CB">
      <w:pPr>
        <w:spacing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2.1 Національні меншини як об’єкт етнополітики української держави: визначення статусу</w:t>
      </w:r>
      <w:r w:rsidDel="00000000" w:rsidR="00000000" w:rsidRPr="00000000">
        <w:rPr>
          <w:rtl w:val="0"/>
        </w:rPr>
      </w:r>
    </w:p>
    <w:p w:rsidR="00000000" w:rsidDel="00000000" w:rsidP="00000000" w:rsidRDefault="00000000" w:rsidRPr="00000000" w14:paraId="000000C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даними останнього загально радянського перепису населення 1989 року, населення УРСР за своїми етнокультурними параметрами підходило під реалії класичних національних держав Європи. В його складі чисельно домінували представники української етнічної нації, у відсотковому вимірі 78% від усього масиву населення. Поряд із цим, до складу населення тоді ще радянської республіки входили представники більш, ніж 130 етнічних груп. До 1991 року питання щодо визначення їхнього статусу не стояло на порядку денному, адже реалізовувалася ідеологічна доктрина «радянського народу». Ситуація радикально змінилася після суверенізації України, яка розпочалася у 1990-му році та досягла свого логічного фіналу у вигляді проголошення незалежності у 1991 р. Саме в цей період вперше постала проблема визначення соціально-політичного та етнокультурного статусу неукраїнських національних груп, які проживали на території молодої держави.</w:t>
      </w:r>
    </w:p>
    <w:p w:rsidR="00000000" w:rsidDel="00000000" w:rsidP="00000000" w:rsidRDefault="00000000" w:rsidRPr="00000000" w14:paraId="000000C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Звертаючись до еволюції вітчизняного законодавства у сфері гарантій прав національних меншин та реалізації цього права на практиці, переважна більшість українських науковців критикує ефективність діяльності вітчизняних законотворців. Так, зокрема, в «Декларації прав національностей» українська держава з одного боку пообіцяла національним колективам країни досить широкі права аж до національно-територіальної автономії </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15</w:t>
      </w:r>
      <w:r w:rsidDel="00000000" w:rsidR="00000000" w:rsidRPr="00000000">
        <w:rPr>
          <w:color w:val="000000"/>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Проте вітчизняні законодавці плуталися у застосуванні таких понять, як: «національність», «національна меншина», «народ» тощо. Не були надані визначення змісту поняття «національна меншина» та не визначений перелік власне самих національних меншин країни, не проведена різниця між тими національними меншинами, які традиційно були представлені в соціальній структурі суспільства (на зразок молдован, євреїв, німців тощо) і тими національними меншинами, які з’явилися в історичній ретроспективі нещодавно (в’єтнамці, азербайджанці, турки-месхетинці тощо) [35; 22, С.143].</w:t>
      </w:r>
    </w:p>
    <w:p w:rsidR="00000000" w:rsidDel="00000000" w:rsidP="00000000" w:rsidRDefault="00000000" w:rsidRPr="00000000" w14:paraId="000000C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Прикметно, що, як це випливає із преамбули Декларації, українські законодавці спочатку брали явний курс на створення в Україні політичної (громадянської) нації, адже активно використовували формулювання «народ України», який на їх погляд складався із представників різних етнічних груп [15]. Документом визначалася рівність всіх громадян в їх політичних правах, містилися гарантії проти політики примусової асиміляції та дискримінації за національною ознакою тощо. Мовні гарантії, надані Декларацією, також були достатньо широкими. Національні меншини могли вільно використовувати свої мови в усіх соціальних сферах, зокрема і в освіті. На територіях компактного розселення національних меншин вони мали право вільно використовувати свою мову в офіційному діловодстві на рівні з українською. На думку авторки кваліфікаційної роботи, в цьому масиві гарантій, що містила в собі Декларація, явно простежуються певні наслідки тої політики коренізації, яка проводилася ранніми більшовістськими урядами в національних республіках початку 1920-х рр., зокрема і в Україні.</w:t>
      </w:r>
    </w:p>
    <w:p w:rsidR="00000000" w:rsidDel="00000000" w:rsidP="00000000" w:rsidRDefault="00000000" w:rsidRPr="00000000" w14:paraId="000000D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держава гарантувала також збереження пам’яток етнокультурної історії національних меншин, а також контакти із їхніми історичними Батьківщинами [15].</w:t>
      </w:r>
    </w:p>
    <w:p w:rsidR="00000000" w:rsidDel="00000000" w:rsidP="00000000" w:rsidRDefault="00000000" w:rsidRPr="00000000" w14:paraId="000000D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плином часу певні гарантії, надані національним меншинам, зникали як це сталося, наприклад, з позицією про національно-територіальну автономію, яка вже не згадується в законі «Про національні меншини» в редакції 1992 р. [22]. Закон у своїх засадничих термінах сполучав цілком зрозумілі для міжнародної юридичної практики та законодавства поняття «національна меншина» і незрозумілу конструкцію «національність», що вносило певний хаос у застосування його норм в українських реаліях. Положення статті 3 дає підстави припускати, що під «національністю» вітчизняний законодавець мав, очевидно, на увазі етнічність, як комплекс ознак традиційної матеріальної та духовної культури громадянина, який відрізняє його від аналогічних параметрів інших громадян (соціальних груп) представлених у структурі населення країни [22].</w:t>
      </w:r>
    </w:p>
    <w:p w:rsidR="00000000" w:rsidDel="00000000" w:rsidP="00000000" w:rsidRDefault="00000000" w:rsidRPr="00000000" w14:paraId="000000D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 згадувався «центральний орган влади», створюваний Президентом, для здійснення етнополітики держави. Крім того, місцеві ради мали повноваження створювати відповідні структурні підрозділи у своєму складі з метою вирішення проблем національних меншин (стаття 5) [22].</w:t>
      </w:r>
    </w:p>
    <w:p w:rsidR="00000000" w:rsidDel="00000000" w:rsidP="00000000" w:rsidRDefault="00000000" w:rsidRPr="00000000" w14:paraId="000000D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Стаття 6 гарантувала національним меншинам право отримувати освіту рідною мовою в державних освітніх закладах або через інші освітні структури.</w:t>
      </w:r>
    </w:p>
    <w:p w:rsidR="00000000" w:rsidDel="00000000" w:rsidP="00000000" w:rsidRDefault="00000000" w:rsidRPr="00000000" w14:paraId="000000D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Норми закону передбачали підготовку державою педагогічних кадрів для національних меншин або через відповідні заклади України, або через міжурядові угоди на території інших країн.</w:t>
      </w:r>
    </w:p>
    <w:p w:rsidR="00000000" w:rsidDel="00000000" w:rsidP="00000000" w:rsidRDefault="00000000" w:rsidRPr="00000000" w14:paraId="000000D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Національні меншини отримали належні гарантії щодо кар’єрного зростання в органах влади, силових структурах країни. Законодавчо було закріплено право національних меншин зберігати національні особливості написання імен в документах, що засвідчують особу.</w:t>
      </w:r>
    </w:p>
    <w:p w:rsidR="00000000" w:rsidDel="00000000" w:rsidP="00000000" w:rsidRDefault="00000000" w:rsidRPr="00000000" w14:paraId="000000D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підкреслювалося, що у разі суперечності норм вітчизняного та міжнародного (ратифікованого) законодавства, першість у правозастосуванні мають саме міжнародні норми (стаття 19) [22].</w:t>
      </w:r>
    </w:p>
    <w:p w:rsidR="00000000" w:rsidDel="00000000" w:rsidP="00000000" w:rsidRDefault="00000000" w:rsidRPr="00000000" w14:paraId="000000D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одним аспектом еволюції вітчизняних правових гарантій національним меншинам є відсутність комплексного бачення законотворцями того, яким власне спільнотам надаються колективні права. Яскравий приклад в цьому демонструє Конституція України, в який стаття 10 згадує «корінні народи». Конкретизація цього поняття була забута майже на 20 років. У суперечку із нормами Основного Закону входять і більш пізні новації законодавства про освіту, адже статті 11 та 54 Конституції гарантують національним меншинам право на отримання освіти своїми мовами без можливого обмеження цих прав законотворчими актами нижчого рівня [35].</w:t>
      </w:r>
    </w:p>
    <w:p w:rsidR="00000000" w:rsidDel="00000000" w:rsidP="00000000" w:rsidRDefault="00000000" w:rsidRPr="00000000" w14:paraId="000000D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політизацію викликали і особливі гарантії, надані російській національній меншині Конституцією країни (зокрема статтею 10). Новації, пов’язані зі звуженням сфери використання російської мови в сучасних практиках, сприймаються представниками цієї меншини як відверта дискримінація і створюють передумови для зовнішньополітичних спекуляцій з боку Російської Федерації [35, С.8].</w:t>
      </w:r>
    </w:p>
    <w:p w:rsidR="00000000" w:rsidDel="00000000" w:rsidP="00000000" w:rsidRDefault="00000000" w:rsidRPr="00000000" w14:paraId="000000D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Вище вже йшлося про приклади того, як вітчизняний законодавець не розуміє духу та букви закону в справі ратифікації комплексу профільного законодавства у захисті прав національних меншин. Згадана вже «Європейська Хартія регіональних мов або мов меншин» в українському ратифікованому з другої спроби варіанті містила в собі перелік мов, які не потребували у захисті через свою розповсюдженість та представленість в соціальних практиках (російська), або тих, які не існували як самостійні системи комунікації та носії етнокультурної інформації (грецька, єврейська тощо) [23; 31, С.270].</w:t>
      </w:r>
    </w:p>
    <w:p w:rsidR="00000000" w:rsidDel="00000000" w:rsidP="00000000" w:rsidRDefault="00000000" w:rsidRPr="00000000" w14:paraId="000000D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Помітною вадою українського законодавства в сфері захисту прав національних меншин є його порівняно слабкий зв'язок із наукою та відставання в часі від реальних соціокультурних та політичних перетворень. Так, як це вже зазначалося авторкою кваліфікаційної роботи вище, для справді наукового та ефективного провадження політики управління етнополітичними та етнокультурними процесами треба спиратися на об’єктивні дані щодо основних параметрів етнокультурності конкретного суспільства. Українські урядовці, на жаль, вже пропустили 20 років, протягом яких вони могли отримали дані для управління етнокультурною та політичною реальністю нашої країни. Йдеться про два тури Всеукраїнського перепису, які були відкладені через різноманітні, часто – умовно об’єктивні причини. Як наслідок, профільні політичні інститути, покликані здійснювати не лише етнонаціональну, але й будь які інші різновиди внутрішньої політики, не мають об’єктивної, науково перевіреної інформації, яка б могла допомогти задіювати технології прогнозування та моделювання ситуації в конкретній ділянці соціального життя. Відповідно, не йшлося про раціональну витрату коштів державного бюджету на проведення політики держави в конкретній сфері.</w:t>
      </w:r>
    </w:p>
    <w:p w:rsidR="00000000" w:rsidDel="00000000" w:rsidP="00000000" w:rsidRDefault="00000000" w:rsidRPr="00000000" w14:paraId="000000D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ж до відставання в часі, то, як справедливо зауважив В. Ліхачов, ухвалення Закону «Про корінні народи» в 2022 році з досить широкими гарантіями кримським татарам, кримчакам та караїмам не можна було реалізувати на практиці, адже починаючи з 2014 р. основний масив цих народів проживав на території анексованої Автономної Республіки Крим. Показовим в цьому відношенні є той факт, що станом на 2020 р. в Україні не було створено жодної школи із кримськотатарською мовою викладання [35, С.14].</w:t>
      </w:r>
    </w:p>
    <w:p w:rsidR="00000000" w:rsidDel="00000000" w:rsidP="00000000" w:rsidRDefault="00000000" w:rsidRPr="00000000" w14:paraId="000000D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таку низьку реактивність вітчизняних законотворців в сфері захисту прав національних меншин вплинула, зокрема, деградація інституційної інфраструктури держави в сфері провадження етнополітики. Як справедливо зауважують науковці, чиї статті були проаналізовані в попередньому розділі, якщо на початку 1990-х рр. в Україні існувало профільне Міністерство у справах національних меншин, то згодом внаслідок непродуманих трансформацій (які час від часу нагадували інституційну чехарду) статус державного інституту, який був покликаний опікуватися відповідною проблематикою, був зведений до державної служби, підпорядкованої Міністерству культури України [17]. Цілком зрозуміло, що нестача кадрів та фондів цієї служби негативно позначилася на функціоналі держави в цілому.</w:t>
      </w:r>
    </w:p>
    <w:p w:rsidR="00000000" w:rsidDel="00000000" w:rsidP="00000000" w:rsidRDefault="00000000" w:rsidRPr="00000000" w14:paraId="000000D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Ухвалений у 2023 р. Закон України «Про національні меншини (спільноти)» мав на собі відбиток тих суттєвих трансформацій, через які пройшло українське суспільство протягом 30 років його існування [22]. </w:t>
      </w:r>
    </w:p>
    <w:p w:rsidR="00000000" w:rsidDel="00000000" w:rsidP="00000000" w:rsidRDefault="00000000" w:rsidRPr="00000000" w14:paraId="000000D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слід констатувати, що Закон (так само, як і раніше Конституція) оперує вже принципово відмінним від «Декларації національностей» поняттям – український народ замість «народ України». Така зміна порядку слів у центральному політичному терміні може розглядатися і як тривіальна неувага авторів, і як намагання оформити зміну формули етнополітики держави: з намагання створити політичну націю на намагання ствердити в країні модель взаємовідносин «етнічна українська нація – національні меншини – корінні народи».</w:t>
      </w:r>
    </w:p>
    <w:p w:rsidR="00000000" w:rsidDel="00000000" w:rsidP="00000000" w:rsidRDefault="00000000" w:rsidRPr="00000000" w14:paraId="000000D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Цілком незрозуміло, для чого в понятійному інструментарії Закону використовується тандемний термін «національна меншина (спільнота)». Чи йдеться про те, що вітчизняний законотворень відійшов від принципу, відповідно до якого приналежність до національної меншини є справою індивідуальною, а не «спільнотною»? [22].</w:t>
      </w:r>
    </w:p>
    <w:p w:rsidR="00000000" w:rsidDel="00000000" w:rsidP="00000000" w:rsidRDefault="00000000" w:rsidRPr="00000000" w14:paraId="000000E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іншого боку, важливим є введення часового та відсоткового параметру приналежності до національної меншини (не менш 100 років проживання на території України в її загальновизнаних державних кордонах та 10% від кількості населення в конкретному населеному пункті) (стаття 1 пункт 2) [22]. Але, викликає питання формулювання «на час збирання чи отримання такої інформації». Про що власне йдеться: про дані Всеукраїнського перепису? Поточну бюрократичну звітність? Звернення національної меншини (спільноти) до конкретного державного органу влади чи місцевого самоуправління?</w:t>
      </w:r>
    </w:p>
    <w:p w:rsidR="00000000" w:rsidDel="00000000" w:rsidP="00000000" w:rsidRDefault="00000000" w:rsidRPr="00000000" w14:paraId="000000E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Стаття 3 Закону згадує про «державну політику інтеграції», не конкретизуючи її зміст, але традиційно обіцяючи уникнення форм примусової асиміляції. Не менш симптоматичним є пункт 4 Закону, який проголошує, що: «Держава…</w:t>
      </w:r>
      <w:r w:rsidDel="00000000" w:rsidR="00000000" w:rsidRPr="00000000">
        <w:rPr>
          <w:rFonts w:ascii="Times New Roman" w:cs="Times New Roman" w:eastAsia="Times New Roman" w:hAnsi="Times New Roman"/>
          <w:color w:val="000000"/>
          <w:sz w:val="28"/>
          <w:szCs w:val="28"/>
          <w:highlight w:val="white"/>
          <w:rtl w:val="0"/>
        </w:rPr>
        <w:t xml:space="preserve">вживає заходів з метою досягнення у сферах економічного, соціального, політичного та культурного життя повної та справжньої рівності між особами, які належать до національних меншин (спільнот)</w:t>
      </w:r>
      <w:r w:rsidDel="00000000" w:rsidR="00000000" w:rsidRPr="00000000">
        <w:rPr>
          <w:rFonts w:ascii="Times New Roman" w:cs="Times New Roman" w:eastAsia="Times New Roman" w:hAnsi="Times New Roman"/>
          <w:sz w:val="28"/>
          <w:szCs w:val="28"/>
          <w:rtl w:val="0"/>
        </w:rPr>
        <w:t xml:space="preserve">» [22]. Ця норма, з точки зору авторки кваліфікаційної роботи, знаходиться у дисонансі із новаціями українського законодавства про освіту, де національні меншини, чиї мови належать до мов Європейського Союзу, знаходяться в іншому правовому статусі, ніж національні меншини, які не підпадають під даний критерій (Зокрема дискримінаційною є пункт 14 статті 10 Закону) [22].</w:t>
      </w:r>
    </w:p>
    <w:p w:rsidR="00000000" w:rsidDel="00000000" w:rsidP="00000000" w:rsidRDefault="00000000" w:rsidRPr="00000000" w14:paraId="000000E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Безумовним позитивом Закону є встановлення права відповідних регіональних органів виконавчої влади України утворювати консультативний Центр національних меншин (спільнот) з метою узгодження заходів державної етнополітики із запитами та інтересами відповідних національних колективів країни [22].</w:t>
      </w:r>
    </w:p>
    <w:p w:rsidR="00000000" w:rsidDel="00000000" w:rsidP="00000000" w:rsidRDefault="00000000" w:rsidRPr="00000000" w14:paraId="000000E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 передбачена можливість національним меншинам підтримувати історичні та культурні зв’язки зі своїми історичними Батьківщинами, а також включення представників національних меншин до урядових делегацій, що можна оцінити як позитивний захід у справі налагодження двох - і багатосторонніх зв’язків України, в тому числі у вирішенні спірних та конфліктних питань, пов’язаних із історичним минулим та політизацією національного питання як всередині країни, так і в сфері міжнародних зносин. Одночасно, національним меншинам України заборонено отримувати допомогу від окремих осіб, організацій чи держав, чия діяльність спрямована на дестабілізацію внутрішньої політики України, сепаратизацію окремих територій тощо [22].</w:t>
      </w:r>
    </w:p>
    <w:p w:rsidR="00000000" w:rsidDel="00000000" w:rsidP="00000000" w:rsidRDefault="00000000" w:rsidRPr="00000000" w14:paraId="000000E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власне профільного законодавства та відповідних йому дій української держави в справі захисту прав національних меншин, авторка кваліфікаційної роботи вважає за потрібне вказати на те, що на розвиток ситуації в цій сфері впливають й інші рішення вітчизняної еліти щодо управління соціальними процесами в нашій країні. Так, наприклад, реформа децентралізації та утворення об’єднаних територіальних громад, які вже позначилися на змінах низової ланки управління територіями (укрупнення районів та зменшення їхньої чисельності) не очікувано руба поставила питання політизації окремих національних меншин та втручання їхніх історичних Батьківщин до політичного життя України. Йдеться про те, що внаслідок зазначених перетворень в межах окремих областей України (зокрема – Закарпаття та Чернівецької області) в межах укрупнених районів опиняються населені пункти, в яких компактно проживають представники конкретних національних меншин (угорської та румунської відповідно). Це, в свою чергу, надає нового подиху намаганням місцевих еліт за підтримкою еліт історичних Батьківщин порушувати питання про етнокультурну або, навіть, етнотериторіальну автономію у межах зазначених районів. Як загальний підсумок це створює загрозливий прецедент для всієї країни в цілому, особливо на території етноконтактних районів і може постати як потенційна загроза територіальній цілісності держави, яка вже десять років знаходиться в стані війни з Російською Федерацією. Поки питання про відповідну автономізацію поставлено українським урядом «на стоп», але нагальності проблеми це не знімає.</w:t>
      </w:r>
    </w:p>
    <w:p w:rsidR="00000000" w:rsidDel="00000000" w:rsidP="00000000" w:rsidRDefault="00000000" w:rsidRPr="00000000" w14:paraId="000000E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Підбиваючи підсумок викладенню матеріалу підрозділу, слід констатувати, що профільне українське законодавство із захисту прав національних меншин має в цілому ліберальний характер. На рівні загальних декларацій національні меншини убезпеченні від політики примусової асиміляції та сегрегації. З іншого боку, беручи до уваги еволюцію законодавства протягом останніх 30 років, слід констатувати, що вітчизняним законодавцям не вдалося виправити зауваження, які висуваються експертною спільнотою до суто інструментальної складової правового визначення життєдіяльності національних меншин: не конкретизований механізм співвіднесення індивідом себе з конкретною національною меншиною, не визначений реєстр «традиційних» та «нових» для українського суспільства національних меншин. Не зрозумілим залишається використання в профільному законі поняття «національна меншина (спільнота)», не конкретизований зміст інтеграторської політики України, проголошеної в останній редакції Закону. Дослідники наголошують на конкретизації цього в «Концепції етнополітики України», чия необхідність обґрунтовується науковою спільнотою протягом останніх десятиліть.</w:t>
      </w:r>
    </w:p>
    <w:p w:rsidR="00000000" w:rsidDel="00000000" w:rsidP="00000000" w:rsidRDefault="00000000" w:rsidRPr="00000000" w14:paraId="000000E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також, що законодавчі новації в сфері етнополітики держави останніх років викликали неоднозначний резонанс з боку деяких історичних Батьківщин українських національних меншин (зокрема – Угорщини) та спричинили ряд критичних зауважень з боку Венеціанської комісії за демократію через право зважаючи на курс на євроінтеграцію, закріплений в Конституції нашої країни.</w:t>
      </w:r>
    </w:p>
    <w:p w:rsidR="00000000" w:rsidDel="00000000" w:rsidP="00000000" w:rsidRDefault="00000000" w:rsidRPr="00000000" w14:paraId="000000E7">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2.2 Правові та інституційні новації етнополітики України: оцінка Венеційської комісії, національна дискусія</w:t>
      </w:r>
      <w:r w:rsidDel="00000000" w:rsidR="00000000" w:rsidRPr="00000000">
        <w:rPr>
          <w:rtl w:val="0"/>
        </w:rPr>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Згадані у попередньому підрозділі законодавчі новації в сфері освіти та підвищення статусу української мови, до яких вдалася вітчизняна еліта в період між 2017 та 2023 роками, викликали суттєві зауваження з боку європейської спільноти. Першим під критичні зауваження потрапив Закон України «Про освіту» в редакції 2017 року. Визнаючи в цілому право України визначати засади власної освітньої політики, Венеціанська комісія за демократію через право одночасно зауважувала про те, що Закон містив в собі потенційні загрози щодо звуження мовних прав національних меншин. Зокрема йшлося про норми статті 7 нового Закону, яка не передбачала надання освітніх послуг мовами національних меншин у середній та вищій школах України [1; 7]. </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ffffff" w:val="clear"/>
        <w:spacing w:after="30" w:before="15"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підтверджують українські дослідники І. Кресіна та К. Вітман, Венеціанська комісія констатувала, що градація мов за правом використання, фактично встановлена законом «Про освіту», визначає різний обсяг прав груп населення, які користуються цими мовами та необґрунтовано проводить різницю між групами населення, чиї мови є «мовами ЄС» та такими, мови яких не належать до мов, що використовуються в ЄС. Тези Конституційного Суду України щодо геополітичних чинників, зокрема агресії Росії проти України, не були сприйняті Комісією як такі, що є задовільними, адже в правах вражалися саме громадяни України, а не громадяни країни агресора: «Комісія рекомендувала скасувати ієрархічний поділ за встановленим у Законі необ’єктивним критерієм, який не відповідає Європейській хартії та Рамковій конвенції про захист національних меншин» [31, С.278]. Дослідники констатують, що до такого само висновку при аналізі новацій українського законодавства в сфері освіти та захисту української мови дійшла і Моніторингова комісія ООН з прав людини «Закон встановлює необґрунтоване розмежування між офіційними мовами Європейського Союзу та іншими мовами меншин, надаючи першим перевагу» [31, С.278].</w:t>
      </w:r>
    </w:p>
    <w:p w:rsidR="00000000" w:rsidDel="00000000" w:rsidP="00000000" w:rsidRDefault="00000000" w:rsidRPr="00000000" w14:paraId="000000E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зазначає українська дослідниця В. Явір, принципово новий етап у політиці захисту прав національних меншин в Україні розпочався у 2022 р. коли наша країна отримала статус кандидата на вступ до ЄС. Окрім інших принципових вимог, які були висунуті перед нашою країною, була вимога привести вітчизняне профільне законодавство у відповідність до вимог та оцінок Венеціанської комісії. В найбільш загальному вигляді йшлося про наповнення реальним змістом норм щодо етнокультурної автономії, реалізації права індивіда по ідентифікації себе як частини конкретної національної меншини, творення реєстру національних меншин тощо [54, С.143]. </w:t>
      </w:r>
    </w:p>
    <w:p w:rsidR="00000000" w:rsidDel="00000000" w:rsidP="00000000" w:rsidRDefault="00000000" w:rsidRPr="00000000" w14:paraId="000000E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Конкретику цій політиці надає необхідність дотримання норм Рамкової конвенції Ради Європи про захист прав національних меншин. Найбільш політизованим в цьому відношення є забезпечення балансу між захистом статусу української мови як державної та забезпеченням використання мов національних меншин у соціальних сферах, що є гарантованим зокрема Конституцією України [54, С.144]. </w:t>
      </w:r>
    </w:p>
    <w:p w:rsidR="00000000" w:rsidDel="00000000" w:rsidP="00000000" w:rsidRDefault="00000000" w:rsidRPr="00000000" w14:paraId="000000E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оцінкою правозахисника В. Ліхачова, станом на початок 2024 року, Україна в своєму шляху до стандартів європейської політики із захисту прав національних меншин пройшла шлях від «імітації виконання побажань Венеційської комісії до суттєвих змін кінця 2023 року» [35, C.4]. Одночасно В. Ліхачов констатує важливий для розуміння сутності проблеми, яка розглядається в даній кваліфікаційній роботи, аспект. Справа в тому, що Венеціанська комісія, аналізуючи реалізацією Україною вимог для повноцінного членства в ЄС, не висуває перед нашою країною якихось особливих стандартів. Діяльність цієї Комісії побудована на принципі верховенства права і саме через призму дотримання вимог саме українського законодавства реальній практиці його реалізації Комісія оцінює стан речей [35, C.16].</w:t>
      </w:r>
    </w:p>
    <w:p w:rsidR="00000000" w:rsidDel="00000000" w:rsidP="00000000" w:rsidRDefault="00000000" w:rsidRPr="00000000" w14:paraId="000000E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зауваженням щодо мовного законодавства 2017 року Комісія наголосила на необхідності усунення потенційного дискримінаційного ставлення до мов меншин, рекомендувала забезпечити достатній рівень викладання офіційними мовами Європейського Союзу, підтримувати достатню частку освіти мовами меншин на початковому та середньому рівнях, підвищувати якість викладання державної мови, звільняти приватні школи від нових мовних вимог та вести діалог з представниками національних меншин. У зауваженнях 2019 року йшлося про необхідність спочатку ухвалити нову редакцію Закону про національні меншини і лише згодом вдаватися до нормування практик використання державної мови. Крім того, наголошувалося на необхідності виробітки реальних дієвих механізмів подання скарг та введення санкцій за порушення прописаних правил [35; 50].</w:t>
      </w:r>
    </w:p>
    <w:p w:rsidR="00000000" w:rsidDel="00000000" w:rsidP="00000000" w:rsidRDefault="00000000" w:rsidRPr="00000000" w14:paraId="000000E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оцінка українського правозахисника підтверджується самими змістом зауважень, зроблених Комісією. Зокрема, вони містять посилання на власне українське законодавство (цитуються статті Конституції, які забезпечують безперешкодне зростання, використання та захист мов, які належать групам національних меншин). Юристи Комісії нагадали вітчизняному законодавцю про ратифіковані державою міжнародні документи, які містять стандарти етнополітики, необхідні до виконання для країн – аспірантів: Рамкову конвенцію про захист національних меншин, Європейську хартію регіональних мов або мов меншин, відповідні статті Міжнародного пакту про цивільні та політичні про права людини (ЄКПЛ) [50].</w:t>
      </w:r>
    </w:p>
    <w:p w:rsidR="00000000" w:rsidDel="00000000" w:rsidP="00000000" w:rsidRDefault="00000000" w:rsidRPr="00000000" w14:paraId="000000F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Комплексному аналізу у 2023 р. були піддані і Закони України «Про національні меншини (спільноти)» та Закон про підтримку функціонування української мови як державної мови. Зокрема пропонована редакція Закону про національні меншини (спільноти) була розкритикована експертами Комісії як така, що не вносить принципових змін до практики дискримінації мов меншин в сфері освіти та публічного використання: «Новий Закон про національні меншини (громади) не вносить змін до законодавства про освіту та державну мову. Рекомендації, дані Венеціанською комісією у попередніх висновках у цій галузі, залишаються чинними в тій мірі, якою вони не були належним чином враховані у наступних спеціальних законах» [3; 8].</w:t>
      </w:r>
    </w:p>
    <w:p w:rsidR="00000000" w:rsidDel="00000000" w:rsidP="00000000" w:rsidRDefault="00000000" w:rsidRPr="00000000" w14:paraId="000000F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Комісії поставили під сумнів реальність та дієвість консультацій з представниками національних меншин щодо новацій до профільних законів та закликали українську владу вдаватися до міжнародно визнаних процедур та критеріїв оцінки ефективності даного процесу.</w:t>
      </w:r>
    </w:p>
    <w:p w:rsidR="00000000" w:rsidDel="00000000" w:rsidP="00000000" w:rsidRDefault="00000000" w:rsidRPr="00000000" w14:paraId="000000F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Окремі зауваження з боку експертів були висловлені до впровадження до української юридичної практики поняття «спільноти» по відношенню до національних меншин. Пояснення українських політиків щодо намагання уникнути «образливого» статусу поняття «меншина» не були прийняті як серйозні, з огляду на широку світову практику застосування цього поняття як у національному законодавстві, так і в комплексі міжнародних правових актів, до яких приєдналася в тому числі і Україна [3; 8].</w:t>
      </w:r>
    </w:p>
    <w:p w:rsidR="00000000" w:rsidDel="00000000" w:rsidP="00000000" w:rsidRDefault="00000000" w:rsidRPr="00000000" w14:paraId="000000F3">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точки зору фахівців Венеціанської комісії не коректним було виключення кримських татар, кримчаків та караїмів з переліку національних меншин у Законі України. Експерти Комісії зазначили, що український законодавець не коректно використовує поняття «корінний народ» по відношенню до зазначених етнічних колективів, адже в світовій практиці під корінним народом розуміються етнічні спільноти, які зберігають племінний спосіб життя. Крім того, визнання на офіційному рівні представницьких структур кримськотатарського народу і відсутність відповідних згадок про аналогічні органи кримчаків та караїмів створює нерівні умови у загальнодержавному статусі не лише у порівнянні національних меншин та корінних народів, але і серед корінних народів України зокрема [3; 8].</w:t>
      </w:r>
    </w:p>
    <w:p w:rsidR="00000000" w:rsidDel="00000000" w:rsidP="00000000" w:rsidRDefault="00000000" w:rsidRPr="00000000" w14:paraId="000000F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Комісії не привітали наявність в законі «Про національні меншини (спільноти)» статті, яка згадує пропаганду культури та символів країни-агресора. З точки зору фахівців Венеціанської комісії, даний сюжет жодним чином не має стосуватися національних меншин країни як її громадян. Тому було висловлена рекомендація перенести цей сюжет до кримінального законодавства. Аналогічно до прикінцевих положень Закону про національні меншини (спільноти) або взагалі до кримінального законодавства пропонувалося винести норми щодо заборони представників національних меншин підтримувати контакти з особами, організаціями чи країнами, які підривають територіальну цілісність та суверенітет України. Ця рекомендація пролунала з метою зменшення ймовірної міжетнічної напруги в країні в цілому [3; 8].</w:t>
      </w:r>
    </w:p>
    <w:p w:rsidR="00000000" w:rsidDel="00000000" w:rsidP="00000000" w:rsidRDefault="00000000" w:rsidRPr="00000000" w14:paraId="000000F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комісії зауважували в цілому на наявність в українському законі про національні меншини (спільноти) цілком правильних, але декларативних позицій. Зокрема йшлося про «ефективну участь» національних меншин у суспільно-політичному та економічному житті. Лунала порада зробити закон більш конкретним та інструментальним [3; 8].</w:t>
      </w:r>
    </w:p>
    <w:p w:rsidR="00000000" w:rsidDel="00000000" w:rsidP="00000000" w:rsidRDefault="00000000" w:rsidRPr="00000000" w14:paraId="000000F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Окремим сюжетом у зауваженнях Венеціанської комісії за демократію через право були мовні права національних меншин. Знов звернувши увагу українських законодавців на декларативність окремих положень, експерти констатували, що загальні мовні права меншин у редакції закону входять в суперечку з чинним законодавством – вони визнаються лише «тією мірою, якою це не суперечить закону». Йшлося про обмеження, які були накладені на національні меншини в Законі про державну мову від 16 липня 2019 року. Вони не були зняті Законом про національні меншини (спільноти). Симптоматично, що увага експертів була звернута на широку соціальну практику використання мов національних меншин. Зокрема, констатувалося, що положення щодо оприлюднення наукових результатів лише державною, або англійською та/або іншими офіційними мовами ЄС звужує академічну свободу та порушує право вільного висловлення думок [3; 8].</w:t>
      </w:r>
    </w:p>
    <w:p w:rsidR="00000000" w:rsidDel="00000000" w:rsidP="00000000" w:rsidRDefault="00000000" w:rsidRPr="00000000" w14:paraId="000000F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Постаючи як добре обізнані з українськими економічними реаліями, експерти Комісії справедливо зауважували на тому, що норма про фінансування державою мовлення мовами національних меншин, рівно як і задоволення потреб у книговиданні тощо навряд чи буде профінансовано в належному обсязі, що в свою чергу створить реальну загрозу реалізації етнокультурних прав національних меншин в нашій країні [3; 8].</w:t>
      </w:r>
    </w:p>
    <w:p w:rsidR="00000000" w:rsidDel="00000000" w:rsidP="00000000" w:rsidRDefault="00000000" w:rsidRPr="00000000" w14:paraId="000000F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саме зауваження були висловлені і по питанню використання мов меншин в сфері приватного бізнесу. На думу експертів Комісії жорсткі вимоги про обов’язковість використання державної мови в сфері просування та реклами продукту приватного бізнесу виступає додатковим заходом, який обмежує економічну ефективність. Зверталася увага, зокрема на тому, що відсутність винятку для мов меншин суперечить зобов'язанням України в рамках міжнародних рамок, таких як Рамкова конвенція та Хартія мов.</w:t>
      </w:r>
    </w:p>
    <w:p w:rsidR="00000000" w:rsidDel="00000000" w:rsidP="00000000" w:rsidRDefault="00000000" w:rsidRPr="00000000" w14:paraId="000000F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якості додаткового тягаря на сферу культури в цілому і на сферу культурних потреб національних меншин зокрема, була оцінена норма українського законодавства про обов’язків переклад або конферанс державною мовою культурних заходів тощо [3; 8].</w:t>
      </w:r>
    </w:p>
    <w:p w:rsidR="00000000" w:rsidDel="00000000" w:rsidP="00000000" w:rsidRDefault="00000000" w:rsidRPr="00000000" w14:paraId="000000F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систематично наголошували на тому, що рецензовані законодавчі новації містили в собі ряд термінів, тлумачення яких могло викликати різні інтерпретації та вносити, таким чином, викривлення у реалізацію етнополітики державою. Окрім вже згаданих автором кваліфікаційної роботи вище термінів, експерти звертали увагу на двозначність понять «традиційно проживають», «належна кількість», «реальні потреби», «спеціалізовані книгарні» тощо [3; 8].</w:t>
      </w:r>
    </w:p>
    <w:p w:rsidR="00000000" w:rsidDel="00000000" w:rsidP="00000000" w:rsidRDefault="00000000" w:rsidRPr="00000000" w14:paraId="000000F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критики з боку експертів стала декларативність Закону про можливість спілкування національних меншин рідними мовами з органами влади в Україні. Вітаючи в цілому це положення, європейські фахівці зауважили про те, що Закон не містить конкретизації цього положення, проте делегує право виробітки «методології» цього процесу Кабінету Міністрів України. В такий спосіб порушується фундаментальний принцип права – принцип правової визначеності: «Венеціанська комісія пропонує, щоб основні критерії використання мови були визначені у самому Законі та включали зобов'язання, прийняті відповідно до міжнародних конвенцій» [3; 8].</w:t>
      </w:r>
    </w:p>
    <w:p w:rsidR="00000000" w:rsidDel="00000000" w:rsidP="00000000" w:rsidRDefault="00000000" w:rsidRPr="00000000" w14:paraId="000000F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Юристи Комісії в цілому привітали норми українського законодавства щодо політики по відношенню до збереження регіональних мов. Але, на їхню думку, саме розуміння українським законодавцем процесу захисту не вірно поширюється на переважну кількість мов, представлених в соціальному просторі країни. Справа в тому, що українські законотворчі некритично ототожнили мови меншин з «регіональними». Крім того, не всі регіональні та мови меншин знаходяться під загрозою зникнення. Тож, була озвучена рекомендація уточнити мету захисту регіональних мов [3; 8].</w:t>
      </w:r>
    </w:p>
    <w:p w:rsidR="00000000" w:rsidDel="00000000" w:rsidP="00000000" w:rsidRDefault="00000000" w:rsidRPr="00000000" w14:paraId="000000F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2023 році, проаналізувавши зміни у критикованих раніше законах, Венеціанська комісія визнала, що Закон про загальну середню освіту, ухвалений у березні 2020 року, включає моделі освіти для національних меншин. Комісія також визнала рішення Конституційного суду від жовтня 2019 року, в якому йдеться, що Закон про освіту створив умови для реалізації прав національних меншин та корінних народів на вивчення рідної мови та здобуття освіти державною мовою незалежно від їхнього походження [3; 8].</w:t>
      </w:r>
    </w:p>
    <w:p w:rsidR="00000000" w:rsidDel="00000000" w:rsidP="00000000" w:rsidRDefault="00000000" w:rsidRPr="00000000" w14:paraId="000000F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Рухаючись в межах міжнародного законодавства, яке наголошує на повазі до суверенітету вже існуючих держав та визнання неприпустимим посягання на їх територіальну цілісність, Комісія поряд із цим наголосила на збереженні практики щодо можливості національних меншин впливати на збереження своєї етнокультурної присутності в просторі конкретної держави. По відношенню до України експерти радили зберегти практику повноважень органів місцевого самоврядування по розміщенню назв населених пунктів та інших топографічних об’єктів в їхньому історичному варіанті та мовами національних меншин, які проживають в межах конкретного локалітету [3; 8].</w:t>
      </w:r>
    </w:p>
    <w:p w:rsidR="00000000" w:rsidDel="00000000" w:rsidP="00000000" w:rsidRDefault="00000000" w:rsidRPr="00000000" w14:paraId="000000F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Проаналізовані законодавчі новації викликали відповідну реакцію з боку політизованих національних меншин України і, в першу чергу, угорців України. Лідери меншини (зокрема «Культурний альянс угорців Підкарпаття») наголошували на тому, щоб уряд України дослухався до рекомендацій Венеціанської комісії в плані реалізації мовних прав спільноти та активніше залучав уповноважених представників національних меншин до консультацій та провадження на практиці рекомендацій міжнародних експертів. Одночасно лідери угорської громади акцентували увагу на тому, що уряд України імітував процедуру консультацій із зацікавленими сторонами, а сама пропозиція щодо освітніх новацій була внесена до зали засідань Верховної Ради України в такі стислі терміни, що зацікавлені сторони не встигли повно ознайомитися зі змістом пропонованих перетворень.</w:t>
      </w:r>
    </w:p>
    <w:p w:rsidR="00000000" w:rsidDel="00000000" w:rsidP="00000000" w:rsidRDefault="00000000" w:rsidRPr="00000000" w14:paraId="0000010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загрозою призупинення процесу європейської інтеграції, уряд України розробив та запропонував на розгляд Верховній Раді України відповідні зміни до законів, які отримали зауваження з боку експертів Венеціанської комісії [</w:t>
      </w:r>
      <w:r w:rsidDel="00000000" w:rsidR="00000000" w:rsidRPr="00000000">
        <w:rPr>
          <w:rFonts w:ascii="Times New Roman" w:cs="Times New Roman" w:eastAsia="Times New Roman" w:hAnsi="Times New Roman"/>
          <w:sz w:val="28"/>
          <w:szCs w:val="28"/>
          <w:highlight w:val="white"/>
          <w:rtl w:val="0"/>
        </w:rPr>
        <w:t xml:space="preserve">21</w:t>
      </w:r>
      <w:r w:rsidDel="00000000" w:rsidR="00000000" w:rsidRPr="00000000">
        <w:rPr>
          <w:rFonts w:ascii="Times New Roman" w:cs="Times New Roman" w:eastAsia="Times New Roman" w:hAnsi="Times New Roman"/>
          <w:sz w:val="28"/>
          <w:szCs w:val="28"/>
          <w:rtl w:val="0"/>
        </w:rPr>
        <w:t xml:space="preserve">]. Зокрема, заклади освіти приватної власності отримали право для вибору учнями режиму навчання мовами ЄС. Одночасно вказувалося, що мовою освіти є державна мова.</w:t>
      </w:r>
    </w:p>
    <w:p w:rsidR="00000000" w:rsidDel="00000000" w:rsidP="00000000" w:rsidRDefault="00000000" w:rsidRPr="00000000" w14:paraId="0000010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законі «Про національні меншини (спільноти)» було уточнено положення статті 1 у визначенні засадничих термінів, зокрема – у визначенні національної меншини. Введені конкретні хронологічні детермінанти проживання національних меншин в межах населених пунктів. Із цього пункту була прибрана хронологічна межа по відношенню до народів/меншин, які зазнали примусової депортації [</w:t>
      </w:r>
      <w:r w:rsidDel="00000000" w:rsidR="00000000" w:rsidRPr="00000000">
        <w:rPr>
          <w:rFonts w:ascii="Times New Roman" w:cs="Times New Roman" w:eastAsia="Times New Roman" w:hAnsi="Times New Roman"/>
          <w:sz w:val="28"/>
          <w:szCs w:val="28"/>
          <w:highlight w:val="white"/>
          <w:rtl w:val="0"/>
        </w:rPr>
        <w:t xml:space="preserve">21</w:t>
      </w:r>
      <w:r w:rsidDel="00000000" w:rsidR="00000000" w:rsidRPr="00000000">
        <w:rPr>
          <w:rFonts w:ascii="Times New Roman" w:cs="Times New Roman" w:eastAsia="Times New Roman" w:hAnsi="Times New Roman"/>
          <w:sz w:val="28"/>
          <w:szCs w:val="28"/>
          <w:rtl w:val="0"/>
        </w:rPr>
        <w:t xml:space="preserve">]. Був встановлений відсотковий поріг для визнання компактності проживання національної меншини у межах конкретного населеного пункту (15%). </w:t>
      </w:r>
    </w:p>
    <w:p w:rsidR="00000000" w:rsidDel="00000000" w:rsidP="00000000" w:rsidRDefault="00000000" w:rsidRPr="00000000" w14:paraId="00000102">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Зберігалися жорсткі санкції по відношенню до використання мови країни-агресора [</w:t>
      </w:r>
      <w:r w:rsidDel="00000000" w:rsidR="00000000" w:rsidRPr="00000000">
        <w:rPr>
          <w:rFonts w:ascii="Times New Roman" w:cs="Times New Roman" w:eastAsia="Times New Roman" w:hAnsi="Times New Roman"/>
          <w:sz w:val="28"/>
          <w:szCs w:val="28"/>
          <w:highlight w:val="white"/>
          <w:rtl w:val="0"/>
        </w:rPr>
        <w:t xml:space="preserve">21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3">
      <w:pPr>
        <w:spacing w:line="360" w:lineRule="auto"/>
        <w:ind w:firstLine="56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Одночасно Кабінетом Міністрів України була розроблена «Методологію використання мов національних меншин (спільнот)» [28].</w:t>
      </w:r>
    </w:p>
    <w:p w:rsidR="00000000" w:rsidDel="00000000" w:rsidP="00000000" w:rsidRDefault="00000000" w:rsidRPr="00000000" w14:paraId="00000104">
      <w:pPr>
        <w:spacing w:line="360" w:lineRule="auto"/>
        <w:ind w:firstLine="567"/>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населених пунктах, в межах яких протягом останніх 100 років проживає не менше як 15% представників конкретної національної меншини, відповідно до рішення місцевих (сільських, селищних, міських рад) допускається використання в сфері суспільного життя відповідних мов. Йдеться про спілкування з органами влади, надання публічних послуг, зокрема – медичної допомоги, написання назв та табличках/вивісках тощо. Використання мов національних меншин допускається під час проведення культурних заходів, веденні передвиборчої агітації і т.ін. [28].</w:t>
      </w:r>
    </w:p>
    <w:bookmarkStart w:colFirst="0" w:colLast="0" w:name="bookmark=id.gjdgxs" w:id="0"/>
    <w:bookmarkEnd w:id="0"/>
    <w:p w:rsidR="00000000" w:rsidDel="00000000" w:rsidP="00000000" w:rsidRDefault="00000000" w:rsidRPr="00000000" w14:paraId="0000010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представники українського політикуму, які тяжіють до націоналістичних поглядів, оцінили зауваження Венеціанської комісії достатньо критично. Основним посилом зауважень, які надійшли до урядових ініціатив, викликаних висновками Венеціанської комісії, були звинувачення у згортанні політики по забезпеченню державного статусу української мови, дерусифікації та деколонізації українського суспільства [47]. Зокрема В. В’ятрович (народний депутат від партії «Європейська солідарність») звинуватив уряд у реваншистських настроях та поверненні фактично до норм, передбачених «Законом Ківалова – Колесниченка».</w:t>
      </w:r>
    </w:p>
    <w:p w:rsidR="00000000" w:rsidDel="00000000" w:rsidP="00000000" w:rsidRDefault="00000000" w:rsidRPr="00000000" w14:paraId="0000010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Уповноважений із захисту української мови Т.Кремінь висловив думку щодо того, що виконання рекомендацій Венеціанської комісії призведе до погіршення статусу української мови в певних сферах соціального життя [42].</w:t>
      </w:r>
    </w:p>
    <w:p w:rsidR="00000000" w:rsidDel="00000000" w:rsidP="00000000" w:rsidRDefault="00000000" w:rsidRPr="00000000" w14:paraId="0000010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загальної негативної оцінки новацій до профільного українського законодавства приєднався в народний депутат від фракції «Слуга народу», голова Комітету Верховної Ради України з питань гуманітарної та інформаційної політики М.Потураєв [47].</w:t>
      </w:r>
    </w:p>
    <w:p w:rsidR="00000000" w:rsidDel="00000000" w:rsidP="00000000" w:rsidRDefault="00000000" w:rsidRPr="00000000" w14:paraId="0000010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звести критичні зауваження до загальних положень, то центральне місце посідало обурення щодо зменшення квот на українську мову в діяльності ЗМІ різних форматів. Це, на думку критиків, призвело би до того, що приблизно 70% всього інформаційного контенту продовжувало би виготовлятися та озвучуватися російською мовою.</w:t>
      </w:r>
    </w:p>
    <w:p w:rsidR="00000000" w:rsidDel="00000000" w:rsidP="00000000" w:rsidRDefault="00000000" w:rsidRPr="00000000" w14:paraId="0000010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оцінкою народної депутатки від фракції «Голос» Н.Піпи, членкиня комітету освіти, науки та інновацій, повернення норм про право національних меншин отримувати шкільну освіту своїми мовами зупинить будь які процеси інтеграції цих національних колективів до українського соціального життя та продовжить практику існування «етнокультурних анклавів» в таких регіонах, як наприклад Закарпаття [47].</w:t>
      </w:r>
    </w:p>
    <w:p w:rsidR="00000000" w:rsidDel="00000000" w:rsidP="00000000" w:rsidRDefault="00000000" w:rsidRPr="00000000" w14:paraId="0000010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Депутатський корпус готовий був піти на поступки щодо національних меншин, історичні Батьківщини яких належать до ЄС, але питання про російську меншину та її права було поставлено руба. Зокрема, як зазначила Ольга Стефанішина, віцепрем'єр-міністерка з питань європейської та євроатлантичної інтеграції України: «Жодних змін на користь мови держави-агресора бути не може. Йдеться виключно про права національних спільнот, а щоб не було поля для маніпуляцій, ми чітко вказуємо, що йдеться про мови країн ЄС, а також чітко фіксуємо, що положення законопроєкту не застосовуються до мови держави-агресора» [47].</w:t>
      </w:r>
    </w:p>
    <w:p w:rsidR="00000000" w:rsidDel="00000000" w:rsidP="00000000" w:rsidRDefault="00000000" w:rsidRPr="00000000" w14:paraId="0000010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розуміючи, що на карту поставлене питання продовження європейської інтеграції України, депутати верховної Ради зголосилися проголосувати необхідні зміни. За визнанням згаданого вже М.Потураєва, депутатським корпусом була обрана стратегія – «ухвалити, отримати членство в ЄС,а згодо вносити потрібні державі зміни» [47]. Відтак, за законопроект (№ 10288-1) проголосували 317 народних депутатів [33; 43].</w:t>
      </w:r>
    </w:p>
    <w:p w:rsidR="00000000" w:rsidDel="00000000" w:rsidP="00000000" w:rsidRDefault="00000000" w:rsidRPr="00000000" w14:paraId="0000010C">
      <w:pPr>
        <w:spacing w:line="360" w:lineRule="auto"/>
        <w:ind w:firstLine="567"/>
        <w:jc w:val="both"/>
        <w:rPr>
          <w:color w:val="000000"/>
          <w:sz w:val="28"/>
          <w:szCs w:val="28"/>
        </w:rPr>
      </w:pPr>
      <w:r w:rsidDel="00000000" w:rsidR="00000000" w:rsidRPr="00000000">
        <w:rPr>
          <w:rFonts w:ascii="Times New Roman" w:cs="Times New Roman" w:eastAsia="Times New Roman" w:hAnsi="Times New Roman"/>
          <w:sz w:val="28"/>
          <w:szCs w:val="28"/>
          <w:rtl w:val="0"/>
        </w:rPr>
        <w:t xml:space="preserve">Поряд із цим, уповноважений із захисту державної мови Т.Кремінь, висловив свої зауваження щодо ухваленого закону [42]. Відповідно до його позиції: «</w:t>
      </w:r>
      <w:r w:rsidDel="00000000" w:rsidR="00000000" w:rsidRPr="00000000">
        <w:rPr>
          <w:rFonts w:ascii="Times New Roman" w:cs="Times New Roman" w:eastAsia="Times New Roman" w:hAnsi="Times New Roman"/>
          <w:color w:val="000000"/>
          <w:sz w:val="28"/>
          <w:szCs w:val="28"/>
          <w:rtl w:val="0"/>
        </w:rPr>
        <w:t xml:space="preserve">Окремі його положення значно погіршать функціонування української мови в деяких сферах суспільного життя на території України. Зокрема, будуть знівельовані норми щодо обов’язкової частки книг державною мовою для видавців та книгорозповсюджувачів. Також суттєво знизиться присутність державної мови на телебаченні та радіо через зміни до визначення українськомовної програми та поширення преференцій, передбачених для мов корінних народів, на всі без винятку мови національних меншин»</w:t>
      </w:r>
      <w:r w:rsidDel="00000000" w:rsidR="00000000" w:rsidRPr="00000000">
        <w:rPr>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[42].</w:t>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ffffff" w:val="clear"/>
        <w:spacing w:after="225"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можна побачити із наведеного матеріалу, компромісні новації до профільного законодавства не зняли суспільного резонансу щодо сучасного рівня захисту прав національних меншин та не примирили між собою носіїв різних ідеологічних позицій. Тому, як справедливо зазначають вітчизняні дослідник В. Зеленчук та Р.Головенко, законодавчий компроміс з Венеціанською комісією постав одночасно як певна «точка біфуркації» у національному законодавстві та практиці забезпечення статусу української мови як державної [29].</w:t>
      </w:r>
    </w:p>
    <w:p w:rsidR="00000000" w:rsidDel="00000000" w:rsidP="00000000" w:rsidRDefault="00000000" w:rsidRPr="00000000" w14:paraId="0000010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В.Ліхачова (правозахисник, член Експертної ради Центру громадянських свобод),основним недоліком вітчизняного законодавства навіть після впровадження зауважень з боку Венеціанської комісії є: «Не тільки збереження, але й посилення необґрунтовано диференційованого ставлення до мов різних національних меншин» [35, С.21]. Дійсно, не всім національним меншинам країни, для яких були зроблені поступки в сфері використання їхніх мов, пощастило належать до «мов Європейського Союзу». Це, в свою чергу повертає до громадсько-політичного та наукового дискурсів питання дискримінації за мовною ознакою та виступає потенційним чинником політизації сфери міжетнічних відносин в країні. </w:t>
      </w:r>
    </w:p>
    <w:p w:rsidR="00000000" w:rsidDel="00000000" w:rsidP="00000000" w:rsidRDefault="00000000" w:rsidRPr="00000000" w14:paraId="0000010F">
      <w:pPr>
        <w:spacing w:line="360" w:lineRule="auto"/>
        <w:ind w:firstLine="567"/>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10">
      <w:pPr>
        <w:spacing w:line="360" w:lineRule="auto"/>
        <w:ind w:firstLine="567"/>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ІІ:</w:t>
      </w:r>
    </w:p>
    <w:p w:rsidR="00000000" w:rsidDel="00000000" w:rsidP="00000000" w:rsidRDefault="00000000" w:rsidRPr="00000000" w14:paraId="00000111">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виклад матеріалу розділу, слід констатувати наступне:</w:t>
      </w:r>
    </w:p>
    <w:p w:rsidR="00000000" w:rsidDel="00000000" w:rsidP="00000000" w:rsidRDefault="00000000" w:rsidRPr="00000000" w14:paraId="0000011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284"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Присутність у структурі населення України представників більш, ніж 130 етнічних груп різного статусу об’єктивно змушувало вітчизняного законодавця до створення профільного комплексу законодавства, яке б визначало специфічні права та гарантії по відношенню до національних меншин країни. З іншого боку, проаналізований комплекс національного та ратифікованого міжнародного законодавства визначав специфіку провадження державою такого різновиду своєї діяльності, як етнополітика. В цілому, визнаючи згадані недоліки вітчизняного законодавства, його слід визнати ліберальним та дієвим.</w:t>
      </w:r>
    </w:p>
    <w:p w:rsidR="00000000" w:rsidDel="00000000" w:rsidP="00000000" w:rsidRDefault="00000000" w:rsidRPr="00000000" w14:paraId="0000011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284"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Принципово нові умови для реалізації політики держави в сфері гарантій та захисту прав національних меншин були сформовані завдяки офіційній декларації України щодо євроінтеграції. Це поклало на вітчизняних законотворців обов’язок слідувати тим стандартам, які були розроблені експертами та політиками ЄС для країн, що претендують на входження до Союзу. Реалізація цих рекомендацій була ускладнена як внутрішньополітичними чинниками (політизація окремих національних спільнот країни), так і зовнішніми (російсько-українська війна). Саме тому дії депутатського корпусу та урядовців були половинчастими, такими, які спрямовані на досягнення хиткого компромісу між вимогами експертів Венеціанської комісії за демократію через право та позиціями представників різних політичних сил країни.</w:t>
      </w:r>
    </w:p>
    <w:p w:rsidR="00000000" w:rsidDel="00000000" w:rsidP="00000000" w:rsidRDefault="00000000" w:rsidRPr="00000000" w14:paraId="0000011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284"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сьогодні у профільному законодавстві України, присвяченому захисту прав національних меншин та забезпеченню статусу української мови як державної, зроблені новації, які лише частково та на певний час задовольняють вимоги всіх зацікавлених сторін. Очевидно, що це питання не знято остаточно з політичного порядку денного.</w:t>
      </w:r>
    </w:p>
    <w:p w:rsidR="00000000" w:rsidDel="00000000" w:rsidP="00000000" w:rsidRDefault="00000000" w:rsidRPr="00000000" w14:paraId="00000115">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6">
      <w:pPr>
        <w:spacing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1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центральної теми кваліфікаційної роботи дає можливість зробити наступні узагальнюючі висновки:</w:t>
      </w:r>
    </w:p>
    <w:p w:rsidR="00000000" w:rsidDel="00000000" w:rsidP="00000000" w:rsidRDefault="00000000" w:rsidRPr="00000000" w14:paraId="0000011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Захист прав національних меншин є важливим завданням тих держав, склад населення яких характеризується полікультурністю. Станом на сьогодні міжнародною демократичною спільнотою цей процес інтерпретується в якості неодмінної складової загального процесу захисту прав людини. Відповідно до цього, створений комплекс міжнародного законодавства, яке встановлює стандарти прав, на які можуть претендувати представники національних меншин. Одночасно важливо підкреслити, що світовими стандартами, втіленими у відповідних юридичних актах, підкреслюється, що визначення себе членом конкретної національної меншини (із відповідним правовим статусом) є справою індивідуального і добровільного вибору людини. Ніхто (ані національний уряд, ані організація, яка є формою об’єднання конкретної національної меншини) не можуть вимагати від громадянина проголошувати свою приналежність до національної меншини (спільноти).</w:t>
      </w:r>
    </w:p>
    <w:p w:rsidR="00000000" w:rsidDel="00000000" w:rsidP="00000000" w:rsidRDefault="00000000" w:rsidRPr="00000000" w14:paraId="00000119">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Поряд із наявністю закріпленого в міжнародному законодавстві стандарту прав національних меншин, за державою залишається суверенне право приєднуватися чи не приєднуватися до конкретних міжнародних хартій чи конвенцій, окрім тих, які ухвалені генеральною асамблеєю ООН і є обов’язковими для країн-членів. На практиці, кожна із існуючих держав, до складу населення якої входять індивіди, які претендують на статус національної меншини, виробляє свою модель та інституційний дизайн етнополітики. В одних країнах (на зразок Словаччини), національним меншинам гарантуються широкі етнокультурні права та можливість брати участь у вирішенні питань, які стосуються національних меншин у форматі представництва в органах місцевого та регіонального представництва. В інших державах (на зразок Франції), уряди обмежуються суворим дотриманням загальногромадянського комплексу прав, залишаючи питання етнокультурної самобутності в межах індивідуального вибору та потреб індивідів. Загальним підсумком з цієї констатації є необхідність кожної конкретної держави з орієнтацією на позитивний міжнародний досвід виробляти свою власну модель етнополітики по відношенню до національних меншин та нести відповідальність за наслідки схвалюваних рішень.</w:t>
      </w:r>
    </w:p>
    <w:p w:rsidR="00000000" w:rsidDel="00000000" w:rsidP="00000000" w:rsidRDefault="00000000" w:rsidRPr="00000000" w14:paraId="0000011A">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Українська держава з самого початку поновлення своєї політичної суб’єктності була поставлена перед необхідністю вироблення власної моделі етнополітики по відношенню до національних меншин. Такими профільними юридичними актами, як: «Декларація прав національностей», Закон України «Про національні меншини» в редакції 1992 року, Конституцією України 1996 року, була встановлена ліберальна модель, що гарантувала представникам національних меншин широкий спектр етнокультурних прав та можливостей для їх реалізації. Поряд із цими, безумовно позитивними характеристиками, вітчизняне профільне законодавство не було позбавлено і ряду недоліків. До них слід віднести: плутанину в основних базових поняттях («національність» та «національна меншина»), відсутність конкретики по реалізації національними меншинами своїх прав (не конкретизований механізм декларації індивідом своєї приналежності до національної меншини, відсутність реєстру національних меншин, відсутність Державної концепції етнополітики тощо). До фундаментальних недоліків відноситься також і відставання певних юридичних актів в часі від швидкоплинної реальності (Закон «Про корінні народи» був ухвалений вже після анексії Автономної Республіки Крим, внаслідок чого реалізація на практиці його положень залишається нездійсненною до моменту повернення контролю України над півостровом).</w:t>
      </w:r>
    </w:p>
    <w:p w:rsidR="00000000" w:rsidDel="00000000" w:rsidP="00000000" w:rsidRDefault="00000000" w:rsidRPr="00000000" w14:paraId="0000011B">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Ефективній реалізації етнополітики української держави по відношенню до національних меншин заважало подекуди неадекватне тлумачення вітчизняним законодавцем «духу і букви» ратифікованих міжнародних Хартій (зокрема Європейської Хартії регіональних мов або мов меншин). Негативно позначалася на загальній ефективності взаємовідносин держави та національних меншин «інституційна чехарда», пов’язана з поступовим зниженням статусу профільного органу етнополітики від Міністерства до Державної служби з питань етнополітики та свободи совісті, підпорядкованої Міністерству культури України.</w:t>
      </w:r>
    </w:p>
    <w:p w:rsidR="00000000" w:rsidDel="00000000" w:rsidP="00000000" w:rsidRDefault="00000000" w:rsidRPr="00000000" w14:paraId="0000011C">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Новим етапом у розвитку етнополітики України по відношенню до національних меншин стало підписання Угоди про асоціацію з ЄС та офіційним закріпленням курсу на європейську інтеграцію в Конституції країни. З цього часу на українську практику стали поширюватися стандарти та вимоги, спеціально розроблені для країн-аспірантів. Основним органом, який здійснює цю експертизу, є </w:t>
      </w:r>
      <w:r w:rsidDel="00000000" w:rsidR="00000000" w:rsidRPr="00000000">
        <w:rPr>
          <w:rFonts w:ascii="Times New Roman" w:cs="Times New Roman" w:eastAsia="Times New Roman" w:hAnsi="Times New Roman"/>
          <w:i w:val="1"/>
          <w:sz w:val="28"/>
          <w:szCs w:val="28"/>
          <w:rtl w:val="0"/>
        </w:rPr>
        <w:t xml:space="preserve">Венеціанська комісія за демократію через право</w:t>
      </w:r>
      <w:r w:rsidDel="00000000" w:rsidR="00000000" w:rsidRPr="00000000">
        <w:rPr>
          <w:rFonts w:ascii="Times New Roman" w:cs="Times New Roman" w:eastAsia="Times New Roman" w:hAnsi="Times New Roman"/>
          <w:sz w:val="28"/>
          <w:szCs w:val="28"/>
          <w:rtl w:val="0"/>
        </w:rPr>
        <w:t xml:space="preserve">. Її основним об’єктом уваги є відповідність законодавчих новацій в сфері прав людини з одного боку міжнародним правовим актам, а з іншого – та ж сама відповідність, але національній конституційній практиці. Рекомендації, висловлені Венеціанською комісією, виступають як зауваження, які слід виправити, якщо конкретна країна не хоче втратити свої шанси на входження до ЄС. </w:t>
      </w:r>
    </w:p>
    <w:p w:rsidR="00000000" w:rsidDel="00000000" w:rsidP="00000000" w:rsidRDefault="00000000" w:rsidRPr="00000000" w14:paraId="0000011D">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відношенню до України, об’єктами критики стала низка нових законів, які були ухвалені в хронологічному періоду з 2017 по 2023 роки та торкалися своїми ініціативами прав національних меншин. До таких законів були віднесені: Закон України «Про статус української мови як державної», «Про освіту», «Про національні меншини (спільноти) України», «Про корінні народи України» та деякі інші. Основним зауваженням з боку експертів Комісії було реальне звуження етнокультурних прав національних меншин, які раніше вже були гарантовані українським законодавством, зокрема і Основним Законом України.</w:t>
      </w:r>
    </w:p>
    <w:p w:rsidR="00000000" w:rsidDel="00000000" w:rsidP="00000000" w:rsidRDefault="00000000" w:rsidRPr="00000000" w14:paraId="0000011E">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значний суспільний резонанс, який викликали ці зауваження як з боку лідерів окремих політизованих національних меншин, так і серед політичних та громадських діячів України, Верховна Рада була змушена ухвалити компромісні зміни до профільного законодавства, якими розширювалися етнокультурні права національних меншин в сфері освіти, надання адміністративних послуг, збереженні етнокультурної пам’яті, проведенні культурних заходів, книговидавництві тощо.</w:t>
      </w:r>
    </w:p>
    <w:p w:rsidR="00000000" w:rsidDel="00000000" w:rsidP="00000000" w:rsidRDefault="00000000" w:rsidRPr="00000000" w14:paraId="0000011F">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 із цим, внесені зміни не зняли всіх суперечок, які представлені в політичному процесі України, та не зменшили критичних зауважень з боку експертного середовища. Об’єктами критики досі залишаються не рівні статуси, які прописані для мов меншин, чиї мови є мовами народів ЄС, і тих меншин, які не мають своїх історичних Батьківщин в цьому політико-економічному утворенні. В свою чергу, з боку українських патріотично-налаштованих кіл останні інновації сприймаються як відхід від послідовної політики по забезпеченню статусу української мови як державної, відхід від курсу на деколонізацію тощо.</w:t>
      </w:r>
    </w:p>
    <w:p w:rsidR="00000000" w:rsidDel="00000000" w:rsidP="00000000" w:rsidRDefault="00000000" w:rsidRPr="00000000" w14:paraId="00000120">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Очевидно, що досягнутий у відповідь на зауваження Венеціанської комісії компроміс, є тимчасовим і питання щодо захисту прав національних меншин в Україні не втратило своєї актуальності.</w:t>
      </w:r>
    </w:p>
    <w:p w:rsidR="00000000" w:rsidDel="00000000" w:rsidP="00000000" w:rsidRDefault="00000000" w:rsidRPr="00000000" w14:paraId="00000121">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3">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1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Compilation of Venice Commission Opinions and Reports Concerning the Protection of National Minorities. URL: </w:t>
      </w:r>
      <w:hyperlink r:id="rId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https://www.venice.coe.int/webforms/documents/?pdf=CDL-PI(2022)049-e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Council of Europe. Venice Commission. URL: </w:t>
      </w:r>
      <w:hyperlink r:id="rId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https://www.venice.coe.int/WebForms/pages/?p=01_founding_documents&amp;lang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Council of Europe’s Venice Commission Publishes Opinion on Ukraine’s New Law on National Minorities (Communities). Hungarian Human Rights Foundation.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https://hhrf.org/2023/08/21/hhrf-issues-summary-and-analysis-of-venice-commission-opinion-on-ukraines-law-on-national-minorities-communities/#_Findings_of_the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2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Lutsyshyn H.I., Klymchuk I.I. (2019)The problem of dual citizenship for ethnic minorities in Central and Eastern Europe.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С.90 – 94.</w:t>
      </w:r>
      <w:r w:rsidDel="00000000" w:rsidR="00000000" w:rsidRPr="00000000">
        <w:rPr>
          <w:rtl w:val="0"/>
        </w:rPr>
      </w:r>
    </w:p>
    <w:p w:rsidR="00000000" w:rsidDel="00000000" w:rsidP="00000000" w:rsidRDefault="00000000" w:rsidRPr="00000000" w14:paraId="000001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OSCE High Commissioner on National Minorities. URL: </w:t>
      </w:r>
      <w:hyperlink r:id="rId1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https://www.osce.org/hcnm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2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Recommendations on the Effective Participation of National Minorities in Social and Economic Life &amp; Explanatory Note. URL: </w:t>
      </w:r>
      <w:hyperlink r:id="rId1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https://www.osce.org/files/f/documents/2/3/553783.pdf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Ukraine. Law 10288</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 amendments to certain laws of Ukraine concerning the consideration of the expert assessment of the Council of Europe and its bodies  on the rights of national minorities (communities) in specific spheres». Analytical note and comparison table.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commission for democracy through law (Venice commission). URL: </w:t>
      </w:r>
      <w:hyperlink r:id="rId1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https://www.venice.coe.int/webforms/documents/default.aspx?pdffile=CDL-REF(2024)001-e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Ukraine. Opinion on the law on national minorities (communities) Adopted by the Venice Commission at its 135 th Plenary Session (Venice, 9-10 June 2023). European commission for democracy through law (Venice commission).  URL: </w:t>
      </w:r>
      <w:hyperlink r:id="rId1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https://www.venice.coe.int/webforms/documents/default.aspx?pdffile=CDL-AD(2023)021-e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Žemaitytė A. (2022) National minorities in political and juridical discourse: cases of Ukraine and Lithuania.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Випуск 6. С.104 – 112.</w:t>
      </w:r>
      <w:r w:rsidDel="00000000" w:rsidR="00000000" w:rsidRPr="00000000">
        <w:rPr>
          <w:rtl w:val="0"/>
        </w:rPr>
      </w:r>
    </w:p>
    <w:p w:rsidR="00000000" w:rsidDel="00000000" w:rsidP="00000000" w:rsidRDefault="00000000" w:rsidRPr="00000000" w14:paraId="0000012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Бородінов В. (2011) Міжнародний досвід захисту прав національних меншин.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Віче.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18.</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hyperlink r:id="rId14">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https://veche.kiev.ua/journal/2705/</w:t>
        </w:r>
      </w:hyperlink>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09.05.2024 р.).</w:t>
      </w:r>
      <w:r w:rsidDel="00000000" w:rsidR="00000000" w:rsidRPr="00000000">
        <w:rPr>
          <w:rtl w:val="0"/>
        </w:rPr>
      </w:r>
    </w:p>
    <w:p w:rsidR="00000000" w:rsidDel="00000000" w:rsidP="00000000" w:rsidRDefault="00000000" w:rsidRPr="00000000" w14:paraId="000001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Верховний комісар ОБСЄ у справах національних меншин. Офіційний сайт уповноваженого Верховної Ради України з прав людини. URL: https://ombudsman.gov.ua/uk/verhovnij-komisar-obsye-u-spravah-nacionalnih-menshin#:~:text. (дата звернення до ресурсу 09.03.2024 р.).</w:t>
      </w:r>
      <w:r w:rsidDel="00000000" w:rsidR="00000000" w:rsidRPr="00000000">
        <w:rPr>
          <w:rtl w:val="0"/>
        </w:rPr>
      </w:r>
    </w:p>
    <w:p w:rsidR="00000000" w:rsidDel="00000000" w:rsidP="00000000" w:rsidRDefault="00000000" w:rsidRPr="00000000" w14:paraId="000001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Вітман К.М. (2021) Угорська національно-територіальна автономія в Україні: стан і небезпека запровадження.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 Вип.89.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С.202 – 213.</w:t>
      </w:r>
      <w:r w:rsidDel="00000000" w:rsidR="00000000" w:rsidRPr="00000000">
        <w:rPr>
          <w:rtl w:val="0"/>
        </w:rPr>
      </w:r>
    </w:p>
    <w:p w:rsidR="00000000" w:rsidDel="00000000" w:rsidP="00000000" w:rsidRDefault="00000000" w:rsidRPr="00000000" w14:paraId="000001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Вітман К.М. (2022) Ідея автохтонної національної меншини як елемент етнополітики: міжнародне і національне право.</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 Вип.91.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С.223 – 235.</w:t>
      </w:r>
      <w:r w:rsidDel="00000000" w:rsidR="00000000" w:rsidRPr="00000000">
        <w:rPr>
          <w:rtl w:val="0"/>
        </w:rPr>
      </w:r>
    </w:p>
    <w:p w:rsidR="00000000" w:rsidDel="00000000" w:rsidP="00000000" w:rsidRDefault="00000000" w:rsidRPr="00000000" w14:paraId="000001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Декларація про права осіб, що належать до національних або етнічних, релігійних та мовних меншин.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Прийнято резолюцією 47/135 Генеральної Асамблеї ООН від 18 грудня 1992 року.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https://zakon.rada.gov.ua/laws/show/995_318#Text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Декларація прав національностей України. Офіційний сайт Верховної Ради України. URL: </w:t>
      </w:r>
      <w:hyperlink r:id="rId1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https://zakon.rada.gov.ua/laws/show/1771-12#Text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10.04.2024 р.).</w:t>
      </w:r>
      <w:r w:rsidDel="00000000" w:rsidR="00000000" w:rsidRPr="00000000">
        <w:rPr>
          <w:rtl w:val="0"/>
        </w:rPr>
      </w:r>
    </w:p>
    <w:p w:rsidR="00000000" w:rsidDel="00000000" w:rsidP="00000000" w:rsidRDefault="00000000" w:rsidRPr="00000000" w14:paraId="000001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Декларація про права осіб, що належать до національних або етнічних, релігійних та мовних меншин. Офіційний сайт Верховної Ради України. URL: </w:t>
      </w:r>
      <w:hyperlink r:id="rId1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https://zakon.rada.gov.ua/laws/show/995_318#Text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09.05.2024 р.).</w:t>
      </w:r>
    </w:p>
    <w:p w:rsidR="00000000" w:rsidDel="00000000" w:rsidP="00000000" w:rsidRDefault="00000000" w:rsidRPr="00000000" w14:paraId="000001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Державна служба України з етнополітики та свободи совісті. Офіційний сайт. URL: </w:t>
      </w:r>
      <w:hyperlink r:id="rId1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https://dess.gov.ua/about/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Європейська хартія регіональних мов або мов меншин. Офіційний сайт Верховної Ради України. URL: </w:t>
      </w:r>
      <w:hyperlink r:id="rId1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https://zakon.rada.gov.ua/laws/show/994_014#Text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r w:rsidDel="00000000" w:rsidR="00000000" w:rsidRPr="00000000">
        <w:rPr>
          <w:rtl w:val="0"/>
        </w:rPr>
      </w:r>
    </w:p>
    <w:p w:rsidR="00000000" w:rsidDel="00000000" w:rsidP="00000000" w:rsidRDefault="00000000" w:rsidRPr="00000000" w14:paraId="000001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Декларація прав людини. Офіційний сайт Організації Об’єднаних Націй. URL: </w:t>
      </w:r>
      <w:hyperlink r:id="rId2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https://www.un.org/ru/about-us/universal-declaration-of-human-rights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Заключний акт наради з безпеки і співробітництва в Європі. URL: </w:t>
      </w:r>
      <w:hyperlink r:id="rId2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http://resource.history.org.ua/cgi-bin/eiu/history.exe?&amp;I21DBN=EIU&amp;P21DBN=EIU&amp;S21STN=1&amp;S21REF=10&amp;S21FMT=eiu_all&amp;C21COM=S&amp;S21CNR=20&amp;S21P01=0&amp;S21P02=0&amp;S21P03=TRN=&amp;S21COLORTERMS=0&amp;S21STR=Zakljuchny_akt_narady_z_bezpeky_1975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p>
    <w:p w:rsidR="00000000" w:rsidDel="00000000" w:rsidP="00000000" w:rsidRDefault="00000000" w:rsidRPr="00000000" w14:paraId="0000013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Про внесення змін до деяких законів України щодо врахування експертної оцінки Ради Європи та її органів стосовно прав національних меншин (спільнот) в окремих сферах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https://zakon.rada.gov.ua/laws/show/3504-20#Text</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3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«Про національні меншини (спільноти) України». Офіційний сайт Верховної Ради України. URL: </w:t>
      </w:r>
      <w:hyperlink r:id="rId2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https://zakon.rada.gov.ua/laws/show/2827-20#Text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15.08.2024 р.).</w:t>
      </w:r>
      <w:r w:rsidDel="00000000" w:rsidR="00000000" w:rsidRPr="00000000">
        <w:rPr>
          <w:rtl w:val="0"/>
        </w:rPr>
      </w:r>
    </w:p>
    <w:p w:rsidR="00000000" w:rsidDel="00000000" w:rsidP="00000000" w:rsidRDefault="00000000" w:rsidRPr="00000000" w14:paraId="0000013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Закон України «Про ратифікацію Європейської Хартії регіональних мов або мов меншин». Офіційний сайт Верховної Ради України. URL: </w:t>
      </w:r>
      <w:hyperlink r:id="rId2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https://zakon.rada.gov.ua/laws/show/802-15#Text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08.08.2024 р.).</w:t>
      </w:r>
    </w:p>
    <w:p w:rsidR="00000000" w:rsidDel="00000000" w:rsidP="00000000" w:rsidRDefault="00000000" w:rsidRPr="00000000" w14:paraId="0000013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 М.П. (2019) Інституційні механізми етнополітики та політична репрезентація етнічних меншин Словацької республіки.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 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С.88 – 96.</w:t>
      </w:r>
      <w:r w:rsidDel="00000000" w:rsidR="00000000" w:rsidRPr="00000000">
        <w:rPr>
          <w:rtl w:val="0"/>
        </w:rPr>
      </w:r>
    </w:p>
    <w:p w:rsidR="00000000" w:rsidDel="00000000" w:rsidP="00000000" w:rsidRDefault="00000000" w:rsidRPr="00000000" w14:paraId="000001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 М.П. (2022) Теоретичний дискурс політичного представництва міноритарних етнічних груп.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С.118 – 124.</w:t>
      </w:r>
      <w:r w:rsidDel="00000000" w:rsidR="00000000" w:rsidRPr="00000000">
        <w:rPr>
          <w:rtl w:val="0"/>
        </w:rPr>
      </w:r>
    </w:p>
    <w:p w:rsidR="00000000" w:rsidDel="00000000" w:rsidP="00000000" w:rsidRDefault="00000000" w:rsidRPr="00000000" w14:paraId="000001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 М.П. (2020) Порівняльний аналіз етнополітичного менеджменту в Словацькій Республіці та Україні (за результатами експертного опитування).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С.177 – 184.</w:t>
      </w:r>
      <w:r w:rsidDel="00000000" w:rsidR="00000000" w:rsidRPr="00000000">
        <w:rPr>
          <w:rtl w:val="0"/>
        </w:rPr>
      </w:r>
    </w:p>
    <w:p w:rsidR="00000000" w:rsidDel="00000000" w:rsidP="00000000" w:rsidRDefault="00000000" w:rsidRPr="00000000" w14:paraId="0000013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 М.П. (2021) Порівняльний аналіз політичного представництва міноритарних етнічних груп Словацької Республіки та України (за результатами експертного опитування).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С.132 – 140.</w:t>
      </w:r>
      <w:r w:rsidDel="00000000" w:rsidR="00000000" w:rsidRPr="00000000">
        <w:rPr>
          <w:rtl w:val="0"/>
        </w:rPr>
      </w:r>
    </w:p>
    <w:p w:rsidR="00000000" w:rsidDel="00000000" w:rsidP="00000000" w:rsidRDefault="00000000" w:rsidRPr="00000000" w14:paraId="000001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Затверджено Методологію використання мов національних меншин (спільнот). Служба Віце-прем'єр-міністра України, опубліковано 09 лютого 2024 року.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w:t>
      </w:r>
      <w:hyperlink r:id="rId2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https://www.kmu.gov.ua/news/zatverdzheno-metodolohiiu-vykorystannia-mov-natsionalnykh-menshyn-spilnot</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4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Зеленчук В., Головенко Р. Питання української мови і захисту національних меншин: нова точка біфуркації.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Інститут масової інформації.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8 грудня. URL: </w:t>
      </w:r>
      <w:hyperlink r:id="rId2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https://imi.org.ua/monitorings/pytannya-ukrayinskoyi-movy-i-zahystu-natsionalnyh-menshyn-nova-tochka-bifurkatsiyi-i57524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r w:rsidDel="00000000" w:rsidR="00000000" w:rsidRPr="00000000">
        <w:rPr>
          <w:rtl w:val="0"/>
        </w:rPr>
      </w:r>
    </w:p>
    <w:p w:rsidR="00000000" w:rsidDel="00000000" w:rsidP="00000000" w:rsidRDefault="00000000" w:rsidRPr="00000000" w14:paraId="0000014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Каменчук Т.О. (2023) Концепція «етнічної демократії» в дослідженні політичних режимів: критичний аналіз.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Вип.2. С.7 – 15.</w:t>
      </w:r>
      <w:r w:rsidDel="00000000" w:rsidR="00000000" w:rsidRPr="00000000">
        <w:rPr>
          <w:rtl w:val="0"/>
        </w:rPr>
      </w:r>
    </w:p>
    <w:p w:rsidR="00000000" w:rsidDel="00000000" w:rsidP="00000000" w:rsidRDefault="00000000" w:rsidRPr="00000000" w14:paraId="0000014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Кресіна І.О., Вітман К.М. (2023) Імплементація Європейської хартії регіональних або міноритарних мов в Україні: історія і сучасний стан.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 Вип.93.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С.269 – 285.</w:t>
      </w:r>
      <w:r w:rsidDel="00000000" w:rsidR="00000000" w:rsidRPr="00000000">
        <w:rPr>
          <w:rtl w:val="0"/>
        </w:rPr>
      </w:r>
    </w:p>
    <w:p w:rsidR="00000000" w:rsidDel="00000000" w:rsidP="00000000" w:rsidRDefault="00000000" w:rsidRPr="00000000" w14:paraId="0000014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Кресіна І. (2019) Етнокультурна автономія як політико-правовий інститут захисту прав національних меншин.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інституту політичних та етнонаціональних досліджень імені І.Кураса. Вип 3-4. С.204 – 223.</w:t>
      </w:r>
      <w:r w:rsidDel="00000000" w:rsidR="00000000" w:rsidRPr="00000000">
        <w:rPr>
          <w:rtl w:val="0"/>
        </w:rPr>
      </w:r>
    </w:p>
    <w:p w:rsidR="00000000" w:rsidDel="00000000" w:rsidP="00000000" w:rsidRDefault="00000000" w:rsidRPr="00000000" w14:paraId="000001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Лавренюк С. Забезпечити права національних меншин та захистити національні інтереси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Голос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8 грудня. URL: </w:t>
      </w:r>
      <w:hyperlink r:id="rId2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http://www.golos.com.ua/article/375502</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Лисогор І. Зеленський розкрив деталі про міністерство , яке займатиметься поверненням українців з-за кордону.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Лівий берег.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 серпня 2024 р. URL: </w:t>
      </w:r>
      <w:hyperlink r:id="rId2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https://lb.ua/society/2024/08/27/631677_zelenskiy_rozkriv_detali_pro.html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01.09.2024 р.).</w:t>
      </w:r>
      <w:r w:rsidDel="00000000" w:rsidR="00000000" w:rsidRPr="00000000">
        <w:rPr>
          <w:rtl w:val="0"/>
        </w:rPr>
      </w:r>
    </w:p>
    <w:p w:rsidR="00000000" w:rsidDel="00000000" w:rsidP="00000000" w:rsidRDefault="00000000" w:rsidRPr="00000000" w14:paraId="000001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Ліхачов В.А. (2024) Права національних меншин: європейські стандарти та українське законодавство в динаміці. К.: ТОВ «Вістка», 24 с.</w:t>
      </w:r>
      <w:r w:rsidDel="00000000" w:rsidR="00000000" w:rsidRPr="00000000">
        <w:rPr>
          <w:rtl w:val="0"/>
        </w:rPr>
      </w:r>
    </w:p>
    <w:p w:rsidR="00000000" w:rsidDel="00000000" w:rsidP="00000000" w:rsidRDefault="00000000" w:rsidRPr="00000000" w14:paraId="000001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Луценко В. (2019) Забезпечення реалізації прав етноконфесійних меншин як актуальне завдання державної політики України у сфері релігії.</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інституту політичних та етнонаціональних досліджень імені І.Кураса. Вип 3-4. С.421 – 433.</w:t>
      </w:r>
      <w:r w:rsidDel="00000000" w:rsidR="00000000" w:rsidRPr="00000000">
        <w:rPr>
          <w:rtl w:val="0"/>
        </w:rPr>
      </w:r>
    </w:p>
    <w:p w:rsidR="00000000" w:rsidDel="00000000" w:rsidP="00000000" w:rsidRDefault="00000000" w:rsidRPr="00000000" w14:paraId="000001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Ляшенко О. (2019) Питання національних меншин у сучасних міждержавних відносинах України.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інституту політичних та етнонаціональних досліджень імені І.Кураса. Вип 3-4. С.140 – 163.</w:t>
      </w:r>
      <w:r w:rsidDel="00000000" w:rsidR="00000000" w:rsidRPr="00000000">
        <w:rPr>
          <w:rtl w:val="0"/>
        </w:rPr>
      </w:r>
    </w:p>
    <w:p w:rsidR="00000000" w:rsidDel="00000000" w:rsidP="00000000" w:rsidRDefault="00000000" w:rsidRPr="00000000" w14:paraId="000001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Мазука Л. (2022) Модифікація державної політики збереження національної ідентичності закордонних українців.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Політичні дослідження. №2.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С.160 – 179.</w:t>
      </w:r>
      <w:r w:rsidDel="00000000" w:rsidR="00000000" w:rsidRPr="00000000">
        <w:rPr>
          <w:rtl w:val="0"/>
        </w:rPr>
      </w:r>
    </w:p>
    <w:p w:rsidR="00000000" w:rsidDel="00000000" w:rsidP="00000000" w:rsidRDefault="00000000" w:rsidRPr="00000000" w14:paraId="000001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Манасарян А.Б. (2024) «Покоління прав людини» в українському науковому та політичному дискурсах.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С.26 – 31.</w:t>
      </w:r>
      <w:r w:rsidDel="00000000" w:rsidR="00000000" w:rsidRPr="00000000">
        <w:rPr>
          <w:rtl w:val="0"/>
        </w:rPr>
      </w:r>
    </w:p>
    <w:p w:rsidR="00000000" w:rsidDel="00000000" w:rsidP="00000000" w:rsidRDefault="00000000" w:rsidRPr="00000000" w14:paraId="000001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Мендрін О.В. (2021) Особливості впливу етнокультурних факторів на формування макрополітичної ідентичності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С.53 – 58.</w:t>
      </w:r>
      <w:r w:rsidDel="00000000" w:rsidR="00000000" w:rsidRPr="00000000">
        <w:rPr>
          <w:rtl w:val="0"/>
        </w:rPr>
      </w:r>
    </w:p>
    <w:p w:rsidR="00000000" w:rsidDel="00000000" w:rsidP="00000000" w:rsidRDefault="00000000" w:rsidRPr="00000000" w14:paraId="000001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Організація Об’єднаних Націй. Офіційний сайт. URL: </w:t>
      </w:r>
      <w:hyperlink r:id="rId2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https://www.un.org/en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до ресурсу: 16.08.2024 р.).</w:t>
      </w:r>
      <w:r w:rsidDel="00000000" w:rsidR="00000000" w:rsidRPr="00000000">
        <w:rPr>
          <w:rtl w:val="0"/>
        </w:rPr>
      </w:r>
    </w:p>
    <w:p w:rsidR="00000000" w:rsidDel="00000000" w:rsidP="00000000" w:rsidRDefault="00000000" w:rsidRPr="00000000" w14:paraId="000001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Позиція Уповноваженого із захисту державної мови щодо законопроєкту № 10288.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w:t>
      </w:r>
      <w:hyperlink r:id="rId3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https://mova-ombudsman.gov.ua/news/pozytsiia-upovnovazhenoho-shchodo-zakonoproiektu-10288</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внесення змін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деяких законів України щодо врахування експертної оцінки Ради Європи та її органів стосовно прав національних меншин (спільнот) в окремих сферах.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31">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https://zakon.rada.gov.ua/laws/show/3504-20#Text</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Руденко Ю.Ю. (2024) Громадянська ідентичність та мультикультуралізм: в пошуках модерної моделі нації.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С.39 – 44.</w:t>
      </w:r>
      <w:r w:rsidDel="00000000" w:rsidR="00000000" w:rsidRPr="00000000">
        <w:rPr>
          <w:rtl w:val="0"/>
        </w:rPr>
      </w:r>
    </w:p>
    <w:p w:rsidR="00000000" w:rsidDel="00000000" w:rsidP="00000000" w:rsidRDefault="00000000" w:rsidRPr="00000000" w14:paraId="0000015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Сафонюк Є.І. (2024) Аналіз першого періодичного звіту щодо застосування Україною положень Європейської хартії регіональних мов або мов меншин.</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Вип.3. С.199 – 205.</w:t>
      </w:r>
    </w:p>
    <w:p w:rsidR="00000000" w:rsidDel="00000000" w:rsidP="00000000" w:rsidRDefault="00000000" w:rsidRPr="00000000" w14:paraId="000001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Сафронюк Є.І. (2022) Європейська хартія регіональних мов або мов меншин: науковий дискурс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С.141 – 148.</w:t>
      </w:r>
      <w:r w:rsidDel="00000000" w:rsidR="00000000" w:rsidRPr="00000000">
        <w:rPr>
          <w:rtl w:val="0"/>
        </w:rPr>
      </w:r>
    </w:p>
    <w:p w:rsidR="00000000" w:rsidDel="00000000" w:rsidP="00000000" w:rsidRDefault="00000000" w:rsidRPr="00000000" w14:paraId="000001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Сисак І., Степаненко З. «Відкладена русифікація»: як закон про нацменшини може змінити мовне законодавство та чому його ухвалення вимагає ЄС.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1 грудня. URL: </w:t>
      </w:r>
      <w:hyperlink r:id="rId3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https://www.radiosvoboda.org/a/yak-zakon-pro-natsmenshynu-mozhe-zminyty-movne-zakonodavstvo/32703127.html</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Соколовський О.Б. (2020) особливості дослідження ролі національних меншин у розвитку транскордонної співпраці.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С.90 – 95.</w:t>
      </w:r>
      <w:r w:rsidDel="00000000" w:rsidR="00000000" w:rsidRPr="00000000">
        <w:rPr>
          <w:rtl w:val="0"/>
        </w:rPr>
      </w:r>
    </w:p>
    <w:p w:rsidR="00000000" w:rsidDel="00000000" w:rsidP="00000000" w:rsidRDefault="00000000" w:rsidRPr="00000000" w14:paraId="000001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Томашекська Є.І. (2021) Європейська хартія регіональних мов або мов меншин: досвід ратифікації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Вип.2. С.155 – 160.</w:t>
      </w:r>
    </w:p>
    <w:p w:rsidR="00000000" w:rsidDel="00000000" w:rsidP="00000000" w:rsidRDefault="00000000" w:rsidRPr="00000000" w14:paraId="0000015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Висновок щодо положень Закону «Про освіту» від 5 вересня 2017 року, стосовно використання державної мови та мов меншин, а також інших мов в освіті. Прийнятий Венеційською комісією на її 113-му пленарному засіданні (8-9 грудня 2017 року). Європейська комісія за демократію через право. URL: </w:t>
      </w:r>
      <w:hyperlink r:id="rId3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https://auc.org.ua/sites/default/files/sectors/u-137/veneciyska_komisiya.pdf</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до ресурсу: 16.08.2024 р.).</w:t>
      </w:r>
      <w:r w:rsidDel="00000000" w:rsidR="00000000" w:rsidRPr="00000000">
        <w:rPr>
          <w:rtl w:val="0"/>
        </w:rPr>
      </w:r>
    </w:p>
    <w:p w:rsidR="00000000" w:rsidDel="00000000" w:rsidP="00000000" w:rsidRDefault="00000000" w:rsidRPr="00000000" w14:paraId="0000015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Филик О.З. (2023) Еволюція підходів до управління соціокультурним розмаїттям: теоретичний та емпіричний контексти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С.105 – 112.</w:t>
      </w:r>
      <w:r w:rsidDel="00000000" w:rsidR="00000000" w:rsidRPr="00000000">
        <w:rPr>
          <w:rtl w:val="0"/>
        </w:rPr>
      </w:r>
    </w:p>
    <w:p w:rsidR="00000000" w:rsidDel="00000000" w:rsidP="00000000" w:rsidRDefault="00000000" w:rsidRPr="00000000" w14:paraId="0000015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Хмільовська О. (2019) Загрози українській державі внаслідок діяльності російської православної церкви.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інституту політичних та етнонаціональних досліджень імені І.Кураса. Випуск 3-4. С.434 – 440.</w:t>
      </w: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Явір В.А. (2022) Гагаузи – національна меншина чи корінний народ: до питання еволюції політико-правового статусу.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Вип..5. С.149 – 154.</w:t>
      </w:r>
    </w:p>
    <w:p w:rsidR="00000000" w:rsidDel="00000000" w:rsidP="00000000" w:rsidRDefault="00000000" w:rsidRPr="00000000" w14:paraId="0000015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Явір В.А. (2022) Удосконалення політико-правового забезпечення захисту прав національних меншин як вимога євроінтеграції України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 Вип.4-2.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С.143 – 148.</w:t>
      </w:r>
    </w:p>
    <w:p w:rsidR="00000000" w:rsidDel="00000000" w:rsidP="00000000" w:rsidRDefault="00000000" w:rsidRPr="00000000" w14:paraId="0000015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Явір В.А. (2019) Проблеми в сфері забезпечення прав національних меншин у контексті євроатлантичної інтеграції України.</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інституту політичних та етнонаціональних досліджень імені І.Кураса. Випуск 3-4. С.50 – 63.</w:t>
      </w:r>
      <w:r w:rsidDel="00000000" w:rsidR="00000000" w:rsidRPr="00000000">
        <w:rPr>
          <w:rtl w:val="0"/>
        </w:rPr>
      </w:r>
    </w:p>
    <w:p w:rsidR="00000000" w:rsidDel="00000000" w:rsidP="00000000" w:rsidRDefault="00000000" w:rsidRPr="00000000" w14:paraId="0000015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0" w:right="0" w:firstLine="49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Явір В.А. (2019) Європейські стандарти забезпечення прав національних меншин як складова євроатлантичної інтеграції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Держава і Право. Вип..85.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С.240 – 251.</w:t>
      </w:r>
    </w:p>
    <w:p w:rsidR="00000000" w:rsidDel="00000000" w:rsidP="00000000" w:rsidRDefault="00000000" w:rsidRPr="00000000" w14:paraId="0000015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1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№1</w:t>
      </w:r>
    </w:p>
    <w:p w:rsidR="00000000" w:rsidDel="00000000" w:rsidP="00000000" w:rsidRDefault="00000000" w:rsidRPr="00000000" w14:paraId="0000015F">
      <w:pPr>
        <w:spacing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Різновиди політик сучасних держав по відношенню до прав меншин</w:t>
      </w:r>
    </w:p>
    <w:tbl>
      <w:tblPr>
        <w:tblStyle w:val="Table2"/>
        <w:tblW w:w="9570.0" w:type="dxa"/>
        <w:jc w:val="left"/>
        <w:tblInd w:w="-108.0" w:type="dxa"/>
        <w:tblBorders>
          <w:top w:color="000000" w:space="0" w:sz="24" w:val="single"/>
          <w:left w:color="000000" w:space="0" w:sz="24" w:val="single"/>
          <w:bottom w:color="000000" w:space="0" w:sz="24" w:val="single"/>
          <w:right w:color="000000" w:space="0" w:sz="24" w:val="single"/>
          <w:insideH w:color="000000" w:space="0" w:sz="24" w:val="single"/>
          <w:insideV w:color="000000" w:space="0" w:sz="24" w:val="single"/>
        </w:tblBorders>
        <w:tblLayout w:type="fixed"/>
        <w:tblLook w:val="0400"/>
      </w:tblPr>
      <w:tblGrid>
        <w:gridCol w:w="1291"/>
        <w:gridCol w:w="1758"/>
        <w:gridCol w:w="2047"/>
        <w:gridCol w:w="2427"/>
        <w:gridCol w:w="2047"/>
        <w:tblGridChange w:id="0">
          <w:tblGrid>
            <w:gridCol w:w="1291"/>
            <w:gridCol w:w="1758"/>
            <w:gridCol w:w="2047"/>
            <w:gridCol w:w="2427"/>
            <w:gridCol w:w="2047"/>
          </w:tblGrid>
        </w:tblGridChange>
      </w:tblGrid>
      <w:tr>
        <w:trPr>
          <w:cantSplit w:val="1"/>
          <w:trHeight w:val="2575" w:hRule="atLeast"/>
          <w:tblHeader w:val="0"/>
        </w:trPr>
        <w:tc>
          <w:tcPr/>
          <w:p w:rsidR="00000000" w:rsidDel="00000000" w:rsidP="00000000" w:rsidRDefault="00000000" w:rsidRPr="00000000" w14:paraId="00000160">
            <w:pPr>
              <w:spacing w:line="360" w:lineRule="auto"/>
              <w:ind w:left="113" w:right="113"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Блоки відмінностей</w:t>
            </w:r>
          </w:p>
        </w:tc>
        <w:tc>
          <w:tcPr/>
          <w:p w:rsidR="00000000" w:rsidDel="00000000" w:rsidP="00000000" w:rsidRDefault="00000000" w:rsidRPr="00000000" w14:paraId="00000161">
            <w:pPr>
              <w:spacing w:line="360" w:lineRule="auto"/>
              <w:ind w:left="113" w:right="1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Асиміляціонізм</w:t>
            </w:r>
          </w:p>
        </w:tc>
        <w:tc>
          <w:tcPr/>
          <w:p w:rsidR="00000000" w:rsidDel="00000000" w:rsidP="00000000" w:rsidRDefault="00000000" w:rsidRPr="00000000" w14:paraId="00000162">
            <w:pPr>
              <w:spacing w:line="360" w:lineRule="auto"/>
              <w:ind w:left="113" w:right="1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Індивідуалістична інтеграція</w:t>
            </w:r>
          </w:p>
        </w:tc>
        <w:tc>
          <w:tcPr/>
          <w:p w:rsidR="00000000" w:rsidDel="00000000" w:rsidP="00000000" w:rsidRDefault="00000000" w:rsidRPr="00000000" w14:paraId="00000163">
            <w:pPr>
              <w:spacing w:line="360" w:lineRule="auto"/>
              <w:ind w:left="113" w:right="1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Космополітизм</w:t>
            </w:r>
          </w:p>
        </w:tc>
        <w:tc>
          <w:tcPr/>
          <w:p w:rsidR="00000000" w:rsidDel="00000000" w:rsidP="00000000" w:rsidRDefault="00000000" w:rsidRPr="00000000" w14:paraId="00000164">
            <w:pPr>
              <w:spacing w:line="360" w:lineRule="auto"/>
              <w:ind w:left="113" w:right="113"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Мультикультуралізм</w:t>
            </w:r>
          </w:p>
        </w:tc>
      </w:tr>
      <w:tr>
        <w:trPr>
          <w:cantSplit w:val="0"/>
          <w:tblHeader w:val="0"/>
        </w:trPr>
        <w:tc>
          <w:tcPr/>
          <w:p w:rsidR="00000000" w:rsidDel="00000000" w:rsidP="00000000" w:rsidRDefault="00000000" w:rsidRPr="00000000" w14:paraId="0000016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Об’єкти політики</w:t>
            </w:r>
          </w:p>
        </w:tc>
        <w:tc>
          <w:tcPr/>
          <w:p w:rsidR="00000000" w:rsidDel="00000000" w:rsidP="00000000" w:rsidRDefault="00000000" w:rsidRPr="00000000" w14:paraId="0000016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 і групи, позначені як «рівні» та «з відмінностями»</w:t>
            </w:r>
          </w:p>
        </w:tc>
        <w:tc>
          <w:tcPr/>
          <w:p w:rsidR="00000000" w:rsidDel="00000000" w:rsidP="00000000" w:rsidRDefault="00000000" w:rsidRPr="00000000" w14:paraId="0000016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 позначені «відмінностями», особливо їхнє сприйняття дискримінаційною практикою держави та громадянського суспільства</w:t>
            </w:r>
          </w:p>
        </w:tc>
        <w:tc>
          <w:tcPr/>
          <w:p w:rsidR="00000000" w:rsidDel="00000000" w:rsidP="00000000" w:rsidRDefault="00000000" w:rsidRPr="00000000" w14:paraId="0000016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 позначені «відмінностями», особливо їхнє сприйняття дискримінаційною практикою держави та громадянського суспільства, а також їхні уявлення про «нас» та «них»</w:t>
            </w:r>
          </w:p>
        </w:tc>
        <w:tc>
          <w:tcPr/>
          <w:p w:rsidR="00000000" w:rsidDel="00000000" w:rsidP="00000000" w:rsidRDefault="00000000" w:rsidRPr="00000000" w14:paraId="0000016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Особи, позначені «відмінностями», особливо їхнє сприйняття дискримінаційною практикою держави та громадянського суспільства, а також їхні уявлення про «нас» та «них»</w:t>
            </w:r>
          </w:p>
        </w:tc>
      </w:tr>
      <w:tr>
        <w:trPr>
          <w:cantSplit w:val="0"/>
          <w:tblHeader w:val="0"/>
        </w:trPr>
        <w:tc>
          <w:tcPr/>
          <w:p w:rsidR="00000000" w:rsidDel="00000000" w:rsidP="00000000" w:rsidRDefault="00000000" w:rsidRPr="00000000" w14:paraId="0000016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Свобода</w:t>
            </w:r>
          </w:p>
        </w:tc>
        <w:tc>
          <w:tcPr/>
          <w:p w:rsidR="00000000" w:rsidDel="00000000" w:rsidP="00000000" w:rsidRDefault="00000000" w:rsidRPr="00000000" w14:paraId="0000016B">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Меншини заохочують відповідати домінуючому культурному шаблону</w:t>
            </w:r>
          </w:p>
        </w:tc>
        <w:tc>
          <w:tcPr/>
          <w:p w:rsidR="00000000" w:rsidDel="00000000" w:rsidP="00000000" w:rsidRDefault="00000000" w:rsidRPr="00000000" w14:paraId="0000016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Меншини можуть вільно асимілювати чи культивувати свою ідентичність, однак їм не рекомендується думати про себе як про меншину, а як про масив особистостей</w:t>
            </w:r>
          </w:p>
        </w:tc>
        <w:tc>
          <w:tcPr/>
          <w:p w:rsidR="00000000" w:rsidDel="00000000" w:rsidP="00000000" w:rsidRDefault="00000000" w:rsidRPr="00000000" w14:paraId="0000016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 існує «загальнообовязкової» ідентичності, до якої належить більшість та меншини. Проте вона може добровільно виникнути</w:t>
            </w:r>
          </w:p>
        </w:tc>
        <w:tc>
          <w:tcPr/>
          <w:p w:rsidR="00000000" w:rsidDel="00000000" w:rsidP="00000000" w:rsidRDefault="00000000" w:rsidRPr="00000000" w14:paraId="0000016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Члени меншин повинні мати можливості або асимілюватися, або зберігати свою приналежність до меншини за власним розсудом.</w:t>
            </w:r>
          </w:p>
        </w:tc>
      </w:tr>
      <w:tr>
        <w:trPr>
          <w:cantSplit w:val="0"/>
          <w:tblHeader w:val="0"/>
        </w:trPr>
        <w:tc>
          <w:tcPr/>
          <w:p w:rsidR="00000000" w:rsidDel="00000000" w:rsidP="00000000" w:rsidRDefault="00000000" w:rsidRPr="00000000" w14:paraId="0000016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Рівність</w:t>
            </w:r>
          </w:p>
        </w:tc>
        <w:tc>
          <w:tcPr/>
          <w:p w:rsidR="00000000" w:rsidDel="00000000" w:rsidP="00000000" w:rsidRDefault="00000000" w:rsidRPr="00000000" w14:paraId="0000017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відмінності провокує дискримінацію, тому її потрібно уникати</w:t>
            </w:r>
          </w:p>
        </w:tc>
        <w:tc>
          <w:tcPr/>
          <w:p w:rsidR="00000000" w:rsidDel="00000000" w:rsidP="00000000" w:rsidRDefault="00000000" w:rsidRPr="00000000" w14:paraId="00000171">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Дискримінаційне сприйняття повинно бути активно усунуте, що би до кожного ставилися як до особистості, а не на підставі відмінностей</w:t>
            </w:r>
          </w:p>
        </w:tc>
        <w:tc>
          <w:tcPr/>
          <w:p w:rsidR="00000000" w:rsidDel="00000000" w:rsidP="00000000" w:rsidRDefault="00000000" w:rsidRPr="00000000" w14:paraId="0000017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Немає загальнообов’язкової культури. Немає дискримінаційних практик.</w:t>
            </w:r>
          </w:p>
        </w:tc>
        <w:tc>
          <w:tcPr/>
          <w:p w:rsidR="00000000" w:rsidDel="00000000" w:rsidP="00000000" w:rsidRDefault="00000000" w:rsidRPr="00000000" w14:paraId="0000017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Публічна сфера враховує наявність нових ідентичностей. Відсутні дискримінація.</w:t>
            </w:r>
          </w:p>
        </w:tc>
      </w:tr>
      <w:tr>
        <w:trPr>
          <w:cantSplit w:val="0"/>
          <w:tblHeader w:val="0"/>
        </w:trPr>
        <w:tc>
          <w:tcPr/>
          <w:p w:rsidR="00000000" w:rsidDel="00000000" w:rsidP="00000000" w:rsidRDefault="00000000" w:rsidRPr="00000000" w14:paraId="0000017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Братерство</w:t>
            </w:r>
          </w:p>
        </w:tc>
        <w:tc>
          <w:tcPr/>
          <w:p w:rsidR="00000000" w:rsidDel="00000000" w:rsidP="00000000" w:rsidRDefault="00000000" w:rsidRPr="00000000" w14:paraId="0000017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і однорідна національна ідентичність</w:t>
            </w:r>
          </w:p>
        </w:tc>
        <w:tc>
          <w:tcPr/>
          <w:p w:rsidR="00000000" w:rsidDel="00000000" w:rsidP="00000000" w:rsidRDefault="00000000" w:rsidRPr="00000000" w14:paraId="0000017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дискримінації та виховання індивідуальної автономії в рамках ліберального громадянства</w:t>
            </w:r>
          </w:p>
        </w:tc>
        <w:tc>
          <w:tcPr/>
          <w:p w:rsidR="00000000" w:rsidDel="00000000" w:rsidP="00000000" w:rsidRDefault="00000000" w:rsidRPr="00000000" w14:paraId="0000017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Люди вільно об’єднуються через комунальні та національні кордони </w:t>
            </w:r>
          </w:p>
        </w:tc>
        <w:tc>
          <w:tcPr/>
          <w:p w:rsidR="00000000" w:rsidDel="00000000" w:rsidP="00000000" w:rsidRDefault="00000000" w:rsidRPr="00000000" w14:paraId="0000017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Громадянська ідентичність передбачає включення до своєї структури і групових ідентичностей.</w:t>
            </w:r>
          </w:p>
        </w:tc>
      </w:tr>
    </w:tbl>
    <w:p w:rsidR="00000000" w:rsidDel="00000000" w:rsidP="00000000" w:rsidRDefault="00000000" w:rsidRPr="00000000" w14:paraId="00000179">
      <w:pPr>
        <w:spacing w:line="360" w:lineRule="auto"/>
        <w:jc w:val="center"/>
        <w:rPr/>
      </w:pPr>
      <w:r w:rsidDel="00000000" w:rsidR="00000000" w:rsidRPr="00000000">
        <w:rPr>
          <w:rFonts w:ascii="Times New Roman" w:cs="Times New Roman" w:eastAsia="Times New Roman" w:hAnsi="Times New Roman"/>
          <w:i w:val="1"/>
          <w:sz w:val="28"/>
          <w:szCs w:val="28"/>
          <w:rtl w:val="0"/>
        </w:rPr>
        <w:t xml:space="preserve">Джерело</w:t>
      </w:r>
      <w:r w:rsidDel="00000000" w:rsidR="00000000" w:rsidRPr="00000000">
        <w:rPr>
          <w:rFonts w:ascii="Times New Roman" w:cs="Times New Roman" w:eastAsia="Times New Roman" w:hAnsi="Times New Roman"/>
          <w:sz w:val="28"/>
          <w:szCs w:val="28"/>
          <w:rtl w:val="0"/>
        </w:rPr>
        <w:t xml:space="preserve">: 51, С.10</w:t>
      </w:r>
      <w:r w:rsidDel="00000000" w:rsidR="00000000" w:rsidRPr="00000000">
        <w:rPr>
          <w:rtl w:val="0"/>
        </w:rPr>
      </w:r>
    </w:p>
    <w:sectPr>
      <w:headerReference r:id="rId34" w:type="default"/>
      <w:pgSz w:h="16838" w:w="11906" w:orient="portrait"/>
      <w:pgMar w:bottom="1134" w:top="1134" w:left="1701" w:right="851"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Cambria"/>
  <w:font w:name="Georgia"/>
  <w:font w:name="Arial"/>
  <w:font w:name="Courier New"/>
  <w:font w:name="Noto Sans Symbols">
    <w:embedRegular w:fontKey="{00000000-0000-0000-0000-000000000000}" r:id="rId1" w:subsetted="0"/>
    <w:embedBold w:fontKey="{00000000-0000-0000-0000-000000000000}" r:id="rId2" w:subsetted="0"/>
  </w:font>
  <w:font w:name="Liberation Serif"/>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420" w:hanging="420"/>
      </w:pPr>
      <w:rPr/>
    </w:lvl>
    <w:lvl w:ilvl="1">
      <w:start w:val="1"/>
      <w:numFmt w:val="decimal"/>
      <w:lvlText w:val="%1.%2"/>
      <w:lvlJc w:val="left"/>
      <w:pPr>
        <w:ind w:left="420" w:hanging="4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2">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3">
    <w:lvl w:ilvl="0">
      <w:start w:val="0"/>
      <w:numFmt w:val="bullet"/>
      <w:lvlText w:val="-"/>
      <w:lvlJc w:val="left"/>
      <w:pPr>
        <w:ind w:left="1002" w:hanging="360"/>
      </w:pPr>
      <w:rPr>
        <w:rFonts w:ascii="Times New Roman" w:cs="Times New Roman" w:eastAsia="Times New Roman" w:hAnsi="Times New Roman"/>
      </w:rPr>
    </w:lvl>
    <w:lvl w:ilvl="1">
      <w:start w:val="1"/>
      <w:numFmt w:val="bullet"/>
      <w:lvlText w:val="o"/>
      <w:lvlJc w:val="left"/>
      <w:pPr>
        <w:ind w:left="1722" w:hanging="360"/>
      </w:pPr>
      <w:rPr>
        <w:rFonts w:ascii="Courier New" w:cs="Courier New" w:eastAsia="Courier New" w:hAnsi="Courier New"/>
      </w:rPr>
    </w:lvl>
    <w:lvl w:ilvl="2">
      <w:start w:val="1"/>
      <w:numFmt w:val="bullet"/>
      <w:lvlText w:val="▪"/>
      <w:lvlJc w:val="left"/>
      <w:pPr>
        <w:ind w:left="2442" w:hanging="360"/>
      </w:pPr>
      <w:rPr>
        <w:rFonts w:ascii="Noto Sans Symbols" w:cs="Noto Sans Symbols" w:eastAsia="Noto Sans Symbols" w:hAnsi="Noto Sans Symbols"/>
      </w:rPr>
    </w:lvl>
    <w:lvl w:ilvl="3">
      <w:start w:val="1"/>
      <w:numFmt w:val="bullet"/>
      <w:lvlText w:val="●"/>
      <w:lvlJc w:val="left"/>
      <w:pPr>
        <w:ind w:left="3162" w:hanging="360"/>
      </w:pPr>
      <w:rPr>
        <w:rFonts w:ascii="Noto Sans Symbols" w:cs="Noto Sans Symbols" w:eastAsia="Noto Sans Symbols" w:hAnsi="Noto Sans Symbols"/>
      </w:rPr>
    </w:lvl>
    <w:lvl w:ilvl="4">
      <w:start w:val="1"/>
      <w:numFmt w:val="bullet"/>
      <w:lvlText w:val="o"/>
      <w:lvlJc w:val="left"/>
      <w:pPr>
        <w:ind w:left="3882" w:hanging="360"/>
      </w:pPr>
      <w:rPr>
        <w:rFonts w:ascii="Courier New" w:cs="Courier New" w:eastAsia="Courier New" w:hAnsi="Courier New"/>
      </w:rPr>
    </w:lvl>
    <w:lvl w:ilvl="5">
      <w:start w:val="1"/>
      <w:numFmt w:val="bullet"/>
      <w:lvlText w:val="▪"/>
      <w:lvlJc w:val="left"/>
      <w:pPr>
        <w:ind w:left="4602" w:hanging="360"/>
      </w:pPr>
      <w:rPr>
        <w:rFonts w:ascii="Noto Sans Symbols" w:cs="Noto Sans Symbols" w:eastAsia="Noto Sans Symbols" w:hAnsi="Noto Sans Symbols"/>
      </w:rPr>
    </w:lvl>
    <w:lvl w:ilvl="6">
      <w:start w:val="1"/>
      <w:numFmt w:val="bullet"/>
      <w:lvlText w:val="●"/>
      <w:lvlJc w:val="left"/>
      <w:pPr>
        <w:ind w:left="5322" w:hanging="360"/>
      </w:pPr>
      <w:rPr>
        <w:rFonts w:ascii="Noto Sans Symbols" w:cs="Noto Sans Symbols" w:eastAsia="Noto Sans Symbols" w:hAnsi="Noto Sans Symbols"/>
      </w:rPr>
    </w:lvl>
    <w:lvl w:ilvl="7">
      <w:start w:val="1"/>
      <w:numFmt w:val="bullet"/>
      <w:lvlText w:val="o"/>
      <w:lvlJc w:val="left"/>
      <w:pPr>
        <w:ind w:left="6042" w:hanging="360"/>
      </w:pPr>
      <w:rPr>
        <w:rFonts w:ascii="Courier New" w:cs="Courier New" w:eastAsia="Courier New" w:hAnsi="Courier New"/>
      </w:rPr>
    </w:lvl>
    <w:lvl w:ilvl="8">
      <w:start w:val="1"/>
      <w:numFmt w:val="bullet"/>
      <w:lvlText w:val="▪"/>
      <w:lvlJc w:val="left"/>
      <w:pPr>
        <w:ind w:left="6762" w:hanging="360"/>
      </w:pPr>
      <w:rPr>
        <w:rFonts w:ascii="Noto Sans Symbols" w:cs="Noto Sans Symbols" w:eastAsia="Noto Sans Symbols" w:hAnsi="Noto Sans Symbols"/>
      </w:rPr>
    </w:lvl>
  </w:abstractNum>
  <w:abstractNum w:abstractNumId="4">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5">
    <w:lvl w:ilvl="0">
      <w:start w:val="1"/>
      <w:numFmt w:val="decimal"/>
      <w:lvlText w:val="%1."/>
      <w:lvlJc w:val="left"/>
      <w:pPr>
        <w:ind w:left="927" w:hanging="360"/>
      </w:pPr>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spacing w:after="0" w:before="200" w:lineRule="auto"/>
    </w:pPr>
    <w:rPr>
      <w:rFonts w:ascii="Cambria" w:cs="Cambria" w:eastAsia="Cambria" w:hAnsi="Cambria"/>
      <w:b w:val="1"/>
      <w:color w:val="4f81bd"/>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130E39"/>
  </w:style>
  <w:style w:type="paragraph" w:styleId="1">
    <w:name w:val="heading 1"/>
    <w:basedOn w:val="a"/>
    <w:link w:val="10"/>
    <w:uiPriority w:val="9"/>
    <w:qFormat w:val="1"/>
    <w:rsid w:val="00ED08EE"/>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lang w:eastAsia="ru-RU"/>
    </w:rPr>
  </w:style>
  <w:style w:type="paragraph" w:styleId="2">
    <w:name w:val="heading 2"/>
    <w:basedOn w:val="a"/>
    <w:link w:val="20"/>
    <w:uiPriority w:val="9"/>
    <w:qFormat w:val="1"/>
    <w:rsid w:val="00ED08EE"/>
    <w:pPr>
      <w:spacing w:after="100" w:afterAutospacing="1" w:before="100" w:beforeAutospacing="1" w:line="240" w:lineRule="auto"/>
      <w:outlineLvl w:val="1"/>
    </w:pPr>
    <w:rPr>
      <w:rFonts w:ascii="Times New Roman" w:cs="Times New Roman" w:eastAsia="Times New Roman" w:hAnsi="Times New Roman"/>
      <w:b w:val="1"/>
      <w:bCs w:val="1"/>
      <w:sz w:val="36"/>
      <w:szCs w:val="36"/>
      <w:lang w:eastAsia="ru-RU"/>
    </w:rPr>
  </w:style>
  <w:style w:type="paragraph" w:styleId="3">
    <w:name w:val="heading 3"/>
    <w:basedOn w:val="a"/>
    <w:next w:val="a"/>
    <w:link w:val="30"/>
    <w:uiPriority w:val="9"/>
    <w:semiHidden w:val="1"/>
    <w:unhideWhenUsed w:val="1"/>
    <w:qFormat w:val="1"/>
    <w:rsid w:val="000D2BE0"/>
    <w:pPr>
      <w:keepNext w:val="1"/>
      <w:keepLines w:val="1"/>
      <w:spacing w:after="0" w:before="200"/>
      <w:outlineLvl w:val="2"/>
    </w:pPr>
    <w:rPr>
      <w:rFonts w:asciiTheme="majorHAnsi" w:cstheme="majorBidi" w:eastAsiaTheme="majorEastAsia" w:hAnsiTheme="majorHAnsi"/>
      <w:b w:val="1"/>
      <w:bCs w:val="1"/>
      <w:color w:val="4f81bd" w:themeColor="accent1"/>
    </w:rPr>
  </w:style>
  <w:style w:type="paragraph" w:styleId="4">
    <w:name w:val="heading 4"/>
    <w:basedOn w:val="a"/>
    <w:next w:val="a"/>
    <w:link w:val="40"/>
    <w:uiPriority w:val="9"/>
    <w:semiHidden w:val="1"/>
    <w:unhideWhenUsed w:val="1"/>
    <w:qFormat w:val="1"/>
    <w:rsid w:val="000D2BE0"/>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130E39"/>
    <w:pPr>
      <w:ind w:left="720"/>
      <w:contextualSpacing w:val="1"/>
    </w:pPr>
  </w:style>
  <w:style w:type="paragraph" w:styleId="normal" w:customStyle="1">
    <w:name w:val="normal"/>
    <w:rsid w:val="00130E39"/>
    <w:pPr>
      <w:spacing w:after="158" w:line="360" w:lineRule="auto"/>
      <w:ind w:firstLine="709"/>
      <w:jc w:val="both"/>
    </w:pPr>
    <w:rPr>
      <w:rFonts w:ascii="Calibri" w:cs="Calibri" w:eastAsia="Calibri" w:hAnsi="Calibri"/>
      <w:lang w:eastAsia="ru-RU" w:val="uk-UA"/>
    </w:rPr>
  </w:style>
  <w:style w:type="character" w:styleId="a4">
    <w:name w:val="Hyperlink"/>
    <w:basedOn w:val="a0"/>
    <w:uiPriority w:val="99"/>
    <w:unhideWhenUsed w:val="1"/>
    <w:rsid w:val="00EC36D9"/>
    <w:rPr>
      <w:color w:val="0000ff" w:themeColor="hyperlink"/>
      <w:u w:val="single"/>
    </w:rPr>
  </w:style>
  <w:style w:type="character" w:styleId="10" w:customStyle="1">
    <w:name w:val="Заголовок 1 Знак"/>
    <w:basedOn w:val="a0"/>
    <w:link w:val="1"/>
    <w:uiPriority w:val="9"/>
    <w:rsid w:val="00ED08EE"/>
    <w:rPr>
      <w:rFonts w:ascii="Times New Roman" w:cs="Times New Roman" w:eastAsia="Times New Roman" w:hAnsi="Times New Roman"/>
      <w:b w:val="1"/>
      <w:bCs w:val="1"/>
      <w:kern w:val="36"/>
      <w:sz w:val="48"/>
      <w:szCs w:val="48"/>
      <w:lang w:eastAsia="ru-RU"/>
    </w:rPr>
  </w:style>
  <w:style w:type="character" w:styleId="20" w:customStyle="1">
    <w:name w:val="Заголовок 2 Знак"/>
    <w:basedOn w:val="a0"/>
    <w:link w:val="2"/>
    <w:uiPriority w:val="9"/>
    <w:rsid w:val="00ED08EE"/>
    <w:rPr>
      <w:rFonts w:ascii="Times New Roman" w:cs="Times New Roman" w:eastAsia="Times New Roman" w:hAnsi="Times New Roman"/>
      <w:b w:val="1"/>
      <w:bCs w:val="1"/>
      <w:sz w:val="36"/>
      <w:szCs w:val="36"/>
      <w:lang w:eastAsia="ru-RU"/>
    </w:rPr>
  </w:style>
  <w:style w:type="paragraph" w:styleId="a5">
    <w:name w:val="Normal (Web)"/>
    <w:basedOn w:val="a"/>
    <w:uiPriority w:val="99"/>
    <w:unhideWhenUsed w:val="1"/>
    <w:rsid w:val="00ED08EE"/>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a6">
    <w:name w:val="Strong"/>
    <w:basedOn w:val="a0"/>
    <w:uiPriority w:val="22"/>
    <w:qFormat w:val="1"/>
    <w:rsid w:val="00ED08EE"/>
    <w:rPr>
      <w:b w:val="1"/>
      <w:bCs w:val="1"/>
    </w:rPr>
  </w:style>
  <w:style w:type="character" w:styleId="a7">
    <w:name w:val="Emphasis"/>
    <w:basedOn w:val="a0"/>
    <w:uiPriority w:val="20"/>
    <w:qFormat w:val="1"/>
    <w:rsid w:val="00ED08EE"/>
    <w:rPr>
      <w:i w:val="1"/>
      <w:iCs w:val="1"/>
    </w:rPr>
  </w:style>
  <w:style w:type="paragraph" w:styleId="rvps2" w:customStyle="1">
    <w:name w:val="rvps2"/>
    <w:basedOn w:val="a"/>
    <w:rsid w:val="00BF4C35"/>
    <w:pPr>
      <w:spacing w:after="100" w:afterAutospacing="1" w:before="100" w:beforeAutospacing="1" w:line="240" w:lineRule="auto"/>
    </w:pPr>
    <w:rPr>
      <w:rFonts w:ascii="Times New Roman" w:cs="Times New Roman" w:eastAsia="Times New Roman" w:hAnsi="Times New Roman"/>
      <w:sz w:val="24"/>
      <w:szCs w:val="24"/>
      <w:lang w:eastAsia="ru-RU"/>
    </w:rPr>
  </w:style>
  <w:style w:type="character" w:styleId="rvts9" w:customStyle="1">
    <w:name w:val="rvts9"/>
    <w:basedOn w:val="a0"/>
    <w:rsid w:val="00BF4C35"/>
  </w:style>
  <w:style w:type="paragraph" w:styleId="capitalletter" w:customStyle="1">
    <w:name w:val="capital_letter"/>
    <w:basedOn w:val="a"/>
    <w:rsid w:val="00504CEA"/>
    <w:pPr>
      <w:spacing w:after="100" w:afterAutospacing="1" w:before="100" w:beforeAutospacing="1" w:line="240" w:lineRule="auto"/>
    </w:pPr>
    <w:rPr>
      <w:rFonts w:ascii="Times New Roman" w:cs="Times New Roman" w:eastAsia="Times New Roman" w:hAnsi="Times New Roman"/>
      <w:sz w:val="24"/>
      <w:szCs w:val="24"/>
      <w:lang w:eastAsia="ru-RU"/>
    </w:rPr>
  </w:style>
  <w:style w:type="paragraph" w:styleId="HTML">
    <w:name w:val="HTML Preformatted"/>
    <w:basedOn w:val="a"/>
    <w:link w:val="HTML0"/>
    <w:uiPriority w:val="99"/>
    <w:semiHidden w:val="1"/>
    <w:unhideWhenUsed w:val="1"/>
    <w:rsid w:val="002639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ru-RU"/>
    </w:rPr>
  </w:style>
  <w:style w:type="character" w:styleId="HTML0" w:customStyle="1">
    <w:name w:val="Стандартный HTML Знак"/>
    <w:basedOn w:val="a0"/>
    <w:link w:val="HTML"/>
    <w:uiPriority w:val="99"/>
    <w:semiHidden w:val="1"/>
    <w:rsid w:val="00263980"/>
    <w:rPr>
      <w:rFonts w:ascii="Courier New" w:cs="Courier New" w:eastAsia="Times New Roman" w:hAnsi="Courier New"/>
      <w:sz w:val="20"/>
      <w:szCs w:val="20"/>
      <w:lang w:eastAsia="ru-RU"/>
    </w:rPr>
  </w:style>
  <w:style w:type="character" w:styleId="30" w:customStyle="1">
    <w:name w:val="Заголовок 3 Знак"/>
    <w:basedOn w:val="a0"/>
    <w:link w:val="3"/>
    <w:uiPriority w:val="9"/>
    <w:semiHidden w:val="1"/>
    <w:rsid w:val="000D2BE0"/>
    <w:rPr>
      <w:rFonts w:asciiTheme="majorHAnsi" w:cstheme="majorBidi" w:eastAsiaTheme="majorEastAsia" w:hAnsiTheme="majorHAnsi"/>
      <w:b w:val="1"/>
      <w:bCs w:val="1"/>
      <w:color w:val="4f81bd" w:themeColor="accent1"/>
    </w:rPr>
  </w:style>
  <w:style w:type="character" w:styleId="40" w:customStyle="1">
    <w:name w:val="Заголовок 4 Знак"/>
    <w:basedOn w:val="a0"/>
    <w:link w:val="4"/>
    <w:uiPriority w:val="9"/>
    <w:semiHidden w:val="1"/>
    <w:rsid w:val="000D2BE0"/>
    <w:rPr>
      <w:rFonts w:asciiTheme="majorHAnsi" w:cstheme="majorBidi" w:eastAsiaTheme="majorEastAsia" w:hAnsiTheme="majorHAnsi"/>
      <w:b w:val="1"/>
      <w:bCs w:val="1"/>
      <w:i w:val="1"/>
      <w:iCs w:val="1"/>
      <w:color w:val="4f81bd" w:themeColor="accent1"/>
    </w:rPr>
  </w:style>
  <w:style w:type="paragraph" w:styleId="a8">
    <w:name w:val="header"/>
    <w:basedOn w:val="a"/>
    <w:link w:val="a9"/>
    <w:uiPriority w:val="99"/>
    <w:unhideWhenUsed w:val="1"/>
    <w:rsid w:val="002A2A35"/>
    <w:pPr>
      <w:tabs>
        <w:tab w:val="center" w:pos="4677"/>
        <w:tab w:val="right" w:pos="9355"/>
      </w:tabs>
      <w:spacing w:after="0" w:line="240" w:lineRule="auto"/>
    </w:pPr>
  </w:style>
  <w:style w:type="character" w:styleId="a9" w:customStyle="1">
    <w:name w:val="Верхний колонтитул Знак"/>
    <w:basedOn w:val="a0"/>
    <w:link w:val="a8"/>
    <w:uiPriority w:val="99"/>
    <w:rsid w:val="002A2A35"/>
  </w:style>
  <w:style w:type="paragraph" w:styleId="aa">
    <w:name w:val="footer"/>
    <w:basedOn w:val="a"/>
    <w:link w:val="ab"/>
    <w:uiPriority w:val="99"/>
    <w:semiHidden w:val="1"/>
    <w:unhideWhenUsed w:val="1"/>
    <w:rsid w:val="002A2A35"/>
    <w:pPr>
      <w:tabs>
        <w:tab w:val="center" w:pos="4677"/>
        <w:tab w:val="right" w:pos="9355"/>
      </w:tabs>
      <w:spacing w:after="0" w:line="240" w:lineRule="auto"/>
    </w:pPr>
  </w:style>
  <w:style w:type="character" w:styleId="ab" w:customStyle="1">
    <w:name w:val="Нижний колонтитул Знак"/>
    <w:basedOn w:val="a0"/>
    <w:link w:val="aa"/>
    <w:uiPriority w:val="99"/>
    <w:semiHidden w:val="1"/>
    <w:rsid w:val="002A2A35"/>
  </w:style>
  <w:style w:type="table" w:styleId="ac">
    <w:name w:val="Table Grid"/>
    <w:basedOn w:val="a1"/>
    <w:uiPriority w:val="59"/>
    <w:rsid w:val="001238AE"/>
    <w:pPr>
      <w:spacing w:after="0" w:line="240" w:lineRule="auto"/>
    </w:p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un.org/ru/about-us/universal-declaration-of-human-rights" TargetMode="External"/><Relationship Id="rId22" Type="http://schemas.openxmlformats.org/officeDocument/2006/relationships/hyperlink" Target="https://zakon.rada.gov.ua/laws/show/3504-20#Text" TargetMode="External"/><Relationship Id="rId21" Type="http://schemas.openxmlformats.org/officeDocument/2006/relationships/hyperlink" Target="http://resource.history.org.ua/cgi-bin/eiu/history.exe?&amp;I21DBN=EIU&amp;P21DBN=EIU&amp;S21STN=1&amp;S21REF=10&amp;S21FMT=eiu_all&amp;C21COM=S&amp;S21CNR=20&amp;S21P01=0&amp;S21P02=0&amp;S21P03=TRN=&amp;S21COLORTERMS=0&amp;S21STR=Zakljuchny_akt_narady_z_bezpeky_1975" TargetMode="External"/><Relationship Id="rId24" Type="http://schemas.openxmlformats.org/officeDocument/2006/relationships/hyperlink" Target="https://zakon.rada.gov.ua/laws/show/802-15#Text" TargetMode="External"/><Relationship Id="rId23" Type="http://schemas.openxmlformats.org/officeDocument/2006/relationships/hyperlink" Target="https://zakon.rada.gov.ua/laws/show/2827-20#Tex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hhrf.org/2023/08/21/hhrf-issues-summary-and-analysis-of-venice-commission-opinion-on-ukraines-law-on-national-minorities-communities/#_Findings_of_the" TargetMode="External"/><Relationship Id="rId26" Type="http://schemas.openxmlformats.org/officeDocument/2006/relationships/hyperlink" Target="https://imi.org.ua/monitorings/pytannya-ukrayinskoyi-movy-i-zahystu-natsionalnyh-menshyn-nova-tochka-bifurkatsiyi-i57524" TargetMode="External"/><Relationship Id="rId25" Type="http://schemas.openxmlformats.org/officeDocument/2006/relationships/hyperlink" Target="https://www.kmu.gov.ua/news/zatverdzheno-metodolohiiu-vykorystannia-mov-natsionalnykh-menshyn-spilnot" TargetMode="External"/><Relationship Id="rId28" Type="http://schemas.openxmlformats.org/officeDocument/2006/relationships/hyperlink" Target="https://lb.ua/society/2024/08/27/631677_zelenskiy_rozkriv_detali_pro.html" TargetMode="External"/><Relationship Id="rId27" Type="http://schemas.openxmlformats.org/officeDocument/2006/relationships/hyperlink" Target="http://www.golos.com.ua/article/375502"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un.org/en" TargetMode="External"/><Relationship Id="rId7" Type="http://schemas.openxmlformats.org/officeDocument/2006/relationships/hyperlink" Target="https://www.venice.coe.int/webforms/documents/?pdf=CDL-PI(2022)049-e" TargetMode="External"/><Relationship Id="rId8" Type="http://schemas.openxmlformats.org/officeDocument/2006/relationships/hyperlink" Target="https://www.venice.coe.int/WebForms/pages/?p=01_founding_documents&amp;lang" TargetMode="External"/><Relationship Id="rId31" Type="http://schemas.openxmlformats.org/officeDocument/2006/relationships/hyperlink" Target="https://zakon.rada.gov.ua/laws/show/3504-20#Text" TargetMode="External"/><Relationship Id="rId30" Type="http://schemas.openxmlformats.org/officeDocument/2006/relationships/hyperlink" Target="https://mova-ombudsman.gov.ua/news/pozytsiia-upovnovazhenoho-shchodo-zakonoproiektu-10288" TargetMode="External"/><Relationship Id="rId11" Type="http://schemas.openxmlformats.org/officeDocument/2006/relationships/hyperlink" Target="https://www.osce.org/files/f/documents/2/3/553783.pdf" TargetMode="External"/><Relationship Id="rId33" Type="http://schemas.openxmlformats.org/officeDocument/2006/relationships/hyperlink" Target="https://auc.org.ua/sites/default/files/sectors/u-137/veneciyska_komisiya.pdf" TargetMode="External"/><Relationship Id="rId10" Type="http://schemas.openxmlformats.org/officeDocument/2006/relationships/hyperlink" Target="https://www.osce.org/hcnm" TargetMode="External"/><Relationship Id="rId32" Type="http://schemas.openxmlformats.org/officeDocument/2006/relationships/hyperlink" Target="https://www.radiosvoboda.org/a/yak-zakon-pro-natsmenshynu-mozhe-zminyty-movne-zakonodavstvo/32703127.html" TargetMode="External"/><Relationship Id="rId13" Type="http://schemas.openxmlformats.org/officeDocument/2006/relationships/hyperlink" Target="https://www.venice.coe.int/webforms/documents/default.aspx?pdffile=CDL-AD(2023)021-e" TargetMode="External"/><Relationship Id="rId12" Type="http://schemas.openxmlformats.org/officeDocument/2006/relationships/hyperlink" Target="https://www.venice.coe.int/webforms/documents/default.aspx?pdffile=CDL-REF(2024)001-e" TargetMode="External"/><Relationship Id="rId34" Type="http://schemas.openxmlformats.org/officeDocument/2006/relationships/header" Target="header1.xml"/><Relationship Id="rId15" Type="http://schemas.openxmlformats.org/officeDocument/2006/relationships/hyperlink" Target="https://zakon.rada.gov.ua/laws/show/995_318#Text" TargetMode="External"/><Relationship Id="rId14" Type="http://schemas.openxmlformats.org/officeDocument/2006/relationships/hyperlink" Target="https://veche.kiev.ua/journal/2705/" TargetMode="External"/><Relationship Id="rId17" Type="http://schemas.openxmlformats.org/officeDocument/2006/relationships/hyperlink" Target="https://zakon.rada.gov.ua/laws/show/995_318#Text" TargetMode="External"/><Relationship Id="rId16" Type="http://schemas.openxmlformats.org/officeDocument/2006/relationships/hyperlink" Target="https://zakon.rada.gov.ua/laws/show/1771-12#Text" TargetMode="External"/><Relationship Id="rId19" Type="http://schemas.openxmlformats.org/officeDocument/2006/relationships/hyperlink" Target="https://zakon.rada.gov.ua/laws/show/994_014#Text" TargetMode="External"/><Relationship Id="rId18" Type="http://schemas.openxmlformats.org/officeDocument/2006/relationships/hyperlink" Target="https://dess.gov.ua/abou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QdvKMfKCTwqj/7l/LXF9on74sQ==">CgMxLjAyCWlkLmdqZGd4czgAciExX042bUdiSC0tSEhKOGtOUVdOREdhU3JtS1pUV1ZtaVU=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2024-08-15T06:56:00Z</dcterms:created>
  <dc:creator>Gigabyte</dc:creator>
</cp:coreProperties>
</file>