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7D" w:rsidRPr="00047A4E" w:rsidRDefault="00071A7D" w:rsidP="004E28F4">
      <w:pPr>
        <w:spacing w:after="0" w:line="360" w:lineRule="auto"/>
        <w:contextualSpacing/>
        <w:jc w:val="both"/>
        <w:rPr>
          <w:rFonts w:ascii="Times New Roman" w:hAnsi="Times New Roman"/>
          <w:sz w:val="24"/>
          <w:szCs w:val="24"/>
          <w:lang w:eastAsia="ru-RU"/>
        </w:rPr>
      </w:pPr>
      <w:r w:rsidRPr="00047A4E">
        <w:rPr>
          <w:rFonts w:ascii="Times New Roman" w:hAnsi="Times New Roman"/>
          <w:color w:val="0D0D0D"/>
          <w:sz w:val="28"/>
          <w:szCs w:val="28"/>
          <w:lang w:eastAsia="ru-RU"/>
        </w:rPr>
        <w:t>ОДЕСЬКИЙ НАЦІОНАЛЬНИЙ УНІВЕРСИТЕТ ІМЕНІ І. І. МЕЧНИКОВА</w:t>
      </w:r>
    </w:p>
    <w:p w:rsidR="00071A7D" w:rsidRPr="00047A4E" w:rsidRDefault="00071A7D" w:rsidP="004E28F4">
      <w:pPr>
        <w:spacing w:after="0" w:line="360" w:lineRule="auto"/>
        <w:contextualSpacing/>
        <w:jc w:val="center"/>
        <w:rPr>
          <w:rFonts w:ascii="Times New Roman" w:hAnsi="Times New Roman"/>
          <w:sz w:val="24"/>
          <w:szCs w:val="24"/>
          <w:lang w:eastAsia="ru-RU"/>
        </w:rPr>
      </w:pPr>
      <w:r w:rsidRPr="00047A4E">
        <w:rPr>
          <w:rFonts w:ascii="Times New Roman" w:hAnsi="Times New Roman"/>
          <w:color w:val="0D0D0D"/>
          <w:sz w:val="28"/>
          <w:szCs w:val="28"/>
          <w:lang w:eastAsia="ru-RU"/>
        </w:rPr>
        <w:t>Економіко-правовий факультет</w:t>
      </w:r>
    </w:p>
    <w:p w:rsidR="00071A7D" w:rsidRPr="00047A4E" w:rsidRDefault="00071A7D" w:rsidP="004E28F4">
      <w:pPr>
        <w:spacing w:after="0" w:line="360" w:lineRule="auto"/>
        <w:contextualSpacing/>
        <w:jc w:val="center"/>
        <w:rPr>
          <w:rFonts w:ascii="Times New Roman" w:hAnsi="Times New Roman"/>
          <w:sz w:val="24"/>
          <w:szCs w:val="24"/>
          <w:lang w:eastAsia="ru-RU"/>
        </w:rPr>
      </w:pPr>
      <w:r w:rsidRPr="00047A4E">
        <w:rPr>
          <w:rFonts w:ascii="Times New Roman" w:hAnsi="Times New Roman"/>
          <w:color w:val="0D0D0D"/>
          <w:sz w:val="28"/>
          <w:szCs w:val="28"/>
          <w:lang w:eastAsia="ru-RU"/>
        </w:rPr>
        <w:t>Кафедра кримінального права, кримінального процесу та криміналістки</w:t>
      </w:r>
    </w:p>
    <w:p w:rsidR="00071A7D" w:rsidRPr="00047A4E" w:rsidRDefault="00071A7D" w:rsidP="004E28F4">
      <w:pPr>
        <w:spacing w:after="240" w:line="360" w:lineRule="auto"/>
        <w:contextualSpacing/>
        <w:jc w:val="center"/>
        <w:rPr>
          <w:rFonts w:ascii="Times New Roman" w:hAnsi="Times New Roman"/>
          <w:sz w:val="24"/>
          <w:szCs w:val="24"/>
          <w:lang w:eastAsia="ru-RU"/>
        </w:rPr>
      </w:pPr>
    </w:p>
    <w:p w:rsidR="00071A7D" w:rsidRPr="00047A4E" w:rsidRDefault="00071A7D" w:rsidP="004E28F4">
      <w:pPr>
        <w:spacing w:after="0" w:line="360" w:lineRule="auto"/>
        <w:contextualSpacing/>
        <w:jc w:val="center"/>
        <w:rPr>
          <w:rFonts w:ascii="Times New Roman" w:hAnsi="Times New Roman"/>
          <w:sz w:val="24"/>
          <w:szCs w:val="24"/>
          <w:lang w:eastAsia="ru-RU"/>
        </w:rPr>
      </w:pPr>
      <w:r w:rsidRPr="00047A4E">
        <w:rPr>
          <w:rFonts w:ascii="Times New Roman" w:hAnsi="Times New Roman"/>
          <w:b/>
          <w:bCs/>
          <w:color w:val="0D0D0D"/>
          <w:sz w:val="32"/>
          <w:szCs w:val="32"/>
          <w:lang w:eastAsia="ru-RU"/>
        </w:rPr>
        <w:t>Кваліфікаційна робота</w:t>
      </w:r>
    </w:p>
    <w:p w:rsidR="00071A7D" w:rsidRPr="00047A4E" w:rsidRDefault="00071A7D" w:rsidP="004E28F4">
      <w:pPr>
        <w:spacing w:after="0" w:line="360" w:lineRule="auto"/>
        <w:contextualSpacing/>
        <w:jc w:val="center"/>
        <w:rPr>
          <w:rFonts w:ascii="Times New Roman" w:hAnsi="Times New Roman"/>
          <w:sz w:val="24"/>
          <w:szCs w:val="24"/>
          <w:lang w:eastAsia="ru-RU"/>
        </w:rPr>
      </w:pPr>
      <w:r w:rsidRPr="00047A4E">
        <w:rPr>
          <w:rFonts w:ascii="Times New Roman" w:hAnsi="Times New Roman"/>
          <w:color w:val="0D0D0D"/>
          <w:sz w:val="28"/>
          <w:szCs w:val="28"/>
          <w:lang w:eastAsia="ru-RU"/>
        </w:rPr>
        <w:t>на здобуття ступеня вищої освіти «магістр»</w:t>
      </w:r>
    </w:p>
    <w:p w:rsidR="00071A7D" w:rsidRPr="004E28F4" w:rsidRDefault="00071A7D" w:rsidP="004E28F4">
      <w:pPr>
        <w:pStyle w:val="HTMLPreformatted"/>
        <w:shd w:val="clear" w:color="auto" w:fill="FFFFFF"/>
        <w:spacing w:line="360" w:lineRule="auto"/>
        <w:contextualSpacing/>
        <w:jc w:val="center"/>
        <w:rPr>
          <w:rFonts w:ascii="Times New Roman" w:hAnsi="Times New Roman"/>
          <w:sz w:val="28"/>
          <w:szCs w:val="28"/>
          <w:lang w:val="uk-UA"/>
        </w:rPr>
      </w:pPr>
      <w:r w:rsidRPr="004E28F4">
        <w:rPr>
          <w:rFonts w:ascii="Times New Roman" w:hAnsi="Times New Roman"/>
          <w:bCs/>
          <w:color w:val="0D0D0D"/>
          <w:sz w:val="28"/>
          <w:szCs w:val="28"/>
        </w:rPr>
        <w:t>«</w:t>
      </w:r>
      <w:r w:rsidRPr="004E28F4">
        <w:rPr>
          <w:rFonts w:ascii="Times New Roman" w:hAnsi="Times New Roman"/>
          <w:sz w:val="28"/>
          <w:szCs w:val="28"/>
          <w:lang w:val="uk-UA"/>
        </w:rPr>
        <w:t>Диверсія та її форми (аналіз складу злочину)</w:t>
      </w:r>
      <w:r w:rsidRPr="004E28F4">
        <w:rPr>
          <w:rFonts w:ascii="Times New Roman" w:hAnsi="Times New Roman"/>
          <w:bCs/>
          <w:color w:val="0D0D0D"/>
          <w:sz w:val="28"/>
          <w:szCs w:val="28"/>
        </w:rPr>
        <w:t>»</w:t>
      </w:r>
    </w:p>
    <w:p w:rsidR="00071A7D" w:rsidRPr="004E28F4" w:rsidRDefault="00071A7D" w:rsidP="004E28F4">
      <w:pPr>
        <w:spacing w:after="0" w:line="360" w:lineRule="auto"/>
        <w:ind w:firstLine="567"/>
        <w:contextualSpacing/>
        <w:jc w:val="center"/>
        <w:rPr>
          <w:rFonts w:ascii="Times New Roman" w:hAnsi="Times New Roman"/>
          <w:sz w:val="28"/>
          <w:szCs w:val="28"/>
          <w:lang w:val="en-US" w:eastAsia="ru-RU"/>
        </w:rPr>
      </w:pPr>
      <w:r w:rsidRPr="004E28F4">
        <w:rPr>
          <w:rFonts w:ascii="Times New Roman" w:hAnsi="Times New Roman"/>
          <w:bCs/>
          <w:color w:val="0D0D0D"/>
          <w:sz w:val="28"/>
          <w:szCs w:val="28"/>
          <w:lang w:val="en-US" w:eastAsia="ru-RU"/>
        </w:rPr>
        <w:t>«</w:t>
      </w:r>
      <w:r w:rsidRPr="004E28F4">
        <w:rPr>
          <w:rFonts w:ascii="Times New Roman" w:hAnsi="Times New Roman"/>
          <w:sz w:val="28"/>
          <w:szCs w:val="28"/>
          <w:lang w:val="en-US"/>
        </w:rPr>
        <w:t>Subversion and its forms (analysis of element of a crime)</w:t>
      </w:r>
      <w:r w:rsidRPr="004E28F4">
        <w:rPr>
          <w:rFonts w:ascii="Times New Roman" w:hAnsi="Times New Roman"/>
          <w:bCs/>
          <w:color w:val="0D0D0D"/>
          <w:sz w:val="28"/>
          <w:szCs w:val="28"/>
          <w:lang w:val="en-US" w:eastAsia="ru-RU"/>
        </w:rPr>
        <w:t>»</w:t>
      </w:r>
    </w:p>
    <w:p w:rsidR="00071A7D" w:rsidRPr="009F08C2" w:rsidRDefault="00071A7D" w:rsidP="004E28F4">
      <w:pPr>
        <w:spacing w:after="240" w:line="240" w:lineRule="auto"/>
        <w:contextualSpacing/>
        <w:rPr>
          <w:rFonts w:ascii="Times New Roman" w:hAnsi="Times New Roman"/>
          <w:sz w:val="24"/>
          <w:szCs w:val="24"/>
          <w:lang w:val="en-US" w:eastAsia="ru-RU"/>
        </w:rPr>
      </w:pPr>
    </w:p>
    <w:p w:rsidR="00071A7D" w:rsidRDefault="00071A7D" w:rsidP="004E28F4">
      <w:pPr>
        <w:spacing w:after="0" w:line="240" w:lineRule="auto"/>
        <w:contextualSpacing/>
        <w:jc w:val="both"/>
        <w:rPr>
          <w:rFonts w:ascii="Times New Roman" w:hAnsi="Times New Roman"/>
          <w:color w:val="0D0D0D"/>
          <w:sz w:val="28"/>
          <w:szCs w:val="28"/>
          <w:lang w:val="en-US" w:eastAsia="ru-RU"/>
        </w:rPr>
      </w:pPr>
      <w:r w:rsidRPr="00103503">
        <w:rPr>
          <w:rFonts w:ascii="Times New Roman" w:hAnsi="Times New Roman"/>
          <w:color w:val="0D0D0D"/>
          <w:sz w:val="28"/>
          <w:szCs w:val="28"/>
          <w:lang w:val="en-US" w:eastAsia="ru-RU"/>
        </w:rPr>
        <w:t>                                                    </w:t>
      </w:r>
    </w:p>
    <w:p w:rsidR="00071A7D" w:rsidRPr="00F921C4" w:rsidRDefault="00071A7D" w:rsidP="004E28F4">
      <w:pPr>
        <w:spacing w:after="0" w:line="360" w:lineRule="auto"/>
        <w:contextualSpacing/>
        <w:jc w:val="both"/>
        <w:rPr>
          <w:rFonts w:ascii="Times New Roman" w:eastAsia="SimSun" w:hAnsi="Times New Roman"/>
          <w:sz w:val="28"/>
          <w:szCs w:val="28"/>
          <w:lang w:val="uk-UA"/>
        </w:rPr>
      </w:pPr>
      <w:r>
        <w:rPr>
          <w:rFonts w:ascii="Times New Roman" w:eastAsia="SimSun" w:hAnsi="Times New Roman"/>
          <w:sz w:val="28"/>
          <w:szCs w:val="28"/>
          <w:lang w:val="uk-UA"/>
        </w:rPr>
        <w:t xml:space="preserve">                        Виконав</w:t>
      </w:r>
      <w:r w:rsidRPr="00F921C4">
        <w:rPr>
          <w:rFonts w:ascii="Times New Roman" w:eastAsia="SimSun" w:hAnsi="Times New Roman"/>
          <w:sz w:val="28"/>
          <w:szCs w:val="28"/>
          <w:lang w:val="uk-UA"/>
        </w:rPr>
        <w:t xml:space="preserve">: </w:t>
      </w:r>
      <w:r>
        <w:rPr>
          <w:rFonts w:ascii="Times New Roman" w:eastAsia="SimSun" w:hAnsi="Times New Roman"/>
          <w:sz w:val="28"/>
          <w:szCs w:val="28"/>
          <w:lang w:val="uk-UA" w:eastAsia="zh-CN"/>
        </w:rPr>
        <w:t>здобувач денної</w:t>
      </w:r>
      <w:r w:rsidRPr="00F921C4">
        <w:rPr>
          <w:rFonts w:ascii="Times New Roman" w:eastAsia="SimSun" w:hAnsi="Times New Roman"/>
          <w:sz w:val="28"/>
          <w:szCs w:val="28"/>
          <w:lang w:val="uk-UA"/>
        </w:rPr>
        <w:t>форми навчання</w:t>
      </w:r>
    </w:p>
    <w:p w:rsidR="00071A7D" w:rsidRPr="00F921C4" w:rsidRDefault="00071A7D" w:rsidP="004E28F4">
      <w:pPr>
        <w:spacing w:after="0" w:line="360" w:lineRule="auto"/>
        <w:contextualSpacing/>
        <w:jc w:val="both"/>
        <w:rPr>
          <w:rFonts w:ascii="Times New Roman" w:eastAsia="SimSun" w:hAnsi="Times New Roman"/>
          <w:sz w:val="28"/>
          <w:szCs w:val="28"/>
          <w:lang w:val="uk-UA"/>
        </w:rPr>
      </w:pPr>
      <w:r w:rsidRPr="00F921C4">
        <w:rPr>
          <w:rFonts w:ascii="Times New Roman" w:eastAsia="SimSun" w:hAnsi="Times New Roman"/>
          <w:sz w:val="28"/>
          <w:szCs w:val="28"/>
          <w:lang w:val="uk-UA"/>
        </w:rPr>
        <w:t xml:space="preserve">                                                      спеціальності 081 Право</w:t>
      </w:r>
    </w:p>
    <w:p w:rsidR="00071A7D" w:rsidRPr="00F921C4" w:rsidRDefault="00071A7D" w:rsidP="004E28F4">
      <w:pPr>
        <w:spacing w:after="0" w:line="360" w:lineRule="auto"/>
        <w:contextualSpacing/>
        <w:jc w:val="both"/>
        <w:rPr>
          <w:rFonts w:ascii="Times New Roman" w:eastAsia="SimSun" w:hAnsi="Times New Roman"/>
          <w:sz w:val="28"/>
          <w:szCs w:val="28"/>
          <w:lang w:val="uk-UA"/>
        </w:rPr>
      </w:pPr>
      <w:r w:rsidRPr="00F921C4">
        <w:rPr>
          <w:rFonts w:ascii="Times New Roman" w:eastAsia="SimSun" w:hAnsi="Times New Roman"/>
          <w:sz w:val="28"/>
          <w:szCs w:val="28"/>
          <w:lang w:val="uk-UA"/>
        </w:rPr>
        <w:t xml:space="preserve">                                                      Освітня програма </w:t>
      </w:r>
      <w:r>
        <w:rPr>
          <w:rFonts w:ascii="Times New Roman" w:eastAsia="SimSun" w:hAnsi="Times New Roman"/>
          <w:sz w:val="28"/>
          <w:szCs w:val="28"/>
          <w:lang w:val="uk-UA"/>
        </w:rPr>
        <w:t>«</w:t>
      </w:r>
      <w:r w:rsidRPr="00F921C4">
        <w:rPr>
          <w:rFonts w:ascii="Times New Roman" w:eastAsia="SimSun" w:hAnsi="Times New Roman"/>
          <w:sz w:val="28"/>
          <w:szCs w:val="28"/>
          <w:lang w:val="uk-UA"/>
        </w:rPr>
        <w:t>Право</w:t>
      </w:r>
      <w:r>
        <w:rPr>
          <w:rFonts w:ascii="Times New Roman" w:eastAsia="SimSun" w:hAnsi="Times New Roman"/>
          <w:sz w:val="28"/>
          <w:szCs w:val="28"/>
          <w:lang w:val="uk-UA"/>
        </w:rPr>
        <w:t>»</w:t>
      </w:r>
    </w:p>
    <w:p w:rsidR="00071A7D" w:rsidRPr="004E28F4" w:rsidRDefault="00071A7D" w:rsidP="004E28F4">
      <w:pPr>
        <w:spacing w:after="0" w:line="360" w:lineRule="auto"/>
        <w:contextualSpacing/>
        <w:jc w:val="both"/>
        <w:rPr>
          <w:rFonts w:ascii="Times New Roman" w:eastAsia="SimSun" w:hAnsi="Times New Roman"/>
          <w:sz w:val="28"/>
          <w:szCs w:val="28"/>
        </w:rPr>
      </w:pPr>
      <w:r>
        <w:rPr>
          <w:rFonts w:ascii="Times New Roman" w:hAnsi="Times New Roman"/>
          <w:color w:val="000000"/>
          <w:sz w:val="28"/>
          <w:szCs w:val="28"/>
          <w:lang w:val="uk-UA" w:eastAsia="ru-RU"/>
        </w:rPr>
        <w:t>Кисільов Віталій Владиславович</w:t>
      </w:r>
    </w:p>
    <w:p w:rsidR="00071A7D" w:rsidRPr="00F921C4" w:rsidRDefault="00071A7D" w:rsidP="004E28F4">
      <w:pPr>
        <w:spacing w:after="0" w:line="360" w:lineRule="auto"/>
        <w:contextualSpacing/>
        <w:jc w:val="both"/>
        <w:rPr>
          <w:rFonts w:ascii="Times New Roman" w:eastAsia="SimSun" w:hAnsi="Times New Roman"/>
          <w:sz w:val="28"/>
          <w:szCs w:val="28"/>
          <w:lang w:val="uk-UA"/>
        </w:rPr>
      </w:pPr>
    </w:p>
    <w:p w:rsidR="00071A7D" w:rsidRPr="00F921C4" w:rsidRDefault="00071A7D" w:rsidP="004E28F4">
      <w:pPr>
        <w:spacing w:after="0" w:line="360" w:lineRule="auto"/>
        <w:contextualSpacing/>
        <w:jc w:val="both"/>
        <w:rPr>
          <w:rFonts w:ascii="Times New Roman" w:eastAsia="SimSun" w:hAnsi="Times New Roman"/>
          <w:sz w:val="28"/>
          <w:szCs w:val="28"/>
          <w:lang w:val="uk-UA"/>
        </w:rPr>
      </w:pPr>
      <w:r>
        <w:rPr>
          <w:rFonts w:ascii="Times New Roman" w:eastAsia="SimSun" w:hAnsi="Times New Roman"/>
          <w:sz w:val="28"/>
          <w:szCs w:val="28"/>
          <w:lang w:val="uk-UA"/>
        </w:rPr>
        <w:t xml:space="preserve">                    Керівник:  д.ю.н., проф</w:t>
      </w:r>
      <w:r w:rsidRPr="00F921C4">
        <w:rPr>
          <w:rFonts w:ascii="Times New Roman" w:eastAsia="SimSun" w:hAnsi="Times New Roman"/>
          <w:sz w:val="28"/>
          <w:szCs w:val="28"/>
          <w:lang w:val="uk-UA"/>
        </w:rPr>
        <w:t xml:space="preserve">. </w:t>
      </w:r>
      <w:r>
        <w:rPr>
          <w:rFonts w:ascii="Times New Roman" w:eastAsia="SimSun" w:hAnsi="Times New Roman"/>
          <w:sz w:val="28"/>
          <w:szCs w:val="28"/>
          <w:lang w:val="uk-UA"/>
        </w:rPr>
        <w:t xml:space="preserve">Чуваков О. А. </w:t>
      </w:r>
      <w:r w:rsidRPr="00F921C4">
        <w:rPr>
          <w:rFonts w:ascii="Times New Roman" w:eastAsia="SimSun" w:hAnsi="Times New Roman"/>
          <w:sz w:val="28"/>
          <w:szCs w:val="28"/>
          <w:lang w:val="uk-UA"/>
        </w:rPr>
        <w:t xml:space="preserve"> _______       </w:t>
      </w:r>
    </w:p>
    <w:p w:rsidR="00071A7D" w:rsidRPr="00F921C4" w:rsidRDefault="00071A7D" w:rsidP="004E28F4">
      <w:pPr>
        <w:tabs>
          <w:tab w:val="left" w:pos="6816"/>
        </w:tabs>
        <w:spacing w:after="0" w:line="360" w:lineRule="auto"/>
        <w:contextualSpacing/>
        <w:jc w:val="both"/>
        <w:rPr>
          <w:rFonts w:ascii="Times New Roman" w:eastAsia="SimSun" w:hAnsi="Times New Roman"/>
          <w:sz w:val="28"/>
          <w:szCs w:val="28"/>
          <w:lang w:val="uk-UA"/>
        </w:rPr>
      </w:pPr>
      <w:r w:rsidRPr="00F921C4">
        <w:rPr>
          <w:rFonts w:ascii="Times New Roman" w:eastAsia="SimSun" w:hAnsi="Times New Roman"/>
          <w:sz w:val="28"/>
          <w:szCs w:val="28"/>
          <w:lang w:val="uk-UA"/>
        </w:rPr>
        <w:t xml:space="preserve">                                                      Рецензент:</w:t>
      </w:r>
      <w:r>
        <w:rPr>
          <w:rFonts w:ascii="Times New Roman" w:eastAsia="SimSun" w:hAnsi="Times New Roman"/>
          <w:sz w:val="28"/>
          <w:szCs w:val="28"/>
          <w:lang w:val="uk-UA"/>
        </w:rPr>
        <w:t xml:space="preserve"> к.ю.н., доц. Родіонова Т. В.</w:t>
      </w:r>
      <w:r w:rsidRPr="00F921C4">
        <w:rPr>
          <w:rFonts w:ascii="Times New Roman" w:eastAsia="SimSun" w:hAnsi="Times New Roman"/>
          <w:sz w:val="28"/>
          <w:szCs w:val="28"/>
          <w:lang w:val="uk-UA"/>
        </w:rPr>
        <w:tab/>
      </w:r>
    </w:p>
    <w:p w:rsidR="00071A7D" w:rsidRDefault="00071A7D" w:rsidP="004E28F4">
      <w:pPr>
        <w:tabs>
          <w:tab w:val="left" w:pos="5245"/>
          <w:tab w:val="right" w:pos="9355"/>
        </w:tabs>
        <w:spacing w:after="0" w:line="360" w:lineRule="auto"/>
        <w:contextualSpacing/>
        <w:jc w:val="both"/>
        <w:rPr>
          <w:rFonts w:ascii="Times New Roman" w:eastAsia="SimSun" w:hAnsi="Times New Roman"/>
          <w:sz w:val="28"/>
          <w:szCs w:val="28"/>
          <w:lang w:val="uk-UA"/>
        </w:rPr>
      </w:pPr>
    </w:p>
    <w:p w:rsidR="00071A7D" w:rsidRPr="00F921C4" w:rsidRDefault="00071A7D" w:rsidP="004E28F4">
      <w:pPr>
        <w:tabs>
          <w:tab w:val="left" w:pos="5245"/>
          <w:tab w:val="right" w:pos="9355"/>
        </w:tabs>
        <w:spacing w:before="120" w:after="0" w:line="240" w:lineRule="auto"/>
        <w:contextualSpacing/>
        <w:jc w:val="both"/>
        <w:rPr>
          <w:rFonts w:ascii="Times New Roman" w:eastAsia="SimSun" w:hAnsi="Times New Roman"/>
          <w:sz w:val="28"/>
          <w:szCs w:val="28"/>
          <w:lang w:val="uk-UA"/>
        </w:rPr>
      </w:pPr>
    </w:p>
    <w:tbl>
      <w:tblPr>
        <w:tblW w:w="9868" w:type="dxa"/>
        <w:tblLayout w:type="fixed"/>
        <w:tblLook w:val="0000"/>
      </w:tblPr>
      <w:tblGrid>
        <w:gridCol w:w="4536"/>
        <w:gridCol w:w="5332"/>
      </w:tblGrid>
      <w:tr w:rsidR="00071A7D" w:rsidRPr="00DF3158" w:rsidTr="004E28F4">
        <w:tc>
          <w:tcPr>
            <w:tcW w:w="4536" w:type="dxa"/>
          </w:tcPr>
          <w:p w:rsidR="00071A7D" w:rsidRDefault="00071A7D" w:rsidP="004E28F4">
            <w:pPr>
              <w:spacing w:after="0" w:line="276" w:lineRule="auto"/>
              <w:contextualSpacing/>
              <w:jc w:val="both"/>
              <w:rPr>
                <w:rFonts w:ascii="Times New Roman" w:eastAsia="SimSun" w:hAnsi="Times New Roman"/>
                <w:sz w:val="28"/>
                <w:szCs w:val="28"/>
                <w:lang w:val="uk-UA"/>
              </w:rPr>
            </w:pPr>
          </w:p>
          <w:p w:rsidR="00071A7D" w:rsidRDefault="00071A7D" w:rsidP="004E28F4">
            <w:pPr>
              <w:spacing w:after="0" w:line="276" w:lineRule="auto"/>
              <w:contextualSpacing/>
              <w:jc w:val="both"/>
              <w:rPr>
                <w:rFonts w:ascii="Times New Roman" w:eastAsia="SimSun" w:hAnsi="Times New Roman"/>
                <w:sz w:val="28"/>
                <w:szCs w:val="28"/>
                <w:lang w:val="uk-UA"/>
              </w:rPr>
            </w:pPr>
          </w:p>
          <w:p w:rsidR="00071A7D" w:rsidRDefault="00071A7D" w:rsidP="004E28F4">
            <w:pPr>
              <w:spacing w:after="0" w:line="276" w:lineRule="auto"/>
              <w:contextualSpacing/>
              <w:jc w:val="both"/>
              <w:rPr>
                <w:rFonts w:ascii="Times New Roman" w:eastAsia="SimSun" w:hAnsi="Times New Roman"/>
                <w:sz w:val="28"/>
                <w:szCs w:val="28"/>
                <w:lang w:val="uk-UA"/>
              </w:rPr>
            </w:pPr>
          </w:p>
          <w:p w:rsidR="00071A7D" w:rsidRDefault="00071A7D" w:rsidP="004E28F4">
            <w:pPr>
              <w:spacing w:after="0" w:line="276" w:lineRule="auto"/>
              <w:contextualSpacing/>
              <w:jc w:val="both"/>
              <w:rPr>
                <w:rFonts w:ascii="Times New Roman" w:eastAsia="SimSun" w:hAnsi="Times New Roman"/>
                <w:sz w:val="28"/>
                <w:szCs w:val="28"/>
                <w:lang w:val="uk-UA"/>
              </w:rPr>
            </w:pPr>
          </w:p>
          <w:p w:rsidR="00071A7D" w:rsidRDefault="00071A7D" w:rsidP="004E28F4">
            <w:pPr>
              <w:spacing w:after="0" w:line="276" w:lineRule="auto"/>
              <w:contextualSpacing/>
              <w:jc w:val="both"/>
              <w:rPr>
                <w:rFonts w:ascii="Times New Roman" w:eastAsia="SimSun" w:hAnsi="Times New Roman"/>
                <w:sz w:val="28"/>
                <w:szCs w:val="28"/>
                <w:lang w:val="uk-UA"/>
              </w:rPr>
            </w:pPr>
          </w:p>
          <w:p w:rsidR="00071A7D" w:rsidRDefault="00071A7D" w:rsidP="004E28F4">
            <w:pPr>
              <w:spacing w:after="0" w:line="276" w:lineRule="auto"/>
              <w:contextualSpacing/>
              <w:jc w:val="both"/>
              <w:rPr>
                <w:rFonts w:ascii="Times New Roman" w:eastAsia="SimSun" w:hAnsi="Times New Roman"/>
                <w:sz w:val="28"/>
                <w:szCs w:val="28"/>
                <w:lang w:val="uk-UA"/>
              </w:rPr>
            </w:pPr>
          </w:p>
          <w:p w:rsidR="00071A7D" w:rsidRPr="006D19C7" w:rsidRDefault="00071A7D" w:rsidP="004E28F4">
            <w:pPr>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Рекомендовано до захисту:</w:t>
            </w:r>
          </w:p>
          <w:p w:rsidR="00071A7D" w:rsidRPr="006D19C7" w:rsidRDefault="00071A7D" w:rsidP="004E28F4">
            <w:pPr>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протокол засідання кафедри</w:t>
            </w:r>
          </w:p>
          <w:p w:rsidR="00071A7D" w:rsidRPr="006D19C7" w:rsidRDefault="00071A7D" w:rsidP="004E28F4">
            <w:pPr>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 ___  від ____.___. 2024р.</w:t>
            </w:r>
          </w:p>
          <w:p w:rsidR="00071A7D" w:rsidRPr="006D19C7" w:rsidRDefault="00071A7D" w:rsidP="004E28F4">
            <w:pPr>
              <w:spacing w:after="0" w:line="276" w:lineRule="auto"/>
              <w:contextualSpacing/>
              <w:jc w:val="both"/>
              <w:rPr>
                <w:rFonts w:ascii="Times New Roman" w:eastAsia="SimSun" w:hAnsi="Times New Roman"/>
                <w:sz w:val="28"/>
                <w:szCs w:val="28"/>
                <w:lang w:val="uk-UA"/>
              </w:rPr>
            </w:pPr>
          </w:p>
          <w:p w:rsidR="00071A7D" w:rsidRPr="006D19C7" w:rsidRDefault="00071A7D" w:rsidP="004E28F4">
            <w:pPr>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В. о. завідувача кафедри</w:t>
            </w:r>
          </w:p>
          <w:p w:rsidR="00071A7D" w:rsidRPr="006D19C7" w:rsidRDefault="00071A7D" w:rsidP="004E28F4">
            <w:pPr>
              <w:tabs>
                <w:tab w:val="left" w:pos="284"/>
                <w:tab w:val="left" w:pos="1767"/>
              </w:tabs>
              <w:spacing w:after="0" w:line="240" w:lineRule="auto"/>
              <w:contextualSpacing/>
              <w:jc w:val="both"/>
              <w:rPr>
                <w:rFonts w:ascii="Times New Roman" w:eastAsia="SimSun" w:hAnsi="Times New Roman"/>
                <w:sz w:val="28"/>
                <w:szCs w:val="28"/>
                <w:lang w:val="uk-UA" w:eastAsia="zh-CN"/>
              </w:rPr>
            </w:pPr>
            <w:r w:rsidRPr="006D19C7">
              <w:rPr>
                <w:rFonts w:ascii="Times New Roman" w:eastAsia="SimSun" w:hAnsi="Times New Roman"/>
                <w:sz w:val="28"/>
                <w:szCs w:val="28"/>
                <w:lang w:val="uk-UA"/>
              </w:rPr>
              <w:t>____</w:t>
            </w:r>
            <w:r>
              <w:rPr>
                <w:rFonts w:ascii="Times New Roman" w:eastAsia="SimSun" w:hAnsi="Times New Roman"/>
                <w:sz w:val="28"/>
                <w:szCs w:val="28"/>
                <w:lang w:val="uk-UA"/>
              </w:rPr>
              <w:t>____</w:t>
            </w:r>
            <w:r w:rsidRPr="006D19C7">
              <w:rPr>
                <w:rFonts w:ascii="Times New Roman" w:eastAsia="SimSun" w:hAnsi="Times New Roman"/>
                <w:sz w:val="28"/>
                <w:szCs w:val="28"/>
                <w:lang w:val="uk-UA"/>
              </w:rPr>
              <w:t xml:space="preserve">___  </w:t>
            </w:r>
            <w:r>
              <w:rPr>
                <w:rFonts w:ascii="Times New Roman" w:eastAsia="SimSun" w:hAnsi="Times New Roman"/>
                <w:sz w:val="28"/>
                <w:szCs w:val="28"/>
                <w:u w:val="single"/>
                <w:lang w:val="uk-UA" w:eastAsia="zh-CN"/>
              </w:rPr>
              <w:t>Олег ЧУВАКОВ</w:t>
            </w:r>
          </w:p>
          <w:p w:rsidR="00071A7D" w:rsidRPr="00FB22FB" w:rsidRDefault="00071A7D" w:rsidP="004E28F4">
            <w:pPr>
              <w:tabs>
                <w:tab w:val="left" w:pos="284"/>
                <w:tab w:val="left" w:pos="1767"/>
              </w:tabs>
              <w:spacing w:after="0" w:line="240" w:lineRule="auto"/>
              <w:contextualSpacing/>
              <w:jc w:val="both"/>
              <w:rPr>
                <w:rFonts w:ascii="Times New Roman" w:eastAsia="SimSun" w:hAnsi="Times New Roman"/>
                <w:sz w:val="24"/>
                <w:szCs w:val="24"/>
                <w:lang w:val="uk-UA"/>
              </w:rPr>
            </w:pPr>
            <w:r w:rsidRPr="00FB22FB">
              <w:rPr>
                <w:rFonts w:ascii="Times New Roman" w:eastAsia="SimSun" w:hAnsi="Times New Roman"/>
                <w:sz w:val="24"/>
                <w:szCs w:val="24"/>
                <w:lang w:val="uk-UA"/>
              </w:rPr>
              <w:t xml:space="preserve">    (підпис)      (прізвище, ім’я)</w:t>
            </w:r>
          </w:p>
        </w:tc>
        <w:tc>
          <w:tcPr>
            <w:tcW w:w="5332" w:type="dxa"/>
          </w:tcPr>
          <w:p w:rsidR="00071A7D" w:rsidRDefault="00071A7D" w:rsidP="004E28F4">
            <w:pPr>
              <w:tabs>
                <w:tab w:val="right" w:pos="4462"/>
              </w:tabs>
              <w:spacing w:after="0" w:line="276" w:lineRule="auto"/>
              <w:contextualSpacing/>
              <w:jc w:val="both"/>
              <w:rPr>
                <w:rFonts w:ascii="Times New Roman" w:eastAsia="SimSun" w:hAnsi="Times New Roman"/>
                <w:sz w:val="28"/>
                <w:szCs w:val="28"/>
                <w:lang w:val="uk-UA"/>
              </w:rPr>
            </w:pPr>
          </w:p>
          <w:p w:rsidR="00071A7D" w:rsidRDefault="00071A7D" w:rsidP="004E28F4">
            <w:pPr>
              <w:tabs>
                <w:tab w:val="right" w:pos="4462"/>
              </w:tabs>
              <w:spacing w:after="0" w:line="276" w:lineRule="auto"/>
              <w:contextualSpacing/>
              <w:jc w:val="both"/>
              <w:rPr>
                <w:rFonts w:ascii="Times New Roman" w:eastAsia="SimSun" w:hAnsi="Times New Roman"/>
                <w:sz w:val="28"/>
                <w:szCs w:val="28"/>
                <w:lang w:val="uk-UA"/>
              </w:rPr>
            </w:pPr>
          </w:p>
          <w:p w:rsidR="00071A7D" w:rsidRDefault="00071A7D" w:rsidP="004E28F4">
            <w:pPr>
              <w:tabs>
                <w:tab w:val="right" w:pos="4462"/>
              </w:tabs>
              <w:spacing w:after="0" w:line="276" w:lineRule="auto"/>
              <w:contextualSpacing/>
              <w:jc w:val="both"/>
              <w:rPr>
                <w:rFonts w:ascii="Times New Roman" w:eastAsia="SimSun" w:hAnsi="Times New Roman"/>
                <w:sz w:val="28"/>
                <w:szCs w:val="28"/>
                <w:lang w:val="uk-UA"/>
              </w:rPr>
            </w:pPr>
          </w:p>
          <w:p w:rsidR="00071A7D" w:rsidRDefault="00071A7D" w:rsidP="004E28F4">
            <w:pPr>
              <w:tabs>
                <w:tab w:val="right" w:pos="4462"/>
              </w:tabs>
              <w:spacing w:after="0" w:line="276" w:lineRule="auto"/>
              <w:contextualSpacing/>
              <w:jc w:val="both"/>
              <w:rPr>
                <w:rFonts w:ascii="Times New Roman" w:eastAsia="SimSun" w:hAnsi="Times New Roman"/>
                <w:sz w:val="28"/>
                <w:szCs w:val="28"/>
                <w:lang w:val="uk-UA"/>
              </w:rPr>
            </w:pPr>
          </w:p>
          <w:p w:rsidR="00071A7D" w:rsidRDefault="00071A7D" w:rsidP="004E28F4">
            <w:pPr>
              <w:tabs>
                <w:tab w:val="right" w:pos="4462"/>
              </w:tabs>
              <w:spacing w:after="0" w:line="276" w:lineRule="auto"/>
              <w:contextualSpacing/>
              <w:jc w:val="both"/>
              <w:rPr>
                <w:rFonts w:ascii="Times New Roman" w:eastAsia="SimSun" w:hAnsi="Times New Roman"/>
                <w:sz w:val="28"/>
                <w:szCs w:val="28"/>
                <w:lang w:val="uk-UA"/>
              </w:rPr>
            </w:pPr>
          </w:p>
          <w:p w:rsidR="00071A7D" w:rsidRDefault="00071A7D" w:rsidP="004E28F4">
            <w:pPr>
              <w:tabs>
                <w:tab w:val="right" w:pos="4462"/>
              </w:tabs>
              <w:spacing w:after="0" w:line="276" w:lineRule="auto"/>
              <w:contextualSpacing/>
              <w:jc w:val="both"/>
              <w:rPr>
                <w:rFonts w:ascii="Times New Roman" w:eastAsia="SimSun" w:hAnsi="Times New Roman"/>
                <w:sz w:val="28"/>
                <w:szCs w:val="28"/>
                <w:lang w:val="uk-UA"/>
              </w:rPr>
            </w:pPr>
          </w:p>
          <w:p w:rsidR="00071A7D" w:rsidRPr="006D19C7" w:rsidRDefault="00071A7D" w:rsidP="004E28F4">
            <w:pPr>
              <w:tabs>
                <w:tab w:val="right" w:pos="4462"/>
              </w:tabs>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 xml:space="preserve">Захищено на засіданні ЕК № </w:t>
            </w:r>
            <w:r>
              <w:rPr>
                <w:rFonts w:ascii="Times New Roman" w:eastAsia="SimSun" w:hAnsi="Times New Roman"/>
                <w:sz w:val="28"/>
                <w:szCs w:val="28"/>
                <w:lang w:val="uk-UA"/>
              </w:rPr>
              <w:t>6</w:t>
            </w:r>
            <w:r w:rsidRPr="006D19C7">
              <w:rPr>
                <w:rFonts w:ascii="Times New Roman" w:eastAsia="SimSun" w:hAnsi="Times New Roman"/>
                <w:sz w:val="28"/>
                <w:szCs w:val="28"/>
                <w:lang w:val="uk-UA"/>
              </w:rPr>
              <w:t xml:space="preserve"> :</w:t>
            </w:r>
          </w:p>
          <w:p w:rsidR="00071A7D" w:rsidRPr="006D19C7" w:rsidRDefault="00071A7D" w:rsidP="004E28F4">
            <w:pPr>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протокол № ___від ____.___.2024 р.</w:t>
            </w:r>
          </w:p>
          <w:p w:rsidR="00071A7D" w:rsidRPr="006D19C7" w:rsidRDefault="00071A7D" w:rsidP="004E28F4">
            <w:pPr>
              <w:tabs>
                <w:tab w:val="right" w:pos="4462"/>
              </w:tabs>
              <w:spacing w:after="0" w:line="276"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Оцінка______________/___</w:t>
            </w:r>
            <w:r w:rsidRPr="006D19C7">
              <w:rPr>
                <w:rFonts w:ascii="Times New Roman" w:eastAsia="SimSun" w:hAnsi="Times New Roman"/>
                <w:sz w:val="28"/>
                <w:szCs w:val="28"/>
                <w:lang w:val="uk-UA"/>
              </w:rPr>
              <w:tab/>
              <w:t>___/_____</w:t>
            </w:r>
          </w:p>
          <w:p w:rsidR="00071A7D" w:rsidRPr="00FB22FB" w:rsidRDefault="00071A7D" w:rsidP="004E28F4">
            <w:pPr>
              <w:spacing w:after="0" w:line="240" w:lineRule="auto"/>
              <w:contextualSpacing/>
              <w:rPr>
                <w:rFonts w:ascii="Times New Roman" w:eastAsia="SimSun" w:hAnsi="Times New Roman"/>
                <w:sz w:val="24"/>
                <w:szCs w:val="24"/>
                <w:lang w:val="uk-UA"/>
              </w:rPr>
            </w:pPr>
            <w:r w:rsidRPr="00FB22FB">
              <w:rPr>
                <w:rFonts w:ascii="Times New Roman" w:eastAsia="SimSun" w:hAnsi="Times New Roman"/>
                <w:sz w:val="24"/>
                <w:szCs w:val="24"/>
                <w:lang w:val="uk-UA"/>
              </w:rPr>
              <w:t>(за національною шкалою / шкалою ЕСТS / бали)</w:t>
            </w:r>
          </w:p>
          <w:p w:rsidR="00071A7D" w:rsidRPr="006D19C7" w:rsidRDefault="00071A7D" w:rsidP="004E28F4">
            <w:pPr>
              <w:spacing w:after="0" w:line="240"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Голова ЕК</w:t>
            </w:r>
          </w:p>
          <w:p w:rsidR="00071A7D" w:rsidRPr="006D19C7" w:rsidRDefault="00071A7D" w:rsidP="004E28F4">
            <w:pPr>
              <w:tabs>
                <w:tab w:val="left" w:pos="454"/>
                <w:tab w:val="left" w:pos="2155"/>
              </w:tabs>
              <w:spacing w:after="0" w:line="240" w:lineRule="auto"/>
              <w:contextualSpacing/>
              <w:jc w:val="both"/>
              <w:rPr>
                <w:rFonts w:ascii="Times New Roman" w:eastAsia="SimSun" w:hAnsi="Times New Roman"/>
                <w:sz w:val="28"/>
                <w:szCs w:val="28"/>
                <w:lang w:val="uk-UA"/>
              </w:rPr>
            </w:pPr>
            <w:r w:rsidRPr="006D19C7">
              <w:rPr>
                <w:rFonts w:ascii="Times New Roman" w:eastAsia="SimSun" w:hAnsi="Times New Roman"/>
                <w:sz w:val="28"/>
                <w:szCs w:val="28"/>
                <w:lang w:val="uk-UA"/>
              </w:rPr>
              <w:t xml:space="preserve">___________ </w:t>
            </w:r>
            <w:r w:rsidRPr="006D19C7">
              <w:rPr>
                <w:rFonts w:ascii="Times New Roman" w:eastAsia="SimSun" w:hAnsi="Times New Roman"/>
                <w:sz w:val="28"/>
                <w:szCs w:val="28"/>
                <w:u w:val="single"/>
                <w:lang w:val="uk-UA"/>
              </w:rPr>
              <w:t xml:space="preserve">Олена МИКОЛЕНКО </w:t>
            </w:r>
          </w:p>
          <w:p w:rsidR="00071A7D" w:rsidRPr="00FB22FB" w:rsidRDefault="00071A7D" w:rsidP="004E28F4">
            <w:pPr>
              <w:tabs>
                <w:tab w:val="left" w:pos="454"/>
                <w:tab w:val="left" w:pos="2155"/>
              </w:tabs>
              <w:spacing w:after="0" w:line="240" w:lineRule="auto"/>
              <w:contextualSpacing/>
              <w:jc w:val="both"/>
              <w:rPr>
                <w:rFonts w:ascii="Times New Roman" w:eastAsia="SimSun" w:hAnsi="Times New Roman"/>
                <w:sz w:val="24"/>
                <w:szCs w:val="24"/>
                <w:lang w:val="uk-UA"/>
              </w:rPr>
            </w:pPr>
            <w:r w:rsidRPr="00FB22FB">
              <w:rPr>
                <w:rFonts w:ascii="Times New Roman" w:eastAsia="SimSun" w:hAnsi="Times New Roman"/>
                <w:sz w:val="24"/>
                <w:szCs w:val="24"/>
                <w:lang w:val="uk-UA"/>
              </w:rPr>
              <w:t xml:space="preserve">      (підпис)      (прізвище, ім’я)</w:t>
            </w:r>
          </w:p>
        </w:tc>
      </w:tr>
      <w:tr w:rsidR="00071A7D" w:rsidRPr="00DF3158" w:rsidTr="004E28F4">
        <w:tc>
          <w:tcPr>
            <w:tcW w:w="4536" w:type="dxa"/>
          </w:tcPr>
          <w:p w:rsidR="00071A7D" w:rsidRPr="00F921C4" w:rsidRDefault="00071A7D" w:rsidP="004E28F4">
            <w:pPr>
              <w:spacing w:after="0" w:line="240" w:lineRule="auto"/>
              <w:contextualSpacing/>
              <w:jc w:val="both"/>
              <w:rPr>
                <w:rFonts w:ascii="Times New Roman" w:eastAsia="SimSun" w:hAnsi="Times New Roman"/>
                <w:sz w:val="28"/>
                <w:szCs w:val="28"/>
                <w:lang w:val="uk-UA"/>
              </w:rPr>
            </w:pPr>
          </w:p>
          <w:p w:rsidR="00071A7D" w:rsidRPr="00F921C4" w:rsidRDefault="00071A7D" w:rsidP="004E28F4">
            <w:pPr>
              <w:spacing w:after="0" w:line="240" w:lineRule="auto"/>
              <w:contextualSpacing/>
              <w:jc w:val="both"/>
              <w:rPr>
                <w:rFonts w:ascii="Times New Roman" w:eastAsia="SimSun" w:hAnsi="Times New Roman"/>
                <w:sz w:val="28"/>
                <w:szCs w:val="28"/>
                <w:lang w:val="uk-UA"/>
              </w:rPr>
            </w:pPr>
          </w:p>
        </w:tc>
        <w:tc>
          <w:tcPr>
            <w:tcW w:w="5332" w:type="dxa"/>
          </w:tcPr>
          <w:p w:rsidR="00071A7D" w:rsidRPr="00F921C4" w:rsidRDefault="00071A7D" w:rsidP="004E28F4">
            <w:pPr>
              <w:spacing w:after="0" w:line="240" w:lineRule="auto"/>
              <w:contextualSpacing/>
              <w:jc w:val="both"/>
              <w:rPr>
                <w:rFonts w:ascii="Times New Roman" w:eastAsia="SimSun" w:hAnsi="Times New Roman"/>
                <w:sz w:val="28"/>
                <w:szCs w:val="28"/>
                <w:lang w:val="uk-UA"/>
              </w:rPr>
            </w:pPr>
          </w:p>
        </w:tc>
      </w:tr>
    </w:tbl>
    <w:p w:rsidR="00071A7D" w:rsidRDefault="00071A7D" w:rsidP="004E28F4">
      <w:pPr>
        <w:spacing w:after="0" w:line="240" w:lineRule="auto"/>
        <w:contextualSpacing/>
        <w:jc w:val="center"/>
      </w:pPr>
      <w:r w:rsidRPr="00F921C4">
        <w:rPr>
          <w:rFonts w:ascii="Times New Roman" w:eastAsia="SimSun" w:hAnsi="Times New Roman"/>
          <w:b/>
          <w:bCs/>
          <w:sz w:val="28"/>
          <w:szCs w:val="28"/>
          <w:lang w:val="uk-UA"/>
        </w:rPr>
        <w:t>Одеса 2024</w:t>
      </w:r>
    </w:p>
    <w:p w:rsidR="00071A7D" w:rsidRPr="00047A4E" w:rsidRDefault="00071A7D" w:rsidP="004E28F4">
      <w:pPr>
        <w:contextualSpacing/>
        <w:rPr>
          <w:rFonts w:ascii="Times New Roman" w:hAnsi="Times New Roman"/>
          <w:sz w:val="24"/>
          <w:szCs w:val="24"/>
          <w:lang w:val="uk-UA" w:eastAsia="ru-RU"/>
        </w:rPr>
      </w:pPr>
      <w:r>
        <w:rPr>
          <w:rFonts w:ascii="Times New Roman" w:hAnsi="Times New Roman"/>
          <w:sz w:val="24"/>
          <w:szCs w:val="24"/>
          <w:lang w:val="uk-UA" w:eastAsia="ru-RU"/>
        </w:rPr>
        <w:br w:type="page"/>
      </w:r>
    </w:p>
    <w:p w:rsidR="00071A7D" w:rsidRPr="00CD6F6A" w:rsidRDefault="00071A7D" w:rsidP="005E669B">
      <w:pPr>
        <w:spacing w:after="120" w:line="360" w:lineRule="auto"/>
        <w:contextualSpacing/>
        <w:jc w:val="center"/>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ЗМІСТ</w:t>
      </w:r>
    </w:p>
    <w:p w:rsidR="00071A7D" w:rsidRPr="00CD6F6A" w:rsidRDefault="00071A7D" w:rsidP="004E28F4">
      <w:pPr>
        <w:spacing w:after="120" w:line="360" w:lineRule="auto"/>
        <w:contextualSpacing/>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ВСТУП</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...............................3</w:t>
      </w:r>
    </w:p>
    <w:p w:rsidR="00071A7D" w:rsidRPr="00C67861" w:rsidRDefault="00071A7D" w:rsidP="004E28F4">
      <w:pPr>
        <w:spacing w:after="120" w:line="360" w:lineRule="auto"/>
        <w:contextualSpacing/>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 xml:space="preserve">РОЗДІЛ 1. </w:t>
      </w:r>
      <w:r>
        <w:rPr>
          <w:rFonts w:ascii="Times New Roman" w:hAnsi="Times New Roman"/>
          <w:b/>
          <w:bCs/>
          <w:color w:val="000000"/>
          <w:sz w:val="28"/>
          <w:szCs w:val="28"/>
          <w:lang w:val="uk-UA" w:eastAsia="ru-RU"/>
        </w:rPr>
        <w:t>ЗАГАЛЬНІ ЗАСАДИ ДОСЛІДЖЕННЯ КРИМІНАЛЬНОЇ ВІДПОВІДАЛЬНОСТІ ЗА ДИВЕРСІЮ</w:t>
      </w:r>
    </w:p>
    <w:p w:rsidR="00071A7D" w:rsidRPr="00CD6F6A" w:rsidRDefault="00071A7D" w:rsidP="004E28F4">
      <w:pPr>
        <w:spacing w:after="120" w:line="360" w:lineRule="auto"/>
        <w:contextualSpacing/>
        <w:rPr>
          <w:rFonts w:ascii="Times New Roman" w:hAnsi="Times New Roman"/>
          <w:sz w:val="28"/>
          <w:szCs w:val="28"/>
          <w:lang w:val="uk-UA" w:eastAsia="ru-RU"/>
        </w:rPr>
      </w:pPr>
      <w:r>
        <w:rPr>
          <w:rFonts w:ascii="Times New Roman" w:hAnsi="Times New Roman"/>
          <w:color w:val="000000"/>
          <w:sz w:val="28"/>
          <w:szCs w:val="28"/>
          <w:lang w:val="uk-UA" w:eastAsia="ru-RU"/>
        </w:rPr>
        <w:t>1.1 Генеза розвитку законодавства щодо протидії диверсії……………………8</w:t>
      </w:r>
    </w:p>
    <w:p w:rsidR="00071A7D" w:rsidRPr="00CD6F6A" w:rsidRDefault="00071A7D" w:rsidP="004E28F4">
      <w:pPr>
        <w:spacing w:after="120" w:line="360" w:lineRule="auto"/>
        <w:contextualSpacing/>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1.2Кримінально-правовий аналіз диверсій за законодавством європейських країн……………………………………………...………………………….…....16</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 xml:space="preserve"> Висновки до 1 розділу</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…………………………………………….............…24</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 xml:space="preserve">РОЗДІЛ 2. </w:t>
      </w:r>
      <w:r>
        <w:rPr>
          <w:rFonts w:ascii="Times New Roman" w:hAnsi="Times New Roman"/>
          <w:b/>
          <w:bCs/>
          <w:color w:val="000000"/>
          <w:sz w:val="28"/>
          <w:szCs w:val="28"/>
          <w:lang w:val="uk-UA" w:eastAsia="ru-RU"/>
        </w:rPr>
        <w:t>КРИМІНАЛЬНО-ПРАВОВИЙ АНАЛІЗ СКЛАДУ ДИВЕРСІЇ</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sidRPr="00CD6F6A">
        <w:rPr>
          <w:rFonts w:ascii="Times New Roman" w:hAnsi="Times New Roman"/>
          <w:color w:val="000000"/>
          <w:sz w:val="28"/>
          <w:szCs w:val="28"/>
          <w:lang w:val="uk-UA" w:eastAsia="ru-RU"/>
        </w:rPr>
        <w:t>2.1</w:t>
      </w:r>
      <w:r>
        <w:rPr>
          <w:rFonts w:ascii="Times New Roman" w:hAnsi="Times New Roman"/>
          <w:color w:val="000000"/>
          <w:sz w:val="28"/>
          <w:szCs w:val="28"/>
          <w:lang w:val="uk-UA" w:eastAsia="ru-RU"/>
        </w:rPr>
        <w:t xml:space="preserve"> Об’єкт диверсії та проблема його встановлення....</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w:t>
      </w:r>
      <w:r w:rsidRPr="00CD6F6A">
        <w:rPr>
          <w:rFonts w:ascii="Times New Roman" w:hAnsi="Times New Roman"/>
          <w:color w:val="000000"/>
          <w:sz w:val="28"/>
          <w:szCs w:val="28"/>
          <w:lang w:val="uk-UA" w:eastAsia="ru-RU"/>
        </w:rPr>
        <w:t>2</w:t>
      </w:r>
      <w:r>
        <w:rPr>
          <w:rFonts w:ascii="Times New Roman" w:hAnsi="Times New Roman"/>
          <w:color w:val="000000"/>
          <w:sz w:val="28"/>
          <w:szCs w:val="28"/>
          <w:lang w:val="uk-UA" w:eastAsia="ru-RU"/>
        </w:rPr>
        <w:t>6</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sidRPr="00CD6F6A">
        <w:rPr>
          <w:rFonts w:ascii="Times New Roman" w:hAnsi="Times New Roman"/>
          <w:color w:val="000000"/>
          <w:sz w:val="28"/>
          <w:szCs w:val="28"/>
          <w:lang w:val="uk-UA" w:eastAsia="ru-RU"/>
        </w:rPr>
        <w:t>2.2</w:t>
      </w:r>
      <w:r>
        <w:rPr>
          <w:rFonts w:ascii="Times New Roman" w:hAnsi="Times New Roman"/>
          <w:color w:val="000000"/>
          <w:sz w:val="28"/>
          <w:szCs w:val="28"/>
          <w:lang w:val="uk-UA" w:eastAsia="ru-RU"/>
        </w:rPr>
        <w:t xml:space="preserve"> Об’єктивна сторона диверсії та проблема її встановлення....................</w:t>
      </w:r>
      <w:r w:rsidRPr="00CD6F6A">
        <w:rPr>
          <w:rFonts w:ascii="Times New Roman" w:hAnsi="Times New Roman"/>
          <w:color w:val="000000"/>
          <w:sz w:val="28"/>
          <w:szCs w:val="28"/>
          <w:lang w:val="uk-UA" w:eastAsia="ru-RU"/>
        </w:rPr>
        <w:t>......3</w:t>
      </w:r>
      <w:r>
        <w:rPr>
          <w:rFonts w:ascii="Times New Roman" w:hAnsi="Times New Roman"/>
          <w:color w:val="000000"/>
          <w:sz w:val="28"/>
          <w:szCs w:val="28"/>
          <w:lang w:val="uk-UA" w:eastAsia="ru-RU"/>
        </w:rPr>
        <w:t>9</w:t>
      </w:r>
    </w:p>
    <w:p w:rsidR="00071A7D" w:rsidRDefault="00071A7D" w:rsidP="004E28F4">
      <w:pPr>
        <w:spacing w:after="120" w:line="360" w:lineRule="auto"/>
        <w:contextualSpacing/>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2.3 Суб’єктивна сторона диверсії та проблема її встановлення....................</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46</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Pr>
          <w:rFonts w:ascii="Times New Roman" w:hAnsi="Times New Roman"/>
          <w:color w:val="000000"/>
          <w:sz w:val="28"/>
          <w:szCs w:val="28"/>
          <w:lang w:val="uk-UA" w:eastAsia="ru-RU"/>
        </w:rPr>
        <w:t>2.4 Суб’єкт диверсії та проблема його встановлення………………………….54</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Висновки до 2 розділу</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59</w:t>
      </w:r>
    </w:p>
    <w:p w:rsidR="00071A7D" w:rsidRPr="00CD6F6A" w:rsidRDefault="00071A7D" w:rsidP="004E28F4">
      <w:pPr>
        <w:spacing w:after="120" w:line="360" w:lineRule="auto"/>
        <w:contextualSpacing/>
        <w:jc w:val="both"/>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 xml:space="preserve">РОЗДІЛ 3. </w:t>
      </w:r>
      <w:r>
        <w:rPr>
          <w:rFonts w:ascii="Times New Roman" w:hAnsi="Times New Roman"/>
          <w:b/>
          <w:bCs/>
          <w:color w:val="000000"/>
          <w:sz w:val="28"/>
          <w:szCs w:val="28"/>
          <w:lang w:val="uk-UA" w:eastAsia="ru-RU"/>
        </w:rPr>
        <w:t>ДИВЕРСІЯ ТА СУМІЖНІ СКЛАДИ ЗЛОЧИНІВ</w:t>
      </w:r>
    </w:p>
    <w:p w:rsidR="00071A7D" w:rsidRPr="00CD6F6A" w:rsidRDefault="00071A7D" w:rsidP="004E28F4">
      <w:pPr>
        <w:spacing w:after="120" w:line="360" w:lineRule="auto"/>
        <w:contextualSpacing/>
        <w:rPr>
          <w:rFonts w:ascii="Times New Roman" w:hAnsi="Times New Roman"/>
          <w:sz w:val="28"/>
          <w:szCs w:val="28"/>
          <w:lang w:val="uk-UA" w:eastAsia="ru-RU"/>
        </w:rPr>
      </w:pPr>
      <w:r>
        <w:rPr>
          <w:rFonts w:ascii="Times New Roman" w:hAnsi="Times New Roman"/>
          <w:color w:val="000000"/>
          <w:sz w:val="28"/>
          <w:szCs w:val="28"/>
          <w:lang w:val="uk-UA" w:eastAsia="ru-RU"/>
        </w:rPr>
        <w:t>3.1. Співвідношення диверсії (ст.113 КК) з терористичним актом (ст.258)…62</w:t>
      </w:r>
    </w:p>
    <w:p w:rsidR="00071A7D" w:rsidRPr="00CD6F6A" w:rsidRDefault="00071A7D" w:rsidP="004E28F4">
      <w:pPr>
        <w:spacing w:after="120" w:line="360" w:lineRule="auto"/>
        <w:contextualSpacing/>
        <w:rPr>
          <w:rFonts w:ascii="Times New Roman" w:hAnsi="Times New Roman"/>
          <w:sz w:val="28"/>
          <w:szCs w:val="28"/>
          <w:lang w:val="uk-UA" w:eastAsia="ru-RU"/>
        </w:rPr>
      </w:pPr>
      <w:r>
        <w:rPr>
          <w:rFonts w:ascii="Times New Roman" w:hAnsi="Times New Roman"/>
          <w:color w:val="000000"/>
          <w:sz w:val="28"/>
          <w:szCs w:val="28"/>
          <w:lang w:val="uk-UA" w:eastAsia="ru-RU"/>
        </w:rPr>
        <w:t>3.2. Співвідношення диверсії з іншими злочинами</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..........……….70</w:t>
      </w:r>
    </w:p>
    <w:p w:rsidR="00071A7D" w:rsidRPr="00CD6F6A" w:rsidRDefault="00071A7D" w:rsidP="004E28F4">
      <w:pPr>
        <w:spacing w:after="0" w:line="360" w:lineRule="auto"/>
        <w:contextualSpacing/>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Висновки до Розділу 3</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…..77</w:t>
      </w:r>
    </w:p>
    <w:p w:rsidR="00071A7D" w:rsidRPr="00CD6F6A" w:rsidRDefault="00071A7D" w:rsidP="004E28F4">
      <w:pPr>
        <w:spacing w:after="0" w:line="360" w:lineRule="auto"/>
        <w:contextualSpacing/>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ВИСНОВКИ</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……….…80</w:t>
      </w:r>
    </w:p>
    <w:p w:rsidR="00071A7D" w:rsidRPr="00CD6F6A" w:rsidRDefault="00071A7D" w:rsidP="004E28F4">
      <w:pPr>
        <w:spacing w:after="0" w:line="360" w:lineRule="auto"/>
        <w:contextualSpacing/>
        <w:rPr>
          <w:rFonts w:ascii="Times New Roman" w:hAnsi="Times New Roman"/>
          <w:sz w:val="28"/>
          <w:szCs w:val="28"/>
          <w:lang w:val="uk-UA" w:eastAsia="ru-RU"/>
        </w:rPr>
      </w:pPr>
      <w:r w:rsidRPr="00CD6F6A">
        <w:rPr>
          <w:rFonts w:ascii="Times New Roman" w:hAnsi="Times New Roman"/>
          <w:b/>
          <w:bCs/>
          <w:color w:val="000000"/>
          <w:sz w:val="28"/>
          <w:szCs w:val="28"/>
          <w:lang w:val="uk-UA" w:eastAsia="ru-RU"/>
        </w:rPr>
        <w:t xml:space="preserve">СПИСОК ВИКОРИСТАНИХ ДЖЕРЕЛ </w:t>
      </w:r>
      <w:r w:rsidRPr="00CD6F6A">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……….83</w:t>
      </w: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4E28F4">
      <w:pPr>
        <w:spacing w:after="120" w:line="360" w:lineRule="auto"/>
        <w:contextualSpacing/>
        <w:rPr>
          <w:rFonts w:ascii="Times New Roman" w:hAnsi="Times New Roman"/>
          <w:b/>
          <w:bCs/>
          <w:color w:val="000000"/>
          <w:sz w:val="28"/>
          <w:szCs w:val="28"/>
          <w:lang w:val="uk-UA" w:eastAsia="ru-RU"/>
        </w:rPr>
      </w:pPr>
    </w:p>
    <w:p w:rsidR="00071A7D" w:rsidRDefault="00071A7D" w:rsidP="004E28F4">
      <w:pPr>
        <w:spacing w:after="120" w:line="360" w:lineRule="auto"/>
        <w:contextualSpacing/>
        <w:jc w:val="center"/>
        <w:rPr>
          <w:rFonts w:ascii="Times New Roman" w:hAnsi="Times New Roman"/>
          <w:b/>
          <w:bCs/>
          <w:color w:val="000000"/>
          <w:sz w:val="28"/>
          <w:szCs w:val="28"/>
          <w:lang w:val="uk-UA" w:eastAsia="ru-RU"/>
        </w:rPr>
      </w:pPr>
    </w:p>
    <w:p w:rsidR="00071A7D" w:rsidRPr="00047A4E" w:rsidRDefault="00071A7D" w:rsidP="004E28F4">
      <w:pPr>
        <w:spacing w:after="120" w:line="360" w:lineRule="auto"/>
        <w:contextualSpacing/>
        <w:jc w:val="center"/>
        <w:rPr>
          <w:rFonts w:ascii="Times New Roman" w:hAnsi="Times New Roman"/>
          <w:sz w:val="28"/>
          <w:szCs w:val="28"/>
          <w:lang w:val="uk-UA" w:eastAsia="ru-RU"/>
        </w:rPr>
      </w:pPr>
      <w:r w:rsidRPr="00047A4E">
        <w:rPr>
          <w:rFonts w:ascii="Times New Roman" w:hAnsi="Times New Roman"/>
          <w:b/>
          <w:bCs/>
          <w:color w:val="000000"/>
          <w:sz w:val="28"/>
          <w:szCs w:val="28"/>
          <w:lang w:val="uk-UA" w:eastAsia="ru-RU"/>
        </w:rPr>
        <w:t>ВСТУП</w:t>
      </w: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r w:rsidRPr="00047A4E">
        <w:rPr>
          <w:rFonts w:ascii="Times New Roman" w:hAnsi="Times New Roman"/>
          <w:b/>
          <w:bCs/>
          <w:color w:val="000000"/>
          <w:sz w:val="28"/>
          <w:szCs w:val="28"/>
          <w:lang w:val="uk-UA" w:eastAsia="ru-RU"/>
        </w:rPr>
        <w:t>Актуальність дослідження.</w:t>
      </w:r>
      <w:r w:rsidRPr="00103503">
        <w:rPr>
          <w:rFonts w:ascii="Times New Roman" w:hAnsi="Times New Roman"/>
          <w:color w:val="000000"/>
          <w:sz w:val="28"/>
          <w:szCs w:val="28"/>
          <w:lang w:val="uk-UA" w:eastAsia="ru-RU"/>
        </w:rPr>
        <w:t>На сучасному етапі розвитку України найбільш важливою проблемою є забезпечення національної безпеки, що включає в себе захист життєво важливих інтересів як громадян, так і держави. Це передбачає стабільний розвиток суспільства та своєчасне виявлення, запобігання і нейтралізацію загроз національним інтересам, як реальних, так і потенційних. За останні роки спостерігається значне зростання кількості диверсійних актів. Так, у 2013 році таких злочинів не було зафіксовано, тоді як у 2014 році було зареєстровано 59 випадків, у 2015 році — 36, у 2016 — 11, у 2017 — 8, а в період з січня по травень 2018 року — 4 випадки диверсії. Протягом 2013-2017 років Службою безпеки України було відкрито 134 досудових розслідування за статтею 113 Кримінального кодексу України щодо 41 особи (в 2017 році — 34 кримінальні провадження щодо 9 осіб).</w:t>
      </w:r>
      <w:r>
        <w:rPr>
          <w:rFonts w:ascii="Times New Roman" w:hAnsi="Times New Roman"/>
          <w:color w:val="000000"/>
          <w:sz w:val="28"/>
          <w:szCs w:val="28"/>
          <w:lang w:val="uk-UA" w:eastAsia="ru-RU"/>
        </w:rPr>
        <w:t xml:space="preserve"> Після початку повномасштабного вторгнення з боку Російської Федерації проблема виявлення та запобігання диверсії стала найбільш значущою.</w:t>
      </w:r>
      <w:r w:rsidRPr="00103503">
        <w:rPr>
          <w:rFonts w:ascii="Times New Roman" w:hAnsi="Times New Roman"/>
          <w:color w:val="000000"/>
          <w:sz w:val="28"/>
          <w:szCs w:val="28"/>
          <w:lang w:val="uk-UA" w:eastAsia="ru-RU"/>
        </w:rPr>
        <w:t xml:space="preserve"> З огляду на ці тенденції, наукове дослідження кримінальної відповідальності за диверсії, як одного з основних злочинів проти національної безпеки України, є вкрай важливим та актуальним.</w:t>
      </w:r>
    </w:p>
    <w:p w:rsidR="00071A7D" w:rsidRPr="00103503" w:rsidRDefault="00071A7D" w:rsidP="004E28F4">
      <w:pPr>
        <w:spacing w:after="0" w:line="360" w:lineRule="auto"/>
        <w:contextualSpacing/>
        <w:jc w:val="both"/>
        <w:rPr>
          <w:rFonts w:ascii="Times New Roman" w:hAnsi="Times New Roman"/>
          <w:sz w:val="28"/>
          <w:szCs w:val="28"/>
          <w:lang w:val="uk-UA"/>
        </w:rPr>
      </w:pPr>
      <w:r w:rsidRPr="00103503">
        <w:rPr>
          <w:rFonts w:ascii="Times New Roman" w:hAnsi="Times New Roman"/>
          <w:b/>
          <w:color w:val="000000"/>
          <w:sz w:val="28"/>
          <w:szCs w:val="28"/>
          <w:lang w:val="uk-UA" w:eastAsia="ru-RU"/>
        </w:rPr>
        <w:tab/>
      </w:r>
      <w:r w:rsidRPr="00103503">
        <w:rPr>
          <w:rFonts w:ascii="Times New Roman" w:hAnsi="Times New Roman"/>
          <w:color w:val="000000"/>
          <w:sz w:val="28"/>
          <w:szCs w:val="28"/>
          <w:lang w:val="uk-UA" w:eastAsia="ru-RU"/>
        </w:rPr>
        <w:t xml:space="preserve">По-перше, актуальність даного питання пов’язана з тим, що </w:t>
      </w:r>
      <w:r w:rsidRPr="00103503">
        <w:rPr>
          <w:rFonts w:ascii="Times New Roman" w:hAnsi="Times New Roman"/>
          <w:sz w:val="28"/>
          <w:szCs w:val="28"/>
          <w:lang w:val="uk-UA"/>
        </w:rPr>
        <w:t>Диверсія — це злочин, який безпосередньо загрожує національній безпеці держави, оскільки полягає в умисних діях, спрямованих на завдання шкоди важливим об'єктам, що забезпечують функціонування держави та її обороноздатність. У контексті сучасних викликів, таких як збройні конфлікти, гібридні війни та терористичні акти, актуальність дослідження цієї теми зростає.</w:t>
      </w:r>
    </w:p>
    <w:p w:rsidR="00071A7D" w:rsidRPr="00103503" w:rsidRDefault="00071A7D" w:rsidP="004E28F4">
      <w:pPr>
        <w:spacing w:after="0" w:line="360" w:lineRule="auto"/>
        <w:contextualSpacing/>
        <w:jc w:val="both"/>
        <w:rPr>
          <w:rFonts w:ascii="Times New Roman" w:hAnsi="Times New Roman"/>
          <w:color w:val="000000"/>
          <w:sz w:val="28"/>
          <w:szCs w:val="28"/>
          <w:lang w:val="uk-UA" w:eastAsia="ru-RU"/>
        </w:rPr>
      </w:pPr>
      <w:r w:rsidRPr="00103503">
        <w:rPr>
          <w:rFonts w:ascii="Times New Roman" w:hAnsi="Times New Roman"/>
          <w:sz w:val="28"/>
          <w:szCs w:val="28"/>
          <w:lang w:val="uk-UA"/>
        </w:rPr>
        <w:tab/>
        <w:t xml:space="preserve">По-друге, </w:t>
      </w:r>
      <w:r w:rsidRPr="00103503">
        <w:rPr>
          <w:rFonts w:ascii="Times New Roman" w:hAnsi="Times New Roman"/>
          <w:sz w:val="28"/>
          <w:szCs w:val="28"/>
        </w:rPr>
        <w:t>Правова визначеність щодо поняття диверсії, її складу та кваліфікації злочину часто викликає труднощі у правозастосуванні. У зв'язку з цим необхідно постійно оновлювати та вдосконалювати правові норми, що регулюють кримінальну відповідальність за диверсію, з огляду на зміну соціально-політичної ситуації та нові загрози.</w:t>
      </w:r>
      <w:r w:rsidRPr="00103503">
        <w:rPr>
          <w:rFonts w:ascii="Times New Roman" w:hAnsi="Times New Roman"/>
          <w:sz w:val="28"/>
          <w:szCs w:val="28"/>
        </w:rPr>
        <w:br/>
      </w:r>
      <w:r w:rsidRPr="00103503">
        <w:rPr>
          <w:rFonts w:ascii="Times New Roman" w:hAnsi="Times New Roman"/>
          <w:sz w:val="28"/>
          <w:szCs w:val="28"/>
        </w:rPr>
        <w:tab/>
      </w:r>
      <w:r w:rsidRPr="00103503">
        <w:rPr>
          <w:rFonts w:ascii="Times New Roman" w:hAnsi="Times New Roman"/>
          <w:sz w:val="28"/>
          <w:szCs w:val="28"/>
          <w:lang w:val="uk-UA"/>
        </w:rPr>
        <w:t xml:space="preserve">По-третє, </w:t>
      </w:r>
      <w:r w:rsidRPr="00103503">
        <w:rPr>
          <w:rFonts w:ascii="Times New Roman" w:hAnsi="Times New Roman"/>
          <w:sz w:val="28"/>
          <w:szCs w:val="28"/>
        </w:rPr>
        <w:t>Світова політична ситуація, зокрема військові конфлікти, терористичні акти та зростаюча роль нелегальних військових угруповань, вимагає ретельного аналізу кримінальної відповідальності за диверсію. Нова методологія та інструменти, які використовують злочинці, можуть викликати необхідність в адаптації чинного законодавства до нових реалій.</w:t>
      </w:r>
    </w:p>
    <w:p w:rsidR="00071A7D" w:rsidRPr="00103503" w:rsidRDefault="00071A7D" w:rsidP="004E28F4">
      <w:pPr>
        <w:spacing w:after="0" w:line="360" w:lineRule="auto"/>
        <w:ind w:firstLine="708"/>
        <w:contextualSpacing/>
        <w:jc w:val="both"/>
        <w:rPr>
          <w:rFonts w:ascii="Times New Roman" w:hAnsi="Times New Roman"/>
          <w:b/>
          <w:color w:val="000000"/>
          <w:sz w:val="28"/>
          <w:szCs w:val="28"/>
          <w:lang w:val="uk-UA" w:eastAsia="ru-RU"/>
        </w:rPr>
      </w:pPr>
      <w:r w:rsidRPr="00047A4E">
        <w:rPr>
          <w:rFonts w:ascii="Times New Roman" w:hAnsi="Times New Roman"/>
          <w:b/>
          <w:bCs/>
          <w:color w:val="000000"/>
          <w:sz w:val="28"/>
          <w:szCs w:val="28"/>
          <w:lang w:val="uk-UA" w:eastAsia="ru-RU"/>
        </w:rPr>
        <w:t>Стан наукового дослідження.</w:t>
      </w:r>
      <w:r w:rsidRPr="00103503">
        <w:rPr>
          <w:rFonts w:ascii="Times New Roman" w:hAnsi="Times New Roman"/>
          <w:sz w:val="28"/>
          <w:szCs w:val="28"/>
        </w:rPr>
        <w:t>Питання кримінальної відповідальності за диверсію досліджувались в науково-практичних коментарях до КК, підручниках з Особливої частини кримінального права, колективних монографіях, присвячених кримінально-правовій охороні основ національної безпеки, та наукових статтях. Зокрема особливостям кримінальної відповідальності за диверсію приділили увагу О. Ф. Бантишев, О. Ю. Гайворонський, О. О. Климчук, В. В. Колосков В. А. Ліпкан, 6 С. Я. Лихова, В. О. Навроцький, Д. О. Олєйніков, Є. Д. Скулиш, В. Я. Тацій, М. І. Хавронюк, Р. Л. Чорний, О. А. Чуваков, В. І. Шакун, О. В. Шамара та деякі інші науковці. Разом з тим, досі не існувало жодного відкритого комплексного наукового дослідження проблем кримінальної відповідальності за диверсію. Тому наразі ще залишаються багато актуальних питань стосовно кримінальної відповідальності за диверсію, які потребують теоретичного дослідження та вирішення. Внаслідок цього виникають труднощі в практичному застосуванні статті 113 КК. Зокрема, проблемний характер мають питання про об’єкт диверсії, яка раніше визначалась як злочин проти держави, а зараз – проти основ національної безпеки України, а також про зміст інших елементів та ознак складу злочину з урахуванням законодавчих змін, які призвели до збільшення форм вчинення диверсії, про відмежування диверсії від терористичного акту та інших суміжних злочинів та ін.</w:t>
      </w: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r w:rsidRPr="00047A4E">
        <w:rPr>
          <w:rFonts w:ascii="Times New Roman" w:hAnsi="Times New Roman"/>
          <w:b/>
          <w:bCs/>
          <w:color w:val="000000"/>
          <w:sz w:val="28"/>
          <w:szCs w:val="28"/>
          <w:lang w:val="uk-UA" w:eastAsia="ru-RU"/>
        </w:rPr>
        <w:t>Мета та завдання дослідження.</w:t>
      </w:r>
      <w:r w:rsidRPr="0084321E">
        <w:rPr>
          <w:rFonts w:ascii="Times New Roman" w:hAnsi="Times New Roman"/>
          <w:bCs/>
          <w:color w:val="000000"/>
          <w:sz w:val="28"/>
          <w:szCs w:val="28"/>
          <w:lang w:val="uk-UA" w:eastAsia="ru-RU"/>
        </w:rPr>
        <w:t xml:space="preserve">Метою дослідження є </w:t>
      </w:r>
      <w:r>
        <w:rPr>
          <w:rFonts w:ascii="Times New Roman" w:hAnsi="Times New Roman"/>
          <w:bCs/>
          <w:color w:val="000000"/>
          <w:sz w:val="28"/>
          <w:szCs w:val="28"/>
          <w:lang w:val="uk-UA" w:eastAsia="ru-RU"/>
        </w:rPr>
        <w:t xml:space="preserve">детальний аналіз складу диверсії, </w:t>
      </w:r>
      <w:r w:rsidRPr="0084321E">
        <w:rPr>
          <w:rFonts w:ascii="Times New Roman" w:hAnsi="Times New Roman"/>
          <w:bCs/>
          <w:color w:val="000000"/>
          <w:sz w:val="28"/>
          <w:szCs w:val="28"/>
          <w:lang w:val="uk-UA" w:eastAsia="ru-RU"/>
        </w:rPr>
        <w:t>формулювання теоретично обґрунтованих висновків щодо підстав кримінальної відповідальності за диверсію</w:t>
      </w:r>
      <w:r>
        <w:rPr>
          <w:rFonts w:ascii="Times New Roman" w:hAnsi="Times New Roman"/>
          <w:bCs/>
          <w:color w:val="000000"/>
          <w:sz w:val="28"/>
          <w:szCs w:val="28"/>
          <w:lang w:val="uk-UA" w:eastAsia="ru-RU"/>
        </w:rPr>
        <w:t>.</w:t>
      </w: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p>
    <w:p w:rsidR="00071A7D" w:rsidRDefault="00071A7D" w:rsidP="004E28F4">
      <w:pPr>
        <w:spacing w:after="0" w:line="360" w:lineRule="auto"/>
        <w:ind w:firstLine="708"/>
        <w:contextualSpacing/>
        <w:jc w:val="both"/>
        <w:rPr>
          <w:rFonts w:ascii="Times New Roman" w:hAnsi="Times New Roman"/>
          <w:bCs/>
          <w:color w:val="000000"/>
          <w:sz w:val="28"/>
          <w:szCs w:val="28"/>
          <w:lang w:val="uk-UA" w:eastAsia="ru-RU"/>
        </w:rPr>
      </w:pPr>
      <w:r w:rsidRPr="0084321E">
        <w:rPr>
          <w:rFonts w:ascii="Times New Roman" w:hAnsi="Times New Roman"/>
          <w:bCs/>
          <w:color w:val="000000"/>
          <w:sz w:val="28"/>
          <w:szCs w:val="28"/>
          <w:lang w:val="uk-UA" w:eastAsia="ru-RU"/>
        </w:rPr>
        <w:t>Для досягнення поставленої мети визначено такі завдання:</w:t>
      </w:r>
      <w:r>
        <w:rPr>
          <w:rFonts w:ascii="Times New Roman" w:hAnsi="Times New Roman"/>
          <w:bCs/>
          <w:color w:val="000000"/>
          <w:sz w:val="28"/>
          <w:szCs w:val="28"/>
          <w:lang w:val="uk-UA" w:eastAsia="ru-RU"/>
        </w:rPr>
        <w:tab/>
      </w: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r w:rsidRPr="0084321E">
        <w:rPr>
          <w:rFonts w:ascii="Times New Roman" w:hAnsi="Times New Roman"/>
          <w:bCs/>
          <w:color w:val="000000"/>
          <w:sz w:val="28"/>
          <w:szCs w:val="28"/>
          <w:lang w:val="uk-UA" w:eastAsia="ru-RU"/>
        </w:rPr>
        <w:t>1. Визначити критерії, що характеризують суспільну небезпечність диверсії, виявити об'єкти, яким може бути завдано істотної шкоди внаслідок диверсійних дій, та розкрити механізм завдання цієї шкоди.</w:t>
      </w: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r w:rsidRPr="0084321E">
        <w:rPr>
          <w:rFonts w:ascii="Times New Roman" w:hAnsi="Times New Roman"/>
          <w:bCs/>
          <w:color w:val="000000"/>
          <w:sz w:val="28"/>
          <w:szCs w:val="28"/>
          <w:lang w:val="uk-UA" w:eastAsia="ru-RU"/>
        </w:rPr>
        <w:t>2. Описати зміст кожного з елементів складу злочину «диверсія».</w:t>
      </w: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r w:rsidRPr="0084321E">
        <w:rPr>
          <w:rFonts w:ascii="Times New Roman" w:hAnsi="Times New Roman"/>
          <w:bCs/>
          <w:color w:val="000000"/>
          <w:sz w:val="28"/>
          <w:szCs w:val="28"/>
          <w:lang w:val="uk-UA" w:eastAsia="ru-RU"/>
        </w:rPr>
        <w:t>3. Проаналізувати основні зв'язки статті 113 КК з іншими нормами КК, вирішити питання відмежування диверсії від подібних злочинів і з’ясувати, як кваліфікувати диверсію, якщо вона вчинена в сукупності з іншими злочинами.</w:t>
      </w: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p>
    <w:p w:rsidR="00071A7D" w:rsidRPr="0084321E" w:rsidRDefault="00071A7D" w:rsidP="004E28F4">
      <w:pPr>
        <w:spacing w:after="0" w:line="360" w:lineRule="auto"/>
        <w:ind w:firstLine="708"/>
        <w:contextualSpacing/>
        <w:jc w:val="both"/>
        <w:rPr>
          <w:rFonts w:ascii="Times New Roman" w:hAnsi="Times New Roman"/>
          <w:bCs/>
          <w:color w:val="000000"/>
          <w:sz w:val="28"/>
          <w:szCs w:val="28"/>
          <w:lang w:val="uk-UA" w:eastAsia="ru-RU"/>
        </w:rPr>
      </w:pPr>
      <w:r w:rsidRPr="0084321E">
        <w:rPr>
          <w:rFonts w:ascii="Times New Roman" w:hAnsi="Times New Roman"/>
          <w:bCs/>
          <w:i/>
          <w:color w:val="000000"/>
          <w:sz w:val="28"/>
          <w:szCs w:val="28"/>
          <w:lang w:val="uk-UA" w:eastAsia="ru-RU"/>
        </w:rPr>
        <w:t>Об'єктом дослідження є</w:t>
      </w:r>
      <w:r w:rsidRPr="0084321E">
        <w:rPr>
          <w:rFonts w:ascii="Times New Roman" w:hAnsi="Times New Roman"/>
          <w:bCs/>
          <w:color w:val="000000"/>
          <w:sz w:val="28"/>
          <w:szCs w:val="28"/>
          <w:lang w:val="uk-UA" w:eastAsia="ru-RU"/>
        </w:rPr>
        <w:t xml:space="preserve"> суспільні відносини, пов'язані з охороною об'єктів національної безпеки від суспільно небезпечних посягань.</w:t>
      </w:r>
    </w:p>
    <w:p w:rsidR="00071A7D" w:rsidRDefault="00071A7D" w:rsidP="004E28F4">
      <w:pPr>
        <w:spacing w:after="0" w:line="360" w:lineRule="auto"/>
        <w:ind w:firstLine="708"/>
        <w:contextualSpacing/>
        <w:jc w:val="both"/>
        <w:rPr>
          <w:rFonts w:ascii="Times New Roman" w:hAnsi="Times New Roman"/>
          <w:color w:val="000000"/>
          <w:sz w:val="28"/>
          <w:szCs w:val="28"/>
          <w:lang w:val="uk-UA" w:eastAsia="ru-RU"/>
        </w:rPr>
      </w:pPr>
      <w:r w:rsidRPr="0084321E">
        <w:rPr>
          <w:rFonts w:ascii="Times New Roman" w:hAnsi="Times New Roman"/>
          <w:bCs/>
          <w:i/>
          <w:color w:val="000000"/>
          <w:sz w:val="28"/>
          <w:szCs w:val="28"/>
          <w:lang w:val="uk-UA" w:eastAsia="ru-RU"/>
        </w:rPr>
        <w:t>Предметом дослідження є</w:t>
      </w:r>
      <w:r>
        <w:rPr>
          <w:rFonts w:ascii="Times New Roman" w:hAnsi="Times New Roman"/>
          <w:bCs/>
          <w:color w:val="000000"/>
          <w:sz w:val="28"/>
          <w:szCs w:val="28"/>
          <w:lang w:val="uk-UA" w:eastAsia="ru-RU"/>
        </w:rPr>
        <w:t xml:space="preserve"> склад диверсії</w:t>
      </w:r>
      <w:r w:rsidRPr="0084321E">
        <w:rPr>
          <w:rFonts w:ascii="Times New Roman" w:hAnsi="Times New Roman"/>
          <w:bCs/>
          <w:color w:val="000000"/>
          <w:sz w:val="28"/>
          <w:szCs w:val="28"/>
          <w:lang w:val="uk-UA" w:eastAsia="ru-RU"/>
        </w:rPr>
        <w:t>.</w:t>
      </w:r>
    </w:p>
    <w:p w:rsidR="00071A7D" w:rsidRPr="0084321E"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sidRPr="00047A4E">
        <w:rPr>
          <w:rFonts w:ascii="Times New Roman" w:hAnsi="Times New Roman"/>
          <w:b/>
          <w:bCs/>
          <w:color w:val="000000"/>
          <w:sz w:val="28"/>
          <w:szCs w:val="28"/>
          <w:lang w:val="uk-UA" w:eastAsia="ru-RU"/>
        </w:rPr>
        <w:t>Методи дослідження.</w:t>
      </w:r>
      <w:r w:rsidRPr="0084321E">
        <w:rPr>
          <w:rFonts w:ascii="Times New Roman" w:hAnsi="Times New Roman"/>
          <w:bCs/>
          <w:color w:val="000000"/>
          <w:sz w:val="28"/>
          <w:szCs w:val="28"/>
          <w:lang w:val="uk-UA" w:eastAsia="ru-RU"/>
        </w:rPr>
        <w:t xml:space="preserve">У дослідженні застосовано такі методи:  </w:t>
      </w:r>
    </w:p>
    <w:p w:rsidR="00071A7D" w:rsidRPr="0084321E"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sidRPr="0084321E">
        <w:rPr>
          <w:rFonts w:ascii="Times New Roman" w:hAnsi="Times New Roman"/>
          <w:bCs/>
          <w:color w:val="000000"/>
          <w:sz w:val="28"/>
          <w:szCs w:val="28"/>
          <w:lang w:val="uk-UA" w:eastAsia="ru-RU"/>
        </w:rPr>
        <w:t>1)</w:t>
      </w:r>
      <w:r>
        <w:rPr>
          <w:rFonts w:ascii="Times New Roman" w:hAnsi="Times New Roman"/>
          <w:bCs/>
          <w:color w:val="000000"/>
          <w:sz w:val="28"/>
          <w:szCs w:val="28"/>
          <w:lang w:val="uk-UA" w:eastAsia="ru-RU"/>
        </w:rPr>
        <w:t xml:space="preserve"> Філософський (діалектичний)</w:t>
      </w:r>
      <w:r w:rsidRPr="0084321E">
        <w:rPr>
          <w:rFonts w:ascii="Times New Roman" w:hAnsi="Times New Roman"/>
          <w:bCs/>
          <w:color w:val="000000"/>
          <w:sz w:val="28"/>
          <w:szCs w:val="28"/>
          <w:lang w:val="uk-UA" w:eastAsia="ru-RU"/>
        </w:rPr>
        <w:t xml:space="preserve"> – для вивчення розвитку явищ у їх взаємозв'язку, єдності та протиріччях.  </w:t>
      </w:r>
    </w:p>
    <w:p w:rsidR="00071A7D" w:rsidRPr="0084321E"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2) Історико-правовий</w:t>
      </w:r>
      <w:r w:rsidRPr="0084321E">
        <w:rPr>
          <w:rFonts w:ascii="Times New Roman" w:hAnsi="Times New Roman"/>
          <w:bCs/>
          <w:color w:val="000000"/>
          <w:sz w:val="28"/>
          <w:szCs w:val="28"/>
          <w:lang w:val="uk-UA" w:eastAsia="ru-RU"/>
        </w:rPr>
        <w:t xml:space="preserve"> – при аналізі еволюції кримінально-правової норми, що встановлювала відповідальність за диверсію в різні періоди.  </w:t>
      </w:r>
    </w:p>
    <w:p w:rsidR="00071A7D" w:rsidRPr="0084321E"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3) Догматичний</w:t>
      </w:r>
      <w:r w:rsidRPr="0084321E">
        <w:rPr>
          <w:rFonts w:ascii="Times New Roman" w:hAnsi="Times New Roman"/>
          <w:bCs/>
          <w:color w:val="000000"/>
          <w:sz w:val="28"/>
          <w:szCs w:val="28"/>
          <w:lang w:val="uk-UA" w:eastAsia="ru-RU"/>
        </w:rPr>
        <w:t xml:space="preserve"> – для тлумачення окремих дефініцій та нормативно-правових актів.  </w:t>
      </w:r>
    </w:p>
    <w:p w:rsidR="00071A7D" w:rsidRPr="0084321E"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4) Системно-структурний</w:t>
      </w:r>
      <w:r w:rsidRPr="0084321E">
        <w:rPr>
          <w:rFonts w:ascii="Times New Roman" w:hAnsi="Times New Roman"/>
          <w:bCs/>
          <w:color w:val="000000"/>
          <w:sz w:val="28"/>
          <w:szCs w:val="28"/>
          <w:lang w:val="uk-UA" w:eastAsia="ru-RU"/>
        </w:rPr>
        <w:t xml:space="preserve"> – під час дослідження елементів і юридичних ознак складу диверсії, визначення її місця в системі Особливої частини КК та аналізу зв'язків статті 113 з іншими статтями КК.  </w:t>
      </w:r>
    </w:p>
    <w:p w:rsidR="00071A7D" w:rsidRPr="0084321E"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5) Порівняльно-правовий</w:t>
      </w:r>
      <w:r w:rsidRPr="0084321E">
        <w:rPr>
          <w:rFonts w:ascii="Times New Roman" w:hAnsi="Times New Roman"/>
          <w:bCs/>
          <w:color w:val="000000"/>
          <w:sz w:val="28"/>
          <w:szCs w:val="28"/>
          <w:lang w:val="uk-UA" w:eastAsia="ru-RU"/>
        </w:rPr>
        <w:t xml:space="preserve"> – при порівнянні чинної норми про диверсію з попередніми варіантами, а також з нормами, що регулюють аналогічні злочини в інших країнах.  </w:t>
      </w:r>
    </w:p>
    <w:p w:rsidR="00071A7D"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6) Статистичний</w:t>
      </w:r>
      <w:r w:rsidRPr="0084321E">
        <w:rPr>
          <w:rFonts w:ascii="Times New Roman" w:hAnsi="Times New Roman"/>
          <w:bCs/>
          <w:color w:val="000000"/>
          <w:sz w:val="28"/>
          <w:szCs w:val="28"/>
          <w:lang w:val="uk-UA" w:eastAsia="ru-RU"/>
        </w:rPr>
        <w:t xml:space="preserve"> – для аналізу статистичних даних.  </w:t>
      </w:r>
    </w:p>
    <w:p w:rsidR="00071A7D" w:rsidRDefault="00071A7D" w:rsidP="004E28F4">
      <w:pPr>
        <w:spacing w:after="0" w:line="360" w:lineRule="auto"/>
        <w:ind w:left="708" w:firstLine="708"/>
        <w:contextualSpacing/>
        <w:jc w:val="both"/>
        <w:rPr>
          <w:rFonts w:ascii="Times New Roman" w:hAnsi="Times New Roman"/>
          <w:bCs/>
          <w:color w:val="000000"/>
          <w:sz w:val="28"/>
          <w:szCs w:val="28"/>
          <w:lang w:val="uk-UA" w:eastAsia="ru-RU"/>
        </w:rPr>
      </w:pPr>
      <w:r w:rsidRPr="00047A4E">
        <w:rPr>
          <w:rFonts w:ascii="Times New Roman" w:hAnsi="Times New Roman"/>
          <w:b/>
          <w:bCs/>
          <w:color w:val="000000"/>
          <w:sz w:val="28"/>
          <w:szCs w:val="28"/>
          <w:lang w:val="uk-UA" w:eastAsia="ru-RU"/>
        </w:rPr>
        <w:t>Наукова новизна.</w:t>
      </w:r>
      <w:r>
        <w:rPr>
          <w:rFonts w:ascii="Times New Roman" w:hAnsi="Times New Roman"/>
          <w:bCs/>
          <w:color w:val="000000"/>
          <w:sz w:val="28"/>
          <w:szCs w:val="28"/>
          <w:lang w:val="uk-UA" w:eastAsia="ru-RU"/>
        </w:rPr>
        <w:t>Наукова новизна цієї роботи характеризується у наступних положеннях:</w:t>
      </w:r>
    </w:p>
    <w:p w:rsidR="00071A7D" w:rsidRPr="0084321E" w:rsidRDefault="00071A7D" w:rsidP="004E28F4">
      <w:pPr>
        <w:pStyle w:val="ListParagraph"/>
        <w:numPr>
          <w:ilvl w:val="0"/>
          <w:numId w:val="2"/>
        </w:numPr>
        <w:spacing w:after="0" w:line="360" w:lineRule="auto"/>
        <w:jc w:val="both"/>
        <w:rPr>
          <w:rFonts w:ascii="Times New Roman" w:hAnsi="Times New Roman"/>
          <w:bCs/>
          <w:color w:val="000000"/>
          <w:sz w:val="28"/>
          <w:szCs w:val="28"/>
          <w:lang w:val="uk-UA" w:eastAsia="ru-RU"/>
        </w:rPr>
      </w:pPr>
      <w:r w:rsidRPr="0084321E">
        <w:rPr>
          <w:rFonts w:ascii="Times New Roman" w:hAnsi="Times New Roman"/>
          <w:bCs/>
          <w:color w:val="000000"/>
          <w:sz w:val="28"/>
          <w:szCs w:val="28"/>
          <w:lang w:val="uk-UA" w:eastAsia="ru-RU"/>
        </w:rPr>
        <w:t xml:space="preserve">Доведено, що </w:t>
      </w:r>
      <w:r w:rsidRPr="0084321E">
        <w:rPr>
          <w:rFonts w:ascii="Times New Roman" w:hAnsi="Times New Roman"/>
          <w:sz w:val="28"/>
          <w:szCs w:val="28"/>
        </w:rPr>
        <w:t>клад диверсії не має єдиного основного безпосереднього об'єкта злочину. Залежно від форми диверсії таким об'єктом є різні суспільні відносини, що забезпечують безпеку, зокрема:</w:t>
      </w:r>
      <w:r w:rsidRPr="0084321E">
        <w:rPr>
          <w:rFonts w:ascii="Times New Roman" w:hAnsi="Times New Roman"/>
          <w:sz w:val="28"/>
          <w:szCs w:val="28"/>
        </w:rPr>
        <w:br/>
        <w:t>а) життя і здоров'я великої кількості людей, тварин або рослин;</w:t>
      </w:r>
      <w:r w:rsidRPr="0084321E">
        <w:rPr>
          <w:rFonts w:ascii="Times New Roman" w:hAnsi="Times New Roman"/>
          <w:sz w:val="28"/>
          <w:szCs w:val="28"/>
        </w:rPr>
        <w:br/>
        <w:t>б) об'єкти, що мають стратегічне значення для народного господарства чи оборони;</w:t>
      </w:r>
      <w:r w:rsidRPr="0084321E">
        <w:rPr>
          <w:rFonts w:ascii="Times New Roman" w:hAnsi="Times New Roman"/>
          <w:sz w:val="28"/>
          <w:szCs w:val="28"/>
        </w:rPr>
        <w:br/>
        <w:t>в) територія України як життєвий простір та важлива макроматеріальна цінність.</w:t>
      </w:r>
    </w:p>
    <w:p w:rsidR="00071A7D" w:rsidRPr="0084321E" w:rsidRDefault="00071A7D" w:rsidP="004E28F4">
      <w:pPr>
        <w:pStyle w:val="NormalWeb"/>
        <w:numPr>
          <w:ilvl w:val="0"/>
          <w:numId w:val="2"/>
        </w:numPr>
        <w:contextualSpacing/>
        <w:rPr>
          <w:sz w:val="28"/>
          <w:szCs w:val="28"/>
          <w:lang w:val="uk-UA"/>
        </w:rPr>
      </w:pPr>
      <w:r w:rsidRPr="0084321E">
        <w:rPr>
          <w:sz w:val="28"/>
          <w:szCs w:val="28"/>
          <w:lang w:val="uk-UA"/>
        </w:rPr>
        <w:t>доведено, що в складі диверсії безпосередній додатковий обов'язковий об'єкт існує лише у випадку, коли йдеться про дії, спрямовані на радіоактивне забруднення. Безпосередні додаткові факультативні об'єкти можуть змінюватися в залежності від форми диверсії, їх наявність можливе в кожній з восьми форм цього злочину.</w:t>
      </w:r>
    </w:p>
    <w:p w:rsidR="00071A7D" w:rsidRDefault="00071A7D" w:rsidP="004E28F4">
      <w:pPr>
        <w:pStyle w:val="NormalWeb"/>
        <w:ind w:left="1776"/>
        <w:contextualSpacing/>
        <w:rPr>
          <w:sz w:val="28"/>
          <w:szCs w:val="28"/>
        </w:rPr>
      </w:pPr>
      <w:r w:rsidRPr="0084321E">
        <w:rPr>
          <w:sz w:val="28"/>
          <w:szCs w:val="28"/>
        </w:rPr>
        <w:t>Механізм заподіяння шкоди об'єктам, охоронюваним статтею 113 КК, варіюється в залежності від етапу реалізації умислу винного. Це має важливе значення для визначення характеру і ступеня суспільної небезпечності диверсії, а також для справедливого призначення покарання за вчинення цього злочину.</w:t>
      </w:r>
    </w:p>
    <w:p w:rsidR="00071A7D" w:rsidRPr="0084321E" w:rsidRDefault="00071A7D" w:rsidP="004E28F4">
      <w:pPr>
        <w:pStyle w:val="NormalWeb"/>
        <w:numPr>
          <w:ilvl w:val="0"/>
          <w:numId w:val="2"/>
        </w:numPr>
        <w:contextualSpacing/>
        <w:rPr>
          <w:sz w:val="28"/>
          <w:szCs w:val="28"/>
          <w:lang w:val="uk-UA"/>
        </w:rPr>
      </w:pPr>
      <w:r w:rsidRPr="0084321E">
        <w:rPr>
          <w:sz w:val="28"/>
          <w:szCs w:val="28"/>
          <w:lang w:val="uk-UA"/>
        </w:rPr>
        <w:t>Доведено, що:</w:t>
      </w:r>
      <w:r w:rsidRPr="0084321E">
        <w:rPr>
          <w:sz w:val="28"/>
          <w:szCs w:val="28"/>
          <w:lang w:val="uk-UA"/>
        </w:rPr>
        <w:br/>
        <w:t>а) предмет злочину є обов'язковою ознакою в кількох формах диверсії і факультативною ознакою в одній з її форм;</w:t>
      </w:r>
      <w:r w:rsidRPr="0084321E">
        <w:rPr>
          <w:sz w:val="28"/>
          <w:szCs w:val="28"/>
          <w:lang w:val="uk-UA"/>
        </w:rPr>
        <w:br/>
        <w:t>б) предметом диверсії, окрім об'єктів, що мають важливе народногосподарське чи оборонне значення, можуть бути також тварини, рослини та територія як життєвий простір.</w:t>
      </w:r>
    </w:p>
    <w:p w:rsidR="00071A7D" w:rsidRPr="00992667" w:rsidRDefault="00071A7D" w:rsidP="004E28F4">
      <w:pPr>
        <w:pStyle w:val="NormalWeb"/>
        <w:ind w:left="1776"/>
        <w:contextualSpacing/>
        <w:rPr>
          <w:sz w:val="28"/>
          <w:szCs w:val="28"/>
          <w:lang w:val="uk-UA"/>
        </w:rPr>
      </w:pPr>
      <w:r w:rsidRPr="00992667">
        <w:rPr>
          <w:sz w:val="28"/>
          <w:szCs w:val="28"/>
          <w:lang w:val="uk-UA"/>
        </w:rPr>
        <w:t>Форми диверсії відрізняються за характером і ступенем суспільної небезпечності, що зумовлює необхідність виділення в статті 113 КК:</w:t>
      </w:r>
      <w:r w:rsidRPr="00992667">
        <w:rPr>
          <w:sz w:val="28"/>
          <w:szCs w:val="28"/>
          <w:lang w:val="uk-UA"/>
        </w:rPr>
        <w:br/>
        <w:t>а) діянь, спрямованих на масове знищення людей або завдання їм тяжкої шкоди, з більш суворим покаранням;</w:t>
      </w:r>
      <w:r w:rsidRPr="00992667">
        <w:rPr>
          <w:sz w:val="28"/>
          <w:szCs w:val="28"/>
          <w:lang w:val="uk-UA"/>
        </w:rPr>
        <w:br/>
        <w:t>б) діянь, які не досягають рівня основ національної безпеки України за своєю небезпекою.</w:t>
      </w:r>
    </w:p>
    <w:p w:rsidR="00071A7D" w:rsidRPr="0084321E" w:rsidRDefault="00071A7D" w:rsidP="004E28F4">
      <w:pPr>
        <w:pStyle w:val="ListParagraph"/>
        <w:numPr>
          <w:ilvl w:val="0"/>
          <w:numId w:val="2"/>
        </w:numPr>
        <w:spacing w:after="0" w:line="360" w:lineRule="auto"/>
        <w:jc w:val="both"/>
        <w:rPr>
          <w:rFonts w:ascii="Times New Roman" w:hAnsi="Times New Roman"/>
          <w:bCs/>
          <w:color w:val="000000"/>
          <w:sz w:val="28"/>
          <w:szCs w:val="28"/>
          <w:lang w:val="uk-UA" w:eastAsia="ru-RU"/>
        </w:rPr>
      </w:pPr>
      <w:r w:rsidRPr="00992667">
        <w:rPr>
          <w:rFonts w:ascii="Times New Roman" w:hAnsi="Times New Roman"/>
          <w:sz w:val="28"/>
          <w:szCs w:val="28"/>
          <w:lang w:val="uk-UA"/>
        </w:rPr>
        <w:t>Комплексно розглянуто суб'єктивну сторону диверсії:</w:t>
      </w:r>
      <w:r w:rsidRPr="00992667">
        <w:rPr>
          <w:rFonts w:ascii="Times New Roman" w:hAnsi="Times New Roman"/>
          <w:sz w:val="28"/>
          <w:szCs w:val="28"/>
          <w:lang w:val="uk-UA"/>
        </w:rPr>
        <w:br/>
        <w:t>а) розкрито зміст її законодавчих ознак;</w:t>
      </w:r>
      <w:r w:rsidRPr="00992667">
        <w:rPr>
          <w:rFonts w:ascii="Times New Roman" w:hAnsi="Times New Roman"/>
          <w:sz w:val="28"/>
          <w:szCs w:val="28"/>
          <w:lang w:val="uk-UA"/>
        </w:rPr>
        <w:br/>
        <w:t>б) досліджено особливості прямого умислу залежно від стадій його реалізації та форм диверсії;</w:t>
      </w:r>
      <w:r w:rsidRPr="00992667">
        <w:rPr>
          <w:rFonts w:ascii="Times New Roman" w:hAnsi="Times New Roman"/>
          <w:sz w:val="28"/>
          <w:szCs w:val="28"/>
          <w:lang w:val="uk-UA"/>
        </w:rPr>
        <w:br/>
        <w:t>в) доведена необхідність виключення мети ослаблення держави із статті 113 КК.</w:t>
      </w:r>
    </w:p>
    <w:p w:rsidR="00071A7D" w:rsidRPr="0084321E" w:rsidRDefault="00071A7D" w:rsidP="004E28F4">
      <w:pPr>
        <w:spacing w:after="0" w:line="360" w:lineRule="auto"/>
        <w:contextualSpacing/>
        <w:jc w:val="both"/>
        <w:rPr>
          <w:rFonts w:ascii="Times New Roman" w:hAnsi="Times New Roman"/>
          <w:color w:val="000000"/>
          <w:sz w:val="28"/>
          <w:szCs w:val="28"/>
          <w:lang w:val="uk-UA" w:eastAsia="ru-RU"/>
        </w:rPr>
      </w:pPr>
    </w:p>
    <w:p w:rsidR="00071A7D" w:rsidRPr="00047A4E" w:rsidRDefault="00071A7D" w:rsidP="004E28F4">
      <w:pPr>
        <w:spacing w:after="0" w:line="360" w:lineRule="auto"/>
        <w:ind w:firstLine="708"/>
        <w:contextualSpacing/>
        <w:jc w:val="both"/>
        <w:rPr>
          <w:rFonts w:ascii="Times New Roman" w:hAnsi="Times New Roman"/>
          <w:sz w:val="28"/>
          <w:szCs w:val="28"/>
          <w:lang w:val="uk-UA" w:eastAsia="ru-RU"/>
        </w:rPr>
      </w:pPr>
      <w:r w:rsidRPr="00047A4E">
        <w:rPr>
          <w:rFonts w:ascii="Times New Roman" w:hAnsi="Times New Roman"/>
          <w:b/>
          <w:bCs/>
          <w:color w:val="000000"/>
          <w:sz w:val="28"/>
          <w:szCs w:val="28"/>
          <w:lang w:val="uk-UA" w:eastAsia="ru-RU"/>
        </w:rPr>
        <w:t xml:space="preserve">Структура роботи. </w:t>
      </w:r>
      <w:r w:rsidRPr="00047A4E">
        <w:rPr>
          <w:rFonts w:ascii="Times New Roman" w:hAnsi="Times New Roman"/>
          <w:color w:val="000000"/>
          <w:sz w:val="28"/>
          <w:szCs w:val="28"/>
          <w:lang w:val="uk-UA" w:eastAsia="ru-RU"/>
        </w:rPr>
        <w:t>Магістерська робота складається</w:t>
      </w:r>
      <w:r>
        <w:rPr>
          <w:rFonts w:ascii="Times New Roman" w:hAnsi="Times New Roman"/>
          <w:color w:val="000000"/>
          <w:sz w:val="28"/>
          <w:szCs w:val="28"/>
          <w:lang w:val="uk-UA" w:eastAsia="ru-RU"/>
        </w:rPr>
        <w:t xml:space="preserve"> зі вступу, трьох розділів, восьми</w:t>
      </w:r>
      <w:r w:rsidRPr="00047A4E">
        <w:rPr>
          <w:rFonts w:ascii="Times New Roman" w:hAnsi="Times New Roman"/>
          <w:color w:val="000000"/>
          <w:sz w:val="28"/>
          <w:szCs w:val="28"/>
          <w:lang w:val="uk-UA" w:eastAsia="ru-RU"/>
        </w:rPr>
        <w:t xml:space="preserve"> підрозділів, висновків та списку використаних джерел.</w:t>
      </w:r>
    </w:p>
    <w:p w:rsidR="00071A7D" w:rsidRPr="00103503" w:rsidRDefault="00071A7D" w:rsidP="004E28F4">
      <w:pPr>
        <w:spacing w:after="0" w:line="360" w:lineRule="auto"/>
        <w:ind w:left="708"/>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Pr="00103503" w:rsidRDefault="00071A7D" w:rsidP="004E28F4">
      <w:pPr>
        <w:spacing w:after="0" w:line="360" w:lineRule="auto"/>
        <w:contextualSpacing/>
        <w:jc w:val="both"/>
        <w:rPr>
          <w:rFonts w:ascii="Times New Roman" w:hAnsi="Times New Roman"/>
          <w:b/>
          <w:color w:val="000000"/>
          <w:sz w:val="28"/>
          <w:szCs w:val="28"/>
          <w:lang w:val="uk-UA" w:eastAsia="ru-RU"/>
        </w:rPr>
      </w:pPr>
    </w:p>
    <w:p w:rsidR="00071A7D" w:rsidRDefault="00071A7D" w:rsidP="004E28F4">
      <w:pPr>
        <w:spacing w:after="0" w:line="360" w:lineRule="auto"/>
        <w:contextualSpacing/>
        <w:jc w:val="center"/>
        <w:rPr>
          <w:rFonts w:ascii="Times New Roman" w:hAnsi="Times New Roman"/>
          <w:b/>
          <w:color w:val="000000"/>
          <w:sz w:val="28"/>
          <w:szCs w:val="28"/>
          <w:lang w:eastAsia="ru-RU"/>
        </w:rPr>
      </w:pPr>
    </w:p>
    <w:p w:rsidR="00071A7D" w:rsidRDefault="00071A7D" w:rsidP="004E28F4">
      <w:pPr>
        <w:spacing w:after="0" w:line="360" w:lineRule="auto"/>
        <w:contextualSpacing/>
        <w:jc w:val="center"/>
        <w:rPr>
          <w:rFonts w:ascii="Times New Roman" w:hAnsi="Times New Roman"/>
          <w:b/>
          <w:color w:val="000000"/>
          <w:sz w:val="28"/>
          <w:szCs w:val="28"/>
          <w:lang w:eastAsia="ru-RU"/>
        </w:rPr>
      </w:pPr>
    </w:p>
    <w:p w:rsidR="00071A7D" w:rsidRDefault="00071A7D" w:rsidP="004E28F4">
      <w:pPr>
        <w:spacing w:after="0" w:line="360" w:lineRule="auto"/>
        <w:contextualSpacing/>
        <w:jc w:val="center"/>
        <w:rPr>
          <w:rFonts w:ascii="Times New Roman" w:hAnsi="Times New Roman"/>
          <w:b/>
          <w:color w:val="000000"/>
          <w:sz w:val="28"/>
          <w:szCs w:val="28"/>
          <w:lang w:eastAsia="ru-RU"/>
        </w:rPr>
      </w:pPr>
    </w:p>
    <w:p w:rsidR="00071A7D" w:rsidRPr="00103503" w:rsidRDefault="00071A7D" w:rsidP="004E28F4">
      <w:pPr>
        <w:spacing w:after="0" w:line="360" w:lineRule="auto"/>
        <w:contextualSpacing/>
        <w:jc w:val="center"/>
        <w:rPr>
          <w:rFonts w:ascii="Times New Roman" w:hAnsi="Times New Roman"/>
          <w:b/>
          <w:sz w:val="28"/>
          <w:szCs w:val="28"/>
          <w:lang w:eastAsia="ru-RU"/>
        </w:rPr>
      </w:pPr>
      <w:r w:rsidRPr="00103503">
        <w:rPr>
          <w:rFonts w:ascii="Times New Roman" w:hAnsi="Times New Roman"/>
          <w:b/>
          <w:color w:val="000000"/>
          <w:sz w:val="28"/>
          <w:szCs w:val="28"/>
          <w:lang w:eastAsia="ru-RU"/>
        </w:rPr>
        <w:t>Р</w:t>
      </w:r>
      <w:r w:rsidRPr="00103503">
        <w:rPr>
          <w:rFonts w:ascii="Times New Roman" w:hAnsi="Times New Roman"/>
          <w:b/>
          <w:color w:val="000000"/>
          <w:sz w:val="28"/>
          <w:szCs w:val="28"/>
          <w:lang w:val="uk-UA" w:eastAsia="ru-RU"/>
        </w:rPr>
        <w:t>ОЗДІЛ</w:t>
      </w:r>
      <w:r w:rsidRPr="00103503">
        <w:rPr>
          <w:rFonts w:ascii="Times New Roman" w:hAnsi="Times New Roman"/>
          <w:b/>
          <w:color w:val="000000"/>
          <w:sz w:val="28"/>
          <w:szCs w:val="28"/>
          <w:lang w:eastAsia="ru-RU"/>
        </w:rPr>
        <w:t xml:space="preserve"> 1</w:t>
      </w:r>
      <w:r w:rsidRPr="00103503">
        <w:rPr>
          <w:rFonts w:ascii="Times New Roman" w:hAnsi="Times New Roman"/>
          <w:b/>
          <w:color w:val="000000"/>
          <w:sz w:val="28"/>
          <w:szCs w:val="28"/>
          <w:lang w:val="uk-UA" w:eastAsia="ru-RU"/>
        </w:rPr>
        <w:t>.</w:t>
      </w:r>
      <w:r w:rsidRPr="00103503">
        <w:rPr>
          <w:rFonts w:ascii="Times New Roman" w:hAnsi="Times New Roman"/>
          <w:b/>
          <w:color w:val="000000"/>
          <w:sz w:val="28"/>
          <w:szCs w:val="28"/>
          <w:lang w:eastAsia="ru-RU"/>
        </w:rPr>
        <w:t xml:space="preserve"> ЗАГАЛЬНІ ЗАСАДИ ДОСЛІДЖЕННЯ КРИМІНАЛЬНОЇ ВІДПОВІДАЛЬНОСТІ ЗА ДИВЕРСІЮ</w:t>
      </w:r>
    </w:p>
    <w:p w:rsidR="00071A7D" w:rsidRPr="00103503" w:rsidRDefault="00071A7D" w:rsidP="004E28F4">
      <w:pPr>
        <w:spacing w:after="0" w:line="360" w:lineRule="auto"/>
        <w:contextualSpacing/>
        <w:jc w:val="both"/>
        <w:rPr>
          <w:rFonts w:ascii="Times New Roman" w:hAnsi="Times New Roman"/>
          <w:b/>
          <w:sz w:val="28"/>
          <w:szCs w:val="28"/>
          <w:lang w:eastAsia="ru-RU"/>
        </w:rPr>
      </w:pPr>
    </w:p>
    <w:p w:rsidR="00071A7D" w:rsidRPr="00103503" w:rsidRDefault="00071A7D" w:rsidP="004E28F4">
      <w:pPr>
        <w:spacing w:after="0" w:line="360" w:lineRule="auto"/>
        <w:contextualSpacing/>
        <w:jc w:val="both"/>
        <w:rPr>
          <w:rFonts w:ascii="Times New Roman" w:hAnsi="Times New Roman"/>
          <w:b/>
          <w:sz w:val="28"/>
          <w:szCs w:val="28"/>
          <w:lang w:eastAsia="ru-RU"/>
        </w:rPr>
      </w:pPr>
      <w:r w:rsidRPr="00103503">
        <w:rPr>
          <w:rFonts w:ascii="Times New Roman" w:hAnsi="Times New Roman"/>
          <w:b/>
          <w:color w:val="000000"/>
          <w:sz w:val="28"/>
          <w:szCs w:val="28"/>
          <w:lang w:eastAsia="ru-RU"/>
        </w:rPr>
        <w:t>1.1. Генеза розвитку законодавства щодо протидії диверсії.</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Протягом свого існування законодавча конструкція кримінально-правової норми про диверсію неодноразово змінювалась, при цьому більшість змін стосувалися додавання нових форм цього злочину. Ці зміни відображають динамічний розвиток загроз національній безпеці України, що, у свою чергу, потребує постійної адаптації кримінального законодавства. Внаслідок цього в ст. 113 Кримінального кодексу України (далі - КК) зібрані різноманітні форми вчинення диверсії, які мають різний ступінь суспільної небезпеки. Деякі з них за своєю природою не становлять значної загрози національній безпеці України, що підвищує ймовірність помилкової кваліфікації діянь, що не мають стратегічного впливу на державу. З огляду на це, для ефективного захисту національної безпеки України від диверсійних дій необхідно усунути ці недоліки в законодавчій конструкції ст. 113 КК, особливо в умовах зростання кількості диверсій, які мають місце в Україні останнім часом.</w:t>
      </w:r>
      <w:r>
        <w:rPr>
          <w:rFonts w:ascii="Times New Roman" w:hAnsi="Times New Roman"/>
          <w:sz w:val="28"/>
          <w:szCs w:val="28"/>
          <w:lang w:eastAsia="ru-RU"/>
        </w:rPr>
        <w:tab/>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Кримінально-правова норма, що передбачає відповідальність за диверсію, існує вже майже 100 років. Вперше про неї згадано в Декреті ВЦВК «Про вилучення із загальної підсудності в місцевостях, оголошених на військовому положенні» від 20 червня 1919 року. У цьому документі йшлося про те, що за навмисне знищення або пошкодження залізничних колій, постів та інших споруд, засобів телеграфного і телефонного зв'язку, складів зброї, продуктів чи фуражу, а також за участь у підпалах та вибухах із контрреволюційною метою, могла застосовуватися негайна розправа, включно з розстрілом [1, с. 301]. Це засвідчує, наскільки серйозно в той час сприймалася загроза для державної безпеки, навіть коли йшлося про конкретні дії, що мали на меті дестабілізацію внутрішніх комунікацій і ресурсів. Згодом ці норми стали частиною КК УРСР 1922 року, де ст. 65 передбачала відповідальність за організацію з контрреволюційною метою руйнування або пошкодження вибухом, підпалом чи іншим способом залізничних або інших шляхів і засобів сполучення, засобів зв'язку, водопроводів, громадських складів та інших об'єктів, а також за участь у таких злочинах [2]. Це свідчить про перехід до більш конкретних і деталізованих норм щодо відповідальності за диверсію, що вже охоплювали широкий спектр об'єктів, які могли</w:t>
      </w:r>
      <w:r>
        <w:rPr>
          <w:rFonts w:ascii="Times New Roman" w:hAnsi="Times New Roman"/>
          <w:sz w:val="28"/>
          <w:szCs w:val="28"/>
          <w:lang w:eastAsia="ru-RU"/>
        </w:rPr>
        <w:t xml:space="preserve"> постраждати від таких злочинів.</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CC413C">
        <w:rPr>
          <w:rFonts w:ascii="Times New Roman" w:hAnsi="Times New Roman"/>
          <w:sz w:val="28"/>
          <w:szCs w:val="28"/>
          <w:lang w:eastAsia="ru-RU"/>
        </w:rPr>
        <w:t>Нова редакція норми про диверсію в КК УРСР 1927 року передбачала в ст. 54 кримінальну відповідальність лише за вчинення цих дій, тоді як відповідальність за їх організацію була виділена в окрему статтю [3, с. 165]. Цей підхід дозволяв розмежовувати різні рівні відповідальності залежно від ролі особи у вчиненні злочину. З розвитком соціально-політичних умов, у тому числі через зміну політичної ситуації в країні, законодавча конструкція норми була змінена в КК УРСР 1960 року, що повторював положення Закону СРСР «Про кримінальну відповідальність за державні злочини» від 25 грудня 1958 року. У ст. 60 КК УРСР 1960 року диспозиція норми про диверсію була сформульована так: «зруйнування або пошкодження вибухом, підпалом чи іншим способом підприємств, споруд, шляхів і засобів сполучення, засобів зв'язку або іншого державного чи громадського майна, вчинення масових отруєнь або поширення епідемій та епізоотій з метою ослаблення Радянської держави» [4]. У цьому контексті важливим було зазначити, що диверсія не обмежувалася лише фізичними ушкодженнями об'єктів, а охоплювала й потенційно катастрофічні наслідки, які могли б спричинити довготривалі й серйозні порушення у функціонуванні держави.</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CC413C">
        <w:rPr>
          <w:rFonts w:ascii="Times New Roman" w:hAnsi="Times New Roman"/>
          <w:sz w:val="28"/>
          <w:szCs w:val="28"/>
          <w:lang w:eastAsia="ru-RU"/>
        </w:rPr>
        <w:t>Враховуючи нові виклики та загрози, особливо після кількох випадків масового знищення людей, що на той час кваліфікувалися лише як умисне вбивство за обтяжувальних обставин, указом Президії Верховної Ради УРСР № 6591-х від 29 лютого 1984 року [5] стаття про диверсію була доповнена новими формами. Зокрема, йшлося про дії, спрямовані на масове знищення людей, заподіяння тілесних ушкоджень чи іншої шкоди їхньому здоров'ю. Це дозволяло відокремити діяння, що не лише порушували фізичні інфраструктури, але й мали серйозний людський вимір, порушуючи саму основу функціонування суспільства.</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CC413C">
        <w:rPr>
          <w:rFonts w:ascii="Times New Roman" w:hAnsi="Times New Roman"/>
          <w:sz w:val="28"/>
          <w:szCs w:val="28"/>
          <w:lang w:eastAsia="ru-RU"/>
        </w:rPr>
        <w:t>Таким чином, з еволюцією законодавства стає очевидним, що правова конструкція диверсії вимагає постійного перегляду і вдосконалення для того, щоб адекватно реагувати на нові загрози, що виникають у сучасних умовах. Зважаючи на зростання кількості диверсійних актів в Україні, особливо в останні роки, потреба у внесенні змін до кримінального законодавства з метою чіткого визначення форм цього злочину, а також уточнення об'єктів, на які можуть бути спрямовані такі злочини, є надзвичайно важливою.</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CC413C">
        <w:rPr>
          <w:rFonts w:ascii="Times New Roman" w:hAnsi="Times New Roman"/>
          <w:sz w:val="28"/>
          <w:szCs w:val="28"/>
          <w:lang w:eastAsia="ru-RU"/>
        </w:rPr>
        <w:t>Після здобуття Україною незалежності, законодавча конструкція норми про диверсію зазнала суттєвих змін, зокрема в 1992 році, коли була трансформована стаття 60 "Диверсія" Кримінального кодексу України. У новій редакції ця стаття передбачала кримінальну відповідальність за вчинення дій, спрямованих на ослаблення держави. Зокрема, це стосувалося вибухів, підпалів та інших дій, спрямованих на масове знищення людей, заподіяння тілесних ушкоджень чи іншої шкоди їхньому здоров'ю, а також руйнування або пошкодження об'єктів, що мають важливе народногосподарське чи оборонне значення. Окрім того, до нової редакції статті було додано форму злочину, що передбачала кримінальну відповідальність за вчинення масових отруєнь, поширення епідемій, епізоотій чи епіфітотій з тією ж метою ослаблення держави та національної безпеки [6].</w:t>
      </w:r>
      <w:r>
        <w:rPr>
          <w:rFonts w:ascii="Times New Roman" w:hAnsi="Times New Roman"/>
          <w:sz w:val="28"/>
          <w:szCs w:val="28"/>
          <w:lang w:eastAsia="ru-RU"/>
        </w:rPr>
        <w:tab/>
      </w:r>
      <w:r w:rsidRPr="00CC413C">
        <w:rPr>
          <w:rFonts w:ascii="Times New Roman" w:hAnsi="Times New Roman"/>
          <w:sz w:val="28"/>
          <w:szCs w:val="28"/>
          <w:lang w:eastAsia="ru-RU"/>
        </w:rPr>
        <w:t>Аналіз еволюції законодавчої конструкції кримінально-правової норми про диверсію показує, що ця норма зазнала значних змін протягом свого існування, що відповідає динаміці розвитку суспільних відносин і міжнародних викликів. Спочатку, в радянський період, диверсія включала лише акти знищення або пошкодження важливих об'єктів державної або військової інфраструктури. Водночас з прийняттям Кримінального кодексу 1960 року до цієї норми були додані нові форми злочину, зокрема масові отруєння та поширення епідемій і епізоотій, що зумовлювали соціальні та екологічні наслідки, здатні суттєво порушити стабільність і безпеку держави. Однак, ця редакція не відображала всіх сучасних загроз, зокрема, тих, що виникали внаслідок техногенних та біологічних катастроф.</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CC413C">
        <w:rPr>
          <w:rFonts w:ascii="Times New Roman" w:hAnsi="Times New Roman"/>
          <w:sz w:val="28"/>
          <w:szCs w:val="28"/>
          <w:lang w:eastAsia="ru-RU"/>
        </w:rPr>
        <w:t>Згодом законодавство було розширене, включивши форми злочинів, що передбачають дії, спрямовані на масове знищення людей, заподіяння тілесних ушкоджень або іншої шкоди здоров'ю. Таке розширення було обумовлене новими реаліями глобалізації і міжнародної безпеки, а також технологічними змінами, зокрема розвитком біологічної та хімічної зброї, що змогли ефективно застосовуватися для здійснення диверсійних актів.</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Одним із найбільш значущих змін в законодавчій конструкції стало доповнення статті 60 КК України в 1992 році формою злочину, що стосується поширення епіфітотій, тобто захворювань рослин, що мають потенціал для масового поширення і значних економічних збитків. Ця форма диверсії була введена як реакція на нові загрози, зокрема на агресивні форми біологічної війни, що стали особливо актуальними на фоні глобальних змін в аграрному секторі та зростаючої небезпеки для продовольчої безпеки країни.</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Таким чином, еволюція цієї норми демонструє адаптацію кримінального законодавства до нових викликів часу та потреби в забезпеченні стабільності і безпеки країни. Однак, на сучасному етапі, необхідність уточнення і вдосконалення цієї норми залишається актуальною, адже сучасні технології, зокрема кібернетичні та біологічні, відкривають нові можливості для здійснення диверсій, що вимагають уточнення правових рамок і підходів до кримінальної відповідальності.</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Pr>
          <w:rFonts w:ascii="Times New Roman" w:hAnsi="Times New Roman"/>
          <w:sz w:val="28"/>
          <w:szCs w:val="28"/>
          <w:lang w:eastAsia="ru-RU"/>
        </w:rPr>
        <w:tab/>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У сучасному Кримінальному кодексі всі форми диверсії зібрані в статті 113, яка охоплює широкий спектр кримінальних діянь, спрямованих на підрив національної безпеки України. Важливими є зміни, внесені до цієї статті, зокрема у 2001 році, коли в диспозицію статті була додана нова форма злочину — дії, спрямовані на радіоактивне забруднення. Таким чином, стаття 113 КК тепер передбачає кримінальну відповідальність за вчинення дій з метою ослаблення держави, що включає вибухи, підпали або інші дії, спрямовані на масове знищення людей, завдання тілесних ушкоджень або іншої шкоди їхньому здоров'ю, руйнування або пошкодження об'єктів, що мають важливе народногосподарське чи оборонне значення, а також за дії, що призводять до радіоактивного забруднення, масового отруєння, поширення епідемій, епізоотій чи епіфітотій .</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Згідно з цією статтею, можна виділити такі основні форми вчинення диверсії: 1) вибухи, підпали або інші дії, спрямовані на масове знищення людей; 2) вибухи, підпали або інші дії, спрямовані на завдання тілесних ушкоджень або іншої шкоди здоров'ю людей; 3) вибухи, підпали або інші дії, спрямовані на руйнування або пошкодження об'єктів, що мають важливе народногосподарське чи оборонне значення; 4) дії, спрямовані на радіоактивне забруднення; 5) дії, спрямовані на масове отруєння; 6) дії, спрямовані на поширення епідемій; 7) дії, спрямовані на поширення епізоотій; 8) дії, спрямовані на поширення епіфітотій. Ця класифікація дозволяє виявити різноманітність проявів диверсії, що зумовлено як традиційними формами злочину, закріпленими в перших редакціях закону, так і новими, що виникають у зв'язку зі змінами в соціальних і технологічних умовах.</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Аналіз змісту суспільних відносин, захищених ст. 113 КК України, дозволяє виявити наявність різних соціальних цінностей, проти яких спрямована диверсія, що свідчить про неоднорідність сучасних форм диверсії. Це вимагає вдосконалення законодавчої конструкції цієї статті. Зокрема, для ефективнішого захисту національної безпеки України та оптимізації правового регулювання, пропонується кілька ключових змін: 1) виділення деяких форм вчинення злочину з особливим рівнем суспільної небезпечності в окрему статтю; 2) уточнення форм злочину, які повинні залишатися в ст. 113 КК; 3) перенесення до інших розділів КК тих форм диверсії, які за своїм характером і рівнем суспільної небезпечності не відповідають загрозам національній безпеці України.</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Щодо необхідності виділення окремих форм диверсії, то це обґрунтовано їх особливо високим ступенем суспільної небезпечності. Мова йде, зокрема, про вибухи, підпали або інші дії, спрямовані на масове знищення людей, заподіяння тілесних ушкоджень чи іншої шкоди здоров'ю, а також про дії, спрямовані на масове отруєння або поширення епідемій. За сучасним законодавством ці злочини недостатньо ефективно захищають життя та здоров'я великої кількості людей, що є окремим об'єктом національної безпеки України. Тому необхідно передбачити кримінальну відповідальність за ці дії незалежно від мотивів злочину .</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У зв'язку з цим була запропонована нова стаття в КК України — «Антропоцид», яка передбачала б кримінальну відповідальність за вчинення особою дій або бездіяльності, спрямованих на масове знищення людей чи завдання серйозної шкоди їхньому здоров'ю. Пропонується також виключити зі ст. 113 КК формулювання «на масове знищення людей, заподіяння тілесних ушкоджень чи іншої шкоди їхньому здоров'ю», «масове отруєння», «епідемії» .</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Реалізація цієї пропозиції не означає, що форми диверсії, такі як дії, спрямовані на масове отруєння чи поширення епідемій, будуть повністю виключені з Кримінального кодексу. Ці форми можуть бути перенесені до окремих статей, що регулюють питання здоров'я населення. Наприклад, можна уточнити ч. 3 ст. 325 КК, де йшлося б про «умисне отруєння людей або поширення епідемій, якщо немає ознак злочину, передбаченого ст. 113 КК України». Це дозволить забезпечити більш точне розмежування між різними типами злочинів, спрямованих на порушення національної безпеки та здоров'я громадян .</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 xml:space="preserve">Також необхідно звернути увагу на таку форму диверсії як політична. З середини XX століття тероризм та диверсії стали частиною політичної стратегії не лише екстремістських груп, а й окремих політичних діячів або угруповань. Значно активізувалися й неофашистські організації, представники яких все частіше влаштовували погроми в штабах прогресивних організацій і вбивали їхніх лідерів. У умовах фактичної нездатності урядів ефективно реагувати на ці загрози, диверсійно-терористична діяльність охопила значні масштаби, поширюючись не лише в країнах, що </w:t>
      </w:r>
      <w:r w:rsidRPr="000B37F1">
        <w:rPr>
          <w:rFonts w:ascii="Times New Roman" w:hAnsi="Times New Roman"/>
          <w:color w:val="000000"/>
          <w:sz w:val="28"/>
          <w:szCs w:val="28"/>
          <w:lang w:eastAsia="ru-RU"/>
        </w:rPr>
        <w:t xml:space="preserve">розвиваються, але й у державах, які прагнуть світового лідерства [10, с. 17]. </w:t>
      </w:r>
    </w:p>
    <w:p w:rsidR="00071A7D" w:rsidRDefault="00071A7D" w:rsidP="004E28F4">
      <w:pPr>
        <w:spacing w:after="0" w:line="360" w:lineRule="auto"/>
        <w:ind w:firstLine="720"/>
        <w:contextualSpacing/>
        <w:jc w:val="both"/>
        <w:rPr>
          <w:rFonts w:ascii="Times New Roman" w:hAnsi="Times New Roman"/>
          <w:color w:val="000000"/>
          <w:sz w:val="28"/>
          <w:szCs w:val="28"/>
          <w:lang w:eastAsia="ru-RU"/>
        </w:rPr>
      </w:pPr>
      <w:r w:rsidRPr="00CC413C">
        <w:rPr>
          <w:rFonts w:ascii="Times New Roman" w:hAnsi="Times New Roman"/>
          <w:sz w:val="28"/>
          <w:szCs w:val="28"/>
          <w:lang w:eastAsia="ru-RU"/>
        </w:rPr>
        <w:t>На сучасному етапі розвитку суспільства та законодавства щодо боротьби із диверсією необхідно виділити таку форму диверсії, як кібердиверсія, яка набуває все більшої значущості в умовах глобалізації та цифровізації. У теорії кримінального процесу, кримінального права та правозастосування важливо детально розглянути сутність понять родового об'єкта та системи злочинів проти основ національної безпеки України, а також форми прояву об'єктивної сторони таких злочинів, зокрема кібердиверсії, в контексті визначення суспільно небезпечного діяння – диверсії – в ст. 113 Кримінального кодексу України та їх взаємозв'язку з іншими статтями, зокрема статтями 361–363-1 цього кодексу.</w:t>
      </w:r>
      <w:r>
        <w:rPr>
          <w:rFonts w:ascii="Times New Roman" w:hAnsi="Times New Roman"/>
          <w:sz w:val="28"/>
          <w:szCs w:val="28"/>
          <w:lang w:eastAsia="ru-RU"/>
        </w:rPr>
        <w:tab/>
      </w:r>
      <w:r w:rsidRPr="00CC413C">
        <w:rPr>
          <w:rFonts w:ascii="Times New Roman" w:hAnsi="Times New Roman"/>
          <w:sz w:val="28"/>
          <w:szCs w:val="28"/>
          <w:lang w:eastAsia="ru-RU"/>
        </w:rPr>
        <w:t>Кібердиверсії, які мають місце в сучасних операціях з контролю над ресурсами, що спрямовані на встановлення контролю, перехоплення управління або виведення з ладу промислового обладнання, автоматизованих систем управління та об'єктів військової інфраструктури, є надзвичайно ефективним інструментом для ураження систем життєзабезпечення та критичної інформаційної інфраструктури. Злочинці, які здійснюють кібердиверсії, можуть застосовувати ці методи для руйнування важливих державних систем, економічної стабільності та національної безпеки. Вони можуть призвести до серйозних порушень у функціонуванні державних інститутів, систем енергопостачання, транспортних та комунікаційних мереж, що в кінцевому підсумку загрожує не тільки матеріальним втратам, а й людським життям.</w:t>
      </w:r>
    </w:p>
    <w:p w:rsidR="00071A7D" w:rsidRDefault="00071A7D" w:rsidP="004E28F4">
      <w:pPr>
        <w:spacing w:after="0" w:line="360" w:lineRule="auto"/>
        <w:ind w:firstLine="720"/>
        <w:contextualSpacing/>
        <w:jc w:val="both"/>
        <w:rPr>
          <w:rFonts w:ascii="Times New Roman" w:hAnsi="Times New Roman"/>
          <w:color w:val="000000"/>
          <w:sz w:val="28"/>
          <w:szCs w:val="28"/>
          <w:lang w:eastAsia="ru-RU"/>
        </w:rPr>
      </w:pPr>
      <w:r w:rsidRPr="00CC413C">
        <w:rPr>
          <w:rFonts w:ascii="Times New Roman" w:hAnsi="Times New Roman"/>
          <w:sz w:val="28"/>
          <w:szCs w:val="28"/>
          <w:lang w:eastAsia="ru-RU"/>
        </w:rPr>
        <w:t>Форми сучасних диверсій, зокрема кібердиверсій, ще недостатньо вивчені в рамках кримінального права України, що призводить до значних практичних труднощів у доведенні фактів диверсійної діяльності, яка охоплюється диспозицією ст. 113 Кримінального кодексу України. Поява нових форм злочинів, таких як кібердиверсії, вимагає перегляду існуючих підходів до правового регулювання та уточнення критеріїв для їх кваліфікації. Це також ускладнює розслідування диверсійних дій, які можуть бути підпорядковані іншим статтям чинного КК України, зокрема тими, що регулюють питання кібербезпеки та порушення діяльності інформаційних систем (ст. 361-363-1 КК України).</w:t>
      </w:r>
    </w:p>
    <w:p w:rsidR="00071A7D" w:rsidRDefault="00071A7D" w:rsidP="004E28F4">
      <w:pPr>
        <w:spacing w:after="0" w:line="360" w:lineRule="auto"/>
        <w:ind w:firstLine="720"/>
        <w:contextualSpacing/>
        <w:jc w:val="both"/>
        <w:rPr>
          <w:rFonts w:ascii="Times New Roman" w:hAnsi="Times New Roman"/>
          <w:color w:val="000000"/>
          <w:sz w:val="28"/>
          <w:szCs w:val="28"/>
          <w:lang w:eastAsia="ru-RU"/>
        </w:rPr>
      </w:pPr>
      <w:r w:rsidRPr="00CC413C">
        <w:rPr>
          <w:rFonts w:ascii="Times New Roman" w:hAnsi="Times New Roman"/>
          <w:sz w:val="28"/>
          <w:szCs w:val="28"/>
          <w:lang w:eastAsia="ru-RU"/>
        </w:rPr>
        <w:t>Кібердиверсії, а також хактивізм і кібершпигунство, відносяться до групи геополітичних злочинів, які в умовах гібридних воєн і постійної інформаційної війни стають важливою частиною загрози національній безпеці. Найбільшу небезпеку представляють кібердиверсії, що здійснюються на об'єктах критичної інформаційної інфраструктури або на об'єктах, важливих для функціонування держави. Наприклад, такі атаки можуть націлюватися на енергетичні системи, комунікаційні мережі, транспортні системи або навіть на елементи військової інфраструктури, що в результаті призводить до значних порушень у роботі державних установ, підприємств та навіть до гуманітарних катастроф. Особливо небезпечними є віруси, які не тільки збирають інформацію, але й спрямовані на її знищення або атакування конкретних вузлів управління. Ці кіберзлочини можуть не лише призвести до зупинки функціонування систем, але й викликати людські жертви, особливо якщо атака торкнеться об'єктів, що безпосередньо взаємодіють із критично важливими сферами життя – наприклад, в медичній чи транспортній інфраструктурі.</w:t>
      </w:r>
    </w:p>
    <w:p w:rsidR="00071A7D" w:rsidRPr="00CC413C" w:rsidRDefault="00071A7D" w:rsidP="004E28F4">
      <w:pPr>
        <w:spacing w:after="0" w:line="360" w:lineRule="auto"/>
        <w:ind w:firstLine="720"/>
        <w:contextualSpacing/>
        <w:jc w:val="both"/>
        <w:rPr>
          <w:rFonts w:ascii="Times New Roman" w:hAnsi="Times New Roman"/>
          <w:color w:val="000000"/>
          <w:sz w:val="28"/>
          <w:szCs w:val="28"/>
          <w:lang w:eastAsia="ru-RU"/>
        </w:rPr>
      </w:pPr>
      <w:r w:rsidRPr="00CC413C">
        <w:rPr>
          <w:rFonts w:ascii="Times New Roman" w:hAnsi="Times New Roman"/>
          <w:sz w:val="28"/>
          <w:szCs w:val="28"/>
          <w:lang w:eastAsia="ru-RU"/>
        </w:rPr>
        <w:t>Важливим аспектом є те, що в умовах постійного розвитку технологій і їх впливу на суспільство, законодавець повинен враховувати еволюцію методів здійснення кібердиверсії. Для ефективної боротьби з такими злочинами необхідно постійно оновлювати законодавство, передбачаючи нові форми і методи кіберзлочинів, що можуть бути спрямовані проти критичних державних і комерційних об'єктів, а також уточнювати механізми правового реагування на кіберзагрози, що виникають в умовах гібридної війни. Тому зростає потреба у створенні чіткої кримінально-правової бази для боротьби з кібердиверсією та іншими подібними злочинами, що враховує специфіку таких атак та дозволяє правозастосовним органам ефективно реагувати на загрози.</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p>
    <w:p w:rsidR="00071A7D" w:rsidRDefault="00071A7D" w:rsidP="004E28F4">
      <w:pPr>
        <w:spacing w:after="0" w:line="360" w:lineRule="auto"/>
        <w:ind w:firstLine="708"/>
        <w:contextualSpacing/>
        <w:jc w:val="both"/>
        <w:rPr>
          <w:rFonts w:ascii="Times New Roman" w:hAnsi="Times New Roman"/>
          <w:b/>
          <w:color w:val="000000"/>
          <w:sz w:val="28"/>
          <w:szCs w:val="28"/>
          <w:lang w:eastAsia="ru-RU"/>
        </w:rPr>
      </w:pPr>
      <w:r>
        <w:rPr>
          <w:rFonts w:ascii="Times New Roman" w:hAnsi="Times New Roman"/>
          <w:b/>
          <w:color w:val="000000"/>
          <w:sz w:val="28"/>
          <w:szCs w:val="28"/>
          <w:lang w:eastAsia="ru-RU"/>
        </w:rPr>
        <w:t>1.2. Кримінально-</w:t>
      </w:r>
      <w:r w:rsidRPr="00E256E2">
        <w:rPr>
          <w:rFonts w:ascii="Times New Roman" w:hAnsi="Times New Roman"/>
          <w:b/>
          <w:color w:val="000000"/>
          <w:sz w:val="28"/>
          <w:szCs w:val="28"/>
          <w:lang w:eastAsia="ru-RU"/>
        </w:rPr>
        <w:t>правовий аналіз диверсії за законодавством європейських країн.</w:t>
      </w:r>
    </w:p>
    <w:p w:rsidR="00071A7D" w:rsidRPr="00D3259F" w:rsidRDefault="00071A7D" w:rsidP="00D3259F">
      <w:pPr>
        <w:spacing w:before="100" w:beforeAutospacing="1" w:after="100" w:afterAutospacing="1" w:line="360" w:lineRule="auto"/>
        <w:ind w:firstLine="709"/>
        <w:contextualSpacing/>
        <w:jc w:val="both"/>
        <w:rPr>
          <w:rFonts w:ascii="Times New Roman" w:hAnsi="Times New Roman"/>
          <w:sz w:val="28"/>
          <w:szCs w:val="28"/>
          <w:lang w:eastAsia="ru-RU"/>
        </w:rPr>
      </w:pPr>
      <w:r w:rsidRPr="00D3259F">
        <w:rPr>
          <w:rFonts w:ascii="Times New Roman" w:hAnsi="Times New Roman"/>
          <w:sz w:val="28"/>
          <w:szCs w:val="28"/>
          <w:lang w:eastAsia="ru-RU"/>
        </w:rPr>
        <w:t>Досліджуючи історичні аспекти розвитку кримінально-правової протидії диверсії, важливо звернути особливу увагу на міжнародний досвід у сфері регулювання кримінальної відповідальності за цей злочин. Таке порівняння дозволяє краще зрозуміти підходи до правової кваліфікації диверсії в різних країнах, що належать до романо-германської правової системи, і виявити відмінності та спільні риси у кримінальному законодавстві.</w:t>
      </w:r>
    </w:p>
    <w:p w:rsidR="00071A7D" w:rsidRPr="00D3259F" w:rsidRDefault="00071A7D" w:rsidP="00D3259F">
      <w:pPr>
        <w:spacing w:before="100" w:beforeAutospacing="1" w:after="100" w:afterAutospacing="1" w:line="360" w:lineRule="auto"/>
        <w:ind w:firstLine="709"/>
        <w:contextualSpacing/>
        <w:jc w:val="both"/>
        <w:rPr>
          <w:rFonts w:ascii="Times New Roman" w:hAnsi="Times New Roman"/>
          <w:sz w:val="28"/>
          <w:szCs w:val="28"/>
          <w:lang w:eastAsia="ru-RU"/>
        </w:rPr>
      </w:pPr>
      <w:r w:rsidRPr="00D3259F">
        <w:rPr>
          <w:rFonts w:ascii="Times New Roman" w:hAnsi="Times New Roman"/>
          <w:sz w:val="28"/>
          <w:szCs w:val="28"/>
          <w:lang w:eastAsia="ru-RU"/>
        </w:rPr>
        <w:t>Кримінальне законодавство європейських країн романо-германської правової системи не містить чіткого визначення поняття "диверсія". Натомість у цих країнах широко використовується термін "саботаж", що має схоже значення, оскільки обидва терміни описують дії, що загрожують інфраструктурі або національній безпеці. Наприклад, у Кримінальному уложенні Федеративної Республіки Німеччина (ФРН), яке було змінене Шостим законом про реформу кримінального законодавства 1998 року, в першій главі Особливої частини міститься розділ III "Створення небезпеки для демократичної правової держави". У цьому розділі є § 87 "Агентурна діяльність з метою саботажу", який охоплює акти саботажу, що мають на меті підривати безпеку держави, військову інфраструктуру або цивільні об'єкти [11]. У другій частині цього параграфа є перелік з 16 інших параграфів, що описують конкретні види дій, які можуть бути кваліфіковані як саботаж. Окрім цього, ці дії закріплені в трьох інших розділах першої глави Особливої частини Кримінального уложення ФРН, зокрема в розділі V "Злочинні діяння проти державної оборони" (§ 109е), XXVII "Пошкодження речей" (§ 305) і XXVIII "Загальнонебезпечні злочинні діяння" (§§ 306-306с, 307-309, 313, 315, 315b, 316b, 316c, 317, 318). Це свідчить про те, що німецьке законодавство, здебільшого, розглядає саботаж як дії, що спричиняють шкоду чужій власності та створюють небезпеку для життя і здоров'я людей, хоча є і винятки, які стосуються використання засобів оборони. У цьому контексті родовий об'єкт саботажу, визначений у Кримінальному уложенні ФРН, можна сформулювати як охорону важливих суспільних цінностей, таких як безпека держави та життя людей. Зокрема, § 109е чітко визначає, що об'єктами цього злочину є безпека держави, військова сила або життя людей [12, с. 221].</w:t>
      </w:r>
    </w:p>
    <w:p w:rsidR="00071A7D" w:rsidRPr="00D3259F" w:rsidRDefault="00071A7D" w:rsidP="00D3259F">
      <w:pPr>
        <w:spacing w:before="100" w:beforeAutospacing="1" w:after="100" w:afterAutospacing="1" w:line="360" w:lineRule="auto"/>
        <w:ind w:firstLine="709"/>
        <w:contextualSpacing/>
        <w:jc w:val="both"/>
        <w:rPr>
          <w:rFonts w:ascii="Times New Roman" w:hAnsi="Times New Roman"/>
          <w:sz w:val="28"/>
          <w:szCs w:val="28"/>
          <w:lang w:eastAsia="ru-RU"/>
        </w:rPr>
      </w:pPr>
      <w:r w:rsidRPr="00D3259F">
        <w:rPr>
          <w:rFonts w:ascii="Times New Roman" w:hAnsi="Times New Roman"/>
          <w:sz w:val="28"/>
          <w:szCs w:val="28"/>
          <w:lang w:eastAsia="ru-RU"/>
        </w:rPr>
        <w:t>У порівнянні з українським законодавством (ст. 113 КК України), німецькі кримінальні норми містять значно детальніший перелік матеріальних об'єктів, які можуть бути піддані саботажу. Це можуть бути, зокрема, будівлі, кораблі, мости, греблі, залізничні та інші споруди, що належать іншим особам (§ 305); виробничі приміщення, технічне обладнання, транспортні засоби, ліси, поля або продукція (§ 306) та інші важливі об'єкти. З об'єктивної сторони саботаж у німецькому кримінальному законодавстві охоплює дії, що включають знищення, пошкодження, модифікацію, виведення з ладу або видалення засобів оборони (§ 109е); руйнування споруд (§ 305); пошкодження гідротехнічних споруд (§ 318); підпали приміщень або техніки (§§ 306, 306а); створення вибухів шляхом вивільнення ядерної енергії (§ 307) або вибухових речовин (§ 308); вчинення дій, що викликають іонізуюче випромінювання (§ 309); спричинення повені (§ 313); порушення безпеки транспортних засобів (§ 315, § 315b); створення перешкод для діяльності громадських підприємств (§ 316b) або телекомунікаційних установок (§ 317) [12, с. 189-190].</w:t>
      </w:r>
    </w:p>
    <w:p w:rsidR="00071A7D" w:rsidRPr="00D3259F" w:rsidRDefault="00071A7D" w:rsidP="00D3259F">
      <w:pPr>
        <w:spacing w:before="100" w:beforeAutospacing="1" w:after="100" w:afterAutospacing="1" w:line="360" w:lineRule="auto"/>
        <w:ind w:firstLine="709"/>
        <w:contextualSpacing/>
        <w:jc w:val="both"/>
        <w:rPr>
          <w:rFonts w:ascii="Times New Roman" w:hAnsi="Times New Roman"/>
          <w:sz w:val="28"/>
          <w:szCs w:val="28"/>
          <w:lang w:eastAsia="ru-RU"/>
        </w:rPr>
      </w:pPr>
      <w:r w:rsidRPr="00D3259F">
        <w:rPr>
          <w:rFonts w:ascii="Times New Roman" w:hAnsi="Times New Roman"/>
          <w:sz w:val="28"/>
          <w:szCs w:val="28"/>
          <w:lang w:eastAsia="ru-RU"/>
        </w:rPr>
        <w:t>Дії, пов'язані із видаленням, модифікацією чи знищенням важливих для держави об'єктів, або їх знеструмлення, не враховані в українському КК (ст. 113). Однак такі дії є надзвичайно небезпечними, особливо в умовах воєнного стану, і потребують криміналізації для більш ефективної боротьби з диверсіями. У зв'язку з цим, можна виділити деякі схожі склади диверсії в українському та німецькому законодавствах, зокрема § 307 і § 309. Інші склади саботажу в Німеччині є матеріальними і вважаються завершеними, коли завдано шкоди об'єкту або створено загрозу для життя людини. Крім того, деякі склади саботажу в Німеччині є кваліфікованими, зокрема, коли дії призводять до тяжких наслідків для здоров'я або смерті людини [9, с. 312].</w:t>
      </w:r>
    </w:p>
    <w:p w:rsidR="00071A7D" w:rsidRPr="00D3259F" w:rsidRDefault="00071A7D" w:rsidP="00D3259F">
      <w:pPr>
        <w:spacing w:before="100" w:beforeAutospacing="1" w:after="100" w:afterAutospacing="1" w:line="360" w:lineRule="auto"/>
        <w:ind w:firstLine="709"/>
        <w:contextualSpacing/>
        <w:jc w:val="both"/>
        <w:rPr>
          <w:rFonts w:ascii="Times New Roman" w:hAnsi="Times New Roman"/>
          <w:sz w:val="28"/>
          <w:szCs w:val="28"/>
          <w:lang w:eastAsia="ru-RU"/>
        </w:rPr>
      </w:pPr>
      <w:r w:rsidRPr="00D3259F">
        <w:rPr>
          <w:rFonts w:ascii="Times New Roman" w:hAnsi="Times New Roman"/>
          <w:sz w:val="28"/>
          <w:szCs w:val="28"/>
          <w:lang w:eastAsia="ru-RU"/>
        </w:rPr>
        <w:t>Німецьке законодавство визначає умисел особи, що вчиняє саботаж, не лише як бажання ослабити державу, а й як прагнення завдати шкоди життю або здоров'ю людей загальнонебезпечними методами. Цей підхід відрізняється від українського, де основний акцент робиться на масовому знищенні людей або завданні шкоди їхньому здоров'ю, що підкреслює різницю в підходах до визначення суб'єктивної сторони злочину. Склад агентурної діяльності з метою саботажу за німецьким законодавством (§ 87 КУ ФРН) передбачає тільки прямий умисел, коли особа свідомо підтримує дії, спрямовані проти стабільності або безпеки держави. Інші склади саботажу також включають умисел, хоча в деяких випадках допускається й необережність. Це відображає суттєву різницю у підходах німецького та українського законодавств до визначення суб'єктивної сторони диверсії та саботажу, оскільки німецьке законодавство більше акцентує увагу на стабільності держави в цілому, а українське — на запобіганні шкоді людському життю або здоров'ю .</w:t>
      </w:r>
    </w:p>
    <w:p w:rsidR="00071A7D" w:rsidRPr="00D3259F" w:rsidRDefault="00071A7D" w:rsidP="00D3259F">
      <w:pPr>
        <w:spacing w:before="100" w:beforeAutospacing="1" w:after="100" w:afterAutospacing="1" w:line="360" w:lineRule="auto"/>
        <w:ind w:firstLine="708"/>
        <w:contextualSpacing/>
        <w:jc w:val="both"/>
        <w:rPr>
          <w:rFonts w:ascii="Times New Roman" w:hAnsi="Times New Roman"/>
          <w:sz w:val="28"/>
          <w:szCs w:val="28"/>
          <w:lang w:eastAsia="ru-RU"/>
        </w:rPr>
      </w:pPr>
      <w:r w:rsidRPr="00D3259F">
        <w:rPr>
          <w:rFonts w:ascii="Times New Roman" w:hAnsi="Times New Roman"/>
          <w:sz w:val="28"/>
          <w:szCs w:val="28"/>
          <w:lang w:eastAsia="ru-RU"/>
        </w:rPr>
        <w:t>Аналізуючи кримінальне законодавство Франції, необхідно звернути увагу на те, як саме законодавець визначає об’єкт злочину диверсії. Згідно з кримінальним кодексом Франції, об’єктом цього злочину є національна безпека, що охоплює захист життєво важливих інтересів держави від дій, які можуть дестабілізувати або підірвати її політичну, економічну або соціальну стабільність. Таким чином, диверсія як злочин не лише ставить під загрозу інфраструктурні та стратегічні об'єкти, але й має потенціал для серйозних наслідків для загальної стабільності держави, включаючи її здатність функціонувати у міжнародному контексті та утримувати свою незалежність. Диверсія може мати далекосяжні наслідки, оскільки дії, спрямовані проти критичних елементів національної інфраструктури, можуть спричинити не лише короткочасні проблеми, але й довготривалі економічні та соціальні катастрофи, які загрожують стабільності держави та її міжнародному авторитету.</w:t>
      </w:r>
    </w:p>
    <w:p w:rsidR="00071A7D" w:rsidRPr="00D3259F" w:rsidRDefault="00071A7D" w:rsidP="00D3259F">
      <w:p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sz w:val="28"/>
          <w:szCs w:val="28"/>
          <w:lang w:eastAsia="ru-RU"/>
        </w:rPr>
        <w:t>До основних елементів об’єкта злочину за Кримінальним кодексом Франції можна віднести:</w:t>
      </w:r>
    </w:p>
    <w:p w:rsidR="00071A7D" w:rsidRPr="00D3259F" w:rsidRDefault="00071A7D" w:rsidP="00D3259F">
      <w:pPr>
        <w:numPr>
          <w:ilvl w:val="0"/>
          <w:numId w:val="9"/>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Національну безпеку та обороноздатність</w:t>
      </w:r>
      <w:r w:rsidRPr="00D3259F">
        <w:rPr>
          <w:rFonts w:ascii="Times New Roman" w:hAnsi="Times New Roman"/>
          <w:sz w:val="28"/>
          <w:szCs w:val="28"/>
          <w:lang w:eastAsia="ru-RU"/>
        </w:rPr>
        <w:t>. Диверсія безпосередньо посягає на здатність держави захищати свої кордони, зберігати громадський порядок і забезпечувати нормальне функціонування державних інститутів. Зокрема, дії, спрямовані на пошкодження або знищення військових об'єктів, об'єктів критичної інфраструктури або стратегічно важливих промислових об'єктів, можуть суттєво порушити обороноздатність держави, що ставить під загрозу її безпеку та можливість реалізації стратегічних завдань на міжнародній арені. Якщо диверсія спричиняє знищення або тимчасове виведення з ладу важливих військових або оборонних об'єктів, це може позначитися на здатності країни здійснювати свою зовнішньополітичну діяльність і навіть брати участь у міжнародних миротворчих місіях, якщо це необхідно.</w:t>
      </w:r>
    </w:p>
    <w:p w:rsidR="00071A7D" w:rsidRPr="00D3259F" w:rsidRDefault="00071A7D" w:rsidP="00D3259F">
      <w:pPr>
        <w:numPr>
          <w:ilvl w:val="0"/>
          <w:numId w:val="9"/>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Громадський порядок</w:t>
      </w:r>
      <w:r w:rsidRPr="00D3259F">
        <w:rPr>
          <w:rFonts w:ascii="Times New Roman" w:hAnsi="Times New Roman"/>
          <w:sz w:val="28"/>
          <w:szCs w:val="28"/>
          <w:lang w:eastAsia="ru-RU"/>
        </w:rPr>
        <w:t>. Диверсійні дії, що спричиняють масові руйнування, викликають паніку або завдають шкоди великій кількості людей, можуть серйозно порушити громадський порядок і стабільність суспільства. Наприклад, підриви мостів, залізничних колій або електростанцій можуть призвести до соціальних та економічних катастроф, що в свою чергу дестабілізує внутрішні структури держави. Це може викликати масові протестні настрої, паніку серед населення, що призведе до погіршення внутрішньої ситуації та збільшення напруги у суспільстві. Суспільство може втратити довіру до органів влади, що ще більше ускладнить процес відновлення порядку та стабільності.</w:t>
      </w:r>
    </w:p>
    <w:p w:rsidR="00071A7D" w:rsidRPr="00D3259F" w:rsidRDefault="00071A7D" w:rsidP="00D3259F">
      <w:pPr>
        <w:numPr>
          <w:ilvl w:val="0"/>
          <w:numId w:val="9"/>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Критичну інфраструктуру</w:t>
      </w:r>
      <w:r w:rsidRPr="00D3259F">
        <w:rPr>
          <w:rFonts w:ascii="Times New Roman" w:hAnsi="Times New Roman"/>
          <w:sz w:val="28"/>
          <w:szCs w:val="28"/>
          <w:lang w:eastAsia="ru-RU"/>
        </w:rPr>
        <w:t>. Французьке законодавство також наголошує на важливості захисту об'єктів критичної інфраструктури, які є основою нормального функціонування держави. Це можуть бути енергетичні об'єкти, транспортні мережі, системи водопостачання, телекомунікації тощо. Акти диверсії, спрямовані на ці об'єкти, можуть не лише порушити їхню роботу, але й призвести до значних людських жертв або навіть екологічних катастроф, що є особливо небезпечним для загальної безпеки країни. Наприклад, руйнування енергетичних станцій або гідротехнічних споруд може призвести до масових відключень електроенергії та водопостачання, що створить кризову ситуацію, особливо в міських агломераціях, де мільйони людей залежать від стабільного функціонування цих систем [13].</w:t>
      </w:r>
    </w:p>
    <w:p w:rsidR="00071A7D" w:rsidRPr="00D3259F" w:rsidRDefault="00071A7D" w:rsidP="00D3259F">
      <w:pPr>
        <w:spacing w:before="100" w:beforeAutospacing="1" w:after="100" w:afterAutospacing="1" w:line="360" w:lineRule="auto"/>
        <w:ind w:firstLine="360"/>
        <w:contextualSpacing/>
        <w:jc w:val="both"/>
        <w:rPr>
          <w:rFonts w:ascii="Times New Roman" w:hAnsi="Times New Roman"/>
          <w:sz w:val="28"/>
          <w:szCs w:val="28"/>
          <w:lang w:eastAsia="ru-RU"/>
        </w:rPr>
      </w:pPr>
      <w:r w:rsidRPr="00D3259F">
        <w:rPr>
          <w:rFonts w:ascii="Times New Roman" w:hAnsi="Times New Roman"/>
          <w:sz w:val="28"/>
          <w:szCs w:val="28"/>
          <w:lang w:eastAsia="ru-RU"/>
        </w:rPr>
        <w:t>Крім того, важливо зазначити, що згідно з французьким законодавством, диверсія має терористичний характер. Кримінальний кодекс Франції розглядає диверсію як один з видів терористичних актів, що призводять до політичної або ідеологічної дестабілізації. Відповідно, об'єктом цього злочину стає не лише національна безпека, а й загроза масової дестабілізації через акти насильства або залякування. В статті 421-1 КК Франції терористичні акти, включаючи диверсії, чітко визначаються як злочини, спрямовані проти держави з метою дестабілізації або примусу до певних політичних рішень. Це підкреслює важливість розгляду диверсії в контексті глобальної безпеки та впливу на внутрішню стабільність держави. Такі дії спрямовані не лише на фізичне знищення об'єктів, але й на порушення нормального функціонування держави, що створює додаткову загрозу для суспільної згуртованості та демократичних інститутів. Мета терористичних диверсій полягає у впливі на громадську думку, залякуванні цивільного населення або примушуванні урядів до політичних поступок, що робить ці злочини ще небезпечнішими.</w:t>
      </w:r>
    </w:p>
    <w:p w:rsidR="00071A7D" w:rsidRPr="00D3259F" w:rsidRDefault="00071A7D" w:rsidP="00D3259F">
      <w:p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sz w:val="28"/>
          <w:szCs w:val="28"/>
          <w:lang w:eastAsia="ru-RU"/>
        </w:rPr>
        <w:t>Французьке законодавство розрізняє різні форми диверсії в залежності від конкретних об'єктів, на які вона спрямована. Це можуть бути не лише матеріальні об'єкти інфраструктури, але й цифрові системи, що є критично важливими для функціонування держави. Наприклад, стаття 412-2 КК Франції охоплює дії, спрямовані на виведення з ладу не лише фізичних, а й цифрових об'єктів критичної інфраструктури, таких як комп'ютерні системи, що забезпечують функціонування державних установ та інші важливі послуги. Кібердиверсія, що передбачає атаку на комп'ютерні мережі або бази даних державних органів, може викликати серйозні порушення в системі управління, що призведе до дезорганізації державних функцій та національної безпеки в цілому.</w:t>
      </w:r>
    </w:p>
    <w:p w:rsidR="00071A7D" w:rsidRPr="00D3259F" w:rsidRDefault="00071A7D" w:rsidP="00D3259F">
      <w:pPr>
        <w:spacing w:before="100" w:beforeAutospacing="1" w:after="100" w:afterAutospacing="1" w:line="360" w:lineRule="auto"/>
        <w:ind w:firstLine="360"/>
        <w:contextualSpacing/>
        <w:jc w:val="both"/>
        <w:rPr>
          <w:rFonts w:ascii="Times New Roman" w:hAnsi="Times New Roman"/>
          <w:sz w:val="28"/>
          <w:szCs w:val="28"/>
          <w:lang w:eastAsia="ru-RU"/>
        </w:rPr>
      </w:pPr>
      <w:r w:rsidRPr="00D3259F">
        <w:rPr>
          <w:rFonts w:ascii="Times New Roman" w:hAnsi="Times New Roman"/>
          <w:sz w:val="28"/>
          <w:szCs w:val="28"/>
          <w:lang w:eastAsia="ru-RU"/>
        </w:rPr>
        <w:t>Щодо об’єктивної сторони злочину, французьке законодавство визначає її як сукупність дій, спрямованих на підрив національної безпеки, обороноздатності або інших основних інтересів держави через саботаж, знищення чи пошкодження важливих об'єктів інфраструктури. Основні характеристики об’єктивної сторони включають:</w:t>
      </w:r>
    </w:p>
    <w:p w:rsidR="00071A7D" w:rsidRPr="00D3259F" w:rsidRDefault="00071A7D" w:rsidP="00D3259F">
      <w:pPr>
        <w:numPr>
          <w:ilvl w:val="0"/>
          <w:numId w:val="10"/>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Дії, що спрямовані на знищення або пошкодження</w:t>
      </w:r>
      <w:r w:rsidRPr="00D3259F">
        <w:rPr>
          <w:rFonts w:ascii="Times New Roman" w:hAnsi="Times New Roman"/>
          <w:sz w:val="28"/>
          <w:szCs w:val="28"/>
          <w:lang w:eastAsia="ru-RU"/>
        </w:rPr>
        <w:t>. Це можуть бути як фізичні дії (наприклад, підрив або підпал), так і цифрові (наприклад, кібердиверсія), що включає злом комп'ютерних систем, пов'язаних з критично важливою інфраструктурою. Злочинними діяннями вважаються будь-які дії, що завдають шкоди стратегічно важливим для держави об'єктам, таким як військові бази, енергетичні мережі або системи зв'язку. До цих дій належать й інші варіанти фізичного чи технологічного саботажу, що можуть спричинити катастрофічні наслідки для держави.</w:t>
      </w:r>
    </w:p>
    <w:p w:rsidR="00071A7D" w:rsidRPr="00D3259F" w:rsidRDefault="00071A7D" w:rsidP="00D3259F">
      <w:pPr>
        <w:numPr>
          <w:ilvl w:val="0"/>
          <w:numId w:val="10"/>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Цілеспрямованість на ослаблення або знищення</w:t>
      </w:r>
      <w:r w:rsidRPr="00D3259F">
        <w:rPr>
          <w:rFonts w:ascii="Times New Roman" w:hAnsi="Times New Roman"/>
          <w:sz w:val="28"/>
          <w:szCs w:val="28"/>
          <w:lang w:eastAsia="ru-RU"/>
        </w:rPr>
        <w:t>. Об’єктивна сторона визначається не тільки самим діянням, а й його метою – ослаблення або знищення державної структури, порушення нормального функціонування інфраструктури або створення загрози національній безпеці. Злочинці можуть діяти з прямим наміром зламати чи спотворити процеси державного управління, що дозволяє їм досягти стратегічних цілей.</w:t>
      </w:r>
    </w:p>
    <w:p w:rsidR="00071A7D" w:rsidRPr="00D3259F" w:rsidRDefault="00071A7D" w:rsidP="00D3259F">
      <w:pPr>
        <w:numPr>
          <w:ilvl w:val="0"/>
          <w:numId w:val="10"/>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Наслідки</w:t>
      </w:r>
      <w:r w:rsidRPr="00D3259F">
        <w:rPr>
          <w:rFonts w:ascii="Times New Roman" w:hAnsi="Times New Roman"/>
          <w:sz w:val="28"/>
          <w:szCs w:val="28"/>
          <w:lang w:eastAsia="ru-RU"/>
        </w:rPr>
        <w:t>. Злочинними є дії, що призводять до значної</w:t>
      </w:r>
    </w:p>
    <w:p w:rsidR="00071A7D" w:rsidRPr="00D3259F" w:rsidRDefault="00071A7D" w:rsidP="00D3259F">
      <w:p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sz w:val="28"/>
          <w:szCs w:val="28"/>
          <w:lang w:eastAsia="ru-RU"/>
        </w:rPr>
        <w:t xml:space="preserve">шкоди, такої як знищення майна, загроза життю людей, порушення функціонування державних установ або служб. У деяких випадках наслідком може бути економічний збиток, що також враховується під час кваліфікації дій як диверсії. Наслідки можуть бути як фізичними (загибель людей або значні пошкодження), так і економічними або соціальними, такими як втрата стратегічних можливостей держави чи міжнародної репутації. 4. </w:t>
      </w:r>
      <w:r w:rsidRPr="00D3259F">
        <w:rPr>
          <w:rFonts w:ascii="Times New Roman" w:hAnsi="Times New Roman"/>
          <w:bCs/>
          <w:sz w:val="28"/>
          <w:szCs w:val="28"/>
          <w:lang w:eastAsia="ru-RU"/>
        </w:rPr>
        <w:t>Місце вчинення злочину</w:t>
      </w:r>
      <w:r w:rsidRPr="00D3259F">
        <w:rPr>
          <w:rFonts w:ascii="Times New Roman" w:hAnsi="Times New Roman"/>
          <w:sz w:val="28"/>
          <w:szCs w:val="28"/>
          <w:lang w:eastAsia="ru-RU"/>
        </w:rPr>
        <w:t>. Диверсія може бути вчинена як на території Франції, так і за її межами, якщо дії спрямовані на об'єкти, які мають стратегічне значення для національної безпеки країни [13].</w:t>
      </w:r>
    </w:p>
    <w:p w:rsidR="00071A7D" w:rsidRPr="00D3259F" w:rsidRDefault="00071A7D" w:rsidP="00D3259F">
      <w:pPr>
        <w:spacing w:before="100" w:beforeAutospacing="1" w:after="100" w:afterAutospacing="1" w:line="360" w:lineRule="auto"/>
        <w:ind w:firstLine="708"/>
        <w:contextualSpacing/>
        <w:jc w:val="both"/>
        <w:rPr>
          <w:rFonts w:ascii="Times New Roman" w:hAnsi="Times New Roman"/>
          <w:sz w:val="28"/>
          <w:szCs w:val="28"/>
          <w:lang w:eastAsia="ru-RU"/>
        </w:rPr>
      </w:pPr>
      <w:r w:rsidRPr="00D3259F">
        <w:rPr>
          <w:rFonts w:ascii="Times New Roman" w:hAnsi="Times New Roman"/>
          <w:sz w:val="28"/>
          <w:szCs w:val="28"/>
          <w:lang w:eastAsia="ru-RU"/>
        </w:rPr>
        <w:t>Суб’єктом диверсії може бути будь-яка фізична особа, яка досягла віку кримінальної відповідальності, зазвичай 18 років. Відповідальність за диверсійні дії можуть нести також іноземні громадяни або особи без громадянства, якщо їхні дії спрямовані на підрив безпеки Франції. Особливу увагу варто приділяти тим, хто має доступ до державних таємниць, критично важливих об'єктів або володіє спеціальними знаннями та навичками, що використовуються для здійснення диверсій. Це можуть бути військовослужбовці, працівники спецслужб або спеціалісти з кібербезпеки.</w:t>
      </w:r>
    </w:p>
    <w:p w:rsidR="00071A7D" w:rsidRPr="00D3259F" w:rsidRDefault="00071A7D" w:rsidP="00D3259F">
      <w:p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sz w:val="28"/>
          <w:szCs w:val="28"/>
          <w:lang w:eastAsia="ru-RU"/>
        </w:rPr>
        <w:t>У випадках, коли до диверсії залучені державні посадові особи або особи, що діють за дорученням чи з підтримкою іноземної держави, відповідальність може бути підвищеною. Це ще раз підкреслює серйозність і масштабність злочинів, які вчиняються в контексті диверсій.</w:t>
      </w:r>
    </w:p>
    <w:p w:rsidR="00071A7D" w:rsidRPr="00D3259F" w:rsidRDefault="00071A7D" w:rsidP="00D3259F">
      <w:p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sz w:val="28"/>
          <w:szCs w:val="28"/>
          <w:lang w:eastAsia="ru-RU"/>
        </w:rPr>
        <w:t>До суб’єктивної сторони злочину французький законодавець відносить:</w:t>
      </w:r>
    </w:p>
    <w:p w:rsidR="00071A7D" w:rsidRPr="00D3259F" w:rsidRDefault="00071A7D" w:rsidP="00D3259F">
      <w:pPr>
        <w:numPr>
          <w:ilvl w:val="0"/>
          <w:numId w:val="11"/>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Форма вини</w:t>
      </w:r>
      <w:r w:rsidRPr="00D3259F">
        <w:rPr>
          <w:rFonts w:ascii="Times New Roman" w:hAnsi="Times New Roman"/>
          <w:sz w:val="28"/>
          <w:szCs w:val="28"/>
          <w:lang w:eastAsia="ru-RU"/>
        </w:rPr>
        <w:t>. Суб'єктивна сторона злочину диверсії визначається наявністю прямого умислу. Особи, які вчиняють диверсію, усвідомлюють протиправний характер своїх дій, передбачають їхні наслідки і бажають їх настання. Це означає, що вони діють з метою завдати шкоди державі або її інтересам.</w:t>
      </w:r>
    </w:p>
    <w:p w:rsidR="00071A7D" w:rsidRPr="00D3259F" w:rsidRDefault="00071A7D" w:rsidP="00D3259F">
      <w:pPr>
        <w:numPr>
          <w:ilvl w:val="0"/>
          <w:numId w:val="11"/>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Мотив</w:t>
      </w:r>
      <w:r w:rsidRPr="00D3259F">
        <w:rPr>
          <w:rFonts w:ascii="Times New Roman" w:hAnsi="Times New Roman"/>
          <w:sz w:val="28"/>
          <w:szCs w:val="28"/>
          <w:lang w:eastAsia="ru-RU"/>
        </w:rPr>
        <w:t>. Мотиви можуть бути різноманітними – політичними, економічними або особистими, але основним є намір завдати шкоди державним інтересам. Наприклад, це може бути помста державі, спроба дестабілізувати ситуацію в країні або сприяння іноземній державі в досягненні її геополітичних цілей.</w:t>
      </w:r>
    </w:p>
    <w:p w:rsidR="00071A7D" w:rsidRPr="00D3259F" w:rsidRDefault="00071A7D" w:rsidP="00D3259F">
      <w:pPr>
        <w:numPr>
          <w:ilvl w:val="0"/>
          <w:numId w:val="11"/>
        </w:num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bCs/>
          <w:sz w:val="28"/>
          <w:szCs w:val="28"/>
          <w:lang w:eastAsia="ru-RU"/>
        </w:rPr>
        <w:t>Ціль</w:t>
      </w:r>
      <w:r w:rsidRPr="00D3259F">
        <w:rPr>
          <w:rFonts w:ascii="Times New Roman" w:hAnsi="Times New Roman"/>
          <w:sz w:val="28"/>
          <w:szCs w:val="28"/>
          <w:lang w:eastAsia="ru-RU"/>
        </w:rPr>
        <w:t>. Основною метою є створення загрози національній безпеці, підрив державної оборони, руйнування критично важливої інфраструктури або заподіяння значної економічної шкоди.</w:t>
      </w:r>
    </w:p>
    <w:p w:rsidR="00071A7D" w:rsidRPr="00D3259F" w:rsidRDefault="00071A7D" w:rsidP="00D3259F">
      <w:pPr>
        <w:spacing w:before="100" w:beforeAutospacing="1" w:after="100" w:afterAutospacing="1" w:line="360" w:lineRule="auto"/>
        <w:contextualSpacing/>
        <w:jc w:val="both"/>
        <w:rPr>
          <w:rFonts w:ascii="Times New Roman" w:hAnsi="Times New Roman"/>
          <w:sz w:val="28"/>
          <w:szCs w:val="28"/>
          <w:lang w:eastAsia="ru-RU"/>
        </w:rPr>
      </w:pPr>
      <w:r w:rsidRPr="00D3259F">
        <w:rPr>
          <w:rFonts w:ascii="Times New Roman" w:hAnsi="Times New Roman"/>
          <w:sz w:val="28"/>
          <w:szCs w:val="28"/>
          <w:lang w:eastAsia="ru-RU"/>
        </w:rPr>
        <w:t>Загалом, суб’єкт і суб’єктивна сторона злочину диверсії за французьким законодавством характеризуються високим рівнем умислу, спеціальними мотивами та цілями, спрямованими на підрив основних інтересів держави [13].</w:t>
      </w:r>
    </w:p>
    <w:p w:rsidR="00071A7D" w:rsidRDefault="00071A7D" w:rsidP="004E28F4">
      <w:pPr>
        <w:spacing w:before="240" w:after="240" w:line="360" w:lineRule="auto"/>
        <w:contextualSpacing/>
        <w:rPr>
          <w:rFonts w:ascii="Times New Roman" w:hAnsi="Times New Roman"/>
          <w:color w:val="000000"/>
          <w:sz w:val="28"/>
          <w:szCs w:val="28"/>
          <w:lang w:eastAsia="ru-RU"/>
        </w:rPr>
      </w:pPr>
    </w:p>
    <w:p w:rsidR="00071A7D" w:rsidRDefault="00071A7D" w:rsidP="004E28F4">
      <w:pPr>
        <w:spacing w:before="240" w:after="240" w:line="360" w:lineRule="auto"/>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br/>
      </w:r>
    </w:p>
    <w:p w:rsidR="00071A7D" w:rsidRDefault="00071A7D" w:rsidP="004E28F4">
      <w:pPr>
        <w:contextualSpacing/>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071A7D" w:rsidRDefault="00071A7D" w:rsidP="00D3259F">
      <w:pPr>
        <w:spacing w:before="240" w:after="240" w:line="360" w:lineRule="auto"/>
        <w:contextualSpacing/>
        <w:jc w:val="center"/>
        <w:rPr>
          <w:rFonts w:ascii="Times New Roman" w:hAnsi="Times New Roman"/>
          <w:color w:val="000000"/>
          <w:sz w:val="28"/>
          <w:szCs w:val="28"/>
          <w:lang w:eastAsia="ru-RU"/>
        </w:rPr>
      </w:pPr>
      <w:r w:rsidRPr="00E256E2">
        <w:rPr>
          <w:rFonts w:ascii="Times New Roman" w:hAnsi="Times New Roman"/>
          <w:b/>
          <w:color w:val="000000"/>
          <w:sz w:val="28"/>
          <w:szCs w:val="28"/>
          <w:lang w:eastAsia="ru-RU"/>
        </w:rPr>
        <w:t>Висновки до Розд</w:t>
      </w:r>
      <w:r w:rsidRPr="00E256E2">
        <w:rPr>
          <w:rFonts w:ascii="Times New Roman" w:hAnsi="Times New Roman"/>
          <w:b/>
          <w:color w:val="000000"/>
          <w:sz w:val="28"/>
          <w:szCs w:val="28"/>
          <w:lang w:val="uk-UA" w:eastAsia="ru-RU"/>
        </w:rPr>
        <w:t>ілу 1</w:t>
      </w:r>
      <w:r w:rsidRPr="00E256E2">
        <w:rPr>
          <w:rFonts w:ascii="Times New Roman" w:hAnsi="Times New Roman"/>
          <w:b/>
          <w:color w:val="000000"/>
          <w:sz w:val="28"/>
          <w:szCs w:val="28"/>
          <w:lang w:eastAsia="ru-RU"/>
        </w:rPr>
        <w:br/>
      </w:r>
    </w:p>
    <w:p w:rsidR="00071A7D" w:rsidRPr="00E952E5" w:rsidRDefault="00071A7D" w:rsidP="004E28F4">
      <w:pPr>
        <w:spacing w:before="240" w:after="240" w:line="360" w:lineRule="auto"/>
        <w:ind w:firstLine="708"/>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1. </w:t>
      </w:r>
      <w:r w:rsidRPr="00C314BF">
        <w:rPr>
          <w:rFonts w:ascii="Times New Roman" w:hAnsi="Times New Roman"/>
          <w:color w:val="000000"/>
          <w:sz w:val="28"/>
          <w:szCs w:val="28"/>
          <w:lang w:eastAsia="ru-RU"/>
        </w:rPr>
        <w:t>Історичний розвиток законодавства щодо протидії диверсії показує його еволюцію, зокрема, постійне доповнення новими формами злочинів. Спочатку законодавство стосувалося виключно руйнування або пошкодження важливих об'єктів. Згодом до нього були додані нові форми, такі як масове отруєння, поширення епідемій і дії, спрямовані на радіоактивне забруднення.</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Pr>
          <w:rFonts w:ascii="Times New Roman" w:hAnsi="Times New Roman"/>
          <w:color w:val="000000"/>
          <w:sz w:val="28"/>
          <w:szCs w:val="28"/>
          <w:lang w:eastAsia="ru-RU"/>
        </w:rPr>
        <w:t xml:space="preserve">2. </w:t>
      </w:r>
      <w:r w:rsidRPr="00C314BF">
        <w:rPr>
          <w:rFonts w:ascii="Times New Roman" w:hAnsi="Times New Roman"/>
          <w:color w:val="000000"/>
          <w:sz w:val="28"/>
          <w:szCs w:val="28"/>
          <w:lang w:eastAsia="ru-RU"/>
        </w:rPr>
        <w:t>Сучасна норма про диверсію (ст. 113 КК України) об'єднує різноманітні форми злочину, що становлять різний рівень суспільної небезпечності. Це включає дії, спрямовані на масове знищення людей, руйнування важливих об'єктів, радіоактивне забруднення та інші.</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Pr>
          <w:rFonts w:ascii="Times New Roman" w:hAnsi="Times New Roman"/>
          <w:color w:val="000000"/>
          <w:sz w:val="28"/>
          <w:szCs w:val="28"/>
          <w:lang w:eastAsia="ru-RU"/>
        </w:rPr>
        <w:t xml:space="preserve">3. </w:t>
      </w:r>
      <w:r w:rsidRPr="00C314BF">
        <w:rPr>
          <w:rFonts w:ascii="Times New Roman" w:hAnsi="Times New Roman"/>
          <w:color w:val="000000"/>
          <w:sz w:val="28"/>
          <w:szCs w:val="28"/>
          <w:lang w:eastAsia="ru-RU"/>
        </w:rPr>
        <w:t>Неоднорідність форм диверсії викликає необхідність вдосконалення законодавчої конструкції ст. 113 КК, зокрема виділення найбільш небезпечних форм в окремі статті. Це сприятиме більш точній криміналізації та ефективнішому захисту національної безпеки.</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Pr>
          <w:rFonts w:ascii="Times New Roman" w:hAnsi="Times New Roman"/>
          <w:color w:val="000000"/>
          <w:sz w:val="28"/>
          <w:szCs w:val="28"/>
          <w:lang w:eastAsia="ru-RU"/>
        </w:rPr>
        <w:t xml:space="preserve">4. </w:t>
      </w:r>
      <w:r w:rsidRPr="00C314BF">
        <w:rPr>
          <w:rFonts w:ascii="Times New Roman" w:hAnsi="Times New Roman"/>
          <w:color w:val="000000"/>
          <w:sz w:val="28"/>
          <w:szCs w:val="28"/>
          <w:lang w:eastAsia="ru-RU"/>
        </w:rPr>
        <w:t>У сучасному контексті з'являються нові форми злочинів, такі як кібердиверсії, які потребують окремого законодавчого регулювання через їхню високу суспільну небезпечність і актуальність у сучасному світі.</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Проаналізувавши досвід іноземних країн можна також зробити наступні висновки:</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1. Об'єкт злочину у цих двох країнах охоплює громадську та національну безпеку. Законодавство Польщі, Німеччини та Франції надає пріоритет захисту стратегічних об'єктів, інфраструктури та життя громадян. Зокрема, в Польщі об'єктом є безпека громадян і держави, у Франції – державні інтереси та стабільність національної системи, а в Німеччині – захист публічної безпеки та критичних інфраструктур.</w:t>
      </w:r>
    </w:p>
    <w:p w:rsidR="00071A7D"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2. Суб'єкт злочину в цих країнах, як правило, є фізичною особою, осудною та досяглою віку кримінальної відповідальності (у Німеччині – з 14 років, у Франції – з 13 років). Обидві допускають відповідальність не лише окремих осіб, але й організованих груп або злочинних угруповань, які здійснюють диверсійні дії.</w:t>
      </w:r>
    </w:p>
    <w:p w:rsidR="00071A7D"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3. Об'єктивна сторона злочину в законодавствах Німеччини та Франції полягає в активних діях, спрямованих на підрив критично важливих об'єктів. Це можуть бути акти саботажу, терористичні дії, підрив або пошкодження інфраструктур, що забезпечують стабільність держави. Обидві країни визнають дії, що спричиняють руйнування стратегічних об'єктів або створюють загрозу для безпеки громадян.</w:t>
      </w:r>
    </w:p>
    <w:p w:rsidR="00071A7D"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4. Суб'єктивна сторона злочину полягає у прямому умислі. Злочинець усвідомлює протиправність своїх дій та їхні наслідки. Усі три країни передбачають відповідальність за дії, здійснені з метою підриву громадської чи національної безпеки, незалежно від того, чи йдеться про політичні, економічні або інші мотиви. Прямий умисел є ключовим елементом, а в окремих випадках можливий і непрямий умисел, коли винуватець усвідомлює можливі наслідки, але ставиться до них байдуже.</w:t>
      </w:r>
    </w:p>
    <w:p w:rsidR="00071A7D"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5. Ступінь відповідальності. Законодавство цих двох країн передбачає суворе покарання за диверсійні дії, особливо якщо вони спричиняють значні збитки або жертви. У кожній країні злочин диверсії вважається тяжким і карається значними строками позбавлення волі або іншими жорсткими санкціями.</w:t>
      </w: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4E28F4">
      <w:pPr>
        <w:spacing w:before="240" w:after="240" w:line="360" w:lineRule="auto"/>
        <w:ind w:firstLine="708"/>
        <w:contextualSpacing/>
        <w:jc w:val="both"/>
        <w:rPr>
          <w:rFonts w:ascii="Times New Roman" w:hAnsi="Times New Roman"/>
          <w:b/>
          <w:color w:val="000000"/>
          <w:sz w:val="28"/>
          <w:szCs w:val="28"/>
          <w:lang w:val="uk-UA" w:eastAsia="ru-RU"/>
        </w:rPr>
      </w:pPr>
    </w:p>
    <w:p w:rsidR="00071A7D" w:rsidRDefault="00071A7D" w:rsidP="00D3259F">
      <w:pPr>
        <w:spacing w:before="240" w:after="240" w:line="360" w:lineRule="auto"/>
        <w:contextualSpacing/>
        <w:jc w:val="both"/>
        <w:rPr>
          <w:rFonts w:ascii="Times New Roman" w:hAnsi="Times New Roman"/>
          <w:b/>
          <w:color w:val="000000"/>
          <w:sz w:val="28"/>
          <w:szCs w:val="28"/>
          <w:lang w:val="uk-UA" w:eastAsia="ru-RU"/>
        </w:rPr>
      </w:pPr>
    </w:p>
    <w:p w:rsidR="00071A7D" w:rsidRDefault="00071A7D" w:rsidP="00D3259F">
      <w:pPr>
        <w:spacing w:before="240" w:after="240" w:line="360" w:lineRule="auto"/>
        <w:contextualSpacing/>
        <w:jc w:val="both"/>
        <w:rPr>
          <w:rFonts w:ascii="Times New Roman" w:hAnsi="Times New Roman"/>
          <w:b/>
          <w:color w:val="000000"/>
          <w:sz w:val="28"/>
          <w:szCs w:val="28"/>
          <w:lang w:val="uk-UA" w:eastAsia="ru-RU"/>
        </w:rPr>
      </w:pPr>
    </w:p>
    <w:p w:rsidR="00071A7D" w:rsidRPr="00E256E2" w:rsidRDefault="00071A7D" w:rsidP="00D3259F">
      <w:pPr>
        <w:spacing w:before="240" w:after="240" w:line="360" w:lineRule="auto"/>
        <w:contextualSpacing/>
        <w:jc w:val="both"/>
        <w:rPr>
          <w:rFonts w:ascii="Times New Roman" w:hAnsi="Times New Roman"/>
          <w:b/>
          <w:sz w:val="28"/>
          <w:szCs w:val="28"/>
          <w:lang w:eastAsia="ru-RU"/>
        </w:rPr>
      </w:pPr>
      <w:r>
        <w:rPr>
          <w:rFonts w:ascii="Times New Roman" w:hAnsi="Times New Roman"/>
          <w:b/>
          <w:color w:val="000000"/>
          <w:sz w:val="28"/>
          <w:szCs w:val="28"/>
          <w:lang w:val="uk-UA" w:eastAsia="ru-RU"/>
        </w:rPr>
        <w:t>РОЗДІЛ 2. КРИМІНАЛЬНО-ПРАВОВИЙ АНАЛІЗ СКЛАДУ ДИВЕРСІЇ</w:t>
      </w:r>
      <w:r w:rsidRPr="00E256E2">
        <w:rPr>
          <w:rFonts w:ascii="Times New Roman" w:hAnsi="Times New Roman"/>
          <w:b/>
          <w:color w:val="000000"/>
          <w:sz w:val="28"/>
          <w:szCs w:val="28"/>
          <w:lang w:eastAsia="ru-RU"/>
        </w:rPr>
        <w:t>.</w:t>
      </w:r>
    </w:p>
    <w:p w:rsidR="00071A7D" w:rsidRPr="00E256E2" w:rsidRDefault="00071A7D" w:rsidP="004E28F4">
      <w:pPr>
        <w:spacing w:before="240" w:after="240" w:line="360" w:lineRule="auto"/>
        <w:ind w:firstLine="708"/>
        <w:contextualSpacing/>
        <w:jc w:val="both"/>
        <w:rPr>
          <w:rFonts w:ascii="Times New Roman" w:hAnsi="Times New Roman"/>
          <w:b/>
          <w:sz w:val="28"/>
          <w:szCs w:val="28"/>
          <w:lang w:eastAsia="ru-RU"/>
        </w:rPr>
      </w:pPr>
      <w:r w:rsidRPr="00E256E2">
        <w:rPr>
          <w:rFonts w:ascii="Times New Roman" w:hAnsi="Times New Roman"/>
          <w:b/>
          <w:color w:val="000000"/>
          <w:sz w:val="28"/>
          <w:szCs w:val="28"/>
          <w:lang w:eastAsia="ru-RU"/>
        </w:rPr>
        <w:t>2.1. Об'єкт диверсії та проблеми його встановлення.</w:t>
      </w:r>
    </w:p>
    <w:p w:rsidR="00071A7D"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Дослідження кримінальної відповідальності за диверсію неможливо провести без детального аналізу всіх елементів складу злочину. Це пов'язано з тим, що згідно зі ст. 2 КК, підставою для кримінальної відповідальності є вчинення особою суспільно небезпечного діяння, що містить склад злочину, передбачений Кримінальним кодексом.</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Кримінальна відповідальність за диверсію передбачена ст. 113 КК, яка розміщена в розділі І Особливої частини КК "Злочини проти основ національної безпеки України". Назва цього розділу свідчить про те, що передбачені в ньому суспільно небезпечні діяння спрямовані на посягання на основи національної безпеки України, що є законодавчим рішенням щодо родового об’єкта диверсії.</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Проте вітчизняні науковці по-різному трактують родовий об'єкт злочинів проти основ національної безпеки. У кримінально-правовій науці домінує думка, що родовим об'єктом злочинів, передбачених статтями 109–114¹ КК, є основи національної безпеки України. Зміст цього об'єкта зазвичай розкривається через визначення сфер або об'єктів національної безпеки, на які спрямовані вказані злочини. Наприклад, В. А. Ліпкан та І. В. Діордіца розуміють під родовим об'єктом злочинів проти національної безпеки основи національної безпеки у геополітичній, конституційній, економічній, військовій, екологічній, інформаційній, науково-технічній та інших сфер</w:t>
      </w:r>
      <w:r>
        <w:rPr>
          <w:rFonts w:ascii="Times New Roman" w:hAnsi="Times New Roman"/>
          <w:color w:val="000000"/>
          <w:sz w:val="28"/>
          <w:szCs w:val="28"/>
          <w:lang w:eastAsia="ru-RU"/>
        </w:rPr>
        <w:t>ах [14</w:t>
      </w:r>
      <w:r w:rsidRPr="00C314BF">
        <w:rPr>
          <w:rFonts w:ascii="Times New Roman" w:hAnsi="Times New Roman"/>
          <w:color w:val="000000"/>
          <w:sz w:val="28"/>
          <w:szCs w:val="28"/>
          <w:lang w:eastAsia="ru-RU"/>
        </w:rPr>
        <w:t>, с. 126].</w:t>
      </w:r>
    </w:p>
    <w:p w:rsidR="00071A7D" w:rsidRDefault="00071A7D" w:rsidP="004E28F4">
      <w:pPr>
        <w:spacing w:before="240" w:after="240" w:line="360" w:lineRule="auto"/>
        <w:ind w:firstLine="720"/>
        <w:contextualSpacing/>
        <w:jc w:val="both"/>
        <w:rPr>
          <w:rFonts w:ascii="Times New Roman" w:hAnsi="Times New Roman"/>
          <w:color w:val="000000"/>
          <w:sz w:val="28"/>
          <w:szCs w:val="28"/>
          <w:lang w:eastAsia="ru-RU"/>
        </w:rPr>
      </w:pPr>
      <w:r w:rsidRPr="00C314BF">
        <w:rPr>
          <w:rFonts w:ascii="Times New Roman" w:hAnsi="Times New Roman"/>
          <w:color w:val="000000"/>
          <w:sz w:val="28"/>
          <w:szCs w:val="28"/>
          <w:lang w:eastAsia="ru-RU"/>
        </w:rPr>
        <w:t>В. Я. Тацій визначає родовий об’єкт злочинів проти основ національної безпеки як суспільні відносини з охорони основ національної безпеки України: її конституційного ладу, суверенітету, територіальної недот</w:t>
      </w:r>
      <w:r>
        <w:rPr>
          <w:rFonts w:ascii="Times New Roman" w:hAnsi="Times New Roman"/>
          <w:color w:val="000000"/>
          <w:sz w:val="28"/>
          <w:szCs w:val="28"/>
          <w:lang w:eastAsia="ru-RU"/>
        </w:rPr>
        <w:t>орканності, обороноздатності [15</w:t>
      </w:r>
      <w:r w:rsidRPr="00C314BF">
        <w:rPr>
          <w:rFonts w:ascii="Times New Roman" w:hAnsi="Times New Roman"/>
          <w:color w:val="000000"/>
          <w:sz w:val="28"/>
          <w:szCs w:val="28"/>
          <w:lang w:eastAsia="ru-RU"/>
        </w:rPr>
        <w:t xml:space="preserve">, c. 23]. Деякі науковці, описуючи родовий об'єкт злочинів проти основ національної безпеки України, перераховують безпосередні об'єкти злочинів, передбачених статтями 109–114¹ КК. Наприклад, М. Й. Коржанський вказує на державний і суспільний устрій України, її суверенітет, територіальну цілісність, обороноздатність і конституційний лад як на </w:t>
      </w:r>
      <w:r>
        <w:rPr>
          <w:rFonts w:ascii="Times New Roman" w:hAnsi="Times New Roman"/>
          <w:color w:val="000000"/>
          <w:sz w:val="28"/>
          <w:szCs w:val="28"/>
          <w:lang w:eastAsia="ru-RU"/>
        </w:rPr>
        <w:t>родовий об'єкт цих злочинів [16</w:t>
      </w:r>
      <w:r w:rsidRPr="00C314BF">
        <w:rPr>
          <w:rFonts w:ascii="Times New Roman" w:hAnsi="Times New Roman"/>
          <w:color w:val="000000"/>
          <w:sz w:val="28"/>
          <w:szCs w:val="28"/>
          <w:lang w:eastAsia="ru-RU"/>
        </w:rPr>
        <w:t xml:space="preserve">, с. 26]. О. Ф. Бантишев і О. В. Шамара відзначають, що злочини проти основ національної безпеки спрямовані на посягання на конституційний, суспільний і державний лад України, її політичну систему, територіальну цілісність і недоторканність, обороноздатність, а також державну, економічну, інформаційну безпеку й національну безпеку в </w:t>
      </w:r>
      <w:r>
        <w:rPr>
          <w:rFonts w:ascii="Times New Roman" w:hAnsi="Times New Roman"/>
          <w:color w:val="000000"/>
          <w:sz w:val="28"/>
          <w:szCs w:val="28"/>
          <w:lang w:eastAsia="ru-RU"/>
        </w:rPr>
        <w:t>екологічній та воєнній сферах [17</w:t>
      </w:r>
      <w:r w:rsidRPr="00C314BF">
        <w:rPr>
          <w:rFonts w:ascii="Times New Roman" w:hAnsi="Times New Roman"/>
          <w:color w:val="000000"/>
          <w:sz w:val="28"/>
          <w:szCs w:val="28"/>
          <w:lang w:eastAsia="ru-RU"/>
        </w:rPr>
        <w:t>, с. 27]. Подібного підходу дотримуються А. В. Шевчук і М. Д. Дякур, які вважають родовим об'єктом злочинів проти основ національної безпеки суспільні відносини, що забезпечують суверенітет, цілісність і недоторканність держави, її обороноздатність, а також безпеку в економічній, політичній, ін</w:t>
      </w:r>
      <w:r>
        <w:rPr>
          <w:rFonts w:ascii="Times New Roman" w:hAnsi="Times New Roman"/>
          <w:color w:val="000000"/>
          <w:sz w:val="28"/>
          <w:szCs w:val="28"/>
          <w:lang w:eastAsia="ru-RU"/>
        </w:rPr>
        <w:t>формаційній та інших сферах [18</w:t>
      </w:r>
      <w:r w:rsidRPr="00C314BF">
        <w:rPr>
          <w:rFonts w:ascii="Times New Roman" w:hAnsi="Times New Roman"/>
          <w:color w:val="000000"/>
          <w:sz w:val="28"/>
          <w:szCs w:val="28"/>
          <w:lang w:eastAsia="ru-RU"/>
        </w:rPr>
        <w:t>, с</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17]. </w:t>
      </w:r>
    </w:p>
    <w:p w:rsidR="00071A7D" w:rsidRPr="002C746F" w:rsidRDefault="00071A7D" w:rsidP="004E28F4">
      <w:pPr>
        <w:spacing w:before="240" w:after="240" w:line="360" w:lineRule="auto"/>
        <w:ind w:firstLine="720"/>
        <w:contextualSpacing/>
        <w:jc w:val="both"/>
        <w:rPr>
          <w:rFonts w:ascii="Times New Roman" w:hAnsi="Times New Roman"/>
          <w:color w:val="000000"/>
          <w:sz w:val="28"/>
          <w:szCs w:val="28"/>
          <w:lang w:eastAsia="ru-RU"/>
        </w:rPr>
      </w:pPr>
      <w:r w:rsidRPr="00C314BF">
        <w:rPr>
          <w:rFonts w:ascii="Times New Roman" w:hAnsi="Times New Roman"/>
          <w:color w:val="000000"/>
          <w:sz w:val="28"/>
          <w:szCs w:val="28"/>
          <w:lang w:eastAsia="ru-RU"/>
        </w:rPr>
        <w:t>Деякі вітчизняні науковці не підтримують вищезгадані погляди й ігнорують формулювання родового об'єкта злочинів проти основ національної безпеки, відображене в кримінальному законі, вважаючи таким об'єктом державу та її безпеку. Є. Д. Скулиш і О. Ю. Звонарьов називають такими об'єктами суспільні відносини, які формують конституційно-правові зас</w:t>
      </w:r>
      <w:r>
        <w:rPr>
          <w:rFonts w:ascii="Times New Roman" w:hAnsi="Times New Roman"/>
          <w:color w:val="000000"/>
          <w:sz w:val="28"/>
          <w:szCs w:val="28"/>
          <w:lang w:eastAsia="ru-RU"/>
        </w:rPr>
        <w:t>ади української державності [19</w:t>
      </w:r>
      <w:r w:rsidRPr="00C314BF">
        <w:rPr>
          <w:rFonts w:ascii="Times New Roman" w:hAnsi="Times New Roman"/>
          <w:color w:val="000000"/>
          <w:sz w:val="28"/>
          <w:szCs w:val="28"/>
          <w:lang w:eastAsia="ru-RU"/>
        </w:rPr>
        <w:t>, с. 78]. У своєму монографічному дослідженні О. А. Чуваков визначає родовий об'єкт злочинів проти основ національної безпеки як суспільні відносини у сфері забезпечення державної безпеки в ключових напрямках діяльності, таких як конституційний лад, суверенітет, територіальна цілісність і недоторканість, а також інформаційна, економічна й екологічна безпека. Центральну роль безпеки держави в цьому визначенні дослідник обґрунтовує положенням ч. 3 ст. 3 Закону України «Про основи національної безпеки України» від 19 червня 2003 р. № 964-IV, де одним із об'єктів національної безпеки визнаються конституційний лад, суверенітет, територіальна цілісніст</w:t>
      </w:r>
      <w:r>
        <w:rPr>
          <w:rFonts w:ascii="Times New Roman" w:hAnsi="Times New Roman"/>
          <w:color w:val="000000"/>
          <w:sz w:val="28"/>
          <w:szCs w:val="28"/>
          <w:lang w:eastAsia="ru-RU"/>
        </w:rPr>
        <w:t>ь і недоторканність держави [20</w:t>
      </w:r>
      <w:r w:rsidRPr="00C314BF">
        <w:rPr>
          <w:rFonts w:ascii="Times New Roman" w:hAnsi="Times New Roman"/>
          <w:color w:val="000000"/>
          <w:sz w:val="28"/>
          <w:szCs w:val="28"/>
          <w:lang w:eastAsia="ru-RU"/>
        </w:rPr>
        <w:t>, с. 77].</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Таким чином, основи національної безпеки України виступають родовим об'єктом зазначених злочинів, зокрема й диверсії.</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 xml:space="preserve">На нашу думку, визначення змісту родового об'єкта злочинів проти основ національної безпеки України повинно спиратися на законодавство. Насамперед слід звернути увагу на Конституцію України (далі – КУ), де в п. 17 ст. 92 зазначено, що основи національної безпеки визначаються виключно </w:t>
      </w:r>
      <w:r>
        <w:rPr>
          <w:rFonts w:ascii="Times New Roman" w:hAnsi="Times New Roman"/>
          <w:color w:val="000000"/>
          <w:sz w:val="28"/>
          <w:szCs w:val="28"/>
          <w:lang w:eastAsia="ru-RU"/>
        </w:rPr>
        <w:t>законами України [21</w:t>
      </w:r>
      <w:r w:rsidRPr="00C314BF">
        <w:rPr>
          <w:rFonts w:ascii="Times New Roman" w:hAnsi="Times New Roman"/>
          <w:color w:val="000000"/>
          <w:sz w:val="28"/>
          <w:szCs w:val="28"/>
          <w:lang w:eastAsia="ru-RU"/>
        </w:rPr>
        <w:t>]. Наразі таким законом є ЗУ «Про національну безпеку України» від 21 червня 2018 р. № 2469-VIII, де національна безпека визначається як захищеність державного суверенітету, територіальної цілісності, демократичного конституційного ладу та інших національних інтересів України від ре</w:t>
      </w:r>
      <w:r>
        <w:rPr>
          <w:rFonts w:ascii="Times New Roman" w:hAnsi="Times New Roman"/>
          <w:color w:val="000000"/>
          <w:sz w:val="28"/>
          <w:szCs w:val="28"/>
          <w:lang w:eastAsia="ru-RU"/>
        </w:rPr>
        <w:t>альних і потенційних загроз [22</w:t>
      </w:r>
      <w:r w:rsidRPr="00C314BF">
        <w:rPr>
          <w:rFonts w:ascii="Times New Roman" w:hAnsi="Times New Roman"/>
          <w:color w:val="000000"/>
          <w:sz w:val="28"/>
          <w:szCs w:val="28"/>
          <w:lang w:eastAsia="ru-RU"/>
        </w:rPr>
        <w:t>]. </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Ці визначення національної безпеки України вказують на те, що вона охоплює суспільні відносини у різних сферах, проте лише на рівні життєво важливих інтересів людини, суспільства й держави. Тобто, національна безпека зосереджується лише на найбільш значущих національних інтересах.</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Правильне розуміння концепції основ національної безпеки України як родового об'єкта злочинів, визначених у розділі І Особливої частини КК, є ключовим для аналізу кримінальної відповідальності за диверсію. Ця концепція закріплена у вищезазначеному ЗУ «Про національну безпеку України» і полягає в тому, що в кожній сфері суспільних відносин виділяються найбільш значущі та життєво важливі цінності, які підлягають захисту. Відповідно до цієї концепції, розділ І Особливої частини КК зосереджується на найбільш важливих суспільних відносинах та цінностях з різних сфер, які потребують підвищеного рівня охорони, зокрема, це стосується статей 109–114¹ КК. Таким чином, основи національної безпеки включають найважливіші цінності різних аспектів суспільного життя, і розділ І Особливої частини КК захищає їх на найвищому рівні — як життєво важливі інтереси лю</w:t>
      </w:r>
      <w:r>
        <w:rPr>
          <w:rFonts w:ascii="Times New Roman" w:hAnsi="Times New Roman"/>
          <w:color w:val="000000"/>
          <w:sz w:val="28"/>
          <w:szCs w:val="28"/>
          <w:lang w:eastAsia="ru-RU"/>
        </w:rPr>
        <w:t>дини, суспільства і держави [23</w:t>
      </w:r>
      <w:r w:rsidRPr="00C314BF">
        <w:rPr>
          <w:rFonts w:ascii="Times New Roman" w:hAnsi="Times New Roman"/>
          <w:color w:val="000000"/>
          <w:sz w:val="28"/>
          <w:szCs w:val="28"/>
          <w:lang w:eastAsia="ru-RU"/>
        </w:rPr>
        <w:t>, с. 137].</w:t>
      </w:r>
      <w:r w:rsidRPr="00C314BF">
        <w:rPr>
          <w:rFonts w:ascii="Times New Roman" w:hAnsi="Times New Roman"/>
          <w:sz w:val="28"/>
          <w:szCs w:val="28"/>
          <w:lang w:eastAsia="ru-RU"/>
        </w:rPr>
        <w:tab/>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Отже, родовим об'єктом диверсії є суспільні відносини, спрямовані на охорону основ національної безпеки України, які включають інтереси не тільки держави, але також людини та суспільства. Це має важливий вплив на визначення безпосередніх об'єктів диверсії, її кваліфікацію, відмежування від інших злочинів та інші ключові питання.</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 xml:space="preserve">Під безпосереднім об’єктом злочину розуміють ті конкретні суспільні відносини, які законодавець захищає певною статтею Особливої частини КК, і яким злочин завдає шкоди, підпадаючи під ознаки </w:t>
      </w:r>
      <w:r>
        <w:rPr>
          <w:rFonts w:ascii="Times New Roman" w:hAnsi="Times New Roman"/>
          <w:color w:val="000000"/>
          <w:sz w:val="28"/>
          <w:szCs w:val="28"/>
          <w:lang w:eastAsia="ru-RU"/>
        </w:rPr>
        <w:t>відповідного складу злочину [24</w:t>
      </w:r>
      <w:r w:rsidRPr="00C314BF">
        <w:rPr>
          <w:rFonts w:ascii="Times New Roman" w:hAnsi="Times New Roman"/>
          <w:color w:val="000000"/>
          <w:sz w:val="28"/>
          <w:szCs w:val="28"/>
          <w:lang w:eastAsia="ru-RU"/>
        </w:rPr>
        <w:t>, с. 66]. Традиційно серед безпосередніх об’єктів виділяють основний, додатковий обов’язковий та додатк</w:t>
      </w:r>
      <w:r>
        <w:rPr>
          <w:rFonts w:ascii="Times New Roman" w:hAnsi="Times New Roman"/>
          <w:color w:val="000000"/>
          <w:sz w:val="28"/>
          <w:szCs w:val="28"/>
          <w:lang w:eastAsia="ru-RU"/>
        </w:rPr>
        <w:t>овий факультативний об’єкти [25</w:t>
      </w:r>
      <w:r w:rsidRPr="00C314BF">
        <w:rPr>
          <w:rFonts w:ascii="Times New Roman" w:hAnsi="Times New Roman"/>
          <w:color w:val="000000"/>
          <w:sz w:val="28"/>
          <w:szCs w:val="28"/>
          <w:lang w:eastAsia="ru-RU"/>
        </w:rPr>
        <w:t>, с. 116]. Основний безпосередній об’єкт – це суспільні відносини, які законодавець передусім прагнув захистити, вони є частиною родового об’єкта, і саме їм зло</w:t>
      </w:r>
      <w:r>
        <w:rPr>
          <w:rFonts w:ascii="Times New Roman" w:hAnsi="Times New Roman"/>
          <w:color w:val="000000"/>
          <w:sz w:val="28"/>
          <w:szCs w:val="28"/>
          <w:lang w:eastAsia="ru-RU"/>
        </w:rPr>
        <w:t>чин завдає шкоди [24</w:t>
      </w:r>
      <w:r w:rsidRPr="00C314BF">
        <w:rPr>
          <w:rFonts w:ascii="Times New Roman" w:hAnsi="Times New Roman"/>
          <w:color w:val="000000"/>
          <w:sz w:val="28"/>
          <w:szCs w:val="28"/>
          <w:lang w:eastAsia="ru-RU"/>
        </w:rPr>
        <w:t>, с. 71].</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Думки українських науковців щодо визначення основного безпосереднього об’єкта диверсії суттєво розрізняються, і для його теоретичного аналізу застосовуються різні підходи. У цьому контексті важливо зазначити, що під час розгляду питань класифікації злочинів проти основ національної безпеки України, а також видового та безпосереднього об’єктів диверсії, багато дослідників акцентують увагу на «зовнішній безпеці України» та/або «внутрішній безпеці України». Наприклад, ряд вітчизняних учених стверджують, що диверсія п</w:t>
      </w:r>
      <w:r>
        <w:rPr>
          <w:rFonts w:ascii="Times New Roman" w:hAnsi="Times New Roman"/>
          <w:color w:val="000000"/>
          <w:sz w:val="28"/>
          <w:szCs w:val="28"/>
          <w:lang w:eastAsia="ru-RU"/>
        </w:rPr>
        <w:t>осягає на внутрішню безпеку [26, с. 20; 27, с. 188; 28, с. 90; 29</w:t>
      </w:r>
      <w:r w:rsidRPr="00C314BF">
        <w:rPr>
          <w:rFonts w:ascii="Times New Roman" w:hAnsi="Times New Roman"/>
          <w:color w:val="000000"/>
          <w:sz w:val="28"/>
          <w:szCs w:val="28"/>
          <w:lang w:eastAsia="ru-RU"/>
        </w:rPr>
        <w:t>, с. 139], хоча не наводять достатніх обґрунтувань для такої позиції. О. А. Чуваков, навпаки, детально аргументує свій висновок про те, що диверсія стосується злочинів, які посягають як на внутрішню, так і на економічну безпеку (статті 109, 11</w:t>
      </w:r>
      <w:r>
        <w:rPr>
          <w:rFonts w:ascii="Times New Roman" w:hAnsi="Times New Roman"/>
          <w:color w:val="000000"/>
          <w:sz w:val="28"/>
          <w:szCs w:val="28"/>
          <w:lang w:eastAsia="ru-RU"/>
        </w:rPr>
        <w:t>0, 1102, 112, 113, 1141 КК) [30</w:t>
      </w:r>
      <w:r w:rsidRPr="00C314BF">
        <w:rPr>
          <w:rFonts w:ascii="Times New Roman" w:hAnsi="Times New Roman"/>
          <w:color w:val="000000"/>
          <w:sz w:val="28"/>
          <w:szCs w:val="28"/>
          <w:lang w:eastAsia="ru-RU"/>
        </w:rPr>
        <w:t xml:space="preserve">, с. 247], вказуючи на те, що ці злочини є внутрішньою загрозою (тобто загроза виникає не </w:t>
      </w:r>
      <w:r>
        <w:rPr>
          <w:rFonts w:ascii="Times New Roman" w:hAnsi="Times New Roman"/>
          <w:color w:val="000000"/>
          <w:sz w:val="28"/>
          <w:szCs w:val="28"/>
          <w:lang w:eastAsia="ru-RU"/>
        </w:rPr>
        <w:t>з-за меж території України) [20</w:t>
      </w:r>
      <w:r w:rsidRPr="00C314BF">
        <w:rPr>
          <w:rFonts w:ascii="Times New Roman" w:hAnsi="Times New Roman"/>
          <w:color w:val="000000"/>
          <w:sz w:val="28"/>
          <w:szCs w:val="28"/>
          <w:lang w:eastAsia="ru-RU"/>
        </w:rPr>
        <w:t>, с. 156]. На нашу думку, правильною є позиція, що диверсія може загрожувати як внутрішній, так і зовнішній безпеці України.</w:t>
      </w:r>
    </w:p>
    <w:p w:rsidR="00071A7D" w:rsidRPr="00C314BF" w:rsidRDefault="00071A7D" w:rsidP="004E28F4">
      <w:pPr>
        <w:spacing w:before="240" w:after="24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Висновок про те, що диверсія може загрожувати як внутрішній, так і зовнішній безпеці, ґрунтується на положеннях статті 113 КК. Ця стаття не залежить від того, звідки виходила загроза вчинення диверсійних актів — з території України чи з-за її кордонів. Крім того, вона передбачає відповідальність за дії, які мають безпосередній зв'язок із зовнішньою безпекою України, зокрема за спроби знищення або пошкодження об'єктів, що мають важливе оборонне значення. Таким чином, в практичному аспекті за статтею 113 КК необхідно кваліфікувати також диверсійні акти, здійснені співробітниками іноземних спеціальних служб, іншими іноземцями або за дорученням іноземних держав чи організацій, їх представників чи окремих фізичних осіб.</w:t>
      </w:r>
    </w:p>
    <w:p w:rsidR="00071A7D" w:rsidRPr="00C314BF" w:rsidRDefault="00071A7D" w:rsidP="004E28F4">
      <w:pPr>
        <w:spacing w:before="240" w:after="240" w:line="360" w:lineRule="auto"/>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ab/>
        <w:t>Відповідно до наведеного критерію, визначення безпосередніх об'єктів диверсії можна поділити на дві групи: 1) ті, в яких головна увага зосереджена на спрямованості диверсії проти держави, і 2) ті, в яких автори намагаються врахувати положення вищезазначених законів, але остаточного вирішення цього питання ще не досягнуто. </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До першої групи належать визначення, де автори акцентують увагу на державі та її безпеці.</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 цьому випадку інші об'єкти національної безпеки або зовсім не згадуються, або згадуються лише в контексті того, як завдання їм шкоди може послабити державу. Наприклад, деякі українські науковці вважають безпеку життя і здоров'я людей частин</w:t>
      </w:r>
      <w:r>
        <w:rPr>
          <w:rFonts w:ascii="Times New Roman" w:hAnsi="Times New Roman"/>
          <w:color w:val="000000"/>
          <w:sz w:val="28"/>
          <w:szCs w:val="28"/>
          <w:lang w:eastAsia="ru-RU"/>
        </w:rPr>
        <w:t>ою загальної безпеки держави [31, c. 21-22; 32</w:t>
      </w:r>
      <w:r w:rsidRPr="00C314BF">
        <w:rPr>
          <w:rFonts w:ascii="Times New Roman" w:hAnsi="Times New Roman"/>
          <w:color w:val="000000"/>
          <w:sz w:val="28"/>
          <w:szCs w:val="28"/>
          <w:lang w:eastAsia="ru-RU"/>
        </w:rPr>
        <w:t>, c. 216].</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Визначення безпосередніх об'єктів диверсії, які належать до другої групи, відрізняються акцентами на важливість тих чи інших аспектів. Так, С. І. Селецький вважає, що залежно від форми диверсії, її безпосередніми об'єктами можуть бути економічна основа, внутрішня безпека України, а також життя та здоров'я люд</w:t>
      </w:r>
      <w:r>
        <w:rPr>
          <w:rFonts w:ascii="Times New Roman" w:hAnsi="Times New Roman"/>
          <w:color w:val="000000"/>
          <w:sz w:val="28"/>
          <w:szCs w:val="28"/>
          <w:lang w:eastAsia="ru-RU"/>
        </w:rPr>
        <w:t>ей, економічна безпека тощо [26</w:t>
      </w:r>
      <w:r w:rsidRPr="00C314BF">
        <w:rPr>
          <w:rFonts w:ascii="Times New Roman" w:hAnsi="Times New Roman"/>
          <w:color w:val="000000"/>
          <w:sz w:val="28"/>
          <w:szCs w:val="28"/>
          <w:lang w:eastAsia="ru-RU"/>
        </w:rPr>
        <w:t>, c. 20]. М. Й. Коржанський вважає, що диверсія спрямована на внутрішню безпеку України, її економічні засади, громадську безпе</w:t>
      </w:r>
      <w:r>
        <w:rPr>
          <w:rFonts w:ascii="Times New Roman" w:hAnsi="Times New Roman"/>
          <w:color w:val="000000"/>
          <w:sz w:val="28"/>
          <w:szCs w:val="28"/>
          <w:lang w:eastAsia="ru-RU"/>
        </w:rPr>
        <w:t>ку, здоров'я та життя людей [33</w:t>
      </w:r>
      <w:r w:rsidRPr="00C314BF">
        <w:rPr>
          <w:rFonts w:ascii="Times New Roman" w:hAnsi="Times New Roman"/>
          <w:color w:val="000000"/>
          <w:sz w:val="28"/>
          <w:szCs w:val="28"/>
          <w:lang w:eastAsia="ru-RU"/>
        </w:rPr>
        <w:t>, c. 176]. О. М. Юрченко, О. Ф. Бантишев та С. А. Кузьмін вважають, що об'єктом диверсії є життя, здоров'я, недоторканність і безпека людини, які є найвищими соціальними цінностями, а також інтереси України в сферах еко</w:t>
      </w:r>
      <w:r>
        <w:rPr>
          <w:rFonts w:ascii="Times New Roman" w:hAnsi="Times New Roman"/>
          <w:color w:val="000000"/>
          <w:sz w:val="28"/>
          <w:szCs w:val="28"/>
          <w:lang w:eastAsia="ru-RU"/>
        </w:rPr>
        <w:t>номіки, оборони та екології [34</w:t>
      </w:r>
      <w:r w:rsidRPr="00C314BF">
        <w:rPr>
          <w:rFonts w:ascii="Times New Roman" w:hAnsi="Times New Roman"/>
          <w:color w:val="000000"/>
          <w:sz w:val="28"/>
          <w:szCs w:val="28"/>
          <w:lang w:eastAsia="ru-RU"/>
        </w:rPr>
        <w:t>, c. 55].</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Варто зазначити, що таке визначення не завжди застосовне до всіх форм диверсії. Наприклад, життя, здоров'я, недоторканність і безпека людини не завжди можуть вважатися безпосередніми об'єктами у випадках вибухів, підпалів чи інших дій, спрямованих на руйнування або пошкодження об'єктів, що мають важливе народногосподарське чи оборонне значення. Деякі автори вказують на національ</w:t>
      </w:r>
      <w:r>
        <w:rPr>
          <w:rFonts w:ascii="Times New Roman" w:hAnsi="Times New Roman"/>
          <w:color w:val="000000"/>
          <w:sz w:val="28"/>
          <w:szCs w:val="28"/>
          <w:lang w:eastAsia="ru-RU"/>
        </w:rPr>
        <w:t>ну безпеку в окремих сферах [35</w:t>
      </w:r>
      <w:r w:rsidRPr="00C314BF">
        <w:rPr>
          <w:rFonts w:ascii="Times New Roman" w:hAnsi="Times New Roman"/>
          <w:color w:val="000000"/>
          <w:sz w:val="28"/>
          <w:szCs w:val="28"/>
          <w:lang w:eastAsia="ru-RU"/>
        </w:rPr>
        <w:t>, c. 18-19], або на суспільні відносини у сфері забезпечення о</w:t>
      </w:r>
      <w:r>
        <w:rPr>
          <w:rFonts w:ascii="Times New Roman" w:hAnsi="Times New Roman"/>
          <w:color w:val="000000"/>
          <w:sz w:val="28"/>
          <w:szCs w:val="28"/>
          <w:lang w:eastAsia="ru-RU"/>
        </w:rPr>
        <w:t>хорони національної безпеки [36</w:t>
      </w:r>
      <w:r w:rsidRPr="00C314BF">
        <w:rPr>
          <w:rFonts w:ascii="Times New Roman" w:hAnsi="Times New Roman"/>
          <w:color w:val="000000"/>
          <w:sz w:val="28"/>
          <w:szCs w:val="28"/>
          <w:lang w:eastAsia="ru-RU"/>
        </w:rPr>
        <w:t>, c. 281].</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Найчастіше згадуються економічна, екологічна</w:t>
      </w:r>
      <w:r>
        <w:rPr>
          <w:rFonts w:ascii="Times New Roman" w:hAnsi="Times New Roman"/>
          <w:color w:val="000000"/>
          <w:sz w:val="28"/>
          <w:szCs w:val="28"/>
          <w:lang w:eastAsia="ru-RU"/>
        </w:rPr>
        <w:t xml:space="preserve"> та військова сфери безпеки [14, c. 132; 37, c. 268; 19</w:t>
      </w:r>
      <w:r w:rsidRPr="00C314BF">
        <w:rPr>
          <w:rFonts w:ascii="Times New Roman" w:hAnsi="Times New Roman"/>
          <w:color w:val="000000"/>
          <w:sz w:val="28"/>
          <w:szCs w:val="28"/>
          <w:lang w:eastAsia="ru-RU"/>
        </w:rPr>
        <w:t>, c. 178]. Деякі автори додають до цього також соц</w:t>
      </w:r>
      <w:r>
        <w:rPr>
          <w:rFonts w:ascii="Times New Roman" w:hAnsi="Times New Roman"/>
          <w:color w:val="000000"/>
          <w:sz w:val="28"/>
          <w:szCs w:val="28"/>
          <w:lang w:eastAsia="ru-RU"/>
        </w:rPr>
        <w:t>іальну сферу [38</w:t>
      </w:r>
      <w:r w:rsidRPr="00C314BF">
        <w:rPr>
          <w:rFonts w:ascii="Times New Roman" w:hAnsi="Times New Roman"/>
          <w:color w:val="000000"/>
          <w:sz w:val="28"/>
          <w:szCs w:val="28"/>
          <w:lang w:eastAsia="ru-RU"/>
        </w:rPr>
        <w:t>, c. 279], безп</w:t>
      </w:r>
      <w:r>
        <w:rPr>
          <w:rFonts w:ascii="Times New Roman" w:hAnsi="Times New Roman"/>
          <w:color w:val="000000"/>
          <w:sz w:val="28"/>
          <w:szCs w:val="28"/>
          <w:lang w:eastAsia="ru-RU"/>
        </w:rPr>
        <w:t>еку життя та здоров'я людей [33, c 176], радіаційну безпеку [17</w:t>
      </w:r>
      <w:r w:rsidRPr="00C314BF">
        <w:rPr>
          <w:rFonts w:ascii="Times New Roman" w:hAnsi="Times New Roman"/>
          <w:color w:val="000000"/>
          <w:sz w:val="28"/>
          <w:szCs w:val="28"/>
          <w:lang w:eastAsia="ru-RU"/>
        </w:rPr>
        <w:t>, c. 168], а також безпеку тва</w:t>
      </w:r>
      <w:r>
        <w:rPr>
          <w:rFonts w:ascii="Times New Roman" w:hAnsi="Times New Roman"/>
          <w:color w:val="000000"/>
          <w:sz w:val="28"/>
          <w:szCs w:val="28"/>
          <w:lang w:eastAsia="ru-RU"/>
        </w:rPr>
        <w:t>ринного та рослинного світу [32</w:t>
      </w:r>
      <w:r w:rsidRPr="00C314BF">
        <w:rPr>
          <w:rFonts w:ascii="Times New Roman" w:hAnsi="Times New Roman"/>
          <w:color w:val="000000"/>
          <w:sz w:val="28"/>
          <w:szCs w:val="28"/>
          <w:lang w:eastAsia="ru-RU"/>
        </w:rPr>
        <w:t>, c. 216].</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Поширеним є використання після переліку сфер формулювання «або (чи) в іншій сфері», що з</w:t>
      </w:r>
      <w:r>
        <w:rPr>
          <w:rFonts w:ascii="Times New Roman" w:hAnsi="Times New Roman"/>
          <w:color w:val="000000"/>
          <w:sz w:val="28"/>
          <w:szCs w:val="28"/>
          <w:lang w:eastAsia="ru-RU"/>
        </w:rPr>
        <w:t>алишає перелік відкритим [39, c. 45; 40, c. 125; 41</w:t>
      </w:r>
      <w:r w:rsidRPr="00C314BF">
        <w:rPr>
          <w:rFonts w:ascii="Times New Roman" w:hAnsi="Times New Roman"/>
          <w:color w:val="000000"/>
          <w:sz w:val="28"/>
          <w:szCs w:val="28"/>
          <w:lang w:eastAsia="ru-RU"/>
        </w:rPr>
        <w:t>, c. 53]. У деяких наукових роботах сфери, на які спрямована диверсія, прямо не зазначені, але їх можна визначити зі змісту опису безпосереднього об'єкта. Наприклад, якщо йдеться про економічну або війс</w:t>
      </w:r>
      <w:r>
        <w:rPr>
          <w:rFonts w:ascii="Times New Roman" w:hAnsi="Times New Roman"/>
          <w:color w:val="000000"/>
          <w:sz w:val="28"/>
          <w:szCs w:val="28"/>
          <w:lang w:eastAsia="ru-RU"/>
        </w:rPr>
        <w:t>ькову безпеку [42, c. 84; 43</w:t>
      </w:r>
      <w:r w:rsidRPr="00C314BF">
        <w:rPr>
          <w:rFonts w:ascii="Times New Roman" w:hAnsi="Times New Roman"/>
          <w:color w:val="000000"/>
          <w:sz w:val="28"/>
          <w:szCs w:val="28"/>
          <w:lang w:eastAsia="ru-RU"/>
        </w:rPr>
        <w:t>, c. 245], то мається на увазі безпека в цих сферах. А вказівка н</w:t>
      </w:r>
      <w:r>
        <w:rPr>
          <w:rFonts w:ascii="Times New Roman" w:hAnsi="Times New Roman"/>
          <w:color w:val="000000"/>
          <w:sz w:val="28"/>
          <w:szCs w:val="28"/>
          <w:lang w:eastAsia="ru-RU"/>
        </w:rPr>
        <w:t>а економічну основу держави [44, c. 43; 45</w:t>
      </w:r>
      <w:r w:rsidRPr="00C314BF">
        <w:rPr>
          <w:rFonts w:ascii="Times New Roman" w:hAnsi="Times New Roman"/>
          <w:color w:val="000000"/>
          <w:sz w:val="28"/>
          <w:szCs w:val="28"/>
          <w:lang w:eastAsia="ru-RU"/>
        </w:rPr>
        <w:t xml:space="preserve">, c. 17] свідчить про захищеність в економічній сфері. В. В. Сичевський, Є. І. Харитонов та Д. О. Олєйніков визначають безпосереднім об'єктом диверсії відносини, що виникають у процесі забезпечення </w:t>
      </w:r>
      <w:r>
        <w:rPr>
          <w:rFonts w:ascii="Times New Roman" w:hAnsi="Times New Roman"/>
          <w:color w:val="000000"/>
          <w:sz w:val="28"/>
          <w:szCs w:val="28"/>
          <w:lang w:eastAsia="ru-RU"/>
        </w:rPr>
        <w:t>економічної безпеки України [46</w:t>
      </w:r>
      <w:r w:rsidRPr="00C314BF">
        <w:rPr>
          <w:rFonts w:ascii="Times New Roman" w:hAnsi="Times New Roman"/>
          <w:color w:val="000000"/>
          <w:sz w:val="28"/>
          <w:szCs w:val="28"/>
          <w:lang w:eastAsia="ru-RU"/>
        </w:rPr>
        <w:t>, c. 139], що вказує на економічну сферу.</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 науці кримінального права питання життя та здоров'я в контексті безпосереднього об'єкта диверсії розглядається по-різному. Деякі науковці включають життя та здоров'я людей до складу безпосереднього об'єкта диверсії, але без</w:t>
      </w:r>
      <w:r>
        <w:rPr>
          <w:rFonts w:ascii="Times New Roman" w:hAnsi="Times New Roman"/>
          <w:color w:val="000000"/>
          <w:sz w:val="28"/>
          <w:szCs w:val="28"/>
          <w:lang w:eastAsia="ru-RU"/>
        </w:rPr>
        <w:t xml:space="preserve"> уточнення форм її вчинення [33</w:t>
      </w:r>
      <w:r w:rsidRPr="00C314BF">
        <w:rPr>
          <w:rFonts w:ascii="Times New Roman" w:hAnsi="Times New Roman"/>
          <w:color w:val="000000"/>
          <w:sz w:val="28"/>
          <w:szCs w:val="28"/>
          <w:lang w:eastAsia="ru-RU"/>
        </w:rPr>
        <w:t>, c. 176</w:t>
      </w:r>
      <w:r>
        <w:rPr>
          <w:rFonts w:ascii="Times New Roman" w:hAnsi="Times New Roman"/>
          <w:color w:val="000000"/>
          <w:sz w:val="28"/>
          <w:szCs w:val="28"/>
          <w:lang w:eastAsia="ru-RU"/>
        </w:rPr>
        <w:t>; 32, c. 216; 34</w:t>
      </w:r>
      <w:r w:rsidRPr="00C314BF">
        <w:rPr>
          <w:rFonts w:ascii="Times New Roman" w:hAnsi="Times New Roman"/>
          <w:color w:val="000000"/>
          <w:sz w:val="28"/>
          <w:szCs w:val="28"/>
          <w:lang w:eastAsia="ru-RU"/>
        </w:rPr>
        <w:t>, c. 55]. Інші вчені оцінюють значення життя та здоров'я людей з точки зору їхньої важливості для держави.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Однак більшість авторів відносять життя та здоров'я до додаткових об'єктів диверсії. Такий підхід був актуальним, коли законодавець вважав диверсію злочином проти держави, і життя та здоров'я людей не визнавалися окремим об'єктом національної безпеки. Відповідно до чинного законодавчого визначення національної безпеки, життя та здоров'я людей є самостійними об'єктами. Тому слід звернути увагу на висновки О. Ф. Бантишева та О. В. Шамари, які стверджують, що «життя та здоров'я людей не можуть розглядатися як додаткові об'єкти», а безпосереднім об'єктом диверсії слід вважати «основні інтереси України у сфері безпеки життя та здоров'я людей, безпеки економічної системи, радіаційної й економічної безп</w:t>
      </w:r>
      <w:r>
        <w:rPr>
          <w:rFonts w:ascii="Times New Roman" w:hAnsi="Times New Roman"/>
          <w:color w:val="000000"/>
          <w:sz w:val="28"/>
          <w:szCs w:val="28"/>
          <w:lang w:eastAsia="ru-RU"/>
        </w:rPr>
        <w:t>еки, а також у сфері оборони» [17</w:t>
      </w:r>
      <w:r w:rsidRPr="00C314BF">
        <w:rPr>
          <w:rFonts w:ascii="Times New Roman" w:hAnsi="Times New Roman"/>
          <w:color w:val="000000"/>
          <w:sz w:val="28"/>
          <w:szCs w:val="28"/>
          <w:lang w:eastAsia="ru-RU"/>
        </w:rPr>
        <w:t>, c. 168].</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Так, життя та здоров'я мають визнаватися основною соціальною цінністю, на яку спрямована диверсія у відповідних формах. Проте, на відміну від інших статей Особливої частини КК, що захищають ці цінності, ст. 113 КК передбачає кримінальну відповідальність за дії, які завдають шкоди життю або здоров'ю великої кількості людей. Це підтверджується ознаками масового знищення людей або шкоди їхньому здоров'ю, а також характером епідемії, що визначається Кодексом цивільного захисту України як масове поширення інфекційної хвороби серед населення певно</w:t>
      </w:r>
      <w:r>
        <w:rPr>
          <w:rFonts w:ascii="Times New Roman" w:hAnsi="Times New Roman"/>
          <w:color w:val="000000"/>
          <w:sz w:val="28"/>
          <w:szCs w:val="28"/>
          <w:lang w:eastAsia="ru-RU"/>
        </w:rPr>
        <w:t>ї території за короткий час [47</w:t>
      </w:r>
      <w:r w:rsidRPr="00C314BF">
        <w:rPr>
          <w:rFonts w:ascii="Times New Roman" w:hAnsi="Times New Roman"/>
          <w:color w:val="000000"/>
          <w:sz w:val="28"/>
          <w:szCs w:val="28"/>
          <w:lang w:eastAsia="ru-RU"/>
        </w:rPr>
        <w:t>]. Посягання на права великої кількості людей свідчить про високий рівень суспільної небезпеки цих діянь, що потребує їх захисту на найвищому рівні – основ національної безпеки України.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Наш аналіз суб'єктів суспільних відносин, які охороняються ст. 113 КК, показав, що вони різняться залежно від того, йдеться про охоронювані (первинні) чи охоронні (вторинні) суспільні відносини.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Отже, безпосередніми об'єктами диверсії є:</w:t>
      </w:r>
    </w:p>
    <w:p w:rsidR="00071A7D"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1) під час вчинення вибухів, підпалів або інших дій, спрямованих на масове знищення людей – суспільні відносини, що забезпечують безпеку життя великої кількості людей;</w:t>
      </w:r>
      <w:r>
        <w:rPr>
          <w:rFonts w:ascii="Times New Roman" w:hAnsi="Times New Roman"/>
          <w:sz w:val="28"/>
          <w:szCs w:val="28"/>
          <w:lang w:eastAsia="ru-RU"/>
        </w:rPr>
        <w:tab/>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2) під час вчинення вибухів, підпалів або інших дій, спрямованих на масове завдання тілесних ушкоджень чи іншої шкоди здоров'ю людей – суспільні відносини, що забезпечують безпеку здоров'я великої кількості людей;</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3) під час вчинення дій, спрямованих на поширення епідемій – суспільні відносини, що забезпечують безпеку життя та/або здоров'я багатьох людей.</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По-друге, у випадках диверсії, що здійснюється у формі вибухів, підпалів або інших дій, спрямованих на руйнування або пошкодження об'єктів, які мають важливе народногосподарське чи оборонне значення, більшість науковців визначають безпосереднім об'єктом безпеку в економічній та в</w:t>
      </w:r>
      <w:r>
        <w:rPr>
          <w:rFonts w:ascii="Times New Roman" w:hAnsi="Times New Roman"/>
          <w:color w:val="000000"/>
          <w:sz w:val="28"/>
          <w:szCs w:val="28"/>
          <w:lang w:eastAsia="ru-RU"/>
        </w:rPr>
        <w:t>ійськовій (оборонній) сферах [48, c. 21; 40, c. 125; 41</w:t>
      </w:r>
      <w:r w:rsidRPr="00C314BF">
        <w:rPr>
          <w:rFonts w:ascii="Times New Roman" w:hAnsi="Times New Roman"/>
          <w:color w:val="000000"/>
          <w:sz w:val="28"/>
          <w:szCs w:val="28"/>
          <w:lang w:eastAsia="ru-RU"/>
        </w:rPr>
        <w:t>, c. 53].</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 xml:space="preserve">Дійсно, при руйнуванні або пошкодженні об'єктів, що мають важливе народногосподарське чи оборонне значення, посягають на безпеку в економічній та оборонній сферах. Однак наш детальний аналіз особливостей предмета злочину в межах цієї форми диверсії виявив необхідність виокремлення також сфери інформаційної безпеки. Вона є самостійною та відрізняється від економічної безпеки, що підтверджується диспозицією ст. 111 КК, де інформаційна безпека України вказується як окремий об'єкт кримінально-правового захисту. Однак важливо, щоб будь-яка конкретизація сфер відносин із використанням термінів, відмінних від ст. 113 КК, не обмежувала і не виходила за межі народногосподарської та оборонної сфер, що охоплюються змістом цієї статті. </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Таким чином, на нашу думку, об'єктом диверсії, вчинюваної у зазначеній формі, є суспільні відносини в сферах народного господарства та оборони України. Основна соціальна цінність цих відносин, яка за своїм значенням піднімається до рівня національної безпеки і захищається ст. 113 КК, конкретизується у вигляді об'єктів, що мають важливе народногосподарське або оборонне значення. У складі диверсії такі об'єкти є одночасно і предметами суспільних відносин, що охороняються, і предметами злочину, ознаки яких є важливими для правильного розуміння та встановлення об'єктивної і суб'єктивної сторін злочину.</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 першому значенні, як предмети суспільних відносин, такі об’єкти характеризуються тим, що на рівні фактичних соціальних відносин (первинних відносин) вони належать до різних сфер, таких як виробництво, транспорт, зв’язок, будівництво, енергетика та інші. На цьому рівні ці об’єкти є одночасно предметами відносин у відповідних сферах, які регулюються спеціальним законодавством та охороняються, зокрема, кримінальним правом. Це означає, що за відсутності ст. 113 КК, відповідальність за їх пошкодження могла б наставати за іншими статтями, наприклад, ст. 194 КК. Однак, це не стосується всіх об’єктів, що мають важливе народногосподарське чи оборонне значення, зокрема інформаційних об’єктів.</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Таким чином, предметом суспільних відносин у цій формі диверсії є об’єкти, що мають важливе народногосподарське або оборонне значення. Суб’єктами таких відносин є держава та інші суб’єкти, а зміст цих відносин полягає в обов’язку не посягати на безпеку таких об’єктів. Виконання цього обов’язку забезпечує нормальне функціонування відносин у сферах народного господарства та оборони.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При здійсненні дій, спрямованих на руйнування або пошкодження об'єктів, що мають важливе народногосподарське чи оборонне значення, предметом посягання є суспільні відносини, які забезпечують безпеку таких об'єктів як частини національної безпеки у сферах народного господарства та оборони.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 xml:space="preserve">Що стосується диверсії, пов'язаної з поширенням епізоотій або епіфітотій, Кодекс цивільного захисту України визначає епізоотію як масове поширення заразних хвороб тварин, що значно перевищує звичайний рівень захворюваності на відповідній території. Епіфітотія ж стосується аналогічного поширення заразних хвороб серед рослин на території однієї або кількох адміністративно-територіальних одиниць </w:t>
      </w:r>
      <w:r>
        <w:rPr>
          <w:rFonts w:ascii="Times New Roman" w:hAnsi="Times New Roman"/>
          <w:sz w:val="28"/>
          <w:szCs w:val="28"/>
        </w:rPr>
        <w:t>[47</w:t>
      </w:r>
      <w:r w:rsidRPr="00C314BF">
        <w:rPr>
          <w:rFonts w:ascii="Times New Roman" w:hAnsi="Times New Roman"/>
          <w:sz w:val="28"/>
          <w:szCs w:val="28"/>
        </w:rPr>
        <w:t>].</w:t>
      </w:r>
      <w:r w:rsidRPr="00C314BF">
        <w:rPr>
          <w:rFonts w:ascii="Times New Roman" w:hAnsi="Times New Roman"/>
          <w:color w:val="000000"/>
          <w:sz w:val="28"/>
          <w:szCs w:val="28"/>
          <w:lang w:eastAsia="ru-RU"/>
        </w:rPr>
        <w:t xml:space="preserve"> Отже, ці поняття стосуються масового поширення хвороб, здатних спричинити значну шкоду тваринам або рослинам.</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Наявність багатьох спільних рис у різних формах диверсії дозволяє одночасно аналізувати структуру суспільних відносин, які виступають їх безпосередніми об'єктами. Насамперед, слід зазначити, що дії, спрямовані на поширення епізоотій чи епіфітотій серед різних видів тварин і рослин, можуть включати як їх природне існування, так і їх роль у суспільних відносинах. Проте не всі тварини й рослини мають соціальну значущість на рівні об'єктів національної безпеки.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Тому для визначення таких об'єктів у контексті диверсії необхідно з'ясувати: а) різницю в соціальному значенні різних видів тварин і рослин; б) суспільні відносини, в яких тварини чи рослини виступають предметом; в) соціальну природу диверсійних дій та їх наслідки. Щодо тварин і рослин, об'єктами національної безпеки здебільшого є хребетні тварини та вищі рослини.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Отже, безпека тварин і рослин є предметом суспільних відносин, які становлять безпосередній об'єкт диверсії. Визнання їх об'єктами національної безпеки залежить від їхньої соціальної цінності та належності до відповідних екологічних або економічних відносин.</w:t>
      </w:r>
    </w:p>
    <w:p w:rsidR="00071A7D" w:rsidRPr="00C314BF" w:rsidRDefault="00071A7D" w:rsidP="004E28F4">
      <w:pPr>
        <w:spacing w:before="240" w:after="240" w:line="360" w:lineRule="auto"/>
        <w:ind w:firstLine="708"/>
        <w:contextualSpacing/>
        <w:jc w:val="both"/>
        <w:rPr>
          <w:rFonts w:ascii="Times New Roman" w:hAnsi="Times New Roman"/>
          <w:sz w:val="28"/>
          <w:szCs w:val="28"/>
          <w:lang w:val="uk-UA" w:eastAsia="ru-RU"/>
        </w:rPr>
      </w:pPr>
      <w:r w:rsidRPr="00C314BF">
        <w:rPr>
          <w:rFonts w:ascii="Times New Roman" w:hAnsi="Times New Roman"/>
          <w:color w:val="000000"/>
          <w:sz w:val="28"/>
          <w:szCs w:val="28"/>
          <w:lang w:val="uk-UA" w:eastAsia="ru-RU"/>
        </w:rPr>
        <w:t>Отже, основними безпосередніми об'єктами диверсії у формі дій, спрямованих на поширення епізоотій чи епіфітотій, є суспільні відносини, які забезпечують безпеку багатьох тварин (при поширенні епізоотій) або багатьох рослин (при поширенні епіфітотій) як життєво важливих соціальних цінностей у відповідних сферах суспільних відносин.</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По-четверте, що стосується диверсії у формі дій, спрямованих на масове отруєння. Думки науковців щодо можливих жертв зазначених дій різняться. Більшість вказує на масове отруєння людей, але деякі вчені також включають до цього поняття отруєння тварин</w:t>
      </w:r>
      <w:r w:rsidRPr="00C314BF">
        <w:rPr>
          <w:rFonts w:ascii="Times New Roman" w:hAnsi="Times New Roman"/>
          <w:sz w:val="28"/>
          <w:szCs w:val="28"/>
        </w:rPr>
        <w:t xml:space="preserve">[124, c. 176; 141, c. 39; 181, c. 216; 268, c. 185]. </w:t>
      </w:r>
      <w:r w:rsidRPr="00C314BF">
        <w:rPr>
          <w:rFonts w:ascii="Times New Roman" w:hAnsi="Times New Roman"/>
          <w:color w:val="000000"/>
          <w:sz w:val="28"/>
          <w:szCs w:val="28"/>
          <w:lang w:eastAsia="ru-RU"/>
        </w:rPr>
        <w:t>Остання точка зору видається обґрунтованою, оскільки в статті 113 КК немає конкретизації, кого саме може бути отруєно, а в українському законодавстві використовується термін масове отруєння тварин. Зокрема, це згадується в Законі України «Про ветеринарну медицину»</w:t>
      </w:r>
      <w:r>
        <w:rPr>
          <w:rFonts w:ascii="Times New Roman" w:hAnsi="Times New Roman"/>
          <w:sz w:val="28"/>
          <w:szCs w:val="28"/>
        </w:rPr>
        <w:t xml:space="preserve"> [49</w:t>
      </w:r>
      <w:r w:rsidRPr="00C314BF">
        <w:rPr>
          <w:rFonts w:ascii="Times New Roman" w:hAnsi="Times New Roman"/>
          <w:sz w:val="28"/>
          <w:szCs w:val="28"/>
        </w:rPr>
        <w:t>]</w:t>
      </w:r>
      <w:r w:rsidRPr="00C314BF">
        <w:rPr>
          <w:rFonts w:ascii="Times New Roman" w:hAnsi="Times New Roman"/>
          <w:color w:val="000000"/>
          <w:sz w:val="28"/>
          <w:szCs w:val="28"/>
          <w:lang w:eastAsia="ru-RU"/>
        </w:rPr>
        <w:t>, а масове отруєння сільськогосподарських тварин визнається надзвичайною ситуацією природного характеру відповідно до «Класифікаційних ознак надзвичайних ситуацій»</w:t>
      </w:r>
      <w:r>
        <w:rPr>
          <w:rFonts w:ascii="Times New Roman" w:hAnsi="Times New Roman"/>
          <w:sz w:val="28"/>
          <w:szCs w:val="28"/>
        </w:rPr>
        <w:t xml:space="preserve"> [50</w:t>
      </w:r>
      <w:r w:rsidRPr="00C314BF">
        <w:rPr>
          <w:rFonts w:ascii="Times New Roman" w:hAnsi="Times New Roman"/>
          <w:sz w:val="28"/>
          <w:szCs w:val="28"/>
        </w:rPr>
        <w:t>]</w:t>
      </w:r>
      <w:r w:rsidRPr="00C314BF">
        <w:rPr>
          <w:rFonts w:ascii="Times New Roman" w:hAnsi="Times New Roman"/>
          <w:color w:val="000000"/>
          <w:sz w:val="28"/>
          <w:szCs w:val="28"/>
          <w:lang w:eastAsia="ru-RU"/>
        </w:rPr>
        <w:t>. Згідно з Законом України «Про забезпечення санітарного та епідемічного благополуччя населення», масовим отруєнням вважаються масові неінфекційні захворювання, що виникають через вплив біологічних, фізичних, хімічних або соціальних факторів середовища, зокрема об'єктів господарської та інших видів діяльності</w:t>
      </w:r>
      <w:r>
        <w:rPr>
          <w:rFonts w:ascii="Times New Roman" w:hAnsi="Times New Roman"/>
          <w:sz w:val="28"/>
          <w:szCs w:val="28"/>
        </w:rPr>
        <w:t>[51</w:t>
      </w:r>
      <w:r w:rsidRPr="00C314BF">
        <w:rPr>
          <w:rFonts w:ascii="Times New Roman" w:hAnsi="Times New Roman"/>
          <w:sz w:val="28"/>
          <w:szCs w:val="28"/>
        </w:rPr>
        <w:t>]</w:t>
      </w:r>
      <w:r w:rsidRPr="00C314BF">
        <w:rPr>
          <w:rFonts w:ascii="Times New Roman" w:hAnsi="Times New Roman"/>
          <w:color w:val="000000"/>
          <w:sz w:val="28"/>
          <w:szCs w:val="28"/>
          <w:lang w:eastAsia="ru-RU"/>
        </w:rPr>
        <w:t>. Таким чином, у статті 113 КК під масовим отруєнням слід розуміти як масове отруєння людей, так і тварин.</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Диверсія, що вчинюється у формі дій, спрямованих на масове отруєння, має важливі особливості стосовно своїх безпосередніх об'єктів: 1) не існує одного загального безпосереднього об'єкта, який би можна було визнати основним для всіх випадків диверсії в цій формі; 2) у межах цієї форми необхідно виділити основні безпосередні об'єкти диверсії стосовно: а) дій, спрямованих на масове отруєння людей, і б) дій, спрямованих на масове отруєння тварин; 3) за своїм соціальним змістом ці об'єкти аналогічні тим, що були розглянуті раніше, зокрема: а) основний безпосередній об'єкт дій, спрямованих на масове отруєння людей, співпадає з об'єктом дій, спрямованих на масове знищення людей або заподіяння шкоди їхньому здоров'ю; б) основний безпосередній об'єкт дій, спрямованих на масове отруєння тварин, збігається з основним об'єктом дій, спрямованих на поширення епізоотій. Це свідчить про відсутність необхідності повторного розгляду структури цих об'єктів та механізму заподіяння їм шкоди.</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Отже: 1) диверсія, вчинена у формі дій, спрямованих на масове отруєння, не має одного основного безпосереднього об’єкта; 2) основним безпосереднім об’єктом дій, спрямованих на масове отруєння людей, є суспільні відносини, які забезпечують безпеку життя та/або здоров’я багатьох людей; 3) основним безпосереднім об’єктом дій, спрямованих на масове отруєння тварин, є суспільні відносини, що гарантують безпеку життя і здоров’я багатьох тварин.</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По-п’яте, щодо диверсії, що вчинюється у формі дій, спрямованих на радіоактивне забруднення. В теорії кримінального права визначення безпосереднього об’єкта диверсії у такій формі, зазвичай, надається під час характеристики безпосереднього об’єкта без врахування форм її здійснення. Такі об’єкти визнано радіаційною безпекою</w:t>
      </w:r>
      <w:r>
        <w:rPr>
          <w:rFonts w:ascii="Times New Roman" w:hAnsi="Times New Roman"/>
          <w:sz w:val="28"/>
          <w:szCs w:val="28"/>
        </w:rPr>
        <w:t>[17</w:t>
      </w:r>
      <w:r w:rsidRPr="00C314BF">
        <w:rPr>
          <w:rFonts w:ascii="Times New Roman" w:hAnsi="Times New Roman"/>
          <w:sz w:val="28"/>
          <w:szCs w:val="28"/>
        </w:rPr>
        <w:t>, c. 168]</w:t>
      </w:r>
      <w:r w:rsidRPr="00C314BF">
        <w:rPr>
          <w:rFonts w:ascii="Times New Roman" w:hAnsi="Times New Roman"/>
          <w:color w:val="000000"/>
          <w:sz w:val="28"/>
          <w:szCs w:val="28"/>
          <w:lang w:eastAsia="ru-RU"/>
        </w:rPr>
        <w:t>, довкіллям</w:t>
      </w:r>
      <w:r>
        <w:rPr>
          <w:rFonts w:ascii="Times New Roman" w:hAnsi="Times New Roman"/>
          <w:sz w:val="28"/>
          <w:szCs w:val="28"/>
        </w:rPr>
        <w:t>[52</w:t>
      </w:r>
      <w:r w:rsidRPr="00C314BF">
        <w:rPr>
          <w:rFonts w:ascii="Times New Roman" w:hAnsi="Times New Roman"/>
          <w:sz w:val="28"/>
          <w:szCs w:val="28"/>
        </w:rPr>
        <w:t>, c. 60;]</w:t>
      </w:r>
      <w:r w:rsidRPr="00C314BF">
        <w:rPr>
          <w:rFonts w:ascii="Times New Roman" w:hAnsi="Times New Roman"/>
          <w:color w:val="000000"/>
          <w:sz w:val="28"/>
          <w:szCs w:val="28"/>
          <w:lang w:eastAsia="ru-RU"/>
        </w:rPr>
        <w:t xml:space="preserve"> або навколишнім середовищем.</w:t>
      </w:r>
      <w:r>
        <w:rPr>
          <w:rFonts w:ascii="Times New Roman" w:hAnsi="Times New Roman"/>
          <w:sz w:val="28"/>
          <w:szCs w:val="28"/>
        </w:rPr>
        <w:t xml:space="preserve"> [40, c. 125; 41</w:t>
      </w:r>
      <w:r w:rsidRPr="00C314BF">
        <w:rPr>
          <w:rFonts w:ascii="Times New Roman" w:hAnsi="Times New Roman"/>
          <w:sz w:val="28"/>
          <w:szCs w:val="28"/>
        </w:rPr>
        <w:t>, c. 53;]</w:t>
      </w:r>
      <w:r w:rsidRPr="00C314BF">
        <w:rPr>
          <w:rFonts w:ascii="Times New Roman" w:hAnsi="Times New Roman"/>
          <w:color w:val="000000"/>
          <w:sz w:val="28"/>
          <w:szCs w:val="28"/>
          <w:lang w:eastAsia="ru-RU"/>
        </w:rPr>
        <w:t xml:space="preserve"> Отже, існує певна невизначеність щодо основного безпосереднього об’єкта диверсії у цій формі. Це пояснюється тим, що формулювання «дії, спрямовані на радіоактивне забруднення» у статті 113 КК дозволяє широко тлумачити об’єкти, які можуть бути забруднені, оскільки вони не конкретизовані.</w:t>
      </w:r>
    </w:p>
    <w:p w:rsidR="00071A7D" w:rsidRPr="00C314BF" w:rsidRDefault="00071A7D" w:rsidP="004E28F4">
      <w:pPr>
        <w:spacing w:before="240" w:after="240" w:line="360" w:lineRule="auto"/>
        <w:ind w:firstLine="708"/>
        <w:contextualSpacing/>
        <w:jc w:val="both"/>
        <w:rPr>
          <w:rFonts w:ascii="Times New Roman" w:hAnsi="Times New Roman"/>
          <w:color w:val="000000"/>
          <w:sz w:val="28"/>
          <w:szCs w:val="28"/>
          <w:lang w:eastAsia="ru-RU"/>
        </w:rPr>
      </w:pPr>
      <w:r w:rsidRPr="00C314BF">
        <w:rPr>
          <w:rFonts w:ascii="Times New Roman" w:hAnsi="Times New Roman"/>
          <w:color w:val="000000"/>
          <w:sz w:val="28"/>
          <w:szCs w:val="28"/>
          <w:lang w:eastAsia="ru-RU"/>
        </w:rPr>
        <w:t xml:space="preserve">Теоретичний аналіз цього питання показав, що під «діями, спрямованими на радіоактивне забруднення», слід розуміти лише дії, спрямовані на радіоактивне забруднення території України як життєвого простору. Лише за такого розуміння ця форма диверсії має безсумнівний зв'язок з основами національної безпеки України. Дії, які спрямовані на радіоактивне забруднення інших об'єктів, зазвичай не виявляють такого зв'язку. Винятком є дії, націлені на радіоактивне забруднення об'єктів, що мають важливе народногосподарське чи оборонне значення, якщо вони є способом знищення або пошкодження таких об'єктів. У таких випадках ці дії слід розглядати як іншу форму диверсії. </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Відповідно до викладеного, предметом суспільних відносин, які виступають основним безпосереднім об'єктом диверсії у формі дій, спрямованих на радіоактивне забруднення, пропонуємо визнати безпеку території. Під нею слід розуміти особливу соціальну макроматеріальну цінність, що є цілісним життєвим простором для українського народу, простором його існування та життєдіяльності</w:t>
      </w:r>
      <w:r>
        <w:rPr>
          <w:rFonts w:ascii="Times New Roman" w:hAnsi="Times New Roman"/>
          <w:sz w:val="28"/>
          <w:szCs w:val="28"/>
        </w:rPr>
        <w:t>[53</w:t>
      </w:r>
      <w:r w:rsidRPr="00C314BF">
        <w:rPr>
          <w:rFonts w:ascii="Times New Roman" w:hAnsi="Times New Roman"/>
          <w:sz w:val="28"/>
          <w:szCs w:val="28"/>
        </w:rPr>
        <w:t>, c. 73]</w:t>
      </w:r>
      <w:r w:rsidRPr="00C314BF">
        <w:rPr>
          <w:rFonts w:ascii="Times New Roman" w:hAnsi="Times New Roman"/>
          <w:color w:val="000000"/>
          <w:sz w:val="28"/>
          <w:szCs w:val="28"/>
          <w:lang w:eastAsia="ru-RU"/>
        </w:rPr>
        <w:t>. Суб’єктами таких суспільних відносин є, з одного боку, держава, а з іншого – всі інші суб’єкти. Зміст цих відносин полягає в тому, що держава, виконуючи свої функції, встановила заборону посягати на безпеку території України, а всі інші суб’єкти зобов’язані дотримуватись цієї заборони. Особливістю цих правоохоронюючих відносин є те, що, на відміну від статті 110 КК, яка охороняє суспільні відносини, пов’язані з цілісністю і недоторканістю території, стаття 113 КК захищає безпеку території від її значного погіршення та від приведення її в непридатний для життєдіяльності стан внаслідок радіоактивного забруднення. Фактичний зміст цих відносин полягає в нормальному функціонуванні учасників стосовно забезпечення безпеки об'єкта суспільних відносин – безпеки території як особливої соціальної макроматеріальної цінності, що є важливою умовою нормального функціонування всієї системи суспільних відносин у межах території, яка слугує життєвим простором. </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О</w:t>
      </w:r>
      <w:r w:rsidRPr="00C314BF">
        <w:rPr>
          <w:rFonts w:ascii="Times New Roman" w:hAnsi="Times New Roman"/>
          <w:color w:val="000000"/>
          <w:sz w:val="28"/>
          <w:szCs w:val="28"/>
          <w:lang w:eastAsia="ru-RU"/>
        </w:rPr>
        <w:t>тже, безпосереднім об'єктом диверсії, вчинюваної у формі дій, спрямованих на радіоактивне забруднення, є суспільні відносини, які забезпечують безпеку території України як життєвого простору, що має особливу соціальну макроматеріальну цінність.</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 нашому дослідженні предмета диверсії ми виходимо з того, що предмет злочину є факультативною ознакою складу злочину і повинен аналізуватися в рамках об’єкта злочину. Він проявляється в матеріальних цінностях, речах чи явищах об’єктивного світу (наприкла</w:t>
      </w:r>
      <w:r>
        <w:rPr>
          <w:rFonts w:ascii="Times New Roman" w:hAnsi="Times New Roman"/>
          <w:color w:val="000000"/>
          <w:sz w:val="28"/>
          <w:szCs w:val="28"/>
          <w:lang w:eastAsia="ru-RU"/>
        </w:rPr>
        <w:t>д, речі, інформація, енергія)[54, c. 106; 55, c. 96</w:t>
      </w:r>
      <w:r w:rsidRPr="00C314BF">
        <w:rPr>
          <w:rFonts w:ascii="Times New Roman" w:hAnsi="Times New Roman"/>
          <w:color w:val="000000"/>
          <w:sz w:val="28"/>
          <w:szCs w:val="28"/>
          <w:lang w:eastAsia="ru-RU"/>
        </w:rPr>
        <w:t xml:space="preserve">], що стали причинами вчинення злочину або на які здійснюється безпосередній вплив (чи без </w:t>
      </w:r>
      <w:r>
        <w:rPr>
          <w:rFonts w:ascii="Times New Roman" w:hAnsi="Times New Roman"/>
          <w:color w:val="000000"/>
          <w:sz w:val="28"/>
          <w:szCs w:val="28"/>
          <w:lang w:eastAsia="ru-RU"/>
        </w:rPr>
        <w:t>такого впливу) [5</w:t>
      </w:r>
      <w:r w:rsidRPr="00C314BF">
        <w:rPr>
          <w:rFonts w:ascii="Times New Roman" w:hAnsi="Times New Roman"/>
          <w:color w:val="000000"/>
          <w:sz w:val="28"/>
          <w:szCs w:val="28"/>
          <w:lang w:eastAsia="ru-RU"/>
        </w:rPr>
        <w:t>6, c. 110]. Або ж злочинні дії можуть бути пов’язані з певними властивостями цих об’єктів, з якими кримінальний закон асоціює ознаки конкретного складу злочину[289, c. 89]. Предмет злочину може співпадати з предметом охоронюваних суспільн</w:t>
      </w:r>
      <w:r>
        <w:rPr>
          <w:rFonts w:ascii="Times New Roman" w:hAnsi="Times New Roman"/>
          <w:color w:val="000000"/>
          <w:sz w:val="28"/>
          <w:szCs w:val="28"/>
          <w:lang w:eastAsia="ru-RU"/>
        </w:rPr>
        <w:t>их відносин [ 24</w:t>
      </w:r>
      <w:r w:rsidRPr="00C314BF">
        <w:rPr>
          <w:rFonts w:ascii="Times New Roman" w:hAnsi="Times New Roman"/>
          <w:color w:val="000000"/>
          <w:sz w:val="28"/>
          <w:szCs w:val="28"/>
          <w:lang w:eastAsia="ru-RU"/>
        </w:rPr>
        <w:t xml:space="preserve">, c. 98], а також виступати як матеріальне вираження (субстрат) суспільних відносин або бути необхідною умовою </w:t>
      </w:r>
      <w:r>
        <w:rPr>
          <w:rFonts w:ascii="Times New Roman" w:hAnsi="Times New Roman"/>
          <w:color w:val="000000"/>
          <w:sz w:val="28"/>
          <w:szCs w:val="28"/>
          <w:lang w:eastAsia="ru-RU"/>
        </w:rPr>
        <w:t>їх нормального функціонування [57, c. 15</w:t>
      </w:r>
      <w:r w:rsidRPr="00C314BF">
        <w:rPr>
          <w:rFonts w:ascii="Times New Roman" w:hAnsi="Times New Roman"/>
          <w:color w:val="000000"/>
          <w:sz w:val="28"/>
          <w:szCs w:val="28"/>
          <w:lang w:eastAsia="ru-RU"/>
        </w:rPr>
        <w:t xml:space="preserve">]. Для всебічного розкриття змісту предмета злочину важливе значення мають теоретичні положення, розроблені М. І. Пановим, щодо необхідності виділення фізичних, юридичних та соціальних ознак предмета </w:t>
      </w:r>
      <w:r>
        <w:rPr>
          <w:rFonts w:ascii="Times New Roman" w:hAnsi="Times New Roman"/>
          <w:color w:val="000000"/>
          <w:sz w:val="28"/>
          <w:szCs w:val="28"/>
          <w:lang w:eastAsia="ru-RU"/>
        </w:rPr>
        <w:t>злочину [36, c. 281</w:t>
      </w:r>
      <w:r w:rsidRPr="00C314BF">
        <w:rPr>
          <w:rFonts w:ascii="Times New Roman" w:hAnsi="Times New Roman"/>
          <w:color w:val="000000"/>
          <w:sz w:val="28"/>
          <w:szCs w:val="28"/>
          <w:lang w:eastAsia="ru-RU"/>
        </w:rPr>
        <w:t>].</w:t>
      </w:r>
    </w:p>
    <w:p w:rsidR="00071A7D" w:rsidRPr="00C314BF" w:rsidRDefault="00071A7D" w:rsidP="004E28F4">
      <w:pPr>
        <w:spacing w:before="240" w:after="24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Зважаючи на те, що предметом злочину не можуть б</w:t>
      </w:r>
      <w:r>
        <w:rPr>
          <w:rFonts w:ascii="Times New Roman" w:hAnsi="Times New Roman"/>
          <w:color w:val="000000"/>
          <w:sz w:val="28"/>
          <w:szCs w:val="28"/>
          <w:lang w:eastAsia="ru-RU"/>
        </w:rPr>
        <w:t>ути життя та здоров’я людей [56</w:t>
      </w:r>
      <w:r w:rsidRPr="00C314BF">
        <w:rPr>
          <w:rFonts w:ascii="Times New Roman" w:hAnsi="Times New Roman"/>
          <w:color w:val="000000"/>
          <w:sz w:val="28"/>
          <w:szCs w:val="28"/>
          <w:lang w:eastAsia="ru-RU"/>
        </w:rPr>
        <w:t>, c. 111], пропонуємо виділити такі види предметів диверсії за юридичною ознакою: 1) об’єкти, що мають важливе народногосподарське чи оборонне значення – у випадку вчинення вибухів, підпалів або інших дій, спрямованих на зруйнування чи пошкодження таких об’єктів; 2) територія – у випадку дій, спрямованих на радіоактивне забруднення; 3) тварини – при здійсненні дій, спрямованих на масове отруєння або на розповсюдження епізоотій; 4) рослини – у випадках, коли вчиняються дії, спрямовані на поширення епіфітотій.</w:t>
      </w:r>
    </w:p>
    <w:p w:rsidR="00071A7D" w:rsidRDefault="00071A7D" w:rsidP="004E28F4">
      <w:pPr>
        <w:spacing w:after="240" w:line="360" w:lineRule="auto"/>
        <w:contextualSpacing/>
        <w:jc w:val="both"/>
        <w:rPr>
          <w:rFonts w:ascii="Times New Roman" w:hAnsi="Times New Roman"/>
          <w:b/>
          <w:color w:val="000000"/>
          <w:sz w:val="28"/>
          <w:szCs w:val="28"/>
          <w:lang w:eastAsia="ru-RU"/>
        </w:rPr>
      </w:pPr>
      <w:r>
        <w:rPr>
          <w:rFonts w:ascii="Times New Roman" w:hAnsi="Times New Roman"/>
          <w:sz w:val="28"/>
          <w:szCs w:val="28"/>
          <w:lang w:eastAsia="ru-RU"/>
        </w:rPr>
        <w:br/>
      </w:r>
    </w:p>
    <w:p w:rsidR="00071A7D" w:rsidRPr="00992667" w:rsidRDefault="00071A7D" w:rsidP="004E28F4">
      <w:pPr>
        <w:spacing w:after="240" w:line="360" w:lineRule="auto"/>
        <w:contextualSpacing/>
        <w:jc w:val="both"/>
        <w:rPr>
          <w:rFonts w:ascii="Times New Roman" w:hAnsi="Times New Roman"/>
          <w:b/>
          <w:color w:val="000000"/>
          <w:sz w:val="28"/>
          <w:szCs w:val="28"/>
          <w:lang w:eastAsia="ru-RU"/>
        </w:rPr>
      </w:pPr>
      <w:r>
        <w:rPr>
          <w:rFonts w:ascii="Times New Roman" w:hAnsi="Times New Roman"/>
          <w:b/>
          <w:color w:val="000000"/>
          <w:sz w:val="28"/>
          <w:szCs w:val="28"/>
          <w:lang w:eastAsia="ru-RU"/>
        </w:rPr>
        <w:t>2.2. Об'єктивна сторона диверсії та проблеми її встановлення.</w:t>
      </w:r>
    </w:p>
    <w:p w:rsidR="00071A7D" w:rsidRPr="00500DD9" w:rsidRDefault="00071A7D" w:rsidP="003F0DE7">
      <w:pPr>
        <w:pStyle w:val="NormalWeb"/>
        <w:spacing w:line="360" w:lineRule="auto"/>
        <w:ind w:firstLine="708"/>
        <w:contextualSpacing/>
        <w:jc w:val="both"/>
        <w:rPr>
          <w:sz w:val="28"/>
        </w:rPr>
      </w:pPr>
      <w:r w:rsidRPr="00500DD9">
        <w:rPr>
          <w:sz w:val="28"/>
        </w:rPr>
        <w:t>Злочин є психофізичною єдністю, що містить як суб’єктивний, так і об’єктивний аспекти. Зовнішня сторона злочину формує його об’єктивну сторону, що визначається як суспільно небезпечне та протиправне посягання на законні інтереси, яке розпочинається з діяння і завершується злочинним результатом. Об’єктивна сторона складається із сукупності ознак, що характеризують зовнішні прояви злочину у певних умовах часу, місця та обстановки [58, с. 123].</w:t>
      </w:r>
    </w:p>
    <w:p w:rsidR="00071A7D" w:rsidRPr="00500DD9" w:rsidRDefault="00071A7D" w:rsidP="003F0DE7">
      <w:pPr>
        <w:pStyle w:val="NormalWeb"/>
        <w:spacing w:line="360" w:lineRule="auto"/>
        <w:ind w:firstLine="708"/>
        <w:contextualSpacing/>
        <w:jc w:val="both"/>
        <w:rPr>
          <w:sz w:val="28"/>
        </w:rPr>
      </w:pPr>
      <w:r w:rsidRPr="00500DD9">
        <w:rPr>
          <w:sz w:val="28"/>
        </w:rPr>
        <w:t>Стаття 113 КК передбачає кримінальну відповідальність за дії, спрямовані на ослаблення держави, такі як вибухи, підпали, руйнування важливих об'єктів, а також за радіоактивне забруднення, масові отруєння та поширення епідемій. Основною ознакою об’єктивної сторони диверсії є суспільно небезпечна дія, яка може проявлятися в різних формах, але не вимагає настання суспільно небезпечних наслідків для складу злочину [58, с. 107-108].</w:t>
      </w:r>
    </w:p>
    <w:p w:rsidR="00071A7D" w:rsidRDefault="00071A7D" w:rsidP="003F0DE7">
      <w:pPr>
        <w:pStyle w:val="NormalWeb"/>
        <w:spacing w:line="360" w:lineRule="auto"/>
        <w:ind w:firstLine="708"/>
        <w:contextualSpacing/>
        <w:jc w:val="both"/>
        <w:rPr>
          <w:sz w:val="28"/>
        </w:rPr>
      </w:pPr>
      <w:r w:rsidRPr="00500DD9">
        <w:rPr>
          <w:sz w:val="28"/>
        </w:rPr>
        <w:t>Більшість науковців вважає, що диверсія є завершеним злочином з моменту вчинення будь-якої дії, зазначеної в статті 113 КК, незалежно від наслідків [33, с. 176; 35, с. 19; 59, с. 72; 36, с. 282; 45, с. 17]. Якщо наслідки настали, це враховується при призначенні покарання [46, с. 142]. Однак деякі вчені, зокрема В. О. Кузнєцов і В. К. Гіжевський, вважають диверсію закінченим злочином лише після настання наслідків [40, с. 125], а П. С. Берзін пропонує визнати її злочином із формально-матеріальним складом, що вимагає як дії, так і наслідків [60, с. 13]. Така позиція не заперечує відсутність наслідків як обов’язкової ознаки об’єктивної сторони диверсії.</w:t>
      </w:r>
    </w:p>
    <w:p w:rsidR="00071A7D" w:rsidRPr="00500DD9" w:rsidRDefault="00071A7D" w:rsidP="003F0DE7">
      <w:pPr>
        <w:pStyle w:val="NormalWeb"/>
        <w:spacing w:line="360" w:lineRule="auto"/>
        <w:ind w:firstLine="708"/>
        <w:contextualSpacing/>
        <w:jc w:val="both"/>
        <w:rPr>
          <w:sz w:val="28"/>
          <w:szCs w:val="28"/>
        </w:rPr>
      </w:pPr>
      <w:r w:rsidRPr="00500DD9">
        <w:rPr>
          <w:sz w:val="28"/>
          <w:szCs w:val="28"/>
        </w:rPr>
        <w:t>Форми диверсії, закріплені в статті 113 Кримінального кодексу, трактуються по-різному. Більшість дослідників виділяють сім основних форм: 1) вибухи, підпали чи інші дії, спрямовані на масове знищення людей або шкоду їхньому здоров'ю; 2) руйнування або пошкодження об'єктів важливих для народного господарства або оборони; 3) радіоактивне забруднення; 4) масове отруєння; 5) поширення епідемій; 6) поширення епізоотій; 7) поширення епіфітотій [42, с. 84; 39, с. 46; 61, с. 32; 43, с. 247].</w:t>
      </w:r>
    </w:p>
    <w:p w:rsidR="00071A7D" w:rsidRPr="00500DD9" w:rsidRDefault="00071A7D" w:rsidP="003F0DE7">
      <w:pPr>
        <w:pStyle w:val="NormalWeb"/>
        <w:spacing w:line="360" w:lineRule="auto"/>
        <w:ind w:firstLine="708"/>
        <w:contextualSpacing/>
        <w:jc w:val="both"/>
        <w:rPr>
          <w:sz w:val="28"/>
          <w:szCs w:val="28"/>
        </w:rPr>
      </w:pPr>
      <w:r w:rsidRPr="00500DD9">
        <w:rPr>
          <w:sz w:val="28"/>
          <w:szCs w:val="28"/>
        </w:rPr>
        <w:t>Існують й інші підходи, наприклад, деякі дослідники виділяють десять форм, включаючи додаткові категорії, такі як завдання тілесних ушкоджень або інша шкода здоров’ю, а також пошкодження важливих народногосподарських об'єктів [62, с. 95]. Н. О. Гуторова пропонує групувати форми диверсії в чотири категорії: вибухи та підпали, масове отруєння, радіоактивне забруднення та поширення епідемій, епізоотій і епіфітотій [63, с. 21].</w:t>
      </w:r>
    </w:p>
    <w:p w:rsidR="00071A7D" w:rsidRPr="00500DD9" w:rsidRDefault="00071A7D" w:rsidP="003F0DE7">
      <w:pPr>
        <w:pStyle w:val="NormalWeb"/>
        <w:spacing w:line="360" w:lineRule="auto"/>
        <w:ind w:firstLine="708"/>
        <w:contextualSpacing/>
        <w:jc w:val="both"/>
        <w:rPr>
          <w:sz w:val="28"/>
          <w:szCs w:val="28"/>
        </w:rPr>
      </w:pPr>
      <w:r w:rsidRPr="00500DD9">
        <w:rPr>
          <w:sz w:val="28"/>
          <w:szCs w:val="28"/>
        </w:rPr>
        <w:t>Об'єктивна сторона диверсії може проявлятися у вибухах, підпалах, радіоактивному забрудненні, масовому отруєнні або поширенні епідемій та епізоотій [48, с. 21; 64, с. 15; 45, с. 17]. З огляду на це, доцільно виділити вісім форм диверсії: 1) вибухи, підпали або інші дії, спрямовані на масове знищення людей; 2) дії, спрямовані на завдання тілесних ушкоджень чи шкоди здоров'ю; 3) руйнування важливих об'єктів; 4) радіоактивне забруднення; 5) масове отруєння; 6) поширення епідемій; 7) поширення епізоотій; 8) поширення епіфітотій.</w:t>
      </w:r>
    </w:p>
    <w:p w:rsidR="00071A7D" w:rsidRDefault="00071A7D" w:rsidP="003F0DE7">
      <w:pPr>
        <w:pStyle w:val="NormalWeb"/>
        <w:spacing w:line="360" w:lineRule="auto"/>
        <w:ind w:firstLine="708"/>
        <w:contextualSpacing/>
        <w:jc w:val="both"/>
        <w:rPr>
          <w:sz w:val="28"/>
          <w:szCs w:val="28"/>
        </w:rPr>
      </w:pPr>
      <w:r w:rsidRPr="00500DD9">
        <w:rPr>
          <w:sz w:val="28"/>
          <w:szCs w:val="28"/>
        </w:rPr>
        <w:t>Для детального аналізу об’єктивної сторони необхідно розглядати кожну з цих форм окремо. Перші три форми включають вибухи, підпали або інші дії, спрямовані на масове знищення людей, шкоду їхньому здоров'ю або руйнування об'єктів важливих для оборони чи економіки. Ці форми мають спільні законодавчі характеристики, що дозволяє трактувати вибухи та підпали як альтернативи в кожному випадку.</w:t>
      </w:r>
    </w:p>
    <w:p w:rsidR="00071A7D" w:rsidRPr="00500DD9" w:rsidRDefault="00071A7D" w:rsidP="003F0DE7">
      <w:pPr>
        <w:pStyle w:val="NormalWeb"/>
        <w:spacing w:line="360" w:lineRule="auto"/>
        <w:ind w:firstLine="708"/>
        <w:contextualSpacing/>
        <w:jc w:val="both"/>
        <w:rPr>
          <w:sz w:val="28"/>
          <w:szCs w:val="28"/>
        </w:rPr>
      </w:pPr>
      <w:r w:rsidRPr="00500DD9">
        <w:rPr>
          <w:sz w:val="28"/>
          <w:szCs w:val="28"/>
        </w:rPr>
        <w:t>У сучасній українській мові вибух означає руйнівну подію, що супроводжується сильним звуком і відбувається внаслідок розриву вибухових речовин чи інших предметів. Це також хімічна реакція, що викликає різке розширення газів і руйнівну дію [65, с. 87]. Законодавство визначає вибух як швидке хімічне перетворення вибухонебезпечних речовин з виділенням енергії та стиснених газів, здатних виконувати механічну роботу [66]. Вибухи поділяються на хімічні, електричні, кінетичні, теплові, ядерні та вибухи пружного стиснення [67, с. 97-98]. У контексті диверсії це можуть бути будь-які з цих видів вибухів.</w:t>
      </w:r>
    </w:p>
    <w:p w:rsidR="00071A7D" w:rsidRPr="00500DD9" w:rsidRDefault="00071A7D" w:rsidP="00D641B7">
      <w:pPr>
        <w:pStyle w:val="NormalWeb"/>
        <w:spacing w:line="360" w:lineRule="auto"/>
        <w:ind w:firstLine="708"/>
        <w:contextualSpacing/>
        <w:jc w:val="both"/>
        <w:rPr>
          <w:sz w:val="28"/>
          <w:szCs w:val="28"/>
        </w:rPr>
      </w:pPr>
      <w:r w:rsidRPr="00500DD9">
        <w:rPr>
          <w:sz w:val="28"/>
          <w:szCs w:val="28"/>
        </w:rPr>
        <w:t>Для диверсії можуть використовуватися вибухові речовини з підвищеною загрозою для життя, здоров’я та майна. Вибух може бути спричинений, наприклад, впливом на автозаправку чи балон з побутовим газом або зовнішнім джерелом енергії, таким як електричний розряд або лазерний промінь [68, с. 19; 69, с. 111].</w:t>
      </w:r>
    </w:p>
    <w:p w:rsidR="00071A7D" w:rsidRPr="00500DD9" w:rsidRDefault="00071A7D" w:rsidP="003F0DE7">
      <w:pPr>
        <w:pStyle w:val="NormalWeb"/>
        <w:spacing w:line="360" w:lineRule="auto"/>
        <w:ind w:firstLine="708"/>
        <w:contextualSpacing/>
        <w:jc w:val="both"/>
        <w:rPr>
          <w:sz w:val="28"/>
          <w:szCs w:val="28"/>
        </w:rPr>
      </w:pPr>
      <w:r w:rsidRPr="00500DD9">
        <w:rPr>
          <w:sz w:val="28"/>
          <w:szCs w:val="28"/>
        </w:rPr>
        <w:t>Іншим видом дії в диверсії є підпал. Підпал визначають як свідоме застосування джерела вогню до об'єктів [36, с. 281; 37, с. 269], умисне створення пожежі, що знищує все, що горить [17, с. 131], або дії, які призводять до знищення чи пошкодження матеріальних об'єктів через горіння [46, с. 141]. Важливо, що підпал пов'язаний з процесом горіння, що може бути з полум'ям або без нього [70], і не завжди супроводжується вогнем чи пожежею. Згідно з Кодексом цивільного захисту, пожежа — це неконтрольований процес, коли вогонь знищує майно і створює небезпеку для людей та навколишнього середовища [47].</w:t>
      </w:r>
    </w:p>
    <w:p w:rsidR="00071A7D" w:rsidRDefault="00071A7D" w:rsidP="003F0DE7">
      <w:pPr>
        <w:pStyle w:val="NormalWeb"/>
        <w:spacing w:line="360" w:lineRule="auto"/>
        <w:ind w:firstLine="708"/>
        <w:contextualSpacing/>
        <w:jc w:val="both"/>
        <w:rPr>
          <w:sz w:val="28"/>
          <w:szCs w:val="28"/>
        </w:rPr>
      </w:pPr>
      <w:r w:rsidRPr="00500DD9">
        <w:rPr>
          <w:sz w:val="28"/>
          <w:szCs w:val="28"/>
        </w:rPr>
        <w:t>Підпали в контексті диверсії можуть спричинити різні види горіння: без вогню та пожежі, з вогнем, але без пожежі, або з вогнем і пожежею, при цьому горіння має бути спрямоване на масове знищення людей, заподіяння шкоди здоров’ю чи руйнування важливих об'єктів для економіки або оборони.</w:t>
      </w:r>
    </w:p>
    <w:p w:rsidR="00071A7D" w:rsidRPr="00500DD9" w:rsidRDefault="00071A7D" w:rsidP="00363F6E">
      <w:pPr>
        <w:pStyle w:val="NormalWeb"/>
        <w:spacing w:line="360" w:lineRule="auto"/>
        <w:ind w:firstLine="708"/>
        <w:contextualSpacing/>
        <w:jc w:val="both"/>
        <w:rPr>
          <w:sz w:val="28"/>
          <w:szCs w:val="28"/>
        </w:rPr>
      </w:pPr>
      <w:r w:rsidRPr="00500DD9">
        <w:rPr>
          <w:sz w:val="28"/>
          <w:szCs w:val="28"/>
        </w:rPr>
        <w:t>У кримінальному праві поняття "інші дії", спрямовані на масове знищення людей чи шкоду здоров'ю, а також на пошкодження об'єктів важливого народногосподарського або оборонного значення, трактуються по-різному. Під "іншими діями" можуть розумітися, зокрема: пошкодження дамби гідроелектростанції, запуск ракети на військовий об'єкт, затоплення чи обвал шахт, руйнування будівель, вимкнення маяка, скидання дроту високовольтної лінії в місцях відпочинку, або внесення вірусів у комп'ютерні системи [72, с. 60; 73, с. 66; 39, с. 46-47; 37, с. 269].</w:t>
      </w:r>
    </w:p>
    <w:p w:rsidR="00071A7D" w:rsidRPr="00500DD9" w:rsidRDefault="00071A7D" w:rsidP="00363F6E">
      <w:pPr>
        <w:pStyle w:val="NormalWeb"/>
        <w:spacing w:line="360" w:lineRule="auto"/>
        <w:ind w:firstLine="708"/>
        <w:contextualSpacing/>
        <w:jc w:val="both"/>
        <w:rPr>
          <w:sz w:val="28"/>
          <w:szCs w:val="28"/>
        </w:rPr>
      </w:pPr>
      <w:r w:rsidRPr="00500DD9">
        <w:rPr>
          <w:sz w:val="28"/>
          <w:szCs w:val="28"/>
        </w:rPr>
        <w:t>Суспільна небезпечність таких дій полягає в загрозі для безпеки об'єктів і суспільних відносин, що їх забезпечують. Фактичне знищення чи пошкодження таких об'єктів охоплюється статтею 113 КК і не потребує додаткової кваліфікації за іншими статтями, навіть якщо диверсія вчинена загальнонебезпечним способом.</w:t>
      </w:r>
    </w:p>
    <w:p w:rsidR="00071A7D" w:rsidRPr="00500DD9" w:rsidRDefault="00071A7D" w:rsidP="00363F6E">
      <w:pPr>
        <w:pStyle w:val="NormalWeb"/>
        <w:spacing w:line="360" w:lineRule="auto"/>
        <w:ind w:firstLine="708"/>
        <w:contextualSpacing/>
        <w:jc w:val="both"/>
        <w:rPr>
          <w:sz w:val="28"/>
          <w:szCs w:val="28"/>
        </w:rPr>
      </w:pPr>
      <w:r w:rsidRPr="00500DD9">
        <w:rPr>
          <w:sz w:val="28"/>
          <w:szCs w:val="28"/>
        </w:rPr>
        <w:t>Стаття 113 КК передбачає два конкретизовані види діянь — вибухи та підпали, що можуть бути здійснені також через "інші дії". Ці дії спрямовані на масове знищення людей або руйнування важливих об'єктів, що вказує на перенесення моменту закінчення злочину на ранню стадію його реалізації. Таке перенесення є ознакою усіченого складу злочину [61, с. 73; 74, с. 17]. Це дозволяє посилити боротьбу з найбільш небезпечними діями на ранніх стадіях.</w:t>
      </w:r>
    </w:p>
    <w:p w:rsidR="00071A7D" w:rsidRDefault="00071A7D" w:rsidP="00363F6E">
      <w:pPr>
        <w:pStyle w:val="NormalWeb"/>
        <w:spacing w:line="360" w:lineRule="auto"/>
        <w:ind w:firstLine="708"/>
        <w:contextualSpacing/>
        <w:jc w:val="both"/>
        <w:rPr>
          <w:sz w:val="28"/>
          <w:szCs w:val="28"/>
        </w:rPr>
      </w:pPr>
      <w:r w:rsidRPr="00500DD9">
        <w:rPr>
          <w:sz w:val="28"/>
          <w:szCs w:val="28"/>
        </w:rPr>
        <w:t>Готування до злочину може включати підбір вибухівки чи легкозаймистих речовин для підпалу, а також пошук співучасників або створення умов для вчинення злочину, наприклад, запуск безпілотного літального апарата для пошкодження оборонних об'єктів [75].</w:t>
      </w:r>
    </w:p>
    <w:p w:rsidR="00071A7D" w:rsidRPr="009044BC" w:rsidRDefault="00071A7D" w:rsidP="00363F6E">
      <w:pPr>
        <w:pStyle w:val="NormalWeb"/>
        <w:spacing w:line="360" w:lineRule="auto"/>
        <w:ind w:firstLine="708"/>
        <w:contextualSpacing/>
        <w:jc w:val="both"/>
        <w:rPr>
          <w:sz w:val="28"/>
          <w:szCs w:val="28"/>
        </w:rPr>
      </w:pPr>
      <w:r w:rsidRPr="009044BC">
        <w:rPr>
          <w:sz w:val="28"/>
          <w:szCs w:val="28"/>
        </w:rPr>
        <w:t>Четвертою формою диверсії є дії, що призводять до радіоактивного забруднення, яке було додано до ст. 113 КК в 2001 році [76, с. 126]. Радіоактивність — це розпад атомних ядер, що супроводжується випромінюванням частинок [65, с. 1011]. У законодавстві радіоактивне забруднення означає наявність або поширення радіоактивних речовин понад природний рівень в навколишньому середовищі чи в організмі людини [77]. Радіоактивні матеріали можуть бути джерелами іонізуючого випромінювання або ядерними матеріалами [78].</w:t>
      </w:r>
    </w:p>
    <w:p w:rsidR="00071A7D" w:rsidRPr="009044BC" w:rsidRDefault="00071A7D" w:rsidP="00363F6E">
      <w:pPr>
        <w:pStyle w:val="NormalWeb"/>
        <w:spacing w:line="360" w:lineRule="auto"/>
        <w:ind w:firstLine="708"/>
        <w:contextualSpacing/>
        <w:jc w:val="both"/>
        <w:rPr>
          <w:sz w:val="28"/>
          <w:szCs w:val="28"/>
        </w:rPr>
      </w:pPr>
      <w:r w:rsidRPr="009044BC">
        <w:rPr>
          <w:sz w:val="28"/>
          <w:szCs w:val="28"/>
        </w:rPr>
        <w:t>Диверсія в цій формі може включати пошкодження джерел іонізуючого випромінювання, ядерних установок або застосування ядерних вибухових пристроїв для розповсюдження радіоактивного матеріалу [72, с. 60-61; 39, с. 46-47; 62, с. 95-96; 19, с. 182]. Такі дії можуть створити загрозу для життя на певній території, роблячи її непридатною для проживання.</w:t>
      </w:r>
    </w:p>
    <w:p w:rsidR="00071A7D" w:rsidRDefault="00071A7D" w:rsidP="00363F6E">
      <w:pPr>
        <w:pStyle w:val="NormalWeb"/>
        <w:spacing w:line="360" w:lineRule="auto"/>
        <w:ind w:firstLine="708"/>
        <w:contextualSpacing/>
        <w:jc w:val="both"/>
        <w:rPr>
          <w:sz w:val="28"/>
          <w:szCs w:val="28"/>
        </w:rPr>
      </w:pPr>
      <w:r w:rsidRPr="009044BC">
        <w:rPr>
          <w:sz w:val="28"/>
          <w:szCs w:val="28"/>
        </w:rPr>
        <w:t>Конструкція складу злочину не конкретизує типи дій чи стадії реалізації злочину, що вказує на усічений склад. Диверсія може бути завершена з моменту вчинення таких дій, навіть на стадії підготовки. Суспільна небезпечність таких дій полягає в тому, що вони можуть значно пошкодити територію, роблячи її непридатною для життя, що підвищує небезпеку і має враховуватись при призначенні покарання.</w:t>
      </w:r>
    </w:p>
    <w:p w:rsidR="00071A7D" w:rsidRPr="00C314BF" w:rsidRDefault="00071A7D" w:rsidP="00363F6E">
      <w:pPr>
        <w:pStyle w:val="NormalWeb"/>
        <w:spacing w:line="360" w:lineRule="auto"/>
        <w:ind w:firstLine="708"/>
        <w:contextualSpacing/>
        <w:jc w:val="both"/>
        <w:rPr>
          <w:sz w:val="28"/>
          <w:szCs w:val="28"/>
        </w:rPr>
      </w:pPr>
      <w:r w:rsidRPr="00C314BF">
        <w:rPr>
          <w:color w:val="000000"/>
          <w:sz w:val="28"/>
          <w:szCs w:val="28"/>
        </w:rPr>
        <w:t>П'ятою формою диверсії є дії, спрямовані на масове отруєння. Ця форма також була присутня в ст. 60 КК 1960 року, але тоді вона визначалась як «вчинення масових отруєнь». Термін «масове отруєння» складається з двох слів: «масове», що вказує на велику кількість, і «отруєння», яке в українській мові означає дію або стан, що відповідає слову «отруювати» – позбавляти життя або завдавати шкоди організму з</w:t>
      </w:r>
      <w:r>
        <w:rPr>
          <w:color w:val="000000"/>
          <w:sz w:val="28"/>
          <w:szCs w:val="28"/>
        </w:rPr>
        <w:t>а допомогою отруйних речовин [65</w:t>
      </w:r>
      <w:r w:rsidRPr="00C314BF">
        <w:rPr>
          <w:color w:val="000000"/>
          <w:sz w:val="28"/>
          <w:szCs w:val="28"/>
        </w:rPr>
        <w:t>, c. 690].</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 думку науковців, дії, спрямовані на масове отруєння, можуть включати отруєння продуктів харчування, вод</w:t>
      </w:r>
      <w:r>
        <w:rPr>
          <w:rFonts w:ascii="Times New Roman" w:hAnsi="Times New Roman"/>
          <w:color w:val="000000"/>
          <w:sz w:val="28"/>
          <w:szCs w:val="28"/>
          <w:lang w:eastAsia="ru-RU"/>
        </w:rPr>
        <w:t>них джерел, повітря [61</w:t>
      </w:r>
      <w:r w:rsidRPr="00C314BF">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c. 32-33; 44, c. 44;</w:t>
      </w:r>
      <w:r w:rsidRPr="004C4D55">
        <w:rPr>
          <w:rFonts w:ascii="Times New Roman" w:hAnsi="Times New Roman"/>
          <w:color w:val="000000"/>
          <w:sz w:val="28"/>
          <w:szCs w:val="28"/>
          <w:lang w:eastAsia="ru-RU"/>
        </w:rPr>
        <w:t>]</w:t>
      </w:r>
      <w:r>
        <w:rPr>
          <w:rFonts w:ascii="Times New Roman" w:hAnsi="Times New Roman"/>
          <w:color w:val="000000"/>
          <w:sz w:val="28"/>
          <w:szCs w:val="28"/>
          <w:lang w:eastAsia="ru-RU"/>
        </w:rPr>
        <w:t>, лікарських засобів [39, c. 46-47], одягу та інших предметів [62</w:t>
      </w:r>
      <w:r w:rsidRPr="00C314BF">
        <w:rPr>
          <w:rFonts w:ascii="Times New Roman" w:hAnsi="Times New Roman"/>
          <w:color w:val="000000"/>
          <w:sz w:val="28"/>
          <w:szCs w:val="28"/>
          <w:lang w:eastAsia="ru-RU"/>
        </w:rPr>
        <w:t>, c. 95-96]. Важливо відзначити, що такі дії повинні включати активну поведінку, яка прямо спрямована на поширення отруйних речовин серед великої кількості людей або тварин. Існує багато способів здійснення таких злочинних дій, зокрема найбільш поширеними є повітряний, контактний та рідинно-харчовий методи. Повітряний спосіб полягає в розпиленні отруйних речовин у вигляді газу, пари чи туману, що дозволяє їм проникати в організм через дихальні шляхи. Контактний метод передбачає зараження предметів навколишнього середовища, через які організм отримує отруту через шкіру. Рідинно-харчовий спосіб полягає у зараженні водних джерел, харчів та кормів, які, потрапляючи в організм людей чи тварин, впливають че</w:t>
      </w:r>
      <w:r>
        <w:rPr>
          <w:rFonts w:ascii="Times New Roman" w:hAnsi="Times New Roman"/>
          <w:color w:val="000000"/>
          <w:sz w:val="28"/>
          <w:szCs w:val="28"/>
          <w:lang w:eastAsia="ru-RU"/>
        </w:rPr>
        <w:t>рез шлунково-кишковий тракт [19</w:t>
      </w:r>
      <w:r w:rsidRPr="00C314BF">
        <w:rPr>
          <w:rFonts w:ascii="Times New Roman" w:hAnsi="Times New Roman"/>
          <w:color w:val="000000"/>
          <w:sz w:val="28"/>
          <w:szCs w:val="28"/>
          <w:lang w:eastAsia="ru-RU"/>
        </w:rPr>
        <w:t>, c. 186-187].</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Суспільна небезпечність таких дій полягає в тому, що вони можуть спричинити серйозну шкоду здоров’ю або життю великої кількості людей або тварин. Фактичне завдання такої шкоди підвищує рівень небезпечності дій і повинно враховуватись під час призначення покарання. У разі, якщо є ознаки іншого, більш тяжкого злочину, вчинене повинно додатково кваліфікуватись за відповідною статтею КК.</w:t>
      </w:r>
    </w:p>
    <w:p w:rsidR="00071A7D" w:rsidRPr="009044BC" w:rsidRDefault="00071A7D" w:rsidP="00363F6E">
      <w:pPr>
        <w:spacing w:before="100" w:beforeAutospacing="1" w:after="100" w:afterAutospacing="1" w:line="360" w:lineRule="auto"/>
        <w:ind w:firstLine="360"/>
        <w:contextualSpacing/>
        <w:jc w:val="both"/>
        <w:rPr>
          <w:rFonts w:ascii="Times New Roman" w:hAnsi="Times New Roman"/>
          <w:sz w:val="28"/>
          <w:szCs w:val="28"/>
          <w:lang w:eastAsia="ru-RU"/>
        </w:rPr>
      </w:pPr>
      <w:r w:rsidRPr="009044BC">
        <w:rPr>
          <w:rFonts w:ascii="Times New Roman" w:hAnsi="Times New Roman"/>
          <w:sz w:val="28"/>
          <w:szCs w:val="28"/>
          <w:lang w:eastAsia="ru-RU"/>
        </w:rPr>
        <w:t>Шоста, сьома та восьма форми диверсії пов’язані з діями, спрямованими на розповсюдження захворювань серед людей, тварин і рослин. Ці форми існували в ст. 60 КК 1960 року, але з іншими визначеннями, а форма «поширення епіфітотій» була додана Законом України від 17 червня 1992 року № 2468-ХІІ [76, c. 126].</w:t>
      </w:r>
    </w:p>
    <w:p w:rsidR="00071A7D" w:rsidRPr="009044BC" w:rsidRDefault="00071A7D" w:rsidP="00363F6E">
      <w:pPr>
        <w:numPr>
          <w:ilvl w:val="0"/>
          <w:numId w:val="5"/>
        </w:numPr>
        <w:spacing w:before="100" w:beforeAutospacing="1" w:after="100" w:afterAutospacing="1" w:line="360" w:lineRule="auto"/>
        <w:contextualSpacing/>
        <w:jc w:val="both"/>
        <w:rPr>
          <w:rFonts w:ascii="Times New Roman" w:hAnsi="Times New Roman"/>
          <w:sz w:val="28"/>
          <w:szCs w:val="28"/>
          <w:lang w:eastAsia="ru-RU"/>
        </w:rPr>
      </w:pPr>
      <w:r w:rsidRPr="00363F6E">
        <w:rPr>
          <w:rFonts w:ascii="Times New Roman" w:hAnsi="Times New Roman"/>
          <w:bCs/>
          <w:sz w:val="28"/>
          <w:szCs w:val="28"/>
          <w:lang w:eastAsia="ru-RU"/>
        </w:rPr>
        <w:t>Поширення епідемій</w:t>
      </w:r>
      <w:r w:rsidRPr="009044BC">
        <w:rPr>
          <w:rFonts w:ascii="Times New Roman" w:hAnsi="Times New Roman"/>
          <w:sz w:val="28"/>
          <w:szCs w:val="28"/>
          <w:lang w:eastAsia="ru-RU"/>
        </w:rPr>
        <w:t>: Це раптове масове поширення інфекцій серед людей на певній території, яке в кримінально-правовій літературі трактують як швидке розповсюдження захворювань за короткий час [17, c. 106; 79]. Поширення епідемії включає введення збудників через продукти харчування, воду, медикаменти, а також переносників інфекцій (гризунів, комах тощо) [44, c. 44; 46, c. 150]. Законодавець не деталізує, що саме є діями для поширення епідемій, але це можуть бути будь-які заходи, які призводять до розповсюдження небезпечних інфекцій через різні методи (повітря, воду, харчування тощо) [80, c. 87]. Важливість таких дій полягає у швидкому поширенні захворювань серед невизначеного кола осіб.</w:t>
      </w:r>
    </w:p>
    <w:p w:rsidR="00071A7D" w:rsidRPr="009044BC" w:rsidRDefault="00071A7D" w:rsidP="00363F6E">
      <w:pPr>
        <w:numPr>
          <w:ilvl w:val="0"/>
          <w:numId w:val="5"/>
        </w:numPr>
        <w:spacing w:before="100" w:beforeAutospacing="1" w:after="100" w:afterAutospacing="1" w:line="360" w:lineRule="auto"/>
        <w:contextualSpacing/>
        <w:jc w:val="both"/>
        <w:rPr>
          <w:rFonts w:ascii="Times New Roman" w:hAnsi="Times New Roman"/>
          <w:sz w:val="28"/>
          <w:szCs w:val="28"/>
          <w:lang w:eastAsia="ru-RU"/>
        </w:rPr>
      </w:pPr>
      <w:r w:rsidRPr="00363F6E">
        <w:rPr>
          <w:rFonts w:ascii="Times New Roman" w:hAnsi="Times New Roman"/>
          <w:bCs/>
          <w:sz w:val="28"/>
          <w:szCs w:val="28"/>
          <w:lang w:eastAsia="ru-RU"/>
        </w:rPr>
        <w:t>Поширення епізоотій</w:t>
      </w:r>
      <w:r w:rsidRPr="009044BC">
        <w:rPr>
          <w:rFonts w:ascii="Times New Roman" w:hAnsi="Times New Roman"/>
          <w:sz w:val="28"/>
          <w:szCs w:val="28"/>
          <w:lang w:eastAsia="ru-RU"/>
        </w:rPr>
        <w:t>: Це масове поширення інфекцій серед тварин, що може завдати шкоди здоров'ю та життю тварин і призвести до соціально-економічних збитків [47]. Такі дії включають зараження кормів, води та місць утримання тварин або використання переносників хвороб, що можуть спричинити поширення інфекцій на нові території [62, c. 95-96; 44, c. 44]. Крім того, інфекційні хвороби тварин можуть передаватися людям, що підвищує загрозу епідемій [19, c. 188-189].</w:t>
      </w:r>
    </w:p>
    <w:p w:rsidR="00071A7D" w:rsidRPr="009044BC" w:rsidRDefault="00071A7D" w:rsidP="00363F6E">
      <w:pPr>
        <w:numPr>
          <w:ilvl w:val="0"/>
          <w:numId w:val="5"/>
        </w:numPr>
        <w:spacing w:before="100" w:beforeAutospacing="1" w:after="100" w:afterAutospacing="1" w:line="360" w:lineRule="auto"/>
        <w:contextualSpacing/>
        <w:jc w:val="both"/>
        <w:rPr>
          <w:rFonts w:ascii="Times New Roman" w:hAnsi="Times New Roman"/>
          <w:sz w:val="28"/>
          <w:szCs w:val="28"/>
          <w:lang w:eastAsia="ru-RU"/>
        </w:rPr>
      </w:pPr>
      <w:r w:rsidRPr="00363F6E">
        <w:rPr>
          <w:rFonts w:ascii="Times New Roman" w:hAnsi="Times New Roman"/>
          <w:bCs/>
          <w:sz w:val="28"/>
          <w:szCs w:val="28"/>
          <w:lang w:eastAsia="ru-RU"/>
        </w:rPr>
        <w:t>Поширення епіфітотій</w:t>
      </w:r>
      <w:r w:rsidRPr="009044BC">
        <w:rPr>
          <w:rFonts w:ascii="Times New Roman" w:hAnsi="Times New Roman"/>
          <w:sz w:val="28"/>
          <w:szCs w:val="28"/>
          <w:lang w:eastAsia="ru-RU"/>
        </w:rPr>
        <w:t>: Це поширення інфекцій серед рослин, що може викликати значні економічні та екологічні збитки [47]. До таких дій відносять зараження рослин через ґрунт, повітря чи насіння. Це може спричинити продовольчу кризу або навіть голод [73, c. 16]. Окрім того, деякі захворювання рослин можуть мати негативний вплив на людей, як, наприклад, отруйні грибки на злаках [9, c. 107].</w:t>
      </w:r>
    </w:p>
    <w:p w:rsidR="00071A7D" w:rsidRPr="009044BC" w:rsidRDefault="00071A7D" w:rsidP="00363F6E">
      <w:pPr>
        <w:spacing w:before="100" w:beforeAutospacing="1" w:after="100" w:afterAutospacing="1" w:line="360" w:lineRule="auto"/>
        <w:ind w:firstLine="360"/>
        <w:contextualSpacing/>
        <w:jc w:val="both"/>
        <w:rPr>
          <w:rFonts w:ascii="Times New Roman" w:hAnsi="Times New Roman"/>
          <w:sz w:val="28"/>
          <w:szCs w:val="28"/>
          <w:lang w:eastAsia="ru-RU"/>
        </w:rPr>
      </w:pPr>
      <w:r w:rsidRPr="009044BC">
        <w:rPr>
          <w:rFonts w:ascii="Times New Roman" w:hAnsi="Times New Roman"/>
          <w:sz w:val="28"/>
          <w:szCs w:val="28"/>
          <w:lang w:eastAsia="ru-RU"/>
        </w:rPr>
        <w:t>Законодавець не уточнює конкретні етапи поширення епідемій, епізоотій і епіфітотій у ст. 113 КК, що дозволяє тлумачити ці дії як будь-які заходи, спрямовані на поширення збудників. Злочин вважається закінченим із моменту здійснення дій, які створюють безпосередню загрозу для об'єкта диверсії, навіть на стадії замаху. Наприклад, переправлення заражених об'єктів для майбутнього поширення хвороб може кваліфікуватися як готування до злочину [19, c. 190].</w:t>
      </w:r>
    </w:p>
    <w:p w:rsidR="00071A7D" w:rsidRPr="009044BC" w:rsidRDefault="00071A7D" w:rsidP="00363F6E">
      <w:pPr>
        <w:spacing w:before="100" w:beforeAutospacing="1" w:after="100" w:afterAutospacing="1" w:line="360" w:lineRule="auto"/>
        <w:contextualSpacing/>
        <w:jc w:val="both"/>
        <w:rPr>
          <w:rFonts w:ascii="Times New Roman" w:hAnsi="Times New Roman"/>
          <w:sz w:val="28"/>
          <w:szCs w:val="28"/>
          <w:lang w:eastAsia="ru-RU"/>
        </w:rPr>
      </w:pPr>
      <w:r w:rsidRPr="009044BC">
        <w:rPr>
          <w:rFonts w:ascii="Times New Roman" w:hAnsi="Times New Roman"/>
          <w:sz w:val="28"/>
          <w:szCs w:val="28"/>
          <w:lang w:eastAsia="ru-RU"/>
        </w:rPr>
        <w:t>Таким чином, можливе поєднання кількох форм диверсії в одному злочині, коли одна форма є закінченою, а інша – незакінченою. Наприклад, замах на вибух з метою радіоактивного забруднення може бути поєднаний з закінченим злочином у формі радіоактивного забруднення.</w:t>
      </w:r>
    </w:p>
    <w:p w:rsidR="00071A7D" w:rsidRPr="00C314BF" w:rsidRDefault="00071A7D" w:rsidP="004E28F4">
      <w:pPr>
        <w:spacing w:after="0" w:line="360" w:lineRule="auto"/>
        <w:contextualSpacing/>
        <w:jc w:val="both"/>
        <w:rPr>
          <w:rFonts w:ascii="Times New Roman" w:hAnsi="Times New Roman"/>
          <w:sz w:val="28"/>
          <w:szCs w:val="28"/>
          <w:lang w:eastAsia="ru-RU"/>
        </w:rPr>
      </w:pPr>
    </w:p>
    <w:p w:rsidR="00071A7D" w:rsidRPr="00E256E2" w:rsidRDefault="00071A7D" w:rsidP="004E28F4">
      <w:pPr>
        <w:spacing w:after="0" w:line="360" w:lineRule="auto"/>
        <w:contextualSpacing/>
        <w:jc w:val="both"/>
        <w:rPr>
          <w:rFonts w:ascii="Times New Roman" w:hAnsi="Times New Roman"/>
          <w:b/>
          <w:sz w:val="28"/>
          <w:szCs w:val="28"/>
          <w:lang w:val="uk-UA" w:eastAsia="ru-RU"/>
        </w:rPr>
      </w:pPr>
      <w:r w:rsidRPr="00E256E2">
        <w:rPr>
          <w:rFonts w:ascii="Times New Roman" w:hAnsi="Times New Roman"/>
          <w:b/>
          <w:color w:val="000000"/>
          <w:sz w:val="28"/>
          <w:szCs w:val="28"/>
          <w:lang w:eastAsia="ru-RU"/>
        </w:rPr>
        <w:t>2.3.Суб’єктивна сторона диверсії та проблема її встановлення</w:t>
      </w:r>
      <w:r w:rsidRPr="00E256E2">
        <w:rPr>
          <w:rFonts w:ascii="Times New Roman" w:hAnsi="Times New Roman"/>
          <w:b/>
          <w:color w:val="000000"/>
          <w:sz w:val="28"/>
          <w:szCs w:val="28"/>
          <w:lang w:val="uk-UA" w:eastAsia="ru-RU"/>
        </w:rPr>
        <w:t>.</w:t>
      </w:r>
    </w:p>
    <w:p w:rsidR="00071A7D" w:rsidRPr="00C314BF" w:rsidRDefault="00071A7D" w:rsidP="004E28F4">
      <w:pPr>
        <w:spacing w:after="0" w:line="360" w:lineRule="auto"/>
        <w:contextualSpacing/>
        <w:jc w:val="both"/>
        <w:rPr>
          <w:rFonts w:ascii="Times New Roman" w:hAnsi="Times New Roman"/>
          <w:sz w:val="28"/>
          <w:szCs w:val="28"/>
          <w:lang w:eastAsia="ru-RU"/>
        </w:rPr>
      </w:pP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Будь-яка людська поведінка, включаючи протиправну, становить органічну єдність зовнішньої (фізичної) та внутрішньо</w:t>
      </w:r>
      <w:r>
        <w:rPr>
          <w:rFonts w:ascii="Times New Roman" w:hAnsi="Times New Roman"/>
          <w:color w:val="000000"/>
          <w:sz w:val="28"/>
          <w:szCs w:val="28"/>
          <w:lang w:eastAsia="ru-RU"/>
        </w:rPr>
        <w:t>ї (психічної) сторін</w:t>
      </w:r>
      <w:r w:rsidRPr="00C314BF">
        <w:rPr>
          <w:rFonts w:ascii="Times New Roman" w:hAnsi="Times New Roman"/>
          <w:color w:val="000000"/>
          <w:sz w:val="28"/>
          <w:szCs w:val="28"/>
          <w:lang w:eastAsia="ru-RU"/>
        </w:rPr>
        <w:t>. Суб’єктивна сторона злочину являє собою внутрішню складову злочину, тобто психічну діяльність особи, безпосередньо пов’язану з вчиненням злочину. Вона відображає ставлення особи до суспільно небезпечного діяння та його наслідків. Основними юридичними ознаками суб’єктивної сторони є вина, мотив, мета вчинення злочину та емоційний стан. Суб’єктивна сторона злочину має суттєве юридичне значення: 1) вона є необхідним елементом складу злочину як підстави кримінальної відповідальності і дозволяє відрізнити злочинну поведінку від незлочинної; 2) вона істотно впливає на кваліфікацію злочинів і розмежування суміжних складів злочинів; 3) її зміст у значній мірі визначає ступінь суспільної небезпечності вчиненого діяння і суб’єкта злочину, що, в свою чергу, вказує на тяжкість злочину в цілому і впливає на призначення покарання.</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Згідно з ч. 1 ст. 62 КУ, особа вважається невинуватою у вчиненні злочину і не може бути піддана кримінальному покаранню, доки її вина не буде доведена в законному порядку і підтверджена обвинувальним вироком суду. Це означає, що основною передумовою настання кримінальної відповідальності є встановлення вини особи. Поняття вини є центральним елементом кримінального права, що визначає наявність суб’єктивної сторони складу злоч</w:t>
      </w:r>
      <w:r>
        <w:rPr>
          <w:rFonts w:ascii="Times New Roman" w:hAnsi="Times New Roman"/>
          <w:color w:val="000000"/>
          <w:sz w:val="28"/>
          <w:szCs w:val="28"/>
          <w:lang w:eastAsia="ru-RU"/>
        </w:rPr>
        <w:t>ину і значною мірою її зміст [19</w:t>
      </w:r>
      <w:r w:rsidRPr="00C314BF">
        <w:rPr>
          <w:rFonts w:ascii="Times New Roman" w:hAnsi="Times New Roman"/>
          <w:color w:val="000000"/>
          <w:sz w:val="28"/>
          <w:szCs w:val="28"/>
          <w:lang w:eastAsia="ru-RU"/>
        </w:rPr>
        <w:t>, c. 118].</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Науковці єдині в своїй думці, що суб’єктивна сторона диверсії визначається в</w:t>
      </w:r>
      <w:r>
        <w:rPr>
          <w:rFonts w:ascii="Times New Roman" w:hAnsi="Times New Roman"/>
          <w:color w:val="000000"/>
          <w:sz w:val="28"/>
          <w:szCs w:val="28"/>
          <w:lang w:eastAsia="ru-RU"/>
        </w:rPr>
        <w:t xml:space="preserve">иною у формі прямого умислу [42, </w:t>
      </w:r>
      <w:r w:rsidRPr="00C314BF">
        <w:rPr>
          <w:rFonts w:ascii="Times New Roman" w:hAnsi="Times New Roman"/>
          <w:color w:val="000000"/>
          <w:sz w:val="28"/>
          <w:szCs w:val="28"/>
          <w:lang w:eastAsia="ru-RU"/>
        </w:rPr>
        <w:t>c. 86;</w:t>
      </w:r>
      <w:r>
        <w:rPr>
          <w:rFonts w:ascii="Times New Roman" w:hAnsi="Times New Roman"/>
          <w:color w:val="000000"/>
          <w:sz w:val="28"/>
          <w:szCs w:val="28"/>
          <w:lang w:eastAsia="ru-RU"/>
        </w:rPr>
        <w:t xml:space="preserve"> 38, c. 281; 36</w:t>
      </w:r>
      <w:r w:rsidRPr="00C314B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c. 282</w:t>
      </w:r>
      <w:r w:rsidRPr="00C314BF">
        <w:rPr>
          <w:rFonts w:ascii="Times New Roman" w:hAnsi="Times New Roman"/>
          <w:color w:val="000000"/>
          <w:sz w:val="28"/>
          <w:szCs w:val="28"/>
          <w:lang w:eastAsia="ru-RU"/>
        </w:rPr>
        <w:t>]. Основним аргументом для цього висновку, з яким ми погоджуємося, є те, що в ст. 113 КК зазначена мета ослаблення держави, що свідчить про цілеспрямований характер дій, які описані в диспозиції цієї статті.</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Проте питання визначення вини в контексті диверсії залишається спірним як у теорії кримінального права, так і в судовій практиці. Суть проблеми полягає в наявності двох різних позицій щодо змісту вини в диверсії. Перша позиція стверджує, що диверсія має усічений склад злочину у всіх її формах, а об’єктивна сторона не включає суспільно небезпечні наслідки. Тому: 1) психічне ставлення до таких наслідків не входить до змісту вини, і момент передбачення виключається з інтелек</w:t>
      </w:r>
      <w:r>
        <w:rPr>
          <w:rFonts w:ascii="Times New Roman" w:hAnsi="Times New Roman"/>
          <w:color w:val="000000"/>
          <w:sz w:val="28"/>
          <w:szCs w:val="28"/>
          <w:lang w:eastAsia="ru-RU"/>
        </w:rPr>
        <w:t>туального елемента умислу</w:t>
      </w:r>
      <w:r w:rsidRPr="00C314BF">
        <w:rPr>
          <w:rFonts w:ascii="Times New Roman" w:hAnsi="Times New Roman"/>
          <w:color w:val="000000"/>
          <w:sz w:val="28"/>
          <w:szCs w:val="28"/>
          <w:lang w:eastAsia="ru-RU"/>
        </w:rPr>
        <w:t xml:space="preserve">; 2) непрямий умисел не враховується, оскільки свідоме допущення стосується лише наслідків суспільно небезпечних діянь, які не входять до </w:t>
      </w:r>
      <w:r>
        <w:rPr>
          <w:rFonts w:ascii="Times New Roman" w:hAnsi="Times New Roman"/>
          <w:color w:val="000000"/>
          <w:sz w:val="28"/>
          <w:szCs w:val="28"/>
          <w:lang w:eastAsia="ru-RU"/>
        </w:rPr>
        <w:t>об’єктивної сторони злочину [81</w:t>
      </w:r>
      <w:r w:rsidRPr="00C314BF">
        <w:rPr>
          <w:rFonts w:ascii="Times New Roman" w:hAnsi="Times New Roman"/>
          <w:color w:val="000000"/>
          <w:sz w:val="28"/>
          <w:szCs w:val="28"/>
          <w:lang w:eastAsia="ru-RU"/>
        </w:rPr>
        <w:t>, c. 11]; 3) вольова ознака умислу обмежується бажанням вчинити конк</w:t>
      </w:r>
      <w:r>
        <w:rPr>
          <w:rFonts w:ascii="Times New Roman" w:hAnsi="Times New Roman"/>
          <w:color w:val="000000"/>
          <w:sz w:val="28"/>
          <w:szCs w:val="28"/>
          <w:lang w:eastAsia="ru-RU"/>
        </w:rPr>
        <w:t>ретну дію або бездіяльність [25</w:t>
      </w:r>
      <w:r w:rsidRPr="00C314BF">
        <w:rPr>
          <w:rFonts w:ascii="Times New Roman" w:hAnsi="Times New Roman"/>
          <w:color w:val="000000"/>
          <w:sz w:val="28"/>
          <w:szCs w:val="28"/>
          <w:lang w:eastAsia="ru-RU"/>
        </w:rPr>
        <w:t>, c. 174]. Таким чином, прямий умисел у випадку диверсії означає прямий умисел на вчинення самого диверсійного діяння.</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Деякі вчені займають іншу позицію і вважають, що зміст вини в диверсії обов’язково включає передбачення суспільно небезпечних наслідків двох типів: 1) наслідки першого порядку, що виражаються в масовому знищенні людей, заподіянні шкоди їхньому здоров’ю тощо; 2) віддалені наслідки, які проявляються в ослабленні держави. Відповідно до цього, бажання охоплює об</w:t>
      </w:r>
      <w:r>
        <w:rPr>
          <w:rFonts w:ascii="Times New Roman" w:hAnsi="Times New Roman"/>
          <w:color w:val="000000"/>
          <w:sz w:val="28"/>
          <w:szCs w:val="28"/>
          <w:lang w:eastAsia="ru-RU"/>
        </w:rPr>
        <w:t>идва типи наслідків [46</w:t>
      </w:r>
      <w:r w:rsidRPr="00C314BF">
        <w:rPr>
          <w:rFonts w:ascii="Times New Roman" w:hAnsi="Times New Roman"/>
          <w:color w:val="000000"/>
          <w:sz w:val="28"/>
          <w:szCs w:val="28"/>
          <w:lang w:eastAsia="ru-RU"/>
        </w:rPr>
        <w:t>, c. 150-151]. При такому підході зміст вини в диверсії буде характеризуватися відповідно до загального правила, визначеного в ч. 2 ст. 24 КК, що включає ставлення особи як до вчинюваного диверсійного діяння, так і до його наслідків.</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 наш погляд, для розв'язання цієї проблеми необхідно чітко розмежувати і окремо розкрити зміст вини в двох різних ситуаціях учинення диверсії: 1) вчинення диверсійного діяння, яке містить усі ознаки юридично закінченого злочину згідно з ч. 1 ст. 13 КК, та 2) вчинення такого діяння, яке додатково призвело до суспільно небезпечних наслідків. Розглянемо ці ситуації послідовно.</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По-перше, щодо змісту прямого умислу при вчиненні диверсійного діяння, яке за ч. 1 ст. 13 КК містить усі ознаки юридично закінченого злочину з усіченим складом. Відповідно до ч. 2 ст. 24 КК, умисел є прямим, коли особа усвідомлювала суспільно небезпечний характер свого діяння, передбачала його суспільно небезпечні наслідки та бажала їх настання. Оскільки суспільно небезпечні наслідки не є обов’язковою ознакою об’єктивної сторони диверсії, передбачення таких наслідків не є необхідним для встановлення прямого умислу на вчинення диверсійного діяння. Таким чином, прямий умисел у випадку диверсії завжди характеризується усвідомленням особою суспільно небезпечного характеру свого діяння (інтелектуальна ознака) та бажанням його вчинити (вольова ознака).</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Усвідомлення суспільно небезпечного характеру свого діяння включає: 1) усвідомлення фактичного змісту діяння, що вчинюється, та 2) усвідомлення його соціального змісту – можливості завдання істотної шкоди фізичній чи юридичній ос</w:t>
      </w:r>
      <w:r>
        <w:rPr>
          <w:rFonts w:ascii="Times New Roman" w:hAnsi="Times New Roman"/>
          <w:color w:val="000000"/>
          <w:sz w:val="28"/>
          <w:szCs w:val="28"/>
          <w:lang w:eastAsia="ru-RU"/>
        </w:rPr>
        <w:t>обі, суспільству або державі [82</w:t>
      </w:r>
      <w:r w:rsidRPr="00C314BF">
        <w:rPr>
          <w:rFonts w:ascii="Times New Roman" w:hAnsi="Times New Roman"/>
          <w:color w:val="000000"/>
          <w:sz w:val="28"/>
          <w:szCs w:val="28"/>
          <w:lang w:eastAsia="ru-RU"/>
        </w:rPr>
        <w:t xml:space="preserve">, с. </w:t>
      </w:r>
      <w:r>
        <w:rPr>
          <w:rFonts w:ascii="Times New Roman" w:hAnsi="Times New Roman"/>
          <w:color w:val="000000"/>
          <w:sz w:val="28"/>
          <w:szCs w:val="28"/>
          <w:lang w:eastAsia="ru-RU"/>
        </w:rPr>
        <w:t xml:space="preserve">52] </w:t>
      </w:r>
      <w:r w:rsidRPr="00C314BF">
        <w:rPr>
          <w:rFonts w:ascii="Times New Roman" w:hAnsi="Times New Roman"/>
          <w:color w:val="000000"/>
          <w:sz w:val="28"/>
          <w:szCs w:val="28"/>
          <w:lang w:eastAsia="ru-RU"/>
        </w:rPr>
        <w:t>. Фактичний зміст діяння особа розуміє через правильне інтелектуальне сприйняття та осмислення об’єктивних ознак діяння, його спрямованості проти конкретного об'єкта, здатності викликати певні зміни в зовнішній обстановці та в об'єкті посягання. Соціальний зміст діяння усвідомлюється через розуміння його суспільної небезпеки, здатності завдати значної шкоди певному об'єкту та негативної оцінки діяння суспільством і державою. Усвідомлення того, що вчинюване діяння підпадає під дію КК, не є обов’язковим. Ці загальні положення актуальні і для диверсії.</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Вольова ознака вини будь-якого злочину полягає у свідомому спрямуванні розумових та фізичних зусиль на вибір і реалізаці</w:t>
      </w:r>
      <w:r>
        <w:rPr>
          <w:rFonts w:ascii="Times New Roman" w:hAnsi="Times New Roman"/>
          <w:color w:val="000000"/>
          <w:sz w:val="28"/>
          <w:szCs w:val="28"/>
          <w:lang w:eastAsia="ru-RU"/>
        </w:rPr>
        <w:t>ю певного варіанта поведінки [82</w:t>
      </w:r>
      <w:r w:rsidRPr="00C314BF">
        <w:rPr>
          <w:rFonts w:ascii="Times New Roman" w:hAnsi="Times New Roman"/>
          <w:color w:val="000000"/>
          <w:sz w:val="28"/>
          <w:szCs w:val="28"/>
          <w:lang w:eastAsia="ru-RU"/>
        </w:rPr>
        <w:t xml:space="preserve">, с. 52]. У разі злочину з прямим умислом таке спрямування визначається як бажання і проявляється через цілеспрямоване прагнення, яке зосереджене </w:t>
      </w:r>
      <w:r>
        <w:rPr>
          <w:rFonts w:ascii="Times New Roman" w:hAnsi="Times New Roman"/>
          <w:color w:val="000000"/>
          <w:sz w:val="28"/>
          <w:szCs w:val="28"/>
          <w:lang w:eastAsia="ru-RU"/>
        </w:rPr>
        <w:t>на певному об’єкті</w:t>
      </w:r>
      <w:r w:rsidRPr="00C314BF">
        <w:rPr>
          <w:rFonts w:ascii="Times New Roman" w:hAnsi="Times New Roman"/>
          <w:color w:val="000000"/>
          <w:sz w:val="28"/>
          <w:szCs w:val="28"/>
          <w:lang w:eastAsia="ru-RU"/>
        </w:rPr>
        <w:t>. Вольова ознака прямого умислу на вчинення диверсійного діяння виражається в цілеспрямованому прагненні вчинити дії, що утворюють об'єктивну сторону диверсії. Крім того, особливістю вольової ознаки при диверсії є те, що: 1) у диспозиції ст. 113 КК цілеспрямованість дій має подвійну юридичну конкретизацію: а) проти певної соціальної цінності, вираженої по-різному в різних формах диверсії; і 2) проти держави, що однаково характеризує всі форми диверсії. Це вимагає усвідомлення особою обох напрямків дій.</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Наведені положення про зміст інтелектуальної та вольової ознак конкретизуються і набувають специфічного змісту у кожній формі диверсії. </w:t>
      </w:r>
    </w:p>
    <w:p w:rsidR="00071A7D" w:rsidRPr="005276BD" w:rsidRDefault="00071A7D" w:rsidP="004E28F4">
      <w:pPr>
        <w:spacing w:after="0" w:line="360" w:lineRule="auto"/>
        <w:ind w:firstLine="708"/>
        <w:contextualSpacing/>
        <w:jc w:val="both"/>
        <w:rPr>
          <w:rFonts w:ascii="Times New Roman" w:hAnsi="Times New Roman"/>
          <w:sz w:val="28"/>
          <w:szCs w:val="28"/>
          <w:lang w:val="uk-UA" w:eastAsia="ru-RU"/>
        </w:rPr>
      </w:pPr>
      <w:r w:rsidRPr="005276BD">
        <w:rPr>
          <w:rFonts w:ascii="Times New Roman" w:hAnsi="Times New Roman"/>
          <w:color w:val="000000"/>
          <w:sz w:val="28"/>
          <w:szCs w:val="28"/>
          <w:lang w:val="uk-UA" w:eastAsia="ru-RU"/>
        </w:rPr>
        <w:t>У випадку вчинення диверсії у формі вибухів, підпалів або інших дій, що спрямовані на масове завдання тілесних ушкоджень чи іншої шкоди здоров’ю людей, інтелектуальна ознака прямого умислу полягає у: 1) усвідомленні фактичної сторони діяння – того, що воно спрямоване на завдання шкоди саме здоров’ю великої кількості людей і за своїми об’єктивними ознаками здатне спричинити таку шкоду; 2) усвідомленні суспільно небезпечного характеру діяння, що включає розуміння того, що дії посягають на важливу соціальну цінність – здоров’я багатьох людей. Вольова ознака в цьому випадку виражається в бажанні особи здійснити таке діяння, тобто цілеспрямовано спрямувати свою волю на посягання на здоров’я великої кількості людей.</w:t>
      </w:r>
    </w:p>
    <w:p w:rsidR="00071A7D" w:rsidRDefault="00071A7D" w:rsidP="004E28F4">
      <w:pPr>
        <w:spacing w:after="0" w:line="360" w:lineRule="auto"/>
        <w:ind w:firstLine="708"/>
        <w:contextualSpacing/>
        <w:jc w:val="both"/>
        <w:rPr>
          <w:rFonts w:ascii="Times New Roman" w:hAnsi="Times New Roman"/>
          <w:sz w:val="28"/>
          <w:szCs w:val="28"/>
          <w:lang w:val="uk-UA" w:eastAsia="ru-RU"/>
        </w:rPr>
      </w:pPr>
      <w:r w:rsidRPr="005276BD">
        <w:rPr>
          <w:rFonts w:ascii="Times New Roman" w:hAnsi="Times New Roman"/>
          <w:color w:val="000000"/>
          <w:sz w:val="28"/>
          <w:szCs w:val="28"/>
          <w:lang w:val="uk-UA" w:eastAsia="ru-RU"/>
        </w:rPr>
        <w:t xml:space="preserve">У разі диверсії у формі дій, спрямованих на радіоактивне забруднення, інтелектуальна ознака прямого умислу полягає у: 1) розумінні фактичного змісту своїх дій – того, що вони націлені на забруднення території радіоактивними матеріалами; 2) усвідомленні суспільної небезпеки цих дій, тобто розумінні, що вони можуть завдати значної шкоди території як середовищу існування, зробивши </w:t>
      </w:r>
      <w:r>
        <w:rPr>
          <w:rFonts w:ascii="Times New Roman" w:hAnsi="Times New Roman"/>
          <w:color w:val="000000"/>
          <w:sz w:val="28"/>
          <w:szCs w:val="28"/>
          <w:lang w:val="uk-UA" w:eastAsia="ru-RU"/>
        </w:rPr>
        <w:t>його непридатним для життя</w:t>
      </w:r>
      <w:r w:rsidRPr="005276BD">
        <w:rPr>
          <w:rFonts w:ascii="Times New Roman" w:hAnsi="Times New Roman"/>
          <w:color w:val="000000"/>
          <w:sz w:val="28"/>
          <w:szCs w:val="28"/>
          <w:lang w:val="uk-UA" w:eastAsia="ru-RU"/>
        </w:rPr>
        <w:t xml:space="preserve">. </w:t>
      </w:r>
      <w:r w:rsidRPr="007727EC">
        <w:rPr>
          <w:rFonts w:ascii="Times New Roman" w:hAnsi="Times New Roman"/>
          <w:color w:val="000000"/>
          <w:sz w:val="28"/>
          <w:szCs w:val="28"/>
          <w:lang w:val="uk-UA" w:eastAsia="ru-RU"/>
        </w:rPr>
        <w:t>Вольова ознака виражається у бажанні вчинити саме ці дії, тобто в цілеспрямованому спрямуванні волі на їх здійснення.</w:t>
      </w:r>
    </w:p>
    <w:p w:rsidR="00071A7D" w:rsidRPr="002C746F" w:rsidRDefault="00071A7D" w:rsidP="004E28F4">
      <w:pPr>
        <w:spacing w:after="0" w:line="360" w:lineRule="auto"/>
        <w:ind w:firstLine="708"/>
        <w:contextualSpacing/>
        <w:jc w:val="both"/>
        <w:rPr>
          <w:rFonts w:ascii="Times New Roman" w:hAnsi="Times New Roman"/>
          <w:sz w:val="28"/>
          <w:szCs w:val="28"/>
          <w:lang w:val="uk-UA" w:eastAsia="ru-RU"/>
        </w:rPr>
      </w:pPr>
      <w:r w:rsidRPr="007727EC">
        <w:rPr>
          <w:rFonts w:ascii="Times New Roman" w:hAnsi="Times New Roman"/>
          <w:color w:val="000000"/>
          <w:sz w:val="28"/>
          <w:szCs w:val="28"/>
          <w:lang w:val="uk-UA" w:eastAsia="ru-RU"/>
        </w:rPr>
        <w:t xml:space="preserve">При вчиненні дій, спрямованих на масове отруєння, інтелектуальна ознака умислу полягає у: 1) розумінні фактичного змісту дій – що вони спрямовані на розповсюдження отруйних речовин, здатних завдати шкоди життю та здоров’ю людей або тварин; 2) усвідомленні суспільної небезпеки таких дій, а саме розумінні, що вони можуть завдати шкоди життєво важливим цінностям, як-от здоров'я або життя людей чи тварин. </w:t>
      </w:r>
      <w:r w:rsidRPr="00C314BF">
        <w:rPr>
          <w:rFonts w:ascii="Times New Roman" w:hAnsi="Times New Roman"/>
          <w:color w:val="000000"/>
          <w:sz w:val="28"/>
          <w:szCs w:val="28"/>
          <w:lang w:eastAsia="ru-RU"/>
        </w:rPr>
        <w:t>Вольова ознака полягає у бажанні здійснити такі дії, тобто у спрямованій волі на їх виконання.</w:t>
      </w:r>
    </w:p>
    <w:p w:rsidR="00071A7D" w:rsidRPr="003153E6" w:rsidRDefault="00071A7D" w:rsidP="004E28F4">
      <w:pPr>
        <w:spacing w:after="0" w:line="360" w:lineRule="auto"/>
        <w:ind w:firstLine="720"/>
        <w:contextualSpacing/>
        <w:jc w:val="both"/>
        <w:rPr>
          <w:rFonts w:ascii="Times New Roman" w:hAnsi="Times New Roman"/>
          <w:sz w:val="28"/>
          <w:szCs w:val="28"/>
          <w:lang w:val="uk-UA" w:eastAsia="ru-RU"/>
        </w:rPr>
      </w:pPr>
      <w:r w:rsidRPr="003153E6">
        <w:rPr>
          <w:rFonts w:ascii="Times New Roman" w:hAnsi="Times New Roman"/>
          <w:color w:val="000000"/>
          <w:sz w:val="28"/>
          <w:szCs w:val="28"/>
          <w:lang w:val="uk-UA" w:eastAsia="ru-RU"/>
        </w:rPr>
        <w:t>Інтелектуальна ознака прямого умислу при діях, спрямованих на поширення епідемій, полягає у: 1) розумінні фактичної сторони дій – що вони націлені на поширення особливо небезпечних інфекційних хвороб, здатних завдати шкоди життю і здоров’ю багатьох людей; 2) усвідомленні суспільно небезпечного характеру дій, тобто розумінні, що вони можуть спричинити шкоду життю та здоров'ю значної кількості людей. Вольова ознака виявляється в прагненні здійснити ці дії, тобто у свідомому спрямуванні волі на їх реалізацію.</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3153E6">
        <w:rPr>
          <w:rFonts w:ascii="Times New Roman" w:hAnsi="Times New Roman"/>
          <w:color w:val="000000"/>
          <w:sz w:val="28"/>
          <w:szCs w:val="28"/>
          <w:lang w:val="uk-UA" w:eastAsia="ru-RU"/>
        </w:rPr>
        <w:t xml:space="preserve">При здійсненні диверсії у формі дій, спрямованих на поширення епізоотій, інтелектуальна ознака прямого умислу виражається у: 1) розумінні фактичної сторони дій – що вони націлені на поширення інфекційних хвороб, здатних завдати шкоди тваринам; 2) усвідомленні суспільно небезпечного характеру дій, а саме розумінні, що вони можуть завдати шкоди об’єктам тваринного світу, які є важливими соціальними цінностями в екологічній та економічній сферах. </w:t>
      </w:r>
      <w:r w:rsidRPr="00C314BF">
        <w:rPr>
          <w:rFonts w:ascii="Times New Roman" w:hAnsi="Times New Roman"/>
          <w:color w:val="000000"/>
          <w:sz w:val="28"/>
          <w:szCs w:val="28"/>
          <w:lang w:eastAsia="ru-RU"/>
        </w:rPr>
        <w:t>Вольова ознака полягає у бажанні здійснити ці дії, тобто в цілеспрямованому прагненні реалізувати саме таке посягання.</w:t>
      </w:r>
    </w:p>
    <w:p w:rsidR="00071A7D" w:rsidRDefault="00071A7D" w:rsidP="004E28F4">
      <w:pPr>
        <w:spacing w:after="0" w:line="360" w:lineRule="auto"/>
        <w:ind w:firstLine="708"/>
        <w:contextualSpacing/>
        <w:jc w:val="both"/>
        <w:rPr>
          <w:rFonts w:ascii="Times New Roman" w:hAnsi="Times New Roman"/>
          <w:color w:val="000000"/>
          <w:sz w:val="28"/>
          <w:szCs w:val="28"/>
          <w:lang w:eastAsia="ru-RU"/>
        </w:rPr>
      </w:pPr>
      <w:r w:rsidRPr="00C314BF">
        <w:rPr>
          <w:rFonts w:ascii="Times New Roman" w:hAnsi="Times New Roman"/>
          <w:color w:val="000000"/>
          <w:sz w:val="28"/>
          <w:szCs w:val="28"/>
          <w:lang w:eastAsia="ru-RU"/>
        </w:rPr>
        <w:t xml:space="preserve">По-друге, слід розглянути зміст прямого умислу при вчиненні диверсії, яка фактично призвела до суспільно небезпечних наслідків. Як зазначалося раніше, особливість норми про диверсію полягає в тому, що вона охоплює як створення загрози заподіяння шкоди, так і фактичне заподіяння шкоди об'єкту. Диверсія вважається юридично завершеною вже з моменту створення безпосередньої небезпеки для суспільних відносин, що підлягають охороні, однак на цьому реалізація умислу не зупиняється: діяння суб'єкта спрямоване на досягнення конкретного злочинного результату, передбаченого ст. 113 КК. </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Отже, якщо злочинний умисел винного реалізується, можуть наступити суспільно небезпечні наслідки, такі як масове знищення людей або пошкодження важливого народногосподарського чи оборонного об'єкта. У таких випадках слід встановлювати психічне ставлення особи не лише до діяння, але й до спричинених ним суспільно небезпечних наслідків. Очевидно, що таке ставлення особи до наслідків може бути лише у формі прямого умислу, за якого особа не тільки усвідомлює суспільно небезпечний характер діяння, але й передбачає, що воно призведе до конкретної шкоди об'є</w:t>
      </w:r>
      <w:r>
        <w:rPr>
          <w:rFonts w:ascii="Times New Roman" w:hAnsi="Times New Roman"/>
          <w:color w:val="000000"/>
          <w:sz w:val="28"/>
          <w:szCs w:val="28"/>
          <w:lang w:eastAsia="ru-RU"/>
        </w:rPr>
        <w:t>кту диверсії та бажає цього [39</w:t>
      </w:r>
      <w:r w:rsidRPr="00C314BF">
        <w:rPr>
          <w:rFonts w:ascii="Times New Roman" w:hAnsi="Times New Roman"/>
          <w:color w:val="000000"/>
          <w:sz w:val="28"/>
          <w:szCs w:val="28"/>
          <w:lang w:eastAsia="ru-RU"/>
        </w:rPr>
        <w:t>].</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Окрім законодавчого поділу умислу на прямий і непрямий, у теорії кримінального права існують й інші види умислу. Зокрема, залежно від емоційного аспекту та умов його формування розрізняють заздалегідь обдуманий і раптовий умисел. Зазвичай при диверсії умисел є заздалегідь обдуманим, коли між моментом виникнення умислу та його реалізацією є певний час. За цього умислу особа діє на основі стійкого бажання вчинити злочин, готуючись до нього, продумую</w:t>
      </w:r>
      <w:r>
        <w:rPr>
          <w:rFonts w:ascii="Times New Roman" w:hAnsi="Times New Roman"/>
          <w:color w:val="000000"/>
          <w:sz w:val="28"/>
          <w:szCs w:val="28"/>
          <w:lang w:eastAsia="ru-RU"/>
        </w:rPr>
        <w:t>чи деталі і розробляючи план [83</w:t>
      </w:r>
      <w:r w:rsidRPr="00C314BF">
        <w:rPr>
          <w:rFonts w:ascii="Times New Roman" w:hAnsi="Times New Roman"/>
          <w:color w:val="000000"/>
          <w:sz w:val="28"/>
          <w:szCs w:val="28"/>
          <w:lang w:eastAsia="ru-RU"/>
        </w:rPr>
        <w:t>, c. 101]. Однак диверсія з раптовим умислом також можлива і передбачає відповідальність за ст. 113 КК. Крім того, залежно від ступеня конкретизації наслідків у свідомості особи, яка їх передбачає, виділяють визначений (конкретизований) та невизначений (неконкретизований) умисел. Такий поділ може мати значення для кваліфікації диверсії, особливо в разі, якщо дії фактично спричинили суспільно небезпечні наслідки.</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 випадку застосування альтернативного визначеного (конкретизованого) умислу, наприклад, при вибуху, що спрямований на масове знищення людей та завдання шкоди їхньому здоров'ю, коли особа конкретно передбачала наслідки з альтернативною можливістю їх настання, спрямованість діяння створюватиме підставу для визнання ознак перших двох форм диверсії. Це рішення залишається актуальним незалежно від того, настали наслідки одного або обох видів. Інша ситуація виникає, коли умисел є невизначеним щодо наслідків вчинюваного вибуху і не має певної спрямованості. Таке діяння можна характеризувати як вибух, що створює небезпеку для життя та здоров’я людей і, залежно від обставин, може кваліфікуватися як терористичний акт або злочин проти життя та здоров'я особи.</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Важливим елементом для кваліфікації диверсії є мета злочину. У ст. 113 КК прямо вказується на мету «ослаблення держави», яка є обов’язковою ознакою суб’єктивної сторони диверсії, що має бути в</w:t>
      </w:r>
      <w:r>
        <w:rPr>
          <w:rFonts w:ascii="Times New Roman" w:hAnsi="Times New Roman"/>
          <w:color w:val="000000"/>
          <w:sz w:val="28"/>
          <w:szCs w:val="28"/>
          <w:lang w:eastAsia="ru-RU"/>
        </w:rPr>
        <w:t>становлена при її кваліфікації.</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У кримінальному праві мета розуміється як усвідомлений особою уявний образ майбутнього бажаного результату, який визначає напрямок і в</w:t>
      </w:r>
      <w:r>
        <w:rPr>
          <w:rFonts w:ascii="Times New Roman" w:hAnsi="Times New Roman"/>
          <w:color w:val="000000"/>
          <w:sz w:val="28"/>
          <w:szCs w:val="28"/>
          <w:lang w:eastAsia="ru-RU"/>
        </w:rPr>
        <w:t>порядкованість злочинних дій [84</w:t>
      </w:r>
      <w:r w:rsidRPr="00C314BF">
        <w:rPr>
          <w:rFonts w:ascii="Times New Roman" w:hAnsi="Times New Roman"/>
          <w:color w:val="000000"/>
          <w:sz w:val="28"/>
          <w:szCs w:val="28"/>
          <w:lang w:eastAsia="ru-RU"/>
        </w:rPr>
        <w:t>, c. 18]. Мета вказує на результат, якого особа прагне досягти, суспільно небезпечний наслідок злочину та шкоду, якої, на думку винного</w:t>
      </w:r>
      <w:r>
        <w:rPr>
          <w:rFonts w:ascii="Times New Roman" w:hAnsi="Times New Roman"/>
          <w:color w:val="000000"/>
          <w:sz w:val="28"/>
          <w:szCs w:val="28"/>
          <w:lang w:eastAsia="ru-RU"/>
        </w:rPr>
        <w:t>, має бути завдано</w:t>
      </w:r>
      <w:r w:rsidRPr="00C314BF">
        <w:rPr>
          <w:rFonts w:ascii="Times New Roman" w:hAnsi="Times New Roman"/>
          <w:color w:val="000000"/>
          <w:sz w:val="28"/>
          <w:szCs w:val="28"/>
          <w:lang w:eastAsia="ru-RU"/>
        </w:rPr>
        <w:t xml:space="preserve">. Вона визначає засоби та характер дій злочинця, </w:t>
      </w:r>
      <w:r>
        <w:rPr>
          <w:rFonts w:ascii="Times New Roman" w:hAnsi="Times New Roman"/>
          <w:color w:val="000000"/>
          <w:sz w:val="28"/>
          <w:szCs w:val="28"/>
          <w:lang w:eastAsia="ru-RU"/>
        </w:rPr>
        <w:t>надаючи їм певного напрямку [85</w:t>
      </w:r>
      <w:r w:rsidRPr="00C314BF">
        <w:rPr>
          <w:rFonts w:ascii="Times New Roman" w:hAnsi="Times New Roman"/>
          <w:color w:val="000000"/>
          <w:sz w:val="28"/>
          <w:szCs w:val="28"/>
          <w:lang w:eastAsia="ru-RU"/>
        </w:rPr>
        <w:t xml:space="preserve">, c. 83]. Науковці зазначають, що мета ослаблення держави є обов'язковою ознакою суб'єктивної сторони диверсії, однак її зміст трактується по-різному. Наприклад, мету ослаблення держави трактують як прагнення особи знизити економічний, науково-технічний, або </w:t>
      </w:r>
      <w:r>
        <w:rPr>
          <w:rFonts w:ascii="Times New Roman" w:hAnsi="Times New Roman"/>
          <w:color w:val="000000"/>
          <w:sz w:val="28"/>
          <w:szCs w:val="28"/>
          <w:lang w:eastAsia="ru-RU"/>
        </w:rPr>
        <w:t>військовий потенціал держави [86, c. 818; 72, c. 61; 39, c. 47-48; 41</w:t>
      </w:r>
      <w:r w:rsidRPr="00C314BF">
        <w:rPr>
          <w:rFonts w:ascii="Times New Roman" w:hAnsi="Times New Roman"/>
          <w:color w:val="000000"/>
          <w:sz w:val="28"/>
          <w:szCs w:val="28"/>
          <w:lang w:eastAsia="ru-RU"/>
        </w:rPr>
        <w:t>, c. 56]; завдати шкоди економічній системі, обороноздатності чи внутрішній без</w:t>
      </w:r>
      <w:r>
        <w:rPr>
          <w:rFonts w:ascii="Times New Roman" w:hAnsi="Times New Roman"/>
          <w:color w:val="000000"/>
          <w:sz w:val="28"/>
          <w:szCs w:val="28"/>
          <w:lang w:eastAsia="ru-RU"/>
        </w:rPr>
        <w:t>пец</w:t>
      </w:r>
      <w:r>
        <w:rPr>
          <w:rFonts w:ascii="Times New Roman" w:hAnsi="Times New Roman"/>
          <w:color w:val="000000"/>
          <w:sz w:val="28"/>
          <w:szCs w:val="28"/>
          <w:lang w:val="uk-UA" w:eastAsia="ru-RU"/>
        </w:rPr>
        <w:t>і</w:t>
      </w:r>
      <w:r w:rsidRPr="00C314BF">
        <w:rPr>
          <w:rFonts w:ascii="Times New Roman" w:hAnsi="Times New Roman"/>
          <w:color w:val="000000"/>
          <w:sz w:val="28"/>
          <w:szCs w:val="28"/>
          <w:lang w:eastAsia="ru-RU"/>
        </w:rPr>
        <w:t>; або спричинити значні матеріальні збитки певним</w:t>
      </w:r>
      <w:r>
        <w:rPr>
          <w:rFonts w:ascii="Times New Roman" w:hAnsi="Times New Roman"/>
          <w:color w:val="000000"/>
          <w:sz w:val="28"/>
          <w:szCs w:val="28"/>
          <w:lang w:eastAsia="ru-RU"/>
        </w:rPr>
        <w:t xml:space="preserve"> сферам суспільних відносин [46</w:t>
      </w:r>
      <w:r w:rsidRPr="00C314BF">
        <w:rPr>
          <w:rFonts w:ascii="Times New Roman" w:hAnsi="Times New Roman"/>
          <w:color w:val="000000"/>
          <w:sz w:val="28"/>
          <w:szCs w:val="28"/>
          <w:lang w:eastAsia="ru-RU"/>
        </w:rPr>
        <w:t xml:space="preserve">, c. 150] чи послабити елементи </w:t>
      </w:r>
      <w:r>
        <w:rPr>
          <w:rFonts w:ascii="Times New Roman" w:hAnsi="Times New Roman"/>
          <w:color w:val="000000"/>
          <w:sz w:val="28"/>
          <w:szCs w:val="28"/>
          <w:lang w:eastAsia="ru-RU"/>
        </w:rPr>
        <w:t xml:space="preserve">безпеки чи обороноздатності </w:t>
      </w:r>
      <w:r w:rsidRPr="0024347E">
        <w:rPr>
          <w:rFonts w:ascii="Times New Roman" w:hAnsi="Times New Roman"/>
          <w:color w:val="000000"/>
          <w:sz w:val="28"/>
          <w:szCs w:val="28"/>
          <w:lang w:eastAsia="ru-RU"/>
        </w:rPr>
        <w:t>[87</w:t>
      </w:r>
      <w:r w:rsidRPr="00C314BF">
        <w:rPr>
          <w:rFonts w:ascii="Times New Roman" w:hAnsi="Times New Roman"/>
          <w:color w:val="000000"/>
          <w:sz w:val="28"/>
          <w:szCs w:val="28"/>
          <w:lang w:eastAsia="ru-RU"/>
        </w:rPr>
        <w:t xml:space="preserve">, c. 222]. </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Мотив вчинення диверсії не є обов’язковою ознакою суб’єктивної сторони цього злочину. У кримінальному праві мотив злочину визначають як внутрішнє спонукання, що зумовлене потребами чи інтересами, усвідомлене особою та стимулює її до вчинення су</w:t>
      </w:r>
      <w:r>
        <w:rPr>
          <w:rFonts w:ascii="Times New Roman" w:hAnsi="Times New Roman"/>
          <w:color w:val="000000"/>
          <w:sz w:val="28"/>
          <w:szCs w:val="28"/>
          <w:lang w:eastAsia="ru-RU"/>
        </w:rPr>
        <w:t>спільно небезпечного діяння [25</w:t>
      </w:r>
      <w:r w:rsidRPr="00C314BF">
        <w:rPr>
          <w:rFonts w:ascii="Times New Roman" w:hAnsi="Times New Roman"/>
          <w:color w:val="000000"/>
          <w:sz w:val="28"/>
          <w:szCs w:val="28"/>
          <w:lang w:eastAsia="ru-RU"/>
        </w:rPr>
        <w:t xml:space="preserve">, c. 189]. Мотив виступає джерелом і рушійною силою </w:t>
      </w:r>
      <w:r>
        <w:rPr>
          <w:rFonts w:ascii="Times New Roman" w:hAnsi="Times New Roman"/>
          <w:color w:val="000000"/>
          <w:sz w:val="28"/>
          <w:szCs w:val="28"/>
          <w:lang w:eastAsia="ru-RU"/>
        </w:rPr>
        <w:t>злочинної поведінки</w:t>
      </w:r>
      <w:r w:rsidRPr="00C314BF">
        <w:rPr>
          <w:rFonts w:ascii="Times New Roman" w:hAnsi="Times New Roman"/>
          <w:color w:val="000000"/>
          <w:sz w:val="28"/>
          <w:szCs w:val="28"/>
          <w:lang w:eastAsia="ru-RU"/>
        </w:rPr>
        <w:t>. Мотиви д</w:t>
      </w:r>
      <w:r>
        <w:rPr>
          <w:rFonts w:ascii="Times New Roman" w:hAnsi="Times New Roman"/>
          <w:color w:val="000000"/>
          <w:sz w:val="28"/>
          <w:szCs w:val="28"/>
          <w:lang w:eastAsia="ru-RU"/>
        </w:rPr>
        <w:t>иверсії можуть бути різними [45</w:t>
      </w:r>
      <w:r w:rsidRPr="00C314BF">
        <w:rPr>
          <w:rFonts w:ascii="Times New Roman" w:hAnsi="Times New Roman"/>
          <w:color w:val="000000"/>
          <w:sz w:val="28"/>
          <w:szCs w:val="28"/>
          <w:lang w:eastAsia="ru-RU"/>
        </w:rPr>
        <w:t>, c. 17], і науковці вказують на такі можливі варіанти: вороже ставлення або ненависть до України, до її конституційного ладу та політичної системи, незадоволеність діяльністю державних органів, помста, корисливість, заздрі</w:t>
      </w:r>
      <w:r>
        <w:rPr>
          <w:rFonts w:ascii="Times New Roman" w:hAnsi="Times New Roman"/>
          <w:color w:val="000000"/>
          <w:sz w:val="28"/>
          <w:szCs w:val="28"/>
          <w:lang w:eastAsia="ru-RU"/>
        </w:rPr>
        <w:t>сть тощо [38, c. 281-282; 46</w:t>
      </w:r>
      <w:r w:rsidRPr="00C314BF">
        <w:rPr>
          <w:rFonts w:ascii="Times New Roman" w:hAnsi="Times New Roman"/>
          <w:color w:val="000000"/>
          <w:sz w:val="28"/>
          <w:szCs w:val="28"/>
          <w:lang w:eastAsia="ru-RU"/>
        </w:rPr>
        <w:t>, c. 152]. Мотиви диверсії зазвичай відносять до</w:t>
      </w:r>
      <w:r>
        <w:rPr>
          <w:rFonts w:ascii="Times New Roman" w:hAnsi="Times New Roman"/>
          <w:color w:val="000000"/>
          <w:sz w:val="28"/>
          <w:szCs w:val="28"/>
          <w:lang w:eastAsia="ru-RU"/>
        </w:rPr>
        <w:t xml:space="preserve"> так званих низьких мотивів [25, c. 189</w:t>
      </w:r>
      <w:r w:rsidRPr="00C314BF">
        <w:rPr>
          <w:rFonts w:ascii="Times New Roman" w:hAnsi="Times New Roman"/>
          <w:color w:val="000000"/>
          <w:sz w:val="28"/>
          <w:szCs w:val="28"/>
          <w:lang w:eastAsia="ru-RU"/>
        </w:rPr>
        <w:t>].</w:t>
      </w: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Деякі дослідники наголошують, що з'ясування мотивів є важливим для встановлення, чи відповідають вони меті злочину, адже якщо мотиви не співпадають з метою диверсії, к</w:t>
      </w:r>
      <w:r>
        <w:rPr>
          <w:rFonts w:ascii="Times New Roman" w:hAnsi="Times New Roman"/>
          <w:color w:val="000000"/>
          <w:sz w:val="28"/>
          <w:szCs w:val="28"/>
          <w:lang w:eastAsia="ru-RU"/>
        </w:rPr>
        <w:t>валіфікація може бути іншою [46</w:t>
      </w:r>
      <w:r w:rsidRPr="00C314BF">
        <w:rPr>
          <w:rFonts w:ascii="Times New Roman" w:hAnsi="Times New Roman"/>
          <w:color w:val="000000"/>
          <w:sz w:val="28"/>
          <w:szCs w:val="28"/>
          <w:lang w:eastAsia="ru-RU"/>
        </w:rPr>
        <w:t>, c. 152]. Проте така позиція викликає сумніви, оскільки мотив та мета є поняттями тісно взаємопов'язаними, проте відображають різні аспе</w:t>
      </w:r>
      <w:r>
        <w:rPr>
          <w:rFonts w:ascii="Times New Roman" w:hAnsi="Times New Roman"/>
          <w:color w:val="000000"/>
          <w:sz w:val="28"/>
          <w:szCs w:val="28"/>
          <w:lang w:eastAsia="ru-RU"/>
        </w:rPr>
        <w:t>кти вольового процесу</w:t>
      </w:r>
      <w:r w:rsidRPr="00C314BF">
        <w:rPr>
          <w:rFonts w:ascii="Times New Roman" w:hAnsi="Times New Roman"/>
          <w:color w:val="000000"/>
          <w:sz w:val="28"/>
          <w:szCs w:val="28"/>
          <w:lang w:eastAsia="ru-RU"/>
        </w:rPr>
        <w:t>. Мотив відповідає на питання, чим керувалася особа, тоді як</w:t>
      </w:r>
      <w:r>
        <w:rPr>
          <w:rFonts w:ascii="Times New Roman" w:hAnsi="Times New Roman"/>
          <w:color w:val="000000"/>
          <w:sz w:val="28"/>
          <w:szCs w:val="28"/>
          <w:lang w:eastAsia="ru-RU"/>
        </w:rPr>
        <w:t xml:space="preserve"> мета визначає напрямок дій [88</w:t>
      </w:r>
      <w:r w:rsidRPr="00C314BF">
        <w:rPr>
          <w:rFonts w:ascii="Times New Roman" w:hAnsi="Times New Roman"/>
          <w:color w:val="000000"/>
          <w:sz w:val="28"/>
          <w:szCs w:val="28"/>
          <w:lang w:eastAsia="ru-RU"/>
        </w:rPr>
        <w:t xml:space="preserve">, c. 142]. </w:t>
      </w:r>
    </w:p>
    <w:p w:rsidR="00071A7D" w:rsidRDefault="00071A7D" w:rsidP="00363F6E">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Подібно до мотиву, емоційний стан особи під час вчинення диверсії є також факультативною ознакою. Встановлення емоційного стану допомагає глибше зрозуміти суспільно небезпечний характер діяння, його спрямованість та зміст суб’єкти</w:t>
      </w:r>
      <w:r>
        <w:rPr>
          <w:rFonts w:ascii="Times New Roman" w:hAnsi="Times New Roman"/>
          <w:color w:val="000000"/>
          <w:sz w:val="28"/>
          <w:szCs w:val="28"/>
          <w:lang w:eastAsia="ru-RU"/>
        </w:rPr>
        <w:t>вної сторони злочину</w:t>
      </w:r>
      <w:r w:rsidRPr="00C314BF">
        <w:rPr>
          <w:rFonts w:ascii="Times New Roman" w:hAnsi="Times New Roman"/>
          <w:color w:val="000000"/>
          <w:sz w:val="28"/>
          <w:szCs w:val="28"/>
          <w:lang w:eastAsia="ru-RU"/>
        </w:rPr>
        <w:t>. Відтак, емоційний стан може враховуватись лише під час визначення покарання за диверсію.</w:t>
      </w:r>
    </w:p>
    <w:p w:rsidR="00071A7D" w:rsidRDefault="00071A7D" w:rsidP="00363F6E">
      <w:pPr>
        <w:spacing w:after="0" w:line="360" w:lineRule="auto"/>
        <w:ind w:firstLine="720"/>
        <w:contextualSpacing/>
        <w:jc w:val="both"/>
        <w:rPr>
          <w:rFonts w:ascii="Times New Roman" w:hAnsi="Times New Roman"/>
          <w:b/>
          <w:color w:val="000000"/>
          <w:sz w:val="28"/>
          <w:szCs w:val="28"/>
          <w:lang w:eastAsia="ru-RU"/>
        </w:rPr>
      </w:pPr>
    </w:p>
    <w:p w:rsidR="00071A7D" w:rsidRDefault="00071A7D" w:rsidP="00363F6E">
      <w:pPr>
        <w:spacing w:after="0" w:line="360" w:lineRule="auto"/>
        <w:ind w:firstLine="720"/>
        <w:contextualSpacing/>
        <w:jc w:val="both"/>
        <w:rPr>
          <w:rFonts w:ascii="Times New Roman" w:hAnsi="Times New Roman"/>
          <w:b/>
          <w:color w:val="000000"/>
          <w:sz w:val="28"/>
          <w:szCs w:val="28"/>
          <w:lang w:eastAsia="ru-RU"/>
        </w:rPr>
      </w:pPr>
      <w:r w:rsidRPr="00E256E2">
        <w:rPr>
          <w:rFonts w:ascii="Times New Roman" w:hAnsi="Times New Roman"/>
          <w:b/>
          <w:color w:val="000000"/>
          <w:sz w:val="28"/>
          <w:szCs w:val="28"/>
          <w:lang w:eastAsia="ru-RU"/>
        </w:rPr>
        <w:t>2.4. Суб’єкт диверсії та проблеми його встановлення.</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Суб’єкт злочину є одним з обов’язкових елементів складу злочину і визначає особу, яка вчинила протиправне діяння та може бути притягнута до кримінальної відповідальності. Відсутність у діянні ознак суб’єкта, які визначені Кримінальним кодексом (КК), свідчить про відсутність складу злочину. Тому для правильного вирішення питань щодо відповідальності за диверсію необхідно з’ясувати, яка саме особа, що вчинила діяння, передбачене ст. 113 КК, може бути притягнута до кримінальної відповідальності.</w:t>
      </w:r>
    </w:p>
    <w:p w:rsidR="00071A7D" w:rsidRPr="00D641B7" w:rsidRDefault="00071A7D" w:rsidP="00D641B7">
      <w:pPr>
        <w:spacing w:before="100" w:beforeAutospacing="1" w:after="100" w:afterAutospacing="1" w:line="360" w:lineRule="auto"/>
        <w:contextualSpacing/>
        <w:jc w:val="both"/>
        <w:rPr>
          <w:rFonts w:ascii="Times New Roman" w:hAnsi="Times New Roman"/>
          <w:sz w:val="28"/>
          <w:szCs w:val="28"/>
          <w:lang w:eastAsia="ru-RU"/>
        </w:rPr>
      </w:pPr>
      <w:r w:rsidRPr="00D641B7">
        <w:rPr>
          <w:rFonts w:ascii="Times New Roman" w:hAnsi="Times New Roman"/>
          <w:sz w:val="28"/>
          <w:szCs w:val="28"/>
          <w:lang w:eastAsia="ru-RU"/>
        </w:rPr>
        <w:t>Згідно з ч. 1 ст. 18 КК, суб’єктом злочину є фізична осудна особа, яка досягла віку кримінальної відповідальності. Це визначення включає три основні ознаки суб’єкта будь-якого злочину, в тому числі диверсії: 1) фізична особа; 2) осудність; 3) досягнення віку кримінальної відповідальності. Якщо відсутні спеціальні вимоги до суб’єкта, то особа, яка відповідає цим ознакам, вважається загальним суб’єктом злочину [89, с. 18]. Оскільки в ст. 113 КК не встановлено додаткових вимог до суб’єкта диверсії, його слід вважати загальним суб’єктом злочину.</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Перша ознака суб’єкта диверсії — це фізична особа. Згідно з сучасним кримінальним правом України, відповідальність несуть лише фізичні особи, а не юридичні чи колективні утворення. Якщо дії, вчинені від імені юридичної особи, містять ознаки злочину, то за них відповідають конкретні винні фізичні особи [89, с. 20-21]. Це відповідає принципам індивідуальної та винної відповідальності, а також досягає цілей покарання. Тому кримінальній відповідальності за диверсію підлягає тільки фізична особа.</w:t>
      </w:r>
    </w:p>
    <w:p w:rsidR="00071A7D" w:rsidRPr="00D641B7" w:rsidRDefault="00071A7D" w:rsidP="00D641B7">
      <w:pPr>
        <w:spacing w:before="100" w:beforeAutospacing="1" w:after="100" w:afterAutospacing="1" w:line="360" w:lineRule="auto"/>
        <w:contextualSpacing/>
        <w:jc w:val="both"/>
        <w:rPr>
          <w:rFonts w:ascii="Times New Roman" w:hAnsi="Times New Roman"/>
          <w:sz w:val="28"/>
          <w:szCs w:val="28"/>
          <w:lang w:eastAsia="ru-RU"/>
        </w:rPr>
      </w:pPr>
      <w:r w:rsidRPr="00D641B7">
        <w:rPr>
          <w:rFonts w:ascii="Times New Roman" w:hAnsi="Times New Roman"/>
          <w:sz w:val="28"/>
          <w:szCs w:val="28"/>
          <w:lang w:eastAsia="ru-RU"/>
        </w:rPr>
        <w:t>Відповідно до ст. 96 Кримінального кодексу (КК), вчинення злочину, передбаченого ст. 113 КК, уповноваженою особою юридичної особи від її імені та в її інтересах може призвести до застосування кримінально-правових заходів до цієї юридичної особи. Ці заходи можуть включати ліквідацію юридичної особи та конфіскацію її майна, а також застосовуватися до юридичних осіб як приватного, так і публічного права, резидентів чи нерезидентів України.</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Другим обов’язковим елементом суб’єкта злочину є осудність. Тільки осудна особа здатна адекватно оцінювати обставини своїх вчинків, усвідомлювати їх суспільно небезпечний характер і контролювати свої дії [82, с. 20; 86, с. 87]. Згідно з ч. 1 ст. 19 КК, осудною визнається особа, яка під час вчинення злочину могла усвідомлювати свої дії або бездіяльність і контролювати їх. Таким чином, до кримінальної відповідальності за диверсію може бути притягнута тільки та фізична особа, яка на момент вчинення дій, передбачених ст. 113 КК, здатна була усвідомлювати їх фактичний зміст і суспільну небезпеку, а також контролювати свої дії. Встановлення осудності є важливим, оскільки це є умовою вини, що є обов’язковим елементом суб’єктивної сторони злочину.</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Якщо особа через психічний розлад могла лише частково усвідомлювати свої дії або контролювати їх, та була визнана судом обмежено осудною, вона все одно може бути притягнута до кримінальної відповідальності за диверсію. У такому разі суд враховує стан обмеженої осудності під час призначення покарання, і цей стан може стати підставою для застосування примусових заходів медичного характеру.</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Третьою ознакою суб’єкта злочину є досягнення віку, з якого можлива кримінальна відповідальність за диверсію. Це обґрунтовано тим, що цей фактор тісно пов’язаний зі здатністю особи усвідомлювати значення своїх вчинків і контролювати їх [155, с. 261]. Згідно з ч. 2 ст. 22 КК, кримінальна відповідальність за диверсію настає, якщо особа досягла 14 років, що є зменшеним віком кримінальної відповідальності. Це положення викликає дискусії в юридичній науці.</w:t>
      </w:r>
    </w:p>
    <w:p w:rsidR="00071A7D" w:rsidRPr="00D641B7" w:rsidRDefault="00071A7D" w:rsidP="00D641B7">
      <w:pPr>
        <w:spacing w:before="100" w:beforeAutospacing="1" w:after="100" w:afterAutospacing="1" w:line="360" w:lineRule="auto"/>
        <w:contextualSpacing/>
        <w:jc w:val="both"/>
        <w:rPr>
          <w:rFonts w:ascii="Times New Roman" w:hAnsi="Times New Roman"/>
          <w:sz w:val="28"/>
          <w:szCs w:val="28"/>
          <w:lang w:eastAsia="ru-RU"/>
        </w:rPr>
      </w:pPr>
      <w:r w:rsidRPr="00D641B7">
        <w:rPr>
          <w:rFonts w:ascii="Times New Roman" w:hAnsi="Times New Roman"/>
          <w:sz w:val="28"/>
          <w:szCs w:val="28"/>
          <w:lang w:eastAsia="ru-RU"/>
        </w:rPr>
        <w:t>Деякі науковці вважають, що встановлення зменшеного віку для кримінальної відповідальності за диверсію є необґрунтованим. О. О. Климчук, зокрема, стверджує, що особа, яка досягла 14 років, не здатна оцінити свої дії з точки зору їхніх суспільно-політичних наслідків. Така особа може усвідомлювати тільки найближчі й очевидні наслідки, наприклад, пошкодження чи руйнування, але не може повною мірою оцінити віддалені економічні, соціальні та політичні наслідки своїх вчинків. Климчук вважає, що в такому віці особа не здатна усвідомити всю суспільну небезпечність своїх дій та їх спрямованість на ослаблення держави через брак життєвого досвіду і чіткої світоглядної позиції [42, с. 85].</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О. Ф. Бантишев і О. В. Шамара вказують, що рішення вчинити диверсію є складним розумовим процесом, що потребує ретельної оцінки багатьох різноманітних факторів. До таких факторів належать мета злочину, об’єкт, засоби, час та місце його вчинення, а також побічні обставини, які можуть або сприяти здійсненню злочину, або, навпаки, ставати перешкодою для його виконання. Це рішення не є випадковим або імпульсивним; воно залежить від особистих характеристик суб’єкта злочину, таких як світогляд, досвід, моральні переконання, а також від зовнішніх факторів, зокрема, соціального середовища, правових норм та політичної ситуації. Вчені зазначають, що тільки особа, яка досягла 16-річного віку, здатна повною мірою усвідомити та здійснити подібні розумові дії, а також розуміти мету, для досягнення якої вчиняється диверсія. Таким чином, досягнення цього віку є важливим для розуміння і здійснення складних соціальних та політичних стратегій, що лежать в основі таких злочинів [17, с. 120-123].</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Позиція В. М. Бурдіна щодо цього питання є більш суперечливою. Він вважає, що включення злочинів проти основ національної безпеки, зокрема диверсії, до ч. 2 ст. 22 КК є необґрунтованим. Бурдін підкреслює, що ці злочини потребують уже сформованої політичної позиції особи, а отже, не можуть бути вчинені в ранньому віці. Він також пропонує встановити загальне правило, за яким кримінальна відповідальність повинна наступати з 14 років, оскільки особи в цьому віці здатні вже оцінювати більш складні соціальні зв’язки та розуміти наслідки своїх вчинків. Вважається, що 14-річні особи здатні адекватно сприймати і керувати соціальними й моральними аспектами своїх дій, що дозволяє їм оцінювати не лише наслідки для себе, але й для суспільства в цілому [93, с. 45].</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Водночас слід врахувати прогресуючі інтелектуальні та психофізіологічні особливості сучасних 14-річних підлітків. В умовах швидкої соціалізації, значних техногенних змін, постійного інформаційного впливу та частих політичних і соціально-економічних криз, сучасні підлітки набувають здатності швидше розуміти та оцінювати складні соціальні ситуації. Вони активно включаються в соціум, мають доступ до різноманітної інформації, що дозволяє їм раніше усвідомлювати політичні та соціальні процеси. Це свідчить на користь зниження віку, з якого може наступати кримінальна відповідальність за диверсію, оскільки здатність до критичного мислення і оцінки наслідків своїх вчинків на значно вищому рівні, ніж це було раніше. Проте, враховуючи різноманіття об’єктивних ознак диверсії, залежно від її форми, варто проводити диференціацію віку для різних форм цього злочину. Наприклад, якщо діяння спрямоване на масове знищення людей або завдання шкоди їхньому здоров’ю, то 14-річний підліток, ймовірно, здатний усвідомити не тільки фактичну, але й соціальну сторону такого діяння, розуміючи, що порушує основні суспільні заборони, такі як «не вбий». Однак стосовно усвідомлення соціальної небезпеки інших форм диверсії, таких як радіоактивне забруднення чи епізоотії, 14-річна особа може ще не повністю усвідомлювати всю серйозність таких загроз, особливо якщо вони мають віддалені наслідки. Отже, на думку деяких вчених, ст. 113 КК потребує вдосконалення для уточнення вікових меж кримінальної відповідальності залежно від специфіки злочину. Важливим є також врахування, що певні форми диверсії можуть мати різні наслідки для громадянського суспільства та держави, що повинно впливати на кваліфікацію злочину.</w:t>
      </w:r>
    </w:p>
    <w:p w:rsidR="00071A7D" w:rsidRPr="00D641B7"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Крім того, слід звернути увагу на те, що вчинення диверсії спільно двома або більше особами, які є суб’єктами злочину, тягне за собою кримінальну відповідальність за диверсію, вчинену у співучасті, за наявності всіх необхідних ознак цієї форми співучасті. Кваліфікація дій співучасників здійснюється згідно з загальними правилами, передбаченими КК: дії співвиконавців кваліфікуються за ст. 113 КК, а дії організатора, підбурювача та пособника — відповідно за частинами 3, 4 і 5 ст. 27 та ст. 113 КК. Однак у деяких випадках кваліфікація співучасті ускладнюється, коли співучасники мають різні мотивації та суб’єктивну спрямованість своїх діянь. Це особливо актуально для випадків, коли диверсія вчиняється за замовленням і за винагороду. В таких ситуаціях важливо враховувати, що корисливий мотив може поєднуватися з метою ослаблення держави в одному злочинному посяганні, оскільки мотив визначає момент виникнення бажання вчинити злочин, а мета — це кінцева спрямованість цього діяння. Тому мета ослаблення держави може бути частиною іншої мети — наприклад, отримання винагороди від замовника. У таких випадках, вчинене має кваліфікуватися як диверсія, вчинена у співучасті. Як зазначає Д. О. Олєйніков, прагнучи отримати винагороду, особа усвідомлює характер своїх дій і їх наслідки, при цьому завдаючи шкоду державі. Мета збагачення в таких випадках є лише проміжною і не змінює суті вчиненого злочину [94, с. 252].</w:t>
      </w:r>
    </w:p>
    <w:p w:rsidR="00071A7D" w:rsidRDefault="00071A7D" w:rsidP="005330A0">
      <w:pPr>
        <w:spacing w:before="100" w:beforeAutospacing="1" w:after="100" w:afterAutospacing="1" w:line="360" w:lineRule="auto"/>
        <w:ind w:firstLine="708"/>
        <w:contextualSpacing/>
        <w:jc w:val="both"/>
        <w:rPr>
          <w:rFonts w:ascii="Times New Roman" w:hAnsi="Times New Roman"/>
          <w:sz w:val="28"/>
          <w:szCs w:val="28"/>
          <w:lang w:eastAsia="ru-RU"/>
        </w:rPr>
      </w:pPr>
      <w:r w:rsidRPr="00D641B7">
        <w:rPr>
          <w:rFonts w:ascii="Times New Roman" w:hAnsi="Times New Roman"/>
          <w:sz w:val="28"/>
          <w:szCs w:val="28"/>
          <w:lang w:eastAsia="ru-RU"/>
        </w:rPr>
        <w:t>Зокрема, у випадках співучасті при вчиненні диверсії можуть виникати ситуації, коли один зі співучасників умисно приховує деякі обставини злочину. Наприклад, організатор, маючи на меті ослаблення держави за винагороду, може замовити знищення певного об’єкта, але не інформує виконавця про його важливе народногосподарське чи оборонне значення. У такому разі, якщо виконавець не усвідомлює важливості об’єкта, то згідно з ч. 5 ст. 29 КК, він підлягає кримінальній відповідальності тільки за умисне знищення або пошкодження майна (ст. 194 КК), а організатор — за ст. 113 КК. Це ж правило застосовується і до інших видів співучасників диверсії, що підтверджує важливість належного розслідування для правильного встановлення ступеня відповідальності кожного учасника злочину.</w:t>
      </w:r>
    </w:p>
    <w:p w:rsidR="00071A7D" w:rsidRPr="005330A0" w:rsidRDefault="00071A7D" w:rsidP="005330A0">
      <w:pPr>
        <w:spacing w:before="100" w:beforeAutospacing="1" w:after="100" w:afterAutospacing="1" w:line="360" w:lineRule="auto"/>
        <w:ind w:firstLine="708"/>
        <w:contextualSpacing/>
        <w:jc w:val="center"/>
        <w:rPr>
          <w:rFonts w:ascii="Times New Roman" w:hAnsi="Times New Roman"/>
          <w:sz w:val="28"/>
          <w:szCs w:val="28"/>
          <w:lang w:eastAsia="ru-RU"/>
        </w:rPr>
      </w:pPr>
      <w:r w:rsidRPr="00E256E2">
        <w:rPr>
          <w:rFonts w:ascii="Times New Roman" w:hAnsi="Times New Roman"/>
          <w:b/>
          <w:color w:val="000000"/>
          <w:sz w:val="28"/>
          <w:szCs w:val="28"/>
          <w:lang w:eastAsia="ru-RU"/>
        </w:rPr>
        <w:t>Висновки до Розділу 2</w:t>
      </w:r>
    </w:p>
    <w:p w:rsidR="00071A7D" w:rsidRPr="00C314BF" w:rsidRDefault="00071A7D" w:rsidP="004E28F4">
      <w:pPr>
        <w:spacing w:after="0" w:line="360" w:lineRule="auto"/>
        <w:contextualSpacing/>
        <w:jc w:val="both"/>
        <w:rPr>
          <w:rFonts w:ascii="Times New Roman" w:hAnsi="Times New Roman"/>
          <w:sz w:val="28"/>
          <w:szCs w:val="28"/>
          <w:lang w:eastAsia="ru-RU"/>
        </w:rPr>
      </w:pPr>
    </w:p>
    <w:p w:rsidR="00071A7D" w:rsidRPr="00C314BF" w:rsidRDefault="00071A7D" w:rsidP="004E28F4">
      <w:pPr>
        <w:spacing w:after="0" w:line="360" w:lineRule="auto"/>
        <w:ind w:firstLine="720"/>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На основі наведеного можна зробити наступні загальні висновки щодо об’єктивної сторони диверсії (ст. 113 КК):</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1. Кримінальна відповідальність за диверсію з об’єктивної сторони настає, якщо особа вчиняє хоча б одне суспільно небезпечне діяння, передбачене ст. 113 КК. Таке діяння є обов’язковою ознакою складу злочину, а суспільно небезпечні наслідки, місце, час, обстановка, спосіб, знаряддя та засоби вчинення злочину є факультативними ознаками.</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2. Залежно від зовнішніх проявів і антисоціальної спрямованості діяння, можна виділити вісім форм диверсії: 1) вибухи, підпали чи інші дії, спрямовані на масове знищення людей; 2) вибухи, підпали чи інші дії, спрямовані на масове заподіяння тілесних ушкоджень чи шкоди здоров’ю людей; 3) вибухи, підпали чи інші дії, спрямовані на зруйнування або пошкодження об’єктів, що мають важливе народногосподарське чи оборонне значення; 4) дії, спрямовані на радіоактивне забруднення; 5) дії, спрямовані на масове отруєння; 6) дії, спрямовані на поширення епідемій; 7) дії, спрямовані на поширення епізоотій; 8) дії, спрямовані на поширення епіфітотій.</w:t>
      </w:r>
    </w:p>
    <w:p w:rsidR="00071A7D" w:rsidRDefault="00071A7D" w:rsidP="004E28F4">
      <w:pPr>
        <w:spacing w:after="0" w:line="360" w:lineRule="auto"/>
        <w:ind w:firstLine="708"/>
        <w:contextualSpacing/>
        <w:jc w:val="both"/>
        <w:rPr>
          <w:rFonts w:ascii="Times New Roman" w:hAnsi="Times New Roman"/>
          <w:color w:val="000000"/>
          <w:sz w:val="28"/>
          <w:szCs w:val="28"/>
          <w:lang w:eastAsia="ru-RU"/>
        </w:rPr>
      </w:pPr>
      <w:r w:rsidRPr="00C314BF">
        <w:rPr>
          <w:rFonts w:ascii="Times New Roman" w:hAnsi="Times New Roman"/>
          <w:color w:val="000000"/>
          <w:sz w:val="28"/>
          <w:szCs w:val="28"/>
          <w:lang w:eastAsia="ru-RU"/>
        </w:rPr>
        <w:t xml:space="preserve">3. У всіх восьми формах диверсії діяння здійснюються у вигляді активної поведінки винної особи або поєднання активної і пасивної поведінки. </w:t>
      </w:r>
    </w:p>
    <w:p w:rsidR="00071A7D" w:rsidRDefault="00071A7D" w:rsidP="004E28F4">
      <w:pPr>
        <w:spacing w:after="0" w:line="360" w:lineRule="auto"/>
        <w:ind w:firstLine="708"/>
        <w:contextualSpacing/>
        <w:jc w:val="both"/>
        <w:rPr>
          <w:rFonts w:ascii="Times New Roman" w:hAnsi="Times New Roman"/>
          <w:sz w:val="28"/>
          <w:szCs w:val="28"/>
          <w:lang w:eastAsia="ru-RU"/>
        </w:rPr>
      </w:pPr>
      <w:r w:rsidRPr="00C314BF">
        <w:rPr>
          <w:rFonts w:ascii="Times New Roman" w:hAnsi="Times New Roman"/>
          <w:color w:val="000000"/>
          <w:sz w:val="28"/>
          <w:szCs w:val="28"/>
          <w:lang w:eastAsia="ru-RU"/>
        </w:rPr>
        <w:t>4. Диверсійні діяння в кожній формі мають на меті спричинити шкоду конкретним соціальним цінностям, які є об’єктами національної безпеки. Це можуть бути: 1) життя і здоров’я людей, тварин чи рослин; 2) важливі для народного господарства чи оборони об’єкти; 3) територія України. Суспільна небезпечність диверсії полягає в тому, що ці діяння здатні заподіяти значну шкоду таким об’єктам національної безпеки.</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5</w:t>
      </w:r>
      <w:r w:rsidRPr="00C314BF">
        <w:rPr>
          <w:rFonts w:ascii="Times New Roman" w:hAnsi="Times New Roman"/>
          <w:color w:val="000000"/>
          <w:sz w:val="28"/>
          <w:szCs w:val="28"/>
          <w:lang w:eastAsia="ru-RU"/>
        </w:rPr>
        <w:t>. Ознака предмета злочину має важливе значення для встановлення об’єктивної сторони диверсії. Зокрема, у третій формі диверсії – об’єкти важливого народногосподарського чи оборонного значення, у четвертій – територія України, у сьомій – тварини, в восьмій – рослини. У п’ятій формі тварини виступають факультативною ознакою.</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6</w:t>
      </w:r>
      <w:r w:rsidRPr="00C314BF">
        <w:rPr>
          <w:rFonts w:ascii="Times New Roman" w:hAnsi="Times New Roman"/>
          <w:color w:val="000000"/>
          <w:sz w:val="28"/>
          <w:szCs w:val="28"/>
          <w:lang w:eastAsia="ru-RU"/>
        </w:rPr>
        <w:t>. Законодавче визначення вибухів та підпалів у контексті першої, другої та третьої форм диверсії має кілька важливих юридичних аспектів: 1) для визнання диверсії закінченим злочином у цих формах необхідно, щоб вибух чи підпал відбулися; 2) вибухи та підпали є діяннями, спрямованими на заподіяння шкоди об’єкту злочину, тому спрямованість інших форм диверсійних дій повинна розглядатись як безпосередня.</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7</w:t>
      </w:r>
      <w:r w:rsidRPr="00C314BF">
        <w:rPr>
          <w:rFonts w:ascii="Times New Roman" w:hAnsi="Times New Roman"/>
          <w:color w:val="000000"/>
          <w:sz w:val="28"/>
          <w:szCs w:val="28"/>
          <w:lang w:eastAsia="ru-RU"/>
        </w:rPr>
        <w:t>. Диверсія є злочином з усіченим складом у всіх формах. Її закінчення настає на момент вчинення дій, які безпосередньо спрямовані на шкоду об’єкту злочину, що є характерним для замаху (ст. 15 ч. 1 КК). Це означає, що можливі: 1) приготування до вчинення диверсії в будь-якій формі; 2) закінчений або незакінчений замах на вибух чи підпал у перших трьох формах; 3) замах на непридатний об’єкт або за допомогою непридатних засобів у будь-якій формі.</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8</w:t>
      </w:r>
      <w:r w:rsidRPr="00C314BF">
        <w:rPr>
          <w:rFonts w:ascii="Times New Roman" w:hAnsi="Times New Roman"/>
          <w:color w:val="000000"/>
          <w:sz w:val="28"/>
          <w:szCs w:val="28"/>
          <w:lang w:eastAsia="ru-RU"/>
        </w:rPr>
        <w:t>. Завдана диверсійними діями шкода соціальним цінностям, що є об’єктами національної безпеки, охоплюється ст. 113 КК, за винятком випадків, коли є ознаки іншого злочину, що потребує додаткової кваліфікації за іншою статтею КК з більш суворим покаранням. Завжди враховується при призначенні покарання, як фактор, що підвищує ступінь небезпечності злочину.</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sz w:val="28"/>
          <w:szCs w:val="28"/>
          <w:lang w:eastAsia="ru-RU"/>
        </w:rPr>
        <w:t>9</w:t>
      </w:r>
      <w:r w:rsidRPr="00C314BF">
        <w:rPr>
          <w:rFonts w:ascii="Times New Roman" w:hAnsi="Times New Roman"/>
          <w:color w:val="000000"/>
          <w:sz w:val="28"/>
          <w:szCs w:val="28"/>
          <w:lang w:eastAsia="ru-RU"/>
        </w:rPr>
        <w:t>. Суб’єктивна сторона диверсії в усіх її формах характеризується двома обов’язковими ознаками: 1) прямим умислом, що виражається у вині, і 2) метою ослаблення держави. Мотив та емоційний стан є додатковими ознаками, які можуть бути враховані під час визначення покарання.</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10</w:t>
      </w:r>
      <w:r w:rsidRPr="00C314BF">
        <w:rPr>
          <w:rFonts w:ascii="Times New Roman" w:hAnsi="Times New Roman"/>
          <w:color w:val="000000"/>
          <w:sz w:val="28"/>
          <w:szCs w:val="28"/>
          <w:lang w:eastAsia="ru-RU"/>
        </w:rPr>
        <w:t>. Вина у формі прямого умислу в диверсії має різний зміст у двох випадках: 1) коли диверсійне діяння відповідно до ч. 1 ст. 13 КК має всі ознаки завершеного злочину з усіченим складом, і 2) коли діяння фактично спричиняє суспільно небезпечні наслідки. У першому випадку вина стосується лише самого діяння, у другому — і наслідків, які підвищують суспільну небезпеку диверсії.</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11</w:t>
      </w:r>
      <w:r w:rsidRPr="00C314BF">
        <w:rPr>
          <w:rFonts w:ascii="Times New Roman" w:hAnsi="Times New Roman"/>
          <w:color w:val="000000"/>
          <w:sz w:val="28"/>
          <w:szCs w:val="28"/>
          <w:lang w:eastAsia="ru-RU"/>
        </w:rPr>
        <w:t>. Прямий умисел у диверсії визначається своїм характером, який включає: 1) усвідомлення особою суспільно небезпечного характеру діяння, а саме: а) його фактичних ознак, і б) його соціального значення; 2) бажання вчинити таке діяння. Особа з інтелектуальної сторони усвідомлює це діяння, а з вольової підтримує його подвійний спрямований характер: а) проти певної соціальної цінності, що різниться в залежності від форми диверсії, і б) проти держави, що є спільною рисою всіх форм диверсії.</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12</w:t>
      </w:r>
      <w:r w:rsidRPr="00C314BF">
        <w:rPr>
          <w:rFonts w:ascii="Times New Roman" w:hAnsi="Times New Roman"/>
          <w:color w:val="000000"/>
          <w:sz w:val="28"/>
          <w:szCs w:val="28"/>
          <w:lang w:eastAsia="ru-RU"/>
        </w:rPr>
        <w:t>. Мета ослаблення держави є важливою ознакою суб’єктивної сторони диверсії, що впливає на її кваліфікацію та відмежування від інших злочинів. Вона розуміється по-різному в кримінальному праві та судовій практиці. Пропонується розглядати мету ослаблення держави як обмеження здатності держави виконувати свої конституційні функції в будь-якій сфері життєдіяльності, а в практиці — конкретизувати це посиланням на відповідну статтю Конституції України.</w:t>
      </w:r>
    </w:p>
    <w:p w:rsidR="00071A7D" w:rsidRPr="00C314BF" w:rsidRDefault="00071A7D" w:rsidP="004E28F4">
      <w:pPr>
        <w:spacing w:after="0" w:line="360" w:lineRule="auto"/>
        <w:ind w:firstLine="708"/>
        <w:contextualSpacing/>
        <w:jc w:val="both"/>
        <w:rPr>
          <w:rFonts w:ascii="Times New Roman" w:hAnsi="Times New Roman"/>
          <w:sz w:val="28"/>
          <w:szCs w:val="28"/>
          <w:lang w:eastAsia="ru-RU"/>
        </w:rPr>
      </w:pPr>
      <w:r>
        <w:rPr>
          <w:rFonts w:ascii="Times New Roman" w:hAnsi="Times New Roman"/>
          <w:color w:val="000000"/>
          <w:sz w:val="28"/>
          <w:szCs w:val="28"/>
          <w:lang w:eastAsia="ru-RU"/>
        </w:rPr>
        <w:t>13</w:t>
      </w:r>
      <w:r w:rsidRPr="00C314BF">
        <w:rPr>
          <w:rFonts w:ascii="Times New Roman" w:hAnsi="Times New Roman"/>
          <w:color w:val="000000"/>
          <w:sz w:val="28"/>
          <w:szCs w:val="28"/>
          <w:lang w:eastAsia="ru-RU"/>
        </w:rPr>
        <w:t>. Суб’єктом диверсії може бути фізична осудна особа, яка досягла 14 років на момент вчинення злочину. Якщо злочин вчиняє уповноважена особа юридичної особи від її імені та в інтересах юридичної особи, це може призвести до застосування кримінально-правових заходів до цієї юридичної особи, зокрема, її ліквідації та конфіскації майна.</w:t>
      </w:r>
    </w:p>
    <w:p w:rsidR="00071A7D" w:rsidRDefault="00071A7D" w:rsidP="004E28F4">
      <w:pPr>
        <w:spacing w:after="240" w:line="360" w:lineRule="auto"/>
        <w:contextualSpacing/>
        <w:jc w:val="both"/>
        <w:rPr>
          <w:rFonts w:ascii="Times New Roman" w:hAnsi="Times New Roman"/>
          <w:sz w:val="28"/>
          <w:szCs w:val="28"/>
          <w:lang w:eastAsia="ru-RU"/>
        </w:rPr>
      </w:pPr>
      <w:r>
        <w:rPr>
          <w:rFonts w:ascii="Times New Roman" w:hAnsi="Times New Roman"/>
          <w:sz w:val="28"/>
          <w:szCs w:val="28"/>
          <w:lang w:eastAsia="ru-RU"/>
        </w:rPr>
        <w:br/>
      </w:r>
    </w:p>
    <w:p w:rsidR="00071A7D" w:rsidRDefault="00071A7D" w:rsidP="004E28F4">
      <w:pPr>
        <w:spacing w:after="240" w:line="360" w:lineRule="auto"/>
        <w:contextualSpacing/>
        <w:jc w:val="both"/>
        <w:rPr>
          <w:rFonts w:ascii="Times New Roman" w:hAnsi="Times New Roman"/>
          <w:b/>
          <w:color w:val="000000"/>
          <w:sz w:val="28"/>
          <w:szCs w:val="28"/>
          <w:lang w:eastAsia="ru-RU"/>
        </w:rPr>
      </w:pPr>
    </w:p>
    <w:p w:rsidR="00071A7D" w:rsidRDefault="00071A7D" w:rsidP="004E28F4">
      <w:pPr>
        <w:spacing w:after="240" w:line="360" w:lineRule="auto"/>
        <w:contextualSpacing/>
        <w:jc w:val="both"/>
        <w:rPr>
          <w:rFonts w:ascii="Times New Roman" w:hAnsi="Times New Roman"/>
          <w:b/>
          <w:color w:val="000000"/>
          <w:sz w:val="28"/>
          <w:szCs w:val="28"/>
          <w:lang w:eastAsia="ru-RU"/>
        </w:rPr>
      </w:pPr>
    </w:p>
    <w:p w:rsidR="00071A7D" w:rsidRDefault="00071A7D" w:rsidP="004E28F4">
      <w:pPr>
        <w:spacing w:after="240" w:line="360" w:lineRule="auto"/>
        <w:contextualSpacing/>
        <w:jc w:val="both"/>
        <w:rPr>
          <w:rFonts w:ascii="Times New Roman" w:hAnsi="Times New Roman"/>
          <w:b/>
          <w:color w:val="000000"/>
          <w:sz w:val="28"/>
          <w:szCs w:val="28"/>
          <w:lang w:eastAsia="ru-RU"/>
        </w:rPr>
      </w:pPr>
    </w:p>
    <w:p w:rsidR="00071A7D" w:rsidRDefault="00071A7D" w:rsidP="004E28F4">
      <w:pPr>
        <w:spacing w:after="240" w:line="360" w:lineRule="auto"/>
        <w:contextualSpacing/>
        <w:jc w:val="both"/>
        <w:rPr>
          <w:rFonts w:ascii="Times New Roman" w:hAnsi="Times New Roman"/>
          <w:b/>
          <w:color w:val="000000"/>
          <w:sz w:val="28"/>
          <w:szCs w:val="28"/>
          <w:lang w:eastAsia="ru-RU"/>
        </w:rPr>
      </w:pPr>
    </w:p>
    <w:p w:rsidR="00071A7D" w:rsidRDefault="00071A7D" w:rsidP="004E28F4">
      <w:pPr>
        <w:spacing w:after="240" w:line="360" w:lineRule="auto"/>
        <w:contextualSpacing/>
        <w:jc w:val="both"/>
        <w:rPr>
          <w:rFonts w:ascii="Times New Roman" w:hAnsi="Times New Roman"/>
          <w:b/>
          <w:color w:val="000000"/>
          <w:sz w:val="28"/>
          <w:szCs w:val="28"/>
          <w:lang w:eastAsia="ru-RU"/>
        </w:rPr>
      </w:pPr>
    </w:p>
    <w:p w:rsidR="00071A7D" w:rsidRDefault="00071A7D" w:rsidP="004E28F4">
      <w:pPr>
        <w:spacing w:after="240" w:line="360" w:lineRule="auto"/>
        <w:contextualSpacing/>
        <w:jc w:val="both"/>
        <w:rPr>
          <w:rFonts w:ascii="Times New Roman" w:hAnsi="Times New Roman"/>
          <w:b/>
          <w:color w:val="000000"/>
          <w:sz w:val="28"/>
          <w:szCs w:val="28"/>
          <w:lang w:eastAsia="ru-RU"/>
        </w:rPr>
      </w:pPr>
    </w:p>
    <w:p w:rsidR="00071A7D" w:rsidRPr="002C746F" w:rsidRDefault="00071A7D" w:rsidP="004E28F4">
      <w:pPr>
        <w:spacing w:after="240" w:line="360" w:lineRule="auto"/>
        <w:contextualSpacing/>
        <w:jc w:val="both"/>
        <w:rPr>
          <w:rFonts w:ascii="Times New Roman" w:hAnsi="Times New Roman"/>
          <w:sz w:val="28"/>
          <w:szCs w:val="28"/>
          <w:lang w:eastAsia="ru-RU"/>
        </w:rPr>
      </w:pPr>
      <w:r w:rsidRPr="00E256E2">
        <w:rPr>
          <w:rFonts w:ascii="Times New Roman" w:hAnsi="Times New Roman"/>
          <w:b/>
          <w:color w:val="000000"/>
          <w:sz w:val="28"/>
          <w:szCs w:val="28"/>
          <w:lang w:eastAsia="ru-RU"/>
        </w:rPr>
        <w:t>РОЗДІЛ 3</w:t>
      </w:r>
      <w:r w:rsidRPr="00E256E2">
        <w:rPr>
          <w:rFonts w:ascii="Times New Roman" w:hAnsi="Times New Roman"/>
          <w:b/>
          <w:color w:val="000000"/>
          <w:sz w:val="28"/>
          <w:szCs w:val="28"/>
          <w:lang w:val="uk-UA" w:eastAsia="ru-RU"/>
        </w:rPr>
        <w:t>.</w:t>
      </w:r>
      <w:r w:rsidRPr="00E256E2">
        <w:rPr>
          <w:rFonts w:ascii="Times New Roman" w:hAnsi="Times New Roman"/>
          <w:b/>
          <w:color w:val="000000"/>
          <w:sz w:val="28"/>
          <w:szCs w:val="28"/>
          <w:lang w:eastAsia="ru-RU"/>
        </w:rPr>
        <w:t>ДИВЕРСІЯ ТА СУМІЖНІ СКЛАДИ ЗЛОЧИНІВ</w:t>
      </w:r>
    </w:p>
    <w:p w:rsidR="00071A7D" w:rsidRPr="00E256E2" w:rsidRDefault="00071A7D" w:rsidP="004E28F4">
      <w:pPr>
        <w:spacing w:after="0" w:line="360" w:lineRule="auto"/>
        <w:contextualSpacing/>
        <w:jc w:val="both"/>
        <w:rPr>
          <w:rFonts w:ascii="Times New Roman" w:hAnsi="Times New Roman"/>
          <w:b/>
          <w:sz w:val="28"/>
          <w:szCs w:val="28"/>
          <w:lang w:eastAsia="ru-RU"/>
        </w:rPr>
      </w:pPr>
      <w:r w:rsidRPr="00E256E2">
        <w:rPr>
          <w:rFonts w:ascii="Times New Roman" w:hAnsi="Times New Roman"/>
          <w:b/>
          <w:color w:val="000000"/>
          <w:sz w:val="28"/>
          <w:szCs w:val="28"/>
          <w:lang w:eastAsia="ru-RU"/>
        </w:rPr>
        <w:t> </w:t>
      </w:r>
      <w:r>
        <w:rPr>
          <w:rFonts w:ascii="Times New Roman" w:hAnsi="Times New Roman"/>
          <w:b/>
          <w:sz w:val="28"/>
          <w:szCs w:val="28"/>
          <w:lang w:eastAsia="ru-RU"/>
        </w:rPr>
        <w:tab/>
      </w:r>
      <w:r w:rsidRPr="00E256E2">
        <w:rPr>
          <w:rFonts w:ascii="Times New Roman" w:hAnsi="Times New Roman"/>
          <w:b/>
          <w:color w:val="000000"/>
          <w:sz w:val="28"/>
          <w:szCs w:val="28"/>
          <w:lang w:eastAsia="ru-RU"/>
        </w:rPr>
        <w:t>3.1.Співвідношення диверсії (ст. 113 КК) з терористичним актом (ст. 258 КК)</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Різноманітність форм диверсії спричиняє наявність численних суміжних норм у Кримінальному кодексі, що створює певні складнощі при практичному застосуванні ст. 113 КК. Тому розгляд теоретичних аспектів співвідношення диверсії з іншими злочинами є важливим і вимагає всебічного підходу для вирішення цих питань.</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Ключовим для вирішення цієї проблеми є правильний алгоритм аналізу відповідних законодавчих норм і теоретичних категорій. Такий аналіз повинен включати кілька основних етапів: 1) порівняльний аналіз кримінально-правових норм, що стосуються диверсії та суміжних злочинів: а) визначення спільних і відмінних ознак складів цих злочинів; б) порівняння конструкцій складів злочинів і їх вплив на кваліфікацію; в) визначення покарання для цих злочинів та його значення для кваліфікації; 2) вирішення питань конкуренції норм і сукупності злочинів: а) вивчення можливості конкуренції ст. 113 КК з іншими нормами Особливої частини КК та розробка правил кваліфікації диверсії у таких випадках; б) розмежування конкуренції та ідеальної чи реальної сукупності злочинів, що включають диверсію.</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Одним із найскладніших і актуальних питань є взаємозв'язок диверсії та терористичного акту, яке потребує окремого теоретичного аналізу та практичного вирішення. Порівняння диверсії з іншими злочинами є менш проблематичним, тому в цій роботі ми обмежились аналізом найбільш важливих аспектів, що потребують уваги та вирішення.</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Зокрема, щодо порівняння норм, які регулюють диверсію та терористичний акт, необхідно зазначити, що відповідальність за терористичний акт передбачена в ст. 258 КК, де терористичний акт описується як «використання зброї, вибуху, підпалу чи інших дій, які створюють небезпеку для життя або здоров'я людей, завдають значної шкоди майну чи інших тяжких наслідків, якщо ці дії були вчинені з метою порушення громадської безпеки, залякування населення, провокації воєнного конфлікту, міжнародного ускладнення або для впливу на прийняття рішень органами державної влади чи органами місцевого самоврядування, службовими особами цих органів, громадськими об'єднаннями, юридичними особами, або з метою привернення уваги до політичних, релігійних чи інших поглядів винного (терориста), а також погроза вчинити такі дії з аналогічною метою».</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Щодо подібних та відмінних обов'язкових ознак складів диверсії та терористичного акту, можна зазначити наступне. Родовим об'єктом диверсії (ст. 113 КК) є суспільні відносини, пов'язані з охороною основ н</w:t>
      </w:r>
      <w:r>
        <w:rPr>
          <w:rFonts w:ascii="Times New Roman" w:hAnsi="Times New Roman"/>
          <w:sz w:val="28"/>
          <w:szCs w:val="28"/>
        </w:rPr>
        <w:t>аціональної безпеки України [95</w:t>
      </w:r>
      <w:r w:rsidRPr="007727EC">
        <w:rPr>
          <w:rFonts w:ascii="Times New Roman" w:hAnsi="Times New Roman"/>
          <w:sz w:val="28"/>
          <w:szCs w:val="28"/>
        </w:rPr>
        <w:t>, с. 103]. Натомість, терористичний акт (ст. 258 КК) належить до розділу ІХ «Злочини проти громадської безпеки» Особливої частини КК, що вказує на те, що його родовим об'єктом є громадська безпека, тобто суспільні відносини, що забезпечують захист людей від джерел підвищеної небезпеки, таких як злочинні угрупування, терористичні загрози</w:t>
      </w:r>
      <w:r>
        <w:rPr>
          <w:rFonts w:ascii="Times New Roman" w:hAnsi="Times New Roman"/>
          <w:sz w:val="28"/>
          <w:szCs w:val="28"/>
        </w:rPr>
        <w:t xml:space="preserve"> та інші небезпечні об'єкти [44, с. 346</w:t>
      </w:r>
      <w:r w:rsidRPr="007727EC">
        <w:rPr>
          <w:rFonts w:ascii="Times New Roman" w:hAnsi="Times New Roman"/>
          <w:sz w:val="28"/>
          <w:szCs w:val="28"/>
        </w:rPr>
        <w:t>].</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Декілька вчених пропонують замість громадської безпеки визнати основи національної безпеки родовим о</w:t>
      </w:r>
      <w:r>
        <w:rPr>
          <w:rFonts w:ascii="Times New Roman" w:hAnsi="Times New Roman"/>
          <w:sz w:val="28"/>
          <w:szCs w:val="28"/>
        </w:rPr>
        <w:t>б'єктом терористичного акту [96, с. 26; 14, с. 168; 97</w:t>
      </w:r>
      <w:r w:rsidRPr="007727EC">
        <w:rPr>
          <w:rFonts w:ascii="Times New Roman" w:hAnsi="Times New Roman"/>
          <w:sz w:val="28"/>
          <w:szCs w:val="28"/>
        </w:rPr>
        <w:t>, с</w:t>
      </w:r>
      <w:r>
        <w:rPr>
          <w:rFonts w:ascii="Times New Roman" w:hAnsi="Times New Roman"/>
          <w:sz w:val="28"/>
          <w:szCs w:val="28"/>
        </w:rPr>
        <w:t>. 73</w:t>
      </w:r>
      <w:r w:rsidRPr="007727EC">
        <w:rPr>
          <w:rFonts w:ascii="Times New Roman" w:hAnsi="Times New Roman"/>
          <w:sz w:val="28"/>
          <w:szCs w:val="28"/>
        </w:rPr>
        <w:t>], або мир, безпеку людств</w:t>
      </w:r>
      <w:r>
        <w:rPr>
          <w:rFonts w:ascii="Times New Roman" w:hAnsi="Times New Roman"/>
          <w:sz w:val="28"/>
          <w:szCs w:val="28"/>
        </w:rPr>
        <w:t>а та міжнародний правопорядок [98, с. 202</w:t>
      </w:r>
      <w:r w:rsidRPr="007727EC">
        <w:rPr>
          <w:rFonts w:ascii="Times New Roman" w:hAnsi="Times New Roman"/>
          <w:sz w:val="28"/>
          <w:szCs w:val="28"/>
        </w:rPr>
        <w:t>]. Однак, для цілей цього дослідження правильним є визнання громадської безпеки родовим об'єктом терористичного акту, оскільки це відповідає місцю ст. 258 КК в системі Особливої частини КК. Такий підхід має значення для вирішення низки інших питань співвідношення диверсії та терористичного акту. Отже, злочини, передбачені ст. 113 і ст. 258 КК, мають різні родові об'єкти.</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Диверсія і терористичний акт також відрізняються за основними безпосередніми об'єктами. У випадку з диверсією це конкретні об'єкти національної безпеки в різних сферах суспільних відносин, які визначаються в залежності від форми вчинення злочину. У той час як терористичний акт має за безпосередній об'єкт суспільні відносини, що забезпечують захищеність людей від терористичних загроз як специфічного джерела підвищеної небезпеки.</w:t>
      </w:r>
    </w:p>
    <w:p w:rsidR="00071A7D"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Співвідношення диверсії та терористичного акту у частині додаткових безпосередніх об'єктів є більш складним. Зокрема: а) об'єкти у цих злочинах визначаються як факультативні, за винятком диверсії, вчиненої через дії, що спричиняють радіоактивне забруднення, де додатковим обов'язковим об'єктом є суспільні відносини, що забезпечують екологічну безпеку; б) є об'єкти, що можуть бути додатковими при вчиненні обох злочинів, наприклад, відносини власності; в) коло об'єктів, які можуть бути додатковими при вчиненні терористичного акту, є значно ширшим, оскільки ст. 258 КК передбачає створення небезпеки для тяжких наслідків у різних сферах суспільних відносин. У випадку з диверсією коло таких об'єктів залежить від форми вчинення злочину: воно може бути як дуже широким, наприклад, при діях, що спричиняють радіоактивне забруднення, так і обмеженим, як у випадку пошкодження або знищення об'єктів, що мають важливе народногосподарське чи оборонне значення.</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Для правильного розуміння співвідношення диверсії та терористичного акту особливо важливо враховувати концепцію основ національної безпеки, яка визначає пріоритети у захисті держави та її громадян від різних видів загроз. Зокрема, ст. 113 КК України, яка регулює питання диверсії, охороняє найбільш важливі цінності та життєво важливі інтереси людини, суспільства та держави в різних сферах життя, включаючи сферу громадської безпеки [95, с. 137]. Це означає, що при наявності посягання на найбільш значущі соціальні цінності, таких як національна безпека, важливі економічні чи оборонні інтереси, пріоритет при застосуванні норм КК має бути наданий саме ст. 113, що визначає диверсію.</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Таким чином, у випадках, коли діяння спрямовані на підрив або порушення значущих національних інтересів, громадська безпека може бути додатковим факультативним об'єктом диверсії. Це дозволяє застосовувати кримінальну відповідальність за більш тяжкий злочин, коли порушення національної безпеки супроводжується загрозою для громадської безпеки, що є особливо важливим для забезпечення стабільності та функціонування держави. З практичного погляду, таке застосування норм Кримінального кодексу підвищує ефективність кримінально-правової охорони та дозволяє більш точно кваліфікувати діяння, спрямовані на завдання шкоди державним чи соціальним інтересам.</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Особливістю диверсії в порівнянні з терористичним актом є те, що в деяких формах диверсії предмет злочину є обов'язковою ознакою. Зокрема, до таких форм диверсії належать третя, четверта, п'ята, сьома і восьма, де предметами злочину є: об'єкти, що мають важливе народногосподарське чи оборонне значення, територія, тварини, рослини [99, с. 105]. Це означає, що диверсія завжди передбачає певний об'єкт, на який здійснюється посягання, і це є необхідною складовою частиною складу цього злочину. Натомість, терористичний акт не містить обов'язкової ознаки, що стосується предмета злочину. Для терористичного акту важливим є лише сам факт вчинення діяння, що створює небезпеку для життя, здоров’я людей або майна, а також наслідки цього діяння.</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Диверсія та терористичний акт також мають різні кількість і зміст об'єктивних ознак. Так, диверсія визначається лише діями, передбаченими в диспозиції ст. 113 КК, на основі яких можна виділити вісім основних форм диверсії, що відрізняються за характером об'єктів та метою посягання. У той час як терористичний акт, відповідно до ч. 1 ст. 258 КК, може бути скоєний у двох основних формах: перша форма передбачає застосування зброї, вибуху, підпалу або інших дій, що створюють небезпеку для життя чи здоров'я людини, значну шкоду майну або тяжкі наслідки; друга форма передбачає лише погрозу вчинити такі дії. У випадку терористичного акту першої форми об’єктивна сторона має три обов'язкові ознаки: 1) діяння — застосування зброї, вибуху, підпалу або інших дій; 2) наслідки, що полягають у створенні небезпеки для життя чи здоров'я людини, значної шкоди майну або настання тяжких наслідків; 3) причинний зв'язок між діянням і наслідками.</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Таким чином, порівняння цих двох злочинів показує, що існують ситуації, коли діяння особи може підпадати під ознаки як диверсії, так і терористичного акту. Це часто трапляється, коли злочин має мету дестабілізації соціальної чи державної безпеки, але при цьому конкретні дії можуть відрізнятися за характером і наслідками. У таких випадках важливо чітко розмежувати їх за іншими критеріями, як-от суб’єктивна сторона злочину, мета або конкретні наслідки. Якщо ці критерії відсутні або є неоднозначними, то кваліфікація злочину може бути вирішена через конкуренцію кримінально-правових норм.</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CC413C">
        <w:rPr>
          <w:rFonts w:ascii="Times New Roman" w:hAnsi="Times New Roman"/>
          <w:sz w:val="28"/>
          <w:szCs w:val="28"/>
          <w:lang w:eastAsia="ru-RU"/>
        </w:rPr>
        <w:t>Наприклад, терористичний акт може включати дії, які створюють небезпеку для нормальної роботи підприємств або установ, що підпадає під статтю 258 КК. В таких випадках важливо враховувати, чи мала мета ослабити державу або створити загрозу національній безпеці. Це дозволяє правильно застосовувати відповідні норми і забезпечити належну кримінальну відповідальність за злочини, що мають велике суспільне значення і спричиняють серйозні наслідки для стабільності та безпеки держави [100, с. 180].</w:t>
      </w:r>
    </w:p>
    <w:p w:rsidR="00071A7D" w:rsidRPr="00CC413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7727EC">
        <w:rPr>
          <w:rFonts w:ascii="Times New Roman" w:hAnsi="Times New Roman"/>
          <w:sz w:val="28"/>
          <w:szCs w:val="28"/>
        </w:rPr>
        <w:t>Особливу увагу варто звернути на різницю між ст. 113 КК та ст. 258 КК, оскільки в останній йдеться не тільки про «дії, спрямовані на…», а й про «дії, які створюють небезпеку…». Проте ці дії також можуть вважатися спрямованими на створення небезпеки, оскільки в ст. 258 КК йдеться про досягнення певної мети, зазначеної в статті. Спрямованість дій на створення небезпеки завжди є об’єктивно вираженим аспектом такої спрямованості. Цей висновок допомагає визначити ключову відмінність між диверсією та терористичним актом: ст. 113 КК описує дії, націлені на заподіяння шкоди конкретним об'єктам, тоді як ст. 258 КК охоплює два види дій: а) спрямовані на створення небезпеки та її реалізацію через реальне заподіяння шкоди; б) спрямовані тільки на створення небезпеки, без фактичного заподіяння шкоди. Перший вид дій подібний до дій, що вчиняються при диверсії, а другий є характерною ознакою терористичного акту. Наприклад, вибух без чіткої мети завдати шкоди, але із наміром створити небезпеку (з реальною можливістю шкоди), може бути способом залякування населення або досягнення інших цілей, що передбачені ст. 258 КК.</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 xml:space="preserve">Ключовою особливістю об’єктивної сторони терористичного акту, скоєного в першій формі, є те, що вона включає не лише дії, спрямовані на створення небезпеки для життя чи здоров’я людини або заподіяння значної майнової шкоди, а й фактичне створення такої небезпеки. Таким чином, реальне створення небезпеки є окремою обов'язковою ознакою об'єктивної сторони терористичного акту, яку необхідно встановити при кваліфікації злочину. Як зазначає В. П. Тихий, ознака створення небезпеки в ст. 258 КК означає реальну можливість настання тяжких наслідків, з великою ймовірністю їх неминучості, що призвело б до серйозних наслідків, якби не були вжиті заходи </w:t>
      </w:r>
      <w:r>
        <w:rPr>
          <w:rFonts w:ascii="Times New Roman" w:hAnsi="Times New Roman"/>
          <w:sz w:val="28"/>
          <w:szCs w:val="28"/>
        </w:rPr>
        <w:t>для усунення цієї небезпеки [101</w:t>
      </w:r>
      <w:r w:rsidRPr="007727EC">
        <w:rPr>
          <w:rFonts w:ascii="Times New Roman" w:hAnsi="Times New Roman"/>
          <w:sz w:val="28"/>
          <w:szCs w:val="28"/>
        </w:rPr>
        <w:t>, с. 333]. Це завжди потрібно оцінювати з урахуванням конкретних обставин, таких як характер вчинених дій, властивості використаної зброї або вибухових речовин, розташування потенційних жертв і інших чинників.</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У протилежність терористичному акту, у складі диверсії ознака «створення небезпеки» не є окремим елементом об’єктивної сторони злочину. Однак важливо враховувати, що під «діями, спрямованими…» в ст. 113 КК розуміються дії, які прямо націлені на заподіяння шкоди, що фактично призводить до створення реальної небезпеки для конкретного об'єкта національної безпеки. Це створення небезпеки лише частково збігається з тим, що має місце при вчиненні терористичного акту. Наприклад, вибух, спрямований на масове знищення людей у певному місці за допомогою вибухівки, але що не призводить до шкоди через специфічні характеристики вибухівки, яких особа не знала, може кваліфікуватися як диверсія, навіть якщо фактичного створення небезпеки за змістом ст. 258 КК в цьому випадку не було.</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Деякі автори вважають створення небезпеки, згадане в ст. 258 КК, сп</w:t>
      </w:r>
      <w:r>
        <w:rPr>
          <w:rFonts w:ascii="Times New Roman" w:hAnsi="Times New Roman"/>
          <w:sz w:val="28"/>
          <w:szCs w:val="28"/>
        </w:rPr>
        <w:t>ецифічним наслідком злочину [36, с. 586; 101, с. 17; 100</w:t>
      </w:r>
      <w:r w:rsidRPr="007727EC">
        <w:rPr>
          <w:rFonts w:ascii="Times New Roman" w:hAnsi="Times New Roman"/>
          <w:sz w:val="28"/>
          <w:szCs w:val="28"/>
        </w:rPr>
        <w:t>, с. 180]. З цим можна погодитись, але з уточненням, що мова йде не про фактичне заподіяння шкоди, а про можливість такої шкоди. Важливо те, що для кваліфікації злочину необхідно встановити причинно-наслідковий зв'язок між діянням і створенням цієї небезпеки. Визнання причинного зв’язку обов’язковим елементом складу злочину за ст. 258 КК є обґрунтованим, враховуючи судову практику, яка трактує подібне створення небезпеки в контексті злочинів проти безпеки виробництва. Так, Пленум ВСУ у постанові від 12 червня 2009 року № 7 рекомендує судам встановлювати причинно-наслідковий зв'язок між порушеннями законодавства про охорону праці та н</w:t>
      </w:r>
      <w:r>
        <w:rPr>
          <w:rFonts w:ascii="Times New Roman" w:hAnsi="Times New Roman"/>
          <w:sz w:val="28"/>
          <w:szCs w:val="28"/>
        </w:rPr>
        <w:t>аслідками, що могли настати [102</w:t>
      </w:r>
      <w:r w:rsidRPr="007727EC">
        <w:rPr>
          <w:rFonts w:ascii="Times New Roman" w:hAnsi="Times New Roman"/>
          <w:sz w:val="28"/>
          <w:szCs w:val="28"/>
        </w:rPr>
        <w:t>]. Такого зв'язку не вимагає об'єктивна сторона диверсії.</w:t>
      </w:r>
    </w:p>
    <w:p w:rsidR="00071A7D" w:rsidRPr="007727E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7727EC">
        <w:rPr>
          <w:rFonts w:ascii="Times New Roman" w:hAnsi="Times New Roman"/>
          <w:sz w:val="28"/>
          <w:szCs w:val="28"/>
          <w:lang w:eastAsia="ru-RU"/>
        </w:rPr>
        <w:t>Щодо суб’єктивної сторони, як диверсія, так і терористичний акт характеризуються умисною формою вини, причому в обох випадках діяння вчинюються з прямим умислом. Зміст цього умислу при вчиненні диверсії та терористичного акту в другій формі (коли мова йде про погрозу вчинення відповідних дій) включає дві основні ознаки: 1) усвідомлення особою суспільно небезпечного характеру вчинюваного діяння, що передбачає як усвідомлення фактичних ознак діянь, які визначають об’єктивні сторони злочинів, так і їх соціальну значущість — можливість заподіяння істотної шкоди об’єктам кримінально-правової охорони; 2) бажання здійснити ці дії. У разі вчинення терористичного акту в першій формі, зміст умислу має деякі особливості порівняно з диверсією та другою формою терористичного акту. Зокрема, інтелектуальна частина умислу, окрім зазначених ознак, включає передбачення настання специфічних наслідків, таких як небезпека для життя чи здоров’я людини, значна майнова шкода або інші тяжкі наслідки. Вольова частина умислу визначається як бажання створити таку небезпеку.</w:t>
      </w:r>
    </w:p>
    <w:p w:rsidR="00071A7D" w:rsidRPr="007727EC"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7727EC">
        <w:rPr>
          <w:rFonts w:ascii="Times New Roman" w:hAnsi="Times New Roman"/>
          <w:sz w:val="28"/>
          <w:szCs w:val="28"/>
          <w:lang w:eastAsia="ru-RU"/>
        </w:rPr>
        <w:t>Диверсія відрізняється від терористичного акту метою вчинення злочинних діянь, що безпосередньо визначено в змісті статей 113 та 258 КК. Метою диверсії є ослаблення держави, тоді як терористичний акт має кілька альтернативних цілей: 1) порушення громадської безпеки; 2) залякування населення; 3) провокація воєнного конфлікту чи міжнародного ускладнення; 4) вплив на прийняття рішень або на дії органів державної влади, місцевого самоврядування, їх службових осіб, об'єднань громадян, юридичних осіб; 5) привернення уваги до політичних, релігійних чи інших поглядів винного (терориста). Позиція В. В. Колоскова, який стверджує, що вибухи, підпали чи інші дії, спрямовані на масове знищення людей або заподіяння тілесних ушкоджень, є метою терористичних актів, а не диверсії [114, с. 77], не відповідає законодавчим положенням. У складі терористичного акту мета визначена альтернативно, тобто для кваліфікації злочину достатньо наявності хоча б однієї з цих цілей</w:t>
      </w:r>
      <w:r>
        <w:rPr>
          <w:rFonts w:ascii="Times New Roman" w:hAnsi="Times New Roman"/>
          <w:sz w:val="28"/>
          <w:szCs w:val="28"/>
          <w:lang w:eastAsia="ru-RU"/>
        </w:rPr>
        <w:t xml:space="preserve">. </w:t>
      </w:r>
      <w:r w:rsidRPr="007727EC">
        <w:rPr>
          <w:rFonts w:ascii="Times New Roman" w:hAnsi="Times New Roman"/>
          <w:sz w:val="28"/>
          <w:szCs w:val="28"/>
          <w:lang w:eastAsia="ru-RU"/>
        </w:rPr>
        <w:t>Проте, на нашу думку, це може бути розцінено як одна з альтернативних цілей, визначених у ст. 258 КК. Крім того, у випадках диверсії залякування населення може бути частиною мети ослаблення держави, що також кваліфікується як диверсія за ст. 113 КК, залежно від конкретних обставин (це питання розглядатиметься далі).</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7727EC">
        <w:rPr>
          <w:rFonts w:ascii="Times New Roman" w:hAnsi="Times New Roman"/>
          <w:sz w:val="28"/>
          <w:szCs w:val="28"/>
          <w:lang w:eastAsia="ru-RU"/>
        </w:rPr>
        <w:t>Що стосується суб’єкта злочину, то між диверсією та терористичним актом немає суттєвих відмінностей. В обох випадках суб'єктом злочину є фізична осудна особа, яка на момент вчинення злочину досягла 14-річного віку.</w:t>
      </w:r>
    </w:p>
    <w:p w:rsidR="00071A7D" w:rsidRDefault="00071A7D" w:rsidP="005E669B">
      <w:pPr>
        <w:spacing w:before="100" w:beforeAutospacing="1" w:after="100" w:afterAutospacing="1" w:line="360" w:lineRule="auto"/>
        <w:ind w:firstLine="708"/>
        <w:contextualSpacing/>
        <w:jc w:val="both"/>
        <w:rPr>
          <w:rFonts w:ascii="Times New Roman" w:hAnsi="Times New Roman"/>
          <w:sz w:val="28"/>
          <w:szCs w:val="28"/>
          <w:lang w:eastAsia="ru-RU"/>
        </w:rPr>
      </w:pPr>
      <w:r w:rsidRPr="007727EC">
        <w:rPr>
          <w:rFonts w:ascii="Times New Roman" w:hAnsi="Times New Roman"/>
          <w:sz w:val="28"/>
          <w:szCs w:val="28"/>
          <w:lang w:eastAsia="ru-RU"/>
        </w:rPr>
        <w:t>Отже, злочини, передбачені ст. 113 та 258 КК, мають свої специфічні особливості за об'єктами, об’єктивними та суб’єктивними ознаками, за якими їх можна розрізняти. Ці ознаки можуть стати вирішальними для розмежування диверсії та терористичного акту, особливо коли вчинене діяння містить спільні ознаки для обох злочинів.</w:t>
      </w:r>
    </w:p>
    <w:p w:rsidR="00071A7D" w:rsidRPr="005E669B" w:rsidRDefault="00071A7D" w:rsidP="005E669B">
      <w:pPr>
        <w:spacing w:before="100" w:beforeAutospacing="1" w:after="100" w:afterAutospacing="1" w:line="360" w:lineRule="auto"/>
        <w:ind w:firstLine="708"/>
        <w:contextualSpacing/>
        <w:jc w:val="both"/>
        <w:rPr>
          <w:rFonts w:ascii="Times New Roman" w:hAnsi="Times New Roman"/>
          <w:sz w:val="28"/>
          <w:szCs w:val="28"/>
          <w:lang w:eastAsia="ru-RU"/>
        </w:rPr>
      </w:pPr>
      <w:r w:rsidRPr="007727EC">
        <w:rPr>
          <w:rFonts w:ascii="Times New Roman" w:hAnsi="Times New Roman"/>
          <w:b/>
          <w:bCs/>
          <w:sz w:val="28"/>
          <w:szCs w:val="28"/>
          <w:lang w:eastAsia="ru-RU"/>
        </w:rPr>
        <w:t>3.2 Співвідношення диверсії (ст. 113 КК) з іншими злочинами</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Як зазначалося раніше, наявність різноманітних форм диверсії призводить до того, що в Кримінальному кодексі України міститься велика кількість норм, які можуть бути пов’язані з цією статтею і застосовуватись для кваліфікації різних діянь, що посягають на безпеку держави та її громадян. Диверсія може мати різні форми та спрямовуватися на різні об'єкти правової охорони, що визначає її складність і широкий спектр можливих правових наслідків. Саме тому питання співвідношення диверсії з іншими злочинами, передбаченими в Кримінальному кодексі, є важливим і актуальним для практики правозастосування. Це питання висвітлюється в наукових джерелах, де проводиться детальний аналіз юридичних ознак, що дозволяють відрізняти склади злочинів і правильно визначати кваліфікацію діянь, котрі мають спільні елементи з диверсією [17, с. 60-61; 46, с. 154-155; 45, с. 18].</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Науковці, які досліджують це питання, зазначають, що для правильного розмежування диверсії від інших злочинів необхідно враховувати кілька ключових ознак, таких як: мета злочину (ослаблення держави або національної безпеки), об’єкт посягання (влада, державні чи військові об’єкти), а також наслідки діяння. Одним із основних критеріїв є визначення, чи є у діянні мотив, спрямований саме на ослаблення держави або її безпеку, що є характерною ознакою складу диверсії. Проте, у реальній практиці часто виникають ситуації, коли ознаки диверсії можуть частково збігатися з іншими злочинами, що ускладнює процес їх кваліфікації.</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Особливо складними є випадки, коли юридичні ознаки диверсії повністю збігаються з іншими злочинами, передбаченими в Кримінальному кодексі. Така ситуація призводить до проблем у правозастосуванні, оскільки необхідно точно визначити, який злочин мав місце, і чи є підстави для додаткової кваліфікації. Це питання залишається відкритим і потребує подальшого теоретичного аналізу, оскільки різноманітність форм диверсії і можливість її співпадіння з іншими злочинами ускладнюють юридичну визначеність. В таких випадках правозастосовчі органи повинні враховувати всі обставини справи, щоб уникнути неправильної кваліфікації і забезпечити справедливе покарання для правопорушників.</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Важливою проблемою є те, що такі випадки потребують спеціального підходу до аналізу обставин кожного конкретного злочину. При цьому важливим є не тільки встановлення факту скоєння диверсії, а й виявлення всіх складових цього діяння, зокрема його мети та наслідків. У таких випадках необхідно не тільки враховувати юридичні ознаки кожного з можливих злочинів, а й оцінювати їх у контексті суспільної небезпечності та загрози, яку вони становлять для держави та міжнародної безпеки. Це питання потребує більш глибокого вивчення і розвитку правозастосовчої практики, щоб забезпечити точність у правовій кваліфікації і уникнути помилок при вирішенні таких справ.</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904375">
        <w:rPr>
          <w:rFonts w:ascii="Times New Roman" w:hAnsi="Times New Roman"/>
          <w:sz w:val="28"/>
          <w:szCs w:val="28"/>
          <w:lang w:eastAsia="ru-RU"/>
        </w:rPr>
        <w:t>По-перше, питання співвідношення диверсії з іншими злочинами, передбаченими в розділі І Особливої частини Кримінального кодексу України, є важливим та складним у правозастосовчій практиці. Зокрема, на практиці можливе поєднання диверсії з іншими злочинами, що передбачені статтями 109, 110 та 111 КК. Наприклад, особа може здійснювати диверсію, одночасно переслідуючи мету ослаблення держави, а також намагаючись змінити конституційний лад або здійснити захоплення державної влади. Це може відбуватися через реалізацію злочинної діяльності, спрямованої на підрив основ національної безпеки, з порушенням норм, що регулюють державну владу та її стабільність. Деякі науковці зазначають, що одна з форм співучасті в таких злочинах може бути надання допомоги іноземним державам або організаціям у проведенні підривної діяльності проти України. Така допомога може проявлятися безпосередньо у вигляді диверсії, яка охоплює широкий спектр протиправних дій, спрямованих на порушення національної безпеки, зокрема через терористичні чи шкідливі акти, що руйнують державні інститути та інфраструктуру [103, с</w:t>
      </w:r>
      <w:r>
        <w:rPr>
          <w:rFonts w:ascii="Times New Roman" w:hAnsi="Times New Roman"/>
          <w:sz w:val="28"/>
          <w:szCs w:val="28"/>
          <w:lang w:eastAsia="ru-RU"/>
        </w:rPr>
        <w:t>. 384].</w:t>
      </w:r>
    </w:p>
    <w:p w:rsidR="00071A7D" w:rsidRPr="00904375"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904375">
        <w:rPr>
          <w:rFonts w:ascii="Times New Roman" w:hAnsi="Times New Roman"/>
          <w:sz w:val="28"/>
          <w:szCs w:val="28"/>
          <w:lang w:eastAsia="ru-RU"/>
        </w:rPr>
        <w:t>Особливо складне питання виникає при співвідношенні диверсії з іншими злочинами, такими як посягання на життя державного або громадського діяча, що передбачено статтею 112 КК. Якщо злочин, передбачений цією статтею, здійснюється з метою ослаблення держави і має ознаки масового знищення людей, то в такому випадку виникає повне співпадіння діяння з диверсією першої форми. Наприклад, у разі масового знищення державних діячів з метою ослаблення держави, таке діяння може бути кваліфіковане як диверсія, оскільки воно спрямоване на знищення або ослаблення основ державної системи та її керівних структур. Проте існує важливий нюанс, пов'язаний з кваліфікацією цього злочину: санкція статті 113 КК не передбачає покарання у вигляді довічного позбавлення волі, що є важливою обставиною при визначенні відповідної міри покарання. У таких випадках виникає необхідність додаткової кваліфікації дій за статтею 112 КК, де передбачено покарання, включаючи довічне позбавлення волі. Це дозволяє більш точно оцінити характер і ступінь суспільної небезпечності діяння при призначенні покарання, а також урахувати всі обтяжуючі обставини, які можуть супроводжувати цей злочин.</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904375">
        <w:rPr>
          <w:rFonts w:ascii="Times New Roman" w:hAnsi="Times New Roman"/>
          <w:sz w:val="28"/>
          <w:szCs w:val="28"/>
          <w:lang w:eastAsia="ru-RU"/>
        </w:rPr>
        <w:t>Водночас, згідно з п. 12 постанови Пленуму Верховного Суду України "Про судову практику в справах про злочини проти життя та здоров'я особи" від 7 лютого 2003 року № 2, умисне вбивство чи замах на вбивство державного або громадського діяча за обтяжуючих обставин підлягає додатковій кваліфікації за відповідними пунктами частини 2 статті 115 КК, за винятком пункту 8 цієї статті. Така додаткова кваліфікація є важливою для правильного застосування санкцій і визначення тяжкості покарання, оскільки враховує не тільки конкретний характер злочину, а й його мотиви, суспільну небезпеку та можливі наслідки для суспільства і держави в цілому.</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 xml:space="preserve">По-друге, стосовно співвідношення диверсії з іншими злочинами, передбаченими розділом ХХ Особливої частини Кримінального кодексу України, варто наголосити на тому, що захист миру та безпеки людства є пріоритетним напрямом кримінально-правової охорони. Цей розділ КК містить норми, що націлені на запобігання злочинам, які можуть становити серйозну загрозу міжнародному миру, стабільності та безпеці людства в цілому. Злочини, що посягають на мир і безпеку людства, вважаються одними з найтяжчих суспільно небезпечних діянь, оскільки їх наслідки можуть мати катастрофічний характер для не лише окремих держав, але й для міжнародної спільноти в цілому. Такі злочини часто спричиняють масштабні руйнування, загибель людей, порушення міжнародного порядку та прав людини, а також негативно впливають на стабільність і розвиток міжнародних відносин. В порівнянні із злочинами проти національної безпеки України, злочини, що посягають на мир і безпеку людства, мають ще більшу суспільну небезпечність, оскільки вони можуть охоплювати не лише національні інтереси окремої держави, а й загрози для всього світу </w:t>
      </w:r>
      <w:r>
        <w:rPr>
          <w:rFonts w:ascii="MS Gothic" w:eastAsia="MS Gothic" w:hAnsi="MS Gothic" w:cs="MS Gothic"/>
          <w:sz w:val="28"/>
          <w:szCs w:val="28"/>
          <w:lang w:eastAsia="ru-RU"/>
        </w:rPr>
        <w:t>[</w:t>
      </w:r>
      <w:r w:rsidRPr="006821F2">
        <w:rPr>
          <w:rFonts w:ascii="Times New Roman" w:hAnsi="Times New Roman"/>
          <w:sz w:val="28"/>
          <w:szCs w:val="28"/>
          <w:lang w:eastAsia="ru-RU"/>
        </w:rPr>
        <w:t>104, с. 9</w:t>
      </w:r>
      <w:r w:rsidRPr="006821F2">
        <w:rPr>
          <w:rFonts w:ascii="MS Gothic" w:eastAsia="MS Gothic" w:hAnsi="MS Gothic" w:cs="MS Gothic"/>
          <w:sz w:val="28"/>
          <w:szCs w:val="28"/>
          <w:lang w:eastAsia="ru-RU"/>
        </w:rPr>
        <w:t>]</w:t>
      </w:r>
      <w:r w:rsidRPr="006821F2">
        <w:rPr>
          <w:rFonts w:ascii="Times New Roman" w:hAnsi="Times New Roman"/>
          <w:sz w:val="28"/>
          <w:szCs w:val="28"/>
          <w:lang w:eastAsia="ru-RU"/>
        </w:rPr>
        <w:t>.</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Тому при наявності всіх необхідних юридичних ознак для кваліфікації діянь як злочину, що посягає на мир і безпеку людства, пріоритет при застосуванні норм Кримінального кодексу має бути відданий саме цьому розділу. Злочини, що вчиняються з метою порушення міжнародного миру або безпеки, мають особливе значення, і їх кваліфікація має відповідати міжнародним правовим стандартам. Водночас можуть виникати ситуації ідеальної сукупності між диверсією та іншими злочинами, що передбачені в розділі ХХ КК, що потребує особливої уваги під час правозастосування.</w:t>
      </w:r>
    </w:p>
    <w:p w:rsidR="00071A7D"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Наприклад, якщо в результаті поширення епізоотій (зарази серед тварин) чи епіфітотій (масових захворювань серед рослин) з метою ослаблення держави відбувається масове знищення флори або фауни, що призводить до загрози екологічної катастрофи, то таке діяння може бути кваліфіковано за статтями 113 та 441 КК. Тобто, на практиці це може бути злочин, який одночасно підпадає під норми, що стосуються як диверсії, так і екологічної безпеки. І. І. Строкова, надаючи класифікацію для геноциду, відносить осіб, які можуть стати жертвами таких злочинів, до представників національних, етнічних, расових або релігійних груп, що також є важливою ознакою для визначення тяжкості та характеру злочину, особливо в контексті порушення міжнародного права та прав людини [283, с. 11].</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Хоча ця ознака (належність до певних груп) не є характерною для складу диверсії, в певних випадках вчинення вибухів, підпалів або інших дій, спрямованих на масове знищення людей, нанесення їм тілесних ушкоджень або іншої шкоди, а також дій, що можуть спричинити масові отруєння чи епідемії, одночасно може бути кваліфіковане як посягання на ослаблення держави, що спричиняє часткове або навіть повне знищення зазначених груп. Наприклад, вибух, спрямований на масове знищення національної меншини з метою ослаблення держави, може бути кваліфікований як ідеальна сукупність злочинів за статтями 113 та 442 КК. У такому разі, навіть якщо вчинений злочин не містить усіх ознак геноциду, він може потягти за собою необхідність додаткової кваліфікації за іншими статтями Кримінального кодексу, зокрема тими, що регулюють злочини проти миру та безпеки людства.</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Аналогічно вирішується питання співвідношення диверсії з посяганням на життя представника іноземної держави, що передбачено статтею 443 КК, з можливістю застосування також статті 115 КК. Це питання регулюється в контексті судової практики, зокрема через пункти 12 постанови Пленуму Верховного Суду України "Про судову практику в справах про злочини проти життя та здоров'я особи" від 7 лютого 2003 року № 2. Згідно з цією постановою, умисне вбивство чи замах на вбивство державного чи громадського діяча, здійснене за обтяжуючих обставин, підлягає додатковій кваліфікації за відповідними пунктами частини 2 статті 115 КК, за винятком пункту 8 цієї статті. Це дозволяє більш точно кваліфікувати склад злочину, враховуючи всі обставини справи, а також забезпечити належне покарання за діяння, що мають велике суспільне значення та потенційно можуть призвести до серйозних наслідків для державної безпеки та міжнародного порядку.</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По-третє, стосовно співвідношення диверсії з іншими злочинами, передбаченими в інших розділах Особливої частини Кримінального кодексу України, необхідно особливо виділити випадки, коли певні злочини частково співпадають з елементами диверсії. Це стосується ситуацій, коли злочин має деякі спільні ознаки з диверсією, але не включає в себе мету ослаблення держави або інші характерні ознаки цього злочину. В таких випадках, якщо відсутня мета ослаблення держави чи підриву її основ, кримінальна відповідальність може наставати за статтями, що регулюють інші злочини. Наприклад, це можуть бути злочини, передбачені статтями 194 (умисне знищення або пошкодження майна), 194-1 (незаконне заволодіння майном), 265 (незаконне зберігання, використання або виготовлення вибухових пристроїв), 270-1 (незаконне втручання в роботу автоматизованих систем управління), 277 (тероризм), 292 (масове безладдя), 357 (шпигунство), 360 (порушення правил безпеки дорожнього руху з тяжкими наслідками), або 411 (використання заборонених методів ведення війни) Кримінального кодексу України.</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У таких випадках важливо здійснити детальне розмежування між диверсією та іншими злочинами, оскільки це дозволить правильно оцінити суспільну небезпеку діяння та визначити відповідну кваліфікацію. Розмежування може бути складним, особливо якщо вчинене діяння має ознаки масового знищення людей або інших тяжких наслідків, що можуть бути кваліфіковані як вбивство двох і більше осіб за п. 1 ч. 2 ст. 115 КК, але при цьому відсутній умисел щодо підриву національної безпеки. У таких випадках важливо звернути увагу на характер і ступінь суспільної небезпечності діяння, оскільки від цього залежить кваліфікація за відповідними статтями Кримінального кодексу.</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Особливість співвідношення диверсії з іншими злочинами полягає в тому, що інколи діяння може мати всі ознаки диверсії, але при цьому може виникнути конкуренція між кримінально-правовими нормами щодо диверсії та іншого злочину. У таких ситуаціях застосовують ст. 113 КК, оскільки вона охороняє не лише безпеку держави, а й інші важливі цінності, такі як життя і здоров'я людей, екологічну безпеку, інтереси національної економіки, а також сприяє захисту прав та свобод громадян. Це дозволяє правильно оцінити суспільну небезпечність діяння в контексті загрози для основ державного устрою, стабільності суспільства і національної безпеки.</w:t>
      </w:r>
    </w:p>
    <w:p w:rsidR="00071A7D" w:rsidRPr="006821F2" w:rsidRDefault="00071A7D" w:rsidP="004E28F4">
      <w:pPr>
        <w:spacing w:before="100" w:beforeAutospacing="1" w:after="100" w:afterAutospacing="1" w:line="360" w:lineRule="auto"/>
        <w:contextualSpacing/>
        <w:jc w:val="both"/>
        <w:rPr>
          <w:rFonts w:ascii="Times New Roman" w:hAnsi="Times New Roman"/>
          <w:sz w:val="28"/>
          <w:szCs w:val="28"/>
          <w:lang w:eastAsia="ru-RU"/>
        </w:rPr>
      </w:pPr>
      <w:r w:rsidRPr="006821F2">
        <w:rPr>
          <w:rFonts w:ascii="Times New Roman" w:hAnsi="Times New Roman"/>
          <w:sz w:val="28"/>
          <w:szCs w:val="28"/>
          <w:lang w:eastAsia="ru-RU"/>
        </w:rPr>
        <w:t>Згідно з цією концепцією, діяння, яке зачіпає кілька сфер суспільних відносин (наприклад, екологічну безпеку і національну безпеку), повинно бути кваліфіковане як диверсія, навіть якщо порушує інші правові норми. Таким чином, при застосуванні ст. 113 КК, можна визнати співвідношення цілих і частин, де основною метою є захист національної безпеки, а порушення інших інтересів є додатковим об’єктом цього злочину.</w:t>
      </w:r>
    </w:p>
    <w:p w:rsidR="00071A7D" w:rsidRPr="006821F2" w:rsidRDefault="00071A7D" w:rsidP="004E28F4">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Водночас у випадках, коли вчинене діяння має всі ознаки диверсії, але воно карається більш суворо через свою небезпечність, наприклад, у разі масового знищення людей чи вбивства державних діячів, необхідно застосовувати додаткову кваліфікацію за іншими статтями КК, такими як ч. 2 ст. 115 КК, де передбачено покарання за умисне вбивство, скоєне за обтяжуючих обставин. Це забезпечує більш точну кваліфікацію та відповідне покарання за вчинене діяння, враховуючи всі обставини справи.</w:t>
      </w:r>
    </w:p>
    <w:p w:rsidR="00071A7D" w:rsidRDefault="00071A7D" w:rsidP="005E669B">
      <w:pPr>
        <w:spacing w:before="100" w:beforeAutospacing="1" w:after="100" w:afterAutospacing="1" w:line="360" w:lineRule="auto"/>
        <w:ind w:firstLine="708"/>
        <w:contextualSpacing/>
        <w:jc w:val="both"/>
        <w:rPr>
          <w:rFonts w:ascii="Times New Roman" w:hAnsi="Times New Roman"/>
          <w:sz w:val="28"/>
          <w:szCs w:val="28"/>
          <w:lang w:eastAsia="ru-RU"/>
        </w:rPr>
      </w:pPr>
      <w:r w:rsidRPr="006821F2">
        <w:rPr>
          <w:rFonts w:ascii="Times New Roman" w:hAnsi="Times New Roman"/>
          <w:sz w:val="28"/>
          <w:szCs w:val="28"/>
          <w:lang w:eastAsia="ru-RU"/>
        </w:rPr>
        <w:t>Отже, співвідношення диверсії з іншими злочинами вимагає ретельного розмежування залежно від мети та конкретних обставин злочину. Важливо правильно визначити, чи є вчинене діяння спрямованим на підрив національної безпеки та основ державного устрою, чи йдеться про інший злочин, що вимагає окремої кваліфікації. У разі конкуренції кримінально-правових норм при оцінці діяння, пріоритет надається нормі, яка охороняє найважливіші цінності, такі як б</w:t>
      </w:r>
      <w:r>
        <w:rPr>
          <w:rFonts w:ascii="Times New Roman" w:hAnsi="Times New Roman"/>
          <w:sz w:val="28"/>
          <w:szCs w:val="28"/>
          <w:lang w:eastAsia="ru-RU"/>
        </w:rPr>
        <w:t>езпека держави та її інститутів.</w:t>
      </w:r>
    </w:p>
    <w:p w:rsidR="00071A7D" w:rsidRPr="009C0C54" w:rsidRDefault="00071A7D" w:rsidP="005E669B">
      <w:pPr>
        <w:spacing w:before="100" w:beforeAutospacing="1" w:after="100" w:afterAutospacing="1" w:line="360" w:lineRule="auto"/>
        <w:ind w:firstLine="708"/>
        <w:contextualSpacing/>
        <w:jc w:val="center"/>
        <w:rPr>
          <w:rFonts w:ascii="Times New Roman" w:hAnsi="Times New Roman"/>
          <w:sz w:val="28"/>
          <w:szCs w:val="28"/>
          <w:lang w:eastAsia="ru-RU"/>
        </w:rPr>
      </w:pPr>
      <w:r w:rsidRPr="00E256E2">
        <w:rPr>
          <w:rFonts w:ascii="Times New Roman" w:hAnsi="Times New Roman"/>
          <w:b/>
          <w:sz w:val="28"/>
          <w:szCs w:val="28"/>
        </w:rPr>
        <w:t xml:space="preserve">Висновки до </w:t>
      </w:r>
      <w:r w:rsidRPr="00E256E2">
        <w:rPr>
          <w:rFonts w:ascii="Times New Roman" w:hAnsi="Times New Roman"/>
          <w:b/>
          <w:sz w:val="28"/>
          <w:szCs w:val="28"/>
          <w:lang w:val="uk-UA"/>
        </w:rPr>
        <w:t>Розділу 3</w:t>
      </w:r>
    </w:p>
    <w:p w:rsidR="00071A7D"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1. Питання співвідношення диверсії і терористичного акту є складним і дискусійним, що призводить до значних труднощів у практиці. Для вирішення цього питання важливо використовувати науковий підхід, який включає порівняльний аналіз норм щодо диверсії та терористичного акту, а також вивчення конкуренції між статтями 113 і 258 КК та можливості їх сукупності.</w:t>
      </w:r>
      <w:r>
        <w:rPr>
          <w:rFonts w:ascii="Times New Roman" w:hAnsi="Times New Roman"/>
          <w:sz w:val="28"/>
          <w:szCs w:val="28"/>
        </w:rPr>
        <w:tab/>
      </w:r>
      <w:r w:rsidRPr="007727EC">
        <w:rPr>
          <w:rFonts w:ascii="Times New Roman" w:hAnsi="Times New Roman"/>
          <w:sz w:val="28"/>
          <w:szCs w:val="28"/>
        </w:rPr>
        <w:t>2. Склади диверсії (ст. 113 КК) та терористичного акту (ст. 258 КК) мають як спільні, так і відмінні ознаки. У практиці це може призвести до двох можливих ситуацій: а) коли ці ознаки допомагають відрізнити один злочин від іншого, що вказує на правильність застосування відповідної статті; б) коли наявність ознак обох складів злочинів свідчить про конкуренцію статей, що визначається особливостями вчиненого діяння.</w:t>
      </w:r>
      <w:r>
        <w:rPr>
          <w:rFonts w:ascii="Times New Roman" w:hAnsi="Times New Roman"/>
          <w:sz w:val="28"/>
          <w:szCs w:val="28"/>
        </w:rPr>
        <w:tab/>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3. Диверсія і терористичний акт мають різні родові та безпосередні об'єкти. У деяких випадках об'єкти, такі як відносини власності, можуть бути додатковими в обох злочинах. Також громадська безпека може бути додатковим факультативним об'єктом для диверсії. Предмет злочину є обов'язковою ознакою для деяких форм диверсії, але не є такою для терористичного акту.</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4. Диверсія і терористичний акт розрізняються за кількістю та змістом ознак, що їх характеризують. Наприклад, погроза як інформаційна дія є характерною для другої форми терористичного акту, але не для диверсії, що дозволяє кваліфікувати погрозу як терористичний акт за ст. 258 КК.</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5. Диверсія має схожість з терористичним актом першої форми за такими об'єктивними ознаками, як вибухи або підпали, але терористичний акт має додаткові обов'язкові ознаки, такі як створення небезпеки та причинно-наслідковий зв'язок між діями та небезпекою, чого немає у складі диверсії.</w:t>
      </w:r>
    </w:p>
    <w:p w:rsidR="00071A7D" w:rsidRPr="007727EC" w:rsidRDefault="00071A7D" w:rsidP="004E28F4">
      <w:pPr>
        <w:spacing w:after="0" w:line="360" w:lineRule="auto"/>
        <w:ind w:firstLine="708"/>
        <w:contextualSpacing/>
        <w:jc w:val="both"/>
        <w:rPr>
          <w:rFonts w:ascii="Times New Roman" w:hAnsi="Times New Roman"/>
          <w:sz w:val="28"/>
          <w:szCs w:val="28"/>
          <w:lang w:eastAsia="ru-RU"/>
        </w:rPr>
      </w:pPr>
      <w:r w:rsidRPr="007727EC">
        <w:rPr>
          <w:rFonts w:ascii="Times New Roman" w:hAnsi="Times New Roman"/>
          <w:sz w:val="28"/>
          <w:szCs w:val="28"/>
        </w:rPr>
        <w:t xml:space="preserve">6. Відповідно до ст. 258 КК, під «діями, що створюють небезпеку…» розуміються два види дій: а) дії, спрямовані на створення небезпеки і її реалізацію; б) дії, спрямовані лише на створення небезпеки. Перший вид схожий на дії, що вчиняються при диверсії, а другий </w:t>
      </w:r>
      <w:r w:rsidRPr="007727EC">
        <w:rPr>
          <w:rFonts w:ascii="Times New Roman" w:hAnsi="Times New Roman"/>
          <w:color w:val="000000"/>
          <w:sz w:val="28"/>
          <w:szCs w:val="28"/>
          <w:lang w:eastAsia="ru-RU"/>
        </w:rPr>
        <w:t xml:space="preserve"> відрізняє терористичний акт від диверсії, оскільки ст. 113 КК не передбачає створення небезпеки без фактичного її заподіяння.</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7. Диверсія і терористичний акт (ч. 1 ст. 258 КК) вчиняються з прямим умислом, проте їх зміст відрізняється. Для диверсії це мета ослаблення держави, а для терористичного акту — одна з п'яти альтернативних цілей, визначених у ст. 258 КК. Мотиви злочинів можуть бути різними, але це не впливає на їх кваліфікацію.</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8. Конструкція складу злочину в диверсії та терористичному акті має відмінності: диверсія має усічений склад у всіх формах, тоді як терористичний акт першої форми передбачає нетиповий матеріальний склад (створення небезпеки), а друга форма (погроза як інформаційна дія) має формальний склад. Термін завершення злочину також різний: терористичний акт першої форми вважається завершеним з моменту створення реальної небезпеки, тоді як диверсія вважається завершеною з моменту вчинення самого діяння.</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9. Диспозиція ст. 113 КК охоплює не тільки випадки реалізації умислу на вчинення диверсії, а й фактичне заподіяння шкоди об’єкту національної безпеки, що може вимагати додаткової кваліфікації за наявності більш тяжких ознак злочину. У випадку терористичного акту шкода може бути кваліфікована без додаткової кваліфікації, при цьому заподіяння шкоди з необережності охоплюється ст. 258 КК, в той час як ст. 113 КК цього не передбачає.</w:t>
      </w:r>
    </w:p>
    <w:p w:rsidR="00071A7D" w:rsidRPr="007727EC"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10. У практиці можливі випадки конкуренції між нормами про диверсію та терористичний акт, вчинений першою формою. Це слід вирішувати з урахуванням того, що ст. 113 КК охоплює норму про ціле, а ст. 258 КК — про частину цілого. Отже, якщо мета терористичного акту, зазначена в ст. 258 КК, є частиною мети ослаблення держави, а громадська безпека є додатковим об’єктом, то вчинене слід кваліфікувати як диверсію за ст. 113 КК. Ці випадки потрібно відрізняти від ідеальної сукупності диверсії та терористичного акту.</w:t>
      </w:r>
    </w:p>
    <w:p w:rsidR="00071A7D" w:rsidRPr="007727EC" w:rsidRDefault="00071A7D" w:rsidP="004E28F4">
      <w:pPr>
        <w:spacing w:line="360" w:lineRule="auto"/>
        <w:ind w:firstLine="708"/>
        <w:contextualSpacing/>
        <w:jc w:val="both"/>
        <w:rPr>
          <w:rFonts w:ascii="Times New Roman" w:hAnsi="Times New Roman"/>
          <w:sz w:val="28"/>
          <w:szCs w:val="28"/>
        </w:rPr>
      </w:pPr>
      <w:r>
        <w:rPr>
          <w:rFonts w:ascii="Times New Roman" w:hAnsi="Times New Roman"/>
          <w:sz w:val="28"/>
          <w:szCs w:val="28"/>
          <w:lang w:val="uk-UA"/>
        </w:rPr>
        <w:t>1</w:t>
      </w:r>
      <w:r w:rsidRPr="007727EC">
        <w:rPr>
          <w:rFonts w:ascii="Times New Roman" w:hAnsi="Times New Roman"/>
          <w:sz w:val="28"/>
          <w:szCs w:val="28"/>
        </w:rPr>
        <w:t>1. Співвідношення диверсії з іншими злочинами, окрім терористичного акту, залежить від місця цього злочину в системі Особливої частини КК. Це може бути: 1) розділ I «Злочини проти основ національної безпеки»; 2) розділ ХХ «Злочини проти миру, безпеки людства та міжнародного правопорядку»; або 3) інші розділи. Співвідношення з злочинами з розділів I і ХХ може передбачати можливість їх поєднання, що призводить до кваліфікації за сукупністю.</w:t>
      </w:r>
    </w:p>
    <w:p w:rsidR="00071A7D" w:rsidRDefault="00071A7D" w:rsidP="004E28F4">
      <w:pPr>
        <w:spacing w:line="360" w:lineRule="auto"/>
        <w:ind w:firstLine="708"/>
        <w:contextualSpacing/>
        <w:jc w:val="both"/>
        <w:rPr>
          <w:rFonts w:ascii="Times New Roman" w:hAnsi="Times New Roman"/>
          <w:sz w:val="28"/>
          <w:szCs w:val="28"/>
        </w:rPr>
      </w:pPr>
      <w:r w:rsidRPr="007727EC">
        <w:rPr>
          <w:rFonts w:ascii="Times New Roman" w:hAnsi="Times New Roman"/>
          <w:sz w:val="28"/>
          <w:szCs w:val="28"/>
        </w:rPr>
        <w:t>12. Співвідношення диверсії з іншими злочинами, передбаченими в інших розділах Особливої частини КК, має такі особливості: 1) в деяких випадках ці злочини слід відмежовувати від диверсії і застосовувати лише статтю, що стосується іншого злочину; 2) в інших випадках необхідно визнавати наявність конкуренції цілого і частини та застосовувати тільки ст. 113 КК, коли основні об’єкти інших злочинів виступають як додаткові об’єкти диверсії. Такі випадки слід відрізняти від ідеальної сукупності диверсії з іншими злочинами, в тому числі необережними.</w:t>
      </w: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4E28F4">
      <w:pPr>
        <w:spacing w:line="360" w:lineRule="auto"/>
        <w:ind w:firstLine="708"/>
        <w:contextualSpacing/>
        <w:jc w:val="center"/>
        <w:rPr>
          <w:rFonts w:ascii="Times New Roman" w:hAnsi="Times New Roman"/>
          <w:b/>
          <w:bCs/>
          <w:color w:val="000000"/>
          <w:sz w:val="28"/>
          <w:szCs w:val="28"/>
          <w:lang w:val="uk-UA" w:eastAsia="ru-RU"/>
        </w:rPr>
      </w:pPr>
    </w:p>
    <w:p w:rsidR="00071A7D" w:rsidRDefault="00071A7D" w:rsidP="00D24AA0">
      <w:pPr>
        <w:spacing w:line="360" w:lineRule="auto"/>
        <w:contextualSpacing/>
        <w:rPr>
          <w:rFonts w:ascii="Times New Roman" w:hAnsi="Times New Roman"/>
          <w:b/>
          <w:bCs/>
          <w:color w:val="000000"/>
          <w:sz w:val="28"/>
          <w:szCs w:val="28"/>
          <w:lang w:val="uk-UA" w:eastAsia="ru-RU"/>
        </w:rPr>
      </w:pPr>
    </w:p>
    <w:p w:rsidR="00071A7D" w:rsidRDefault="00071A7D" w:rsidP="00D24AA0">
      <w:pPr>
        <w:spacing w:line="360" w:lineRule="auto"/>
        <w:contextualSpacing/>
        <w:jc w:val="center"/>
        <w:rPr>
          <w:rFonts w:ascii="Times New Roman" w:hAnsi="Times New Roman"/>
          <w:b/>
          <w:bCs/>
          <w:color w:val="000000"/>
          <w:sz w:val="28"/>
          <w:szCs w:val="28"/>
          <w:lang w:val="uk-UA" w:eastAsia="ru-RU"/>
        </w:rPr>
      </w:pPr>
    </w:p>
    <w:p w:rsidR="00071A7D" w:rsidRDefault="00071A7D" w:rsidP="00D24AA0">
      <w:pPr>
        <w:spacing w:line="360" w:lineRule="auto"/>
        <w:contextualSpacing/>
        <w:jc w:val="center"/>
        <w:rPr>
          <w:rFonts w:ascii="Times New Roman" w:hAnsi="Times New Roman"/>
          <w:b/>
          <w:bCs/>
          <w:color w:val="000000"/>
          <w:sz w:val="28"/>
          <w:szCs w:val="28"/>
          <w:lang w:val="uk-UA" w:eastAsia="ru-RU"/>
        </w:rPr>
      </w:pPr>
    </w:p>
    <w:p w:rsidR="00071A7D" w:rsidRDefault="00071A7D" w:rsidP="00D24AA0">
      <w:pPr>
        <w:spacing w:line="360" w:lineRule="auto"/>
        <w:contextualSpacing/>
        <w:jc w:val="center"/>
        <w:rPr>
          <w:rFonts w:ascii="Times New Roman" w:hAnsi="Times New Roman"/>
          <w:b/>
          <w:bCs/>
          <w:color w:val="000000"/>
          <w:sz w:val="28"/>
          <w:szCs w:val="28"/>
          <w:lang w:val="uk-UA" w:eastAsia="ru-RU"/>
        </w:rPr>
      </w:pPr>
    </w:p>
    <w:p w:rsidR="00071A7D" w:rsidRDefault="00071A7D" w:rsidP="00D24AA0">
      <w:pPr>
        <w:spacing w:line="360" w:lineRule="auto"/>
        <w:contextualSpacing/>
        <w:jc w:val="center"/>
        <w:rPr>
          <w:rFonts w:ascii="Times New Roman" w:hAnsi="Times New Roman"/>
          <w:b/>
          <w:bCs/>
          <w:color w:val="000000"/>
          <w:sz w:val="28"/>
          <w:szCs w:val="28"/>
          <w:lang w:val="uk-UA" w:eastAsia="ru-RU"/>
        </w:rPr>
      </w:pPr>
    </w:p>
    <w:p w:rsidR="00071A7D" w:rsidRDefault="00071A7D" w:rsidP="00D24AA0">
      <w:pPr>
        <w:spacing w:line="360" w:lineRule="auto"/>
        <w:contextualSpacing/>
        <w:jc w:val="center"/>
        <w:rPr>
          <w:rFonts w:ascii="Times New Roman" w:hAnsi="Times New Roman"/>
          <w:b/>
          <w:bCs/>
          <w:color w:val="000000"/>
          <w:sz w:val="28"/>
          <w:szCs w:val="28"/>
          <w:lang w:val="uk-UA" w:eastAsia="ru-RU"/>
        </w:rPr>
      </w:pPr>
    </w:p>
    <w:p w:rsidR="00071A7D" w:rsidRPr="004E28F4" w:rsidRDefault="00071A7D" w:rsidP="00D24AA0">
      <w:pPr>
        <w:spacing w:line="360" w:lineRule="auto"/>
        <w:contextualSpacing/>
        <w:jc w:val="center"/>
        <w:rPr>
          <w:rFonts w:ascii="Times New Roman" w:hAnsi="Times New Roman"/>
          <w:sz w:val="28"/>
          <w:szCs w:val="28"/>
        </w:rPr>
      </w:pPr>
      <w:bookmarkStart w:id="0" w:name="_GoBack"/>
      <w:bookmarkEnd w:id="0"/>
      <w:r w:rsidRPr="00047A4E">
        <w:rPr>
          <w:rFonts w:ascii="Times New Roman" w:hAnsi="Times New Roman"/>
          <w:b/>
          <w:bCs/>
          <w:color w:val="000000"/>
          <w:sz w:val="28"/>
          <w:szCs w:val="28"/>
          <w:lang w:val="uk-UA" w:eastAsia="ru-RU"/>
        </w:rPr>
        <w:t>Висновки</w:t>
      </w:r>
    </w:p>
    <w:p w:rsidR="00071A7D" w:rsidRDefault="00071A7D" w:rsidP="004E28F4">
      <w:pPr>
        <w:spacing w:after="0" w:line="360" w:lineRule="auto"/>
        <w:contextualSpacing/>
        <w:jc w:val="both"/>
        <w:rPr>
          <w:rFonts w:ascii="Times New Roman" w:hAnsi="Times New Roman"/>
          <w:sz w:val="28"/>
          <w:szCs w:val="28"/>
          <w:lang w:val="uk-UA" w:eastAsia="ru-RU"/>
        </w:rPr>
      </w:pPr>
      <w:r>
        <w:rPr>
          <w:rFonts w:ascii="Times New Roman" w:hAnsi="Times New Roman"/>
          <w:sz w:val="28"/>
          <w:szCs w:val="28"/>
          <w:lang w:val="uk-UA" w:eastAsia="ru-RU"/>
        </w:rPr>
        <w:tab/>
        <w:t>У магістерській роботі вирішено наукове завдання, що полягало у комплексному дослідженні та аналізі складу диверсії.</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1. Родовим об'єктом диверсії є основи національної безпеки України, що визначає місце статті 113 КК у системі Особливої частини КК, її зв'язки з іншими статтями та впливає на вирішення різних питань кримінальної відповідальності за цей злочин.</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2. Для визначення безпосереднього об'єкта диверсії важливе значення мають принципи національної безпеки України, закріплені в Законі України «Про національну безпеку України», згідно з якими в кожній сфері суспільних відносин виділяються життєво важливі цінності, що є об'єктами національної безпеки. Кожна з восьми форм диверсії пов'язана з різними сферами суспільних відносин. Залежно від форми диверсії певна соціальна цінність може бути: а) єдиною для конкретної форми; б) присутньою в кількох формах; в) комбінованою з іншою цінністю в межах однієї форми. Тому безпосередній об'єкт диверсії можна визначати тільки в контексті кожної конкретної форми.</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3. Безпосередніми об'єктами диверсії, в залежності від її форми, є суспільні відносини, що забезпечують безпеку: 1) життя багатьох людей — при вчиненні дій, спрямованих на масове знищення людей; 2) здоров'я багатьох людей — при вчиненні дій, що завдають тілесних ушкоджень чи іншої шкоди здоров'ю; 3) об'єкти, що мають важливе народногосподарське чи оборонне значення — при пошкодженні чи знищенні таких об'єктів; 4) територія України як життєвий простір — при радіоактивному забрудненні; 5) життя та/або здоров'я багатьох людей або тварин — при масовому отруєнні; 6) здоров'я людей — при поширенні епідемій; 7) здоров'я тварин — при поширенні епізоотій; 8) здоров'я рослин — при поширенні епіфітотій.</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4. Підставою кримінальної відповідальності за диверсію є вчинення хоча б одного суспільно небезпечного діяння, зазначеного в статті 113 КК. Це є єдиною обов'язковою ознакою об'єктивної сторони складу злочину, тоді як наслідки, місце, час, обстановка, спосіб і знаряддя вчинення злочину є факультативними ознаками.</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5. У всіх формах диверсії діяння вчинюються як: а) активна поведінка винного, або б) поєднання активної і пасивної поведінки. У формі «чистої» бездіяльності можливі лише вибухи, спрямовані на: а) масове знищення людей, б) масове завдання тілесних ушкоджень або шкоди здоров'ю людей, або в) пошкодження об'єктів важливого народногосподарського чи оборонного значення.</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6. Диверсія є злочином з усіченим складом, а момент її закінчення наступає на етапі вчинення дій, спрямованих на заподіяння шкоди об'єкту злочину, що характерно для замаху на злочин (ст. 15 ч. 1 КК). Це дозволяє: 1) готуватися до вчинення диверсії в будь-якій формі; 2) скоювати замах на вибух чи підпал у першій, другій чи третій формах диверсії; 3) вчиняти замах на непридатний об'єкт або з непридатними засобами в будь-якій формі диверсії.</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7. Суб'єктивна сторона всіх форм диверсії характеризується двома обов'язковими ознаками: 1) вина у формі прямого умислу; 2) мета ослаблення держави. Мотив і емоційний стан є факультативними ознаками, які можуть впливати на призначення покарання.</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8. Прямий умисел на вчинення диверсії в кожній формі має специфічний зміст, який включає: 1) усвідомлення особою суспільно небезпечного характеру вчинюваного діяння: а) його фактичних ознак і б) його соціального значення; 2) бажання здійснити таке діяння. Особа усвідомлює і підтримує подвійну спрямованість своїх дій: а) проти певної соціальної цінності (що виявляється по-різному в різних формах диверсії) та б) проти держави (що характерно для всіх форм диверсії).</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9. Суб'єктом диверсії є фізична осудна особа, яка досягла 14-річного віку на момент вчинення злочину. Однак, залежно від форми диверсії, пропонується уточнити віковий ценз: для діянь, спрямованих на масове знищення людей чи завдання шкоди їхньому здоров'ю — з 14 років, а в інших випадках — з 16 років.</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10. Диверсія відрізняється від терористичного акту за ознаками об'єкта, об'єктивної та суб'єктивної сторін, складу злочину, моментом його закінчення, а також відсутністю кваліфікуючих ознак і додатковою кваліфікацією за іншими статтями КК у випадках фактичного заподіяння шкоди. Можлива конкуренція норм диверсії та терористичного акту, що вчиняється в першій формі. У таких випадках треба кваліфікувати діяння як диверсію за ст. 113 КК, оскільки вона передбачає норму про ціле, в той час як ст. 258 КК — лише частину цілого. Це стосується випадків, коли мета, зазначена в ст. 258 КК, є реалізацією мети ослаблення держави, а громадська безпека є додатковим об'єктом.</w:t>
      </w:r>
    </w:p>
    <w:p w:rsidR="00071A7D" w:rsidRDefault="00071A7D" w:rsidP="004E28F4">
      <w:pPr>
        <w:spacing w:after="0" w:line="360" w:lineRule="auto"/>
        <w:ind w:firstLine="708"/>
        <w:contextualSpacing/>
        <w:jc w:val="both"/>
        <w:rPr>
          <w:rFonts w:ascii="Times New Roman" w:hAnsi="Times New Roman"/>
          <w:sz w:val="28"/>
          <w:szCs w:val="28"/>
          <w:lang w:val="uk-UA" w:eastAsia="ru-RU"/>
        </w:rPr>
      </w:pPr>
      <w:r w:rsidRPr="00E256E2">
        <w:rPr>
          <w:rFonts w:ascii="Times New Roman" w:hAnsi="Times New Roman"/>
          <w:sz w:val="28"/>
          <w:szCs w:val="28"/>
          <w:lang w:val="uk-UA" w:eastAsia="ru-RU"/>
        </w:rPr>
        <w:t>11. Співвідношення диверсії з іншими злочинами, окрім терористичного акту, залежить від місця розташування цього злочину в системі Особливої частини КК: 1) у розділі I «Злочини проти основ національної безпеки»; 2) у розділі ХХ «Злочини проти миру, безпеки людства та міжнародного правопорядку»; або 3) в інших розділах. Співвідношення з злочинами розділів I і ХХ може включати їх фактичне поєднання, що дозволяє кваліфікувати їх за сукупністю. Співвідношення з іншими злочинами в інших розділах може бути альтернативним, коли деякі злочини необхідно відмежовувати від диверсії, а в інших випадках — визнавати конкуренцію цілого і частини.</w:t>
      </w:r>
    </w:p>
    <w:p w:rsidR="00071A7D" w:rsidRDefault="00071A7D" w:rsidP="004E28F4">
      <w:pPr>
        <w:spacing w:after="0" w:line="360" w:lineRule="auto"/>
        <w:ind w:firstLine="708"/>
        <w:contextualSpacing/>
        <w:jc w:val="both"/>
        <w:rPr>
          <w:rFonts w:ascii="Times New Roman" w:hAnsi="Times New Roman"/>
          <w:sz w:val="28"/>
          <w:szCs w:val="28"/>
          <w:lang w:val="uk-UA" w:eastAsia="ru-RU"/>
        </w:rPr>
      </w:pPr>
    </w:p>
    <w:p w:rsidR="00071A7D" w:rsidRDefault="00071A7D" w:rsidP="004E28F4">
      <w:pPr>
        <w:spacing w:after="0" w:line="360" w:lineRule="auto"/>
        <w:ind w:firstLine="708"/>
        <w:contextualSpacing/>
        <w:jc w:val="both"/>
        <w:rPr>
          <w:rFonts w:ascii="Times New Roman" w:hAnsi="Times New Roman"/>
          <w:sz w:val="28"/>
          <w:szCs w:val="28"/>
          <w:lang w:val="uk-UA" w:eastAsia="ru-RU"/>
        </w:rPr>
      </w:pPr>
    </w:p>
    <w:p w:rsidR="00071A7D" w:rsidRDefault="00071A7D" w:rsidP="004E28F4">
      <w:pPr>
        <w:spacing w:after="0" w:line="360" w:lineRule="auto"/>
        <w:ind w:firstLine="708"/>
        <w:contextualSpacing/>
        <w:jc w:val="both"/>
        <w:rPr>
          <w:rFonts w:ascii="Times New Roman" w:hAnsi="Times New Roman"/>
          <w:sz w:val="28"/>
          <w:szCs w:val="28"/>
          <w:lang w:val="uk-UA" w:eastAsia="ru-RU"/>
        </w:rPr>
      </w:pPr>
    </w:p>
    <w:p w:rsidR="00071A7D" w:rsidRDefault="00071A7D" w:rsidP="004E28F4">
      <w:pPr>
        <w:spacing w:after="0" w:line="360" w:lineRule="auto"/>
        <w:ind w:firstLine="708"/>
        <w:contextualSpacing/>
        <w:jc w:val="both"/>
        <w:rPr>
          <w:rFonts w:ascii="Times New Roman" w:hAnsi="Times New Roman"/>
          <w:sz w:val="28"/>
          <w:szCs w:val="28"/>
          <w:lang w:val="uk-UA" w:eastAsia="ru-RU"/>
        </w:rPr>
      </w:pPr>
    </w:p>
    <w:p w:rsidR="00071A7D" w:rsidRDefault="00071A7D" w:rsidP="009C0C54">
      <w:pPr>
        <w:spacing w:after="120" w:line="360" w:lineRule="auto"/>
        <w:contextualSpacing/>
        <w:rPr>
          <w:rFonts w:ascii="Times New Roman" w:hAnsi="Times New Roman"/>
          <w:sz w:val="28"/>
          <w:szCs w:val="28"/>
          <w:lang w:val="uk-UA" w:eastAsia="ru-RU"/>
        </w:rPr>
      </w:pPr>
    </w:p>
    <w:p w:rsidR="00071A7D" w:rsidRDefault="00071A7D" w:rsidP="009C0C5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9C0C54">
      <w:pPr>
        <w:spacing w:after="120" w:line="360" w:lineRule="auto"/>
        <w:contextualSpacing/>
        <w:jc w:val="center"/>
        <w:rPr>
          <w:rFonts w:ascii="Times New Roman" w:hAnsi="Times New Roman"/>
          <w:b/>
          <w:bCs/>
          <w:color w:val="000000"/>
          <w:sz w:val="28"/>
          <w:szCs w:val="28"/>
          <w:lang w:val="uk-UA" w:eastAsia="ru-RU"/>
        </w:rPr>
      </w:pPr>
    </w:p>
    <w:p w:rsidR="00071A7D" w:rsidRDefault="00071A7D" w:rsidP="00D24AA0">
      <w:pPr>
        <w:spacing w:after="120" w:line="360" w:lineRule="auto"/>
        <w:contextualSpacing/>
        <w:jc w:val="center"/>
        <w:rPr>
          <w:rFonts w:ascii="Times New Roman" w:hAnsi="Times New Roman"/>
          <w:b/>
          <w:bCs/>
          <w:color w:val="000000"/>
          <w:sz w:val="28"/>
          <w:szCs w:val="28"/>
          <w:lang w:val="uk-UA" w:eastAsia="ru-RU"/>
        </w:rPr>
      </w:pPr>
    </w:p>
    <w:p w:rsidR="00071A7D" w:rsidRPr="00047A4E" w:rsidRDefault="00071A7D" w:rsidP="00D24AA0">
      <w:pPr>
        <w:spacing w:after="120" w:line="360" w:lineRule="auto"/>
        <w:contextualSpacing/>
        <w:jc w:val="center"/>
        <w:rPr>
          <w:rFonts w:ascii="Times New Roman" w:hAnsi="Times New Roman"/>
          <w:sz w:val="28"/>
          <w:szCs w:val="28"/>
          <w:lang w:val="uk-UA" w:eastAsia="ru-RU"/>
        </w:rPr>
      </w:pPr>
      <w:r w:rsidRPr="00047A4E">
        <w:rPr>
          <w:rFonts w:ascii="Times New Roman" w:hAnsi="Times New Roman"/>
          <w:b/>
          <w:bCs/>
          <w:color w:val="000000"/>
          <w:sz w:val="28"/>
          <w:szCs w:val="28"/>
          <w:lang w:val="uk-UA" w:eastAsia="ru-RU"/>
        </w:rPr>
        <w:t>СПИСОК ВИКОРИСТАНИХ ДЖЕРЕЛ</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СУ РСФСР. 1918.№27. 917с.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Кримінальний кодекс УСРР (1922р.). </w:t>
      </w:r>
      <w:r w:rsidRPr="002C746F">
        <w:rPr>
          <w:rFonts w:ascii="Times New Roman" w:hAnsi="Times New Roman"/>
          <w:sz w:val="28"/>
          <w:szCs w:val="28"/>
          <w:lang w:val="en-US"/>
        </w:rPr>
        <w:t>URL</w:t>
      </w:r>
      <w:r w:rsidRPr="003153E6">
        <w:rPr>
          <w:rFonts w:ascii="Times New Roman" w:hAnsi="Times New Roman"/>
          <w:sz w:val="28"/>
          <w:szCs w:val="28"/>
        </w:rPr>
        <w:t xml:space="preserve">: </w:t>
      </w:r>
      <w:hyperlink r:id="rId7" w:history="1">
        <w:r w:rsidRPr="002C746F">
          <w:rPr>
            <w:rStyle w:val="Hyperlink"/>
            <w:rFonts w:ascii="Times New Roman" w:hAnsi="Times New Roman"/>
            <w:sz w:val="28"/>
            <w:szCs w:val="28"/>
            <w:lang w:val="en-US"/>
          </w:rPr>
          <w:t>http</w:t>
        </w:r>
        <w:r w:rsidRPr="003153E6">
          <w:rPr>
            <w:rStyle w:val="Hyperlink"/>
            <w:rFonts w:ascii="Times New Roman" w:hAnsi="Times New Roman"/>
            <w:sz w:val="28"/>
            <w:szCs w:val="28"/>
          </w:rPr>
          <w:t>://</w:t>
        </w:r>
        <w:r w:rsidRPr="002C746F">
          <w:rPr>
            <w:rStyle w:val="Hyperlink"/>
            <w:rFonts w:ascii="Times New Roman" w:hAnsi="Times New Roman"/>
            <w:sz w:val="28"/>
            <w:szCs w:val="28"/>
            <w:lang w:val="en-US"/>
          </w:rPr>
          <w:t>textbooks</w:t>
        </w:r>
        <w:r w:rsidRPr="003153E6">
          <w:rPr>
            <w:rStyle w:val="Hyperlink"/>
            <w:rFonts w:ascii="Times New Roman" w:hAnsi="Times New Roman"/>
            <w:sz w:val="28"/>
            <w:szCs w:val="28"/>
          </w:rPr>
          <w:t>.</w:t>
        </w:r>
        <w:r w:rsidRPr="002C746F">
          <w:rPr>
            <w:rStyle w:val="Hyperlink"/>
            <w:rFonts w:ascii="Times New Roman" w:hAnsi="Times New Roman"/>
            <w:sz w:val="28"/>
            <w:szCs w:val="28"/>
            <w:lang w:val="en-US"/>
          </w:rPr>
          <w:t>net</w:t>
        </w:r>
        <w:r w:rsidRPr="003153E6">
          <w:rPr>
            <w:rStyle w:val="Hyperlink"/>
            <w:rFonts w:ascii="Times New Roman" w:hAnsi="Times New Roman"/>
            <w:sz w:val="28"/>
            <w:szCs w:val="28"/>
          </w:rPr>
          <w:t>.</w:t>
        </w:r>
        <w:r w:rsidRPr="002C746F">
          <w:rPr>
            <w:rStyle w:val="Hyperlink"/>
            <w:rFonts w:ascii="Times New Roman" w:hAnsi="Times New Roman"/>
            <w:sz w:val="28"/>
            <w:szCs w:val="28"/>
            <w:lang w:val="en-US"/>
          </w:rPr>
          <w:t>ua</w:t>
        </w:r>
        <w:r w:rsidRPr="003153E6">
          <w:rPr>
            <w:rStyle w:val="Hyperlink"/>
            <w:rFonts w:ascii="Times New Roman" w:hAnsi="Times New Roman"/>
            <w:sz w:val="28"/>
            <w:szCs w:val="28"/>
          </w:rPr>
          <w:t>/</w:t>
        </w:r>
        <w:r w:rsidRPr="002C746F">
          <w:rPr>
            <w:rStyle w:val="Hyperlink"/>
            <w:rFonts w:ascii="Times New Roman" w:hAnsi="Times New Roman"/>
            <w:sz w:val="28"/>
            <w:szCs w:val="28"/>
            <w:lang w:val="en-US"/>
          </w:rPr>
          <w:t>content</w:t>
        </w:r>
        <w:r w:rsidRPr="003153E6">
          <w:rPr>
            <w:rStyle w:val="Hyperlink"/>
            <w:rFonts w:ascii="Times New Roman" w:hAnsi="Times New Roman"/>
            <w:sz w:val="28"/>
            <w:szCs w:val="28"/>
          </w:rPr>
          <w:t>/</w:t>
        </w:r>
        <w:r w:rsidRPr="002C746F">
          <w:rPr>
            <w:rStyle w:val="Hyperlink"/>
            <w:rFonts w:ascii="Times New Roman" w:hAnsi="Times New Roman"/>
            <w:sz w:val="28"/>
            <w:szCs w:val="28"/>
            <w:lang w:val="en-US"/>
          </w:rPr>
          <w:t>view</w:t>
        </w:r>
        <w:r w:rsidRPr="003153E6">
          <w:rPr>
            <w:rStyle w:val="Hyperlink"/>
            <w:rFonts w:ascii="Times New Roman" w:hAnsi="Times New Roman"/>
            <w:sz w:val="28"/>
            <w:szCs w:val="28"/>
          </w:rPr>
          <w:t>/1060/13/</w:t>
        </w:r>
      </w:hyperlink>
      <w:r w:rsidRPr="002C746F">
        <w:rPr>
          <w:rFonts w:ascii="Times New Roman" w:hAnsi="Times New Roman"/>
          <w:sz w:val="28"/>
          <w:szCs w:val="28"/>
          <w:lang w:val="uk-UA"/>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Канарський С.М. Кримінальний кодекс радянських республік: Текст та практичний коментар. Харків. 1928. 588с.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Кримінальний кодекс Української РСР (1960 р.).</w:t>
      </w:r>
      <w:r w:rsidRPr="002C746F">
        <w:rPr>
          <w:rFonts w:ascii="Times New Roman" w:hAnsi="Times New Roman"/>
          <w:sz w:val="28"/>
          <w:szCs w:val="28"/>
          <w:lang w:val="en-US"/>
        </w:rPr>
        <w:t>URL:http:// textbooks.net.ua/content/view/1138/17/</w:t>
      </w:r>
      <w:r w:rsidRPr="002C746F">
        <w:rPr>
          <w:rFonts w:ascii="Times New Roman" w:hAnsi="Times New Roman"/>
          <w:sz w:val="28"/>
          <w:szCs w:val="28"/>
          <w:lang w:val="uk-UA"/>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Про внесення змін і доповнень до Кримінального і Кримінально-процесуального кодексів Української РСР: Указ Президії Верховної Ради УРСР від 29.02.1984 №6591-Х. </w:t>
      </w:r>
      <w:hyperlink r:id="rId8" w:history="1">
        <w:r w:rsidRPr="002C746F">
          <w:rPr>
            <w:rStyle w:val="Hyperlink"/>
            <w:rFonts w:ascii="Times New Roman" w:hAnsi="Times New Roman"/>
            <w:sz w:val="28"/>
            <w:szCs w:val="28"/>
            <w:lang w:val="en-US"/>
          </w:rPr>
          <w:t>URL</w:t>
        </w:r>
        <w:r w:rsidRPr="002C746F">
          <w:rPr>
            <w:rStyle w:val="Hyperlink"/>
            <w:rFonts w:ascii="Times New Roman" w:hAnsi="Times New Roman"/>
            <w:sz w:val="28"/>
            <w:szCs w:val="28"/>
          </w:rPr>
          <w:t>:</w:t>
        </w:r>
        <w:r w:rsidRPr="002C746F">
          <w:rPr>
            <w:rStyle w:val="Hyperlink"/>
            <w:rFonts w:ascii="Times New Roman" w:hAnsi="Times New Roman"/>
            <w:sz w:val="28"/>
            <w:szCs w:val="28"/>
            <w:lang w:val="en-US"/>
          </w:rPr>
          <w:t>http</w:t>
        </w:r>
        <w:r w:rsidRPr="002C746F">
          <w:rPr>
            <w:rStyle w:val="Hyperlink"/>
            <w:rFonts w:ascii="Times New Roman" w:hAnsi="Times New Roman"/>
            <w:sz w:val="28"/>
            <w:szCs w:val="28"/>
          </w:rPr>
          <w:t>://</w:t>
        </w:r>
        <w:r w:rsidRPr="002C746F">
          <w:rPr>
            <w:rStyle w:val="Hyperlink"/>
            <w:rFonts w:ascii="Times New Roman" w:hAnsi="Times New Roman"/>
            <w:sz w:val="28"/>
            <w:szCs w:val="28"/>
            <w:lang w:val="en-US"/>
          </w:rPr>
          <w:t>zakon</w:t>
        </w:r>
        <w:r w:rsidRPr="002C746F">
          <w:rPr>
            <w:rStyle w:val="Hyperlink"/>
            <w:rFonts w:ascii="Times New Roman" w:hAnsi="Times New Roman"/>
            <w:sz w:val="28"/>
            <w:szCs w:val="28"/>
          </w:rPr>
          <w:t>0.</w:t>
        </w:r>
        <w:r w:rsidRPr="002C746F">
          <w:rPr>
            <w:rStyle w:val="Hyperlink"/>
            <w:rFonts w:ascii="Times New Roman" w:hAnsi="Times New Roman"/>
            <w:sz w:val="28"/>
            <w:szCs w:val="28"/>
            <w:lang w:val="en-US"/>
          </w:rPr>
          <w:t>rada</w:t>
        </w:r>
        <w:r w:rsidRPr="002C746F">
          <w:rPr>
            <w:rStyle w:val="Hyperlink"/>
            <w:rFonts w:ascii="Times New Roman" w:hAnsi="Times New Roman"/>
            <w:sz w:val="28"/>
            <w:szCs w:val="28"/>
          </w:rPr>
          <w:t>.</w:t>
        </w:r>
        <w:r w:rsidRPr="002C746F">
          <w:rPr>
            <w:rStyle w:val="Hyperlink"/>
            <w:rFonts w:ascii="Times New Roman" w:hAnsi="Times New Roman"/>
            <w:sz w:val="28"/>
            <w:szCs w:val="28"/>
            <w:lang w:val="en-US"/>
          </w:rPr>
          <w:t>gov</w:t>
        </w:r>
        <w:r w:rsidRPr="002C746F">
          <w:rPr>
            <w:rStyle w:val="Hyperlink"/>
            <w:rFonts w:ascii="Times New Roman" w:hAnsi="Times New Roman"/>
            <w:sz w:val="28"/>
            <w:szCs w:val="28"/>
          </w:rPr>
          <w:t>.</w:t>
        </w:r>
        <w:r w:rsidRPr="002C746F">
          <w:rPr>
            <w:rStyle w:val="Hyperlink"/>
            <w:rFonts w:ascii="Times New Roman" w:hAnsi="Times New Roman"/>
            <w:sz w:val="28"/>
            <w:szCs w:val="28"/>
            <w:lang w:val="en-US"/>
          </w:rPr>
          <w:t>ua</w:t>
        </w:r>
        <w:r w:rsidRPr="002C746F">
          <w:rPr>
            <w:rStyle w:val="Hyperlink"/>
            <w:rFonts w:ascii="Times New Roman" w:hAnsi="Times New Roman"/>
            <w:sz w:val="28"/>
            <w:szCs w:val="28"/>
          </w:rPr>
          <w:t>/</w:t>
        </w:r>
        <w:r w:rsidRPr="002C746F">
          <w:rPr>
            <w:rStyle w:val="Hyperlink"/>
            <w:rFonts w:ascii="Times New Roman" w:hAnsi="Times New Roman"/>
            <w:sz w:val="28"/>
            <w:szCs w:val="28"/>
            <w:lang w:val="en-US"/>
          </w:rPr>
          <w:t>laws</w:t>
        </w:r>
        <w:r w:rsidRPr="002C746F">
          <w:rPr>
            <w:rStyle w:val="Hyperlink"/>
            <w:rFonts w:ascii="Times New Roman" w:hAnsi="Times New Roman"/>
            <w:sz w:val="28"/>
            <w:szCs w:val="28"/>
          </w:rPr>
          <w:t>/</w:t>
        </w:r>
        <w:r w:rsidRPr="002C746F">
          <w:rPr>
            <w:rStyle w:val="Hyperlink"/>
            <w:rFonts w:ascii="Times New Roman" w:hAnsi="Times New Roman"/>
            <w:sz w:val="28"/>
            <w:szCs w:val="28"/>
            <w:lang w:val="en-US"/>
          </w:rPr>
          <w:t>show</w:t>
        </w:r>
        <w:r w:rsidRPr="002C746F">
          <w:rPr>
            <w:rStyle w:val="Hyperlink"/>
            <w:rFonts w:ascii="Times New Roman" w:hAnsi="Times New Roman"/>
            <w:sz w:val="28"/>
            <w:szCs w:val="28"/>
          </w:rPr>
          <w:t>/6591-10/</w:t>
        </w:r>
        <w:r w:rsidRPr="002C746F">
          <w:rPr>
            <w:rStyle w:val="Hyperlink"/>
            <w:rFonts w:ascii="Times New Roman" w:hAnsi="Times New Roman"/>
            <w:sz w:val="28"/>
            <w:szCs w:val="28"/>
            <w:lang w:val="en-US"/>
          </w:rPr>
          <w:t>ed</w:t>
        </w:r>
        <w:r w:rsidRPr="002C746F">
          <w:rPr>
            <w:rStyle w:val="Hyperlink"/>
            <w:rFonts w:ascii="Times New Roman" w:hAnsi="Times New Roman"/>
            <w:sz w:val="28"/>
            <w:szCs w:val="28"/>
          </w:rPr>
          <w:t>19840229</w:t>
        </w:r>
      </w:hyperlink>
      <w:r w:rsidRPr="002C746F">
        <w:rPr>
          <w:rFonts w:ascii="Times New Roman" w:hAnsi="Times New Roman"/>
          <w:sz w:val="28"/>
          <w:szCs w:val="28"/>
          <w:lang w:val="uk-UA"/>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Про внесення змін і доповнень до Кримінального, Кримінально-процесуального кодексів Української РСР, Кодексу Української РСР про адміністративні правопорушення та Митного кодексу України: Закон України від 17.06.1992. №35. Ст.511.</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Кримінальний кодекс України: Закон України від 05.04.2001 р. №2341-</w:t>
      </w:r>
      <w:r w:rsidRPr="002C746F">
        <w:rPr>
          <w:rFonts w:ascii="Times New Roman" w:hAnsi="Times New Roman"/>
          <w:sz w:val="28"/>
          <w:szCs w:val="28"/>
          <w:lang w:val="en-US"/>
        </w:rPr>
        <w:t>III</w:t>
      </w:r>
      <w:r w:rsidRPr="002C746F">
        <w:rPr>
          <w:rFonts w:ascii="Times New Roman" w:hAnsi="Times New Roman"/>
          <w:sz w:val="28"/>
          <w:szCs w:val="28"/>
          <w:lang w:val="uk-UA"/>
        </w:rPr>
        <w:t>. Відомості Верховної Ради України. 2001. №25-26. Ст.131.</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Климосюк А.С. Про життя та здоров’я людей як об’єкти національної безпеки України та їх охорону ст.113 КК України. Кримінально правове забезпечення сталого розвитку України в умовах глобалізації: матеріали міжнар. Наук.-практ.конф. (м. Харків, 12-13 жовт. 2017р.).Харків: Право, 2017. С.531-533.</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Климосюк А.С. Життя та здоров’я людей як об’єкт національної безпеки України, його кримінально-правова охорона. Порівняльно-аналітичне право. 2017. №6. С. 310-313.</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color w:val="000000"/>
          <w:sz w:val="28"/>
          <w:szCs w:val="28"/>
          <w:lang w:eastAsia="ru-RU"/>
        </w:rPr>
        <w:t>Тероризм: сучасний стан та міжнародний досвід боротьби / за ред. Л.Ю. Кондрата, Б.В. Романюка. – К.: Нац. акад. внутр. справ України, 2003. – 257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en-US"/>
        </w:rPr>
        <w:t xml:space="preserve">Strafgesetzbuch: in der Fassung der Bekanntmachung vom 13. November 1998 (BGBI. I S. 3322), das zuletzt durch Artikel 47 des Gesetzes vom 21. Dezember 2020 (BGBI. I S. 3096) geandert worden ist. </w:t>
      </w:r>
      <w:r w:rsidRPr="002C746F">
        <w:rPr>
          <w:rFonts w:ascii="Times New Roman" w:hAnsi="Times New Roman"/>
          <w:sz w:val="28"/>
          <w:szCs w:val="28"/>
        </w:rPr>
        <w:t>Вилученоз</w:t>
      </w:r>
      <w:r w:rsidRPr="009F08C2">
        <w:rPr>
          <w:rFonts w:ascii="Times New Roman" w:hAnsi="Times New Roman"/>
          <w:sz w:val="28"/>
          <w:szCs w:val="28"/>
          <w:lang w:val="en-US"/>
        </w:rPr>
        <w:t xml:space="preserve">: </w:t>
      </w:r>
      <w:r w:rsidRPr="002C746F">
        <w:rPr>
          <w:rFonts w:ascii="Times New Roman" w:hAnsi="Times New Roman"/>
          <w:sz w:val="28"/>
          <w:szCs w:val="28"/>
          <w:lang w:val="en-US"/>
        </w:rPr>
        <w:t>https</w:t>
      </w:r>
      <w:r w:rsidRPr="009F08C2">
        <w:rPr>
          <w:rFonts w:ascii="Times New Roman" w:hAnsi="Times New Roman"/>
          <w:sz w:val="28"/>
          <w:szCs w:val="28"/>
          <w:lang w:val="en-US"/>
        </w:rPr>
        <w:t>://</w:t>
      </w:r>
      <w:r w:rsidRPr="002C746F">
        <w:rPr>
          <w:rFonts w:ascii="Times New Roman" w:hAnsi="Times New Roman"/>
          <w:sz w:val="28"/>
          <w:szCs w:val="28"/>
          <w:lang w:val="en-US"/>
        </w:rPr>
        <w:t>www</w:t>
      </w:r>
      <w:r w:rsidRPr="009F08C2">
        <w:rPr>
          <w:rFonts w:ascii="Times New Roman" w:hAnsi="Times New Roman"/>
          <w:sz w:val="28"/>
          <w:szCs w:val="28"/>
          <w:lang w:val="en-US"/>
        </w:rPr>
        <w:t>.</w:t>
      </w:r>
      <w:r w:rsidRPr="002C746F">
        <w:rPr>
          <w:rFonts w:ascii="Times New Roman" w:hAnsi="Times New Roman"/>
          <w:sz w:val="28"/>
          <w:szCs w:val="28"/>
          <w:lang w:val="en-US"/>
        </w:rPr>
        <w:t>gesetze</w:t>
      </w:r>
      <w:r w:rsidRPr="009F08C2">
        <w:rPr>
          <w:rFonts w:ascii="Times New Roman" w:hAnsi="Times New Roman"/>
          <w:sz w:val="28"/>
          <w:szCs w:val="28"/>
          <w:lang w:val="en-US"/>
        </w:rPr>
        <w:t>-</w:t>
      </w:r>
      <w:r w:rsidRPr="002C746F">
        <w:rPr>
          <w:rFonts w:ascii="Times New Roman" w:hAnsi="Times New Roman"/>
          <w:sz w:val="28"/>
          <w:szCs w:val="28"/>
          <w:lang w:val="en-US"/>
        </w:rPr>
        <w:t>im</w:t>
      </w:r>
      <w:r w:rsidRPr="009F08C2">
        <w:rPr>
          <w:rFonts w:ascii="Times New Roman" w:hAnsi="Times New Roman"/>
          <w:sz w:val="28"/>
          <w:szCs w:val="28"/>
          <w:lang w:val="en-US"/>
        </w:rPr>
        <w:t>-</w:t>
      </w:r>
      <w:r w:rsidRPr="002C746F">
        <w:rPr>
          <w:rFonts w:ascii="Times New Roman" w:hAnsi="Times New Roman"/>
          <w:sz w:val="28"/>
          <w:szCs w:val="28"/>
          <w:lang w:val="en-US"/>
        </w:rPr>
        <w:t>intern</w:t>
      </w:r>
      <w:r>
        <w:rPr>
          <w:rFonts w:ascii="Times New Roman" w:hAnsi="Times New Roman"/>
          <w:sz w:val="28"/>
          <w:szCs w:val="28"/>
          <w:lang w:val="en-US"/>
        </w:rPr>
        <w:t>et</w:t>
      </w:r>
      <w:r w:rsidRPr="009F08C2">
        <w:rPr>
          <w:rFonts w:ascii="Times New Roman" w:hAnsi="Times New Roman"/>
          <w:sz w:val="28"/>
          <w:szCs w:val="28"/>
          <w:lang w:val="en-US"/>
        </w:rPr>
        <w:t>.</w:t>
      </w:r>
      <w:r>
        <w:rPr>
          <w:rFonts w:ascii="Times New Roman" w:hAnsi="Times New Roman"/>
          <w:sz w:val="28"/>
          <w:szCs w:val="28"/>
          <w:lang w:val="en-US"/>
        </w:rPr>
        <w:t>de</w:t>
      </w:r>
      <w:r w:rsidRPr="009F08C2">
        <w:rPr>
          <w:rFonts w:ascii="Times New Roman" w:hAnsi="Times New Roman"/>
          <w:sz w:val="28"/>
          <w:szCs w:val="28"/>
          <w:lang w:val="en-US"/>
        </w:rPr>
        <w:t>/</w:t>
      </w:r>
      <w:r>
        <w:rPr>
          <w:rFonts w:ascii="Times New Roman" w:hAnsi="Times New Roman"/>
          <w:sz w:val="28"/>
          <w:szCs w:val="28"/>
          <w:lang w:val="en-US"/>
        </w:rPr>
        <w:t>stgb</w:t>
      </w:r>
      <w:r w:rsidRPr="009F08C2">
        <w:rPr>
          <w:rFonts w:ascii="Times New Roman" w:hAnsi="Times New Roman"/>
          <w:sz w:val="28"/>
          <w:szCs w:val="28"/>
          <w:lang w:val="en-US"/>
        </w:rPr>
        <w:t>/</w:t>
      </w:r>
      <w:r>
        <w:rPr>
          <w:rFonts w:ascii="Times New Roman" w:hAnsi="Times New Roman"/>
          <w:sz w:val="28"/>
          <w:szCs w:val="28"/>
          <w:lang w:val="en-US"/>
        </w:rPr>
        <w:t>BJNR</w:t>
      </w:r>
      <w:r w:rsidRPr="009F08C2">
        <w:rPr>
          <w:rFonts w:ascii="Times New Roman" w:hAnsi="Times New Roman"/>
          <w:sz w:val="28"/>
          <w:szCs w:val="28"/>
          <w:lang w:val="en-US"/>
        </w:rPr>
        <w:t>001270871.</w:t>
      </w:r>
      <w:r>
        <w:rPr>
          <w:rFonts w:ascii="Times New Roman" w:hAnsi="Times New Roman"/>
          <w:sz w:val="28"/>
          <w:szCs w:val="28"/>
          <w:lang w:val="en-US"/>
        </w:rPr>
        <w:t>html</w:t>
      </w:r>
      <w:r w:rsidRPr="009F08C2">
        <w:rPr>
          <w:rFonts w:ascii="Times New Roman" w:hAnsi="Times New Roman"/>
          <w:sz w:val="28"/>
          <w:szCs w:val="28"/>
          <w:lang w:val="en-US"/>
        </w:rPr>
        <w:t>. [</w:t>
      </w:r>
      <w:r w:rsidRPr="002C746F">
        <w:rPr>
          <w:rFonts w:ascii="Times New Roman" w:hAnsi="Times New Roman"/>
          <w:sz w:val="28"/>
          <w:szCs w:val="28"/>
        </w:rPr>
        <w:t>німецькоюмовою</w:t>
      </w:r>
      <w:r w:rsidRPr="009F08C2">
        <w:rPr>
          <w:rFonts w:ascii="Times New Roman" w:hAnsi="Times New Roman"/>
          <w:sz w:val="28"/>
          <w:szCs w:val="28"/>
          <w:lang w:val="en-US"/>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Головненков, П. В. (2021). Уголовное уложение Федеративной Республики Германия – Strafgesetzbuch (StGB). Potsdam: Universitätsve</w:t>
      </w:r>
      <w:r>
        <w:rPr>
          <w:rFonts w:ascii="Times New Roman" w:hAnsi="Times New Roman"/>
          <w:sz w:val="28"/>
          <w:szCs w:val="28"/>
        </w:rPr>
        <w:t>rlag Potsdam.</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Кримінальний кодекс Франції. </w:t>
      </w:r>
      <w:r w:rsidRPr="002C746F">
        <w:rPr>
          <w:rFonts w:ascii="Times New Roman" w:hAnsi="Times New Roman"/>
          <w:sz w:val="28"/>
          <w:szCs w:val="28"/>
          <w:lang w:val="en-US"/>
        </w:rPr>
        <w:t>URL</w:t>
      </w:r>
      <w:r w:rsidRPr="009F08C2">
        <w:rPr>
          <w:rFonts w:ascii="Times New Roman" w:hAnsi="Times New Roman"/>
          <w:sz w:val="28"/>
          <w:szCs w:val="28"/>
        </w:rPr>
        <w:t xml:space="preserve">: </w:t>
      </w:r>
      <w:hyperlink r:id="rId9" w:history="1">
        <w:r w:rsidRPr="002C746F">
          <w:rPr>
            <w:rStyle w:val="Hyperlink"/>
            <w:rFonts w:ascii="Times New Roman" w:hAnsi="Times New Roman"/>
            <w:sz w:val="28"/>
            <w:szCs w:val="28"/>
            <w:lang w:val="en-US"/>
          </w:rPr>
          <w:t>https</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www</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wipo</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int</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wipolex</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ru</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legislation</w:t>
        </w:r>
        <w:r w:rsidRPr="009F08C2">
          <w:rPr>
            <w:rStyle w:val="Hyperlink"/>
            <w:rFonts w:ascii="Times New Roman" w:hAnsi="Times New Roman"/>
            <w:sz w:val="28"/>
            <w:szCs w:val="28"/>
          </w:rPr>
          <w:t>/</w:t>
        </w:r>
        <w:r w:rsidRPr="002C746F">
          <w:rPr>
            <w:rStyle w:val="Hyperlink"/>
            <w:rFonts w:ascii="Times New Roman" w:hAnsi="Times New Roman"/>
            <w:sz w:val="28"/>
            <w:szCs w:val="28"/>
            <w:lang w:val="en-US"/>
          </w:rPr>
          <w:t>details</w:t>
        </w:r>
        <w:r w:rsidRPr="009F08C2">
          <w:rPr>
            <w:rStyle w:val="Hyperlink"/>
            <w:rFonts w:ascii="Times New Roman" w:hAnsi="Times New Roman"/>
            <w:sz w:val="28"/>
            <w:szCs w:val="28"/>
          </w:rPr>
          <w:t>/14297</w:t>
        </w:r>
      </w:hyperlink>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Ліпкан В. А., Діордіца І. В. Національна безпека України : кримінально-правова охорона : навч. посіб. Київ: КНТ, 2007. 292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Особлива частина: підруч. / за ред. В. В. Сташиса, В. Я. Тація. 4-е вид., переробл. і допов. Харків: Право, 2010. 608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Коржанський М. Й. Кримінальне право і законодавство України. Частина Особлива : курс лекцій. Київ: Атіка, 2001. 544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Бантишев О. Ф., Шамара О.В. Кримінальна відповідальність за злочини проти основ національної безпеки України (проблеми кваліфікації): монографія. </w:t>
      </w:r>
      <w:r w:rsidRPr="002C746F">
        <w:rPr>
          <w:rFonts w:ascii="Times New Roman" w:hAnsi="Times New Roman"/>
          <w:sz w:val="28"/>
          <w:szCs w:val="28"/>
        </w:rPr>
        <w:t>Луганськ: Віртуальна реальність, 2014. 198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Чорний О. М. Дискусія щодо визначення родового об'єкту терористичного акту. Науковий вісник Міжнародного гуманітарного університету. Серія Юриспруденція. 2015. № 18. Т. 2. С. 122-125.</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 xml:space="preserve"> Скулиш Є. Д., Звонарьов О. Ю. Злочини проти основ національної безпеки України: навч. посібник. Київ: Наук.-вид. відділ Нац. акад. СБУ, 2011. 220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 xml:space="preserve"> Чуваков О. А. Злочини проти основ національної безпеки України: проблеми кримінально-правової теорії і практики: монографія. Одеса: Фенікс, 2017. 362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Конституція України: станом на 1 верес. 2016 р.: відповідає офіц. тексту. Харків: Право, 2016. 82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Про національну безпеку України : Закон України від 21.06.2018 р. № 2469-VIII. Офіційний вісник України. 2018. № 55.</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Климосюк А. С. Концептуальні підходи до визначення безпосереднього об’єкта диверсії (ст. 113 КК України). Актуальні проблеми кримінально-правової охорони основ національної безпеки України: матер. круг. столу (м. Харків, 26 трав. 2017 р.). Харків: Юрайт, 2017. С. 135-139.</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Тацій В. Я. Об’єкт і предмет злочину в кримінальному праві України: навч. посіб. Х.: Україн. юрид. акад., 1994. 75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Загальна частина : підручник / за ред. В. Я. Тація, В. І. Борисова, В. І. Тютюгіна. 5-те вид., переробл. і допов. Харків: Право, 2015. 528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Селецький С. І. Кримінальне право України. Особлива частина: навч. посіб. Київ: Центр учб. л-ри., 2008. 496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Тростюк З. А. Диверсія. Великий енциклопедичний юридичний словник / за ред. Ю. С. Шемшученко. Київ: Юридична думка, 2012. С. 188.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Чуваков О. А. Деякі питання щодо видового об'єкта диверсії. Судова апеляція. 2017. № 1. С. 85-91.</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Шульга, А. М., Павликівський В. І., Вапсва Ю. А. Кримінальне право України. Основні питання і відповіді: посібник. 2-е. вид., доп. і перероб. Харків: Майдан, 2010. 304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Чуваков О. А. Научно-теоретические основы классификации преступлений против основ национальной безопасности Украины. Правова держава. Одеса. 2016. Вип. 21, С. 245-249.</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Гуторова Н. О. Проблеми кримінально-правової охорони державних фінансів України: автореф. дис. … д-ра юрид. наук. Харків, 2002. 38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Науково-практичний коментар до Кримінального кодексу України / відп. ред. С. С. Яценко. 4-те вид., перероб. і допов. Київ: А. С. К., 2006. 848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Коржанський М. Й. Науковий коментар Кримінального кодексу України. Київ: Атіка, Академія, Ельга-н, 2001. 656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Юрченко О. М., Бантишев О. Ф., Кузьмін С. А. Злочини проти основ національної безпеки України. Науково-практичний коментар до Розділу І Особливої частини Кримінальогокодексу України. Київ : Паливода А. В., 2015. 72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Особлива частина: навч. посібник / за ред. О. М. Омельчука. Київ: Алерта; КНТ; ЦуЛ, 2010. 496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Науково-практичний коментар Кримінального кодексу України / за заг. ред. О. М. Джужі, А. В. Савченка, В. В. Чернєя. Київ: Юрінком Інтер, 2016. 1064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Науково-практичний коментар Кримінального кодексу України / За ред. М. І. Мельника, М. І. Хавронюка. 7-ме вид., переробл. та допов. Київ: Юридична думка, 2010. 1288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Науково-практ. коментар до Кримінального кодексу України: у 2 т. / за заг. ред. П. П. Андрушка, В. Г. Гончаренка, Є. В. Фесенка. 3-е вид., перероб. і доп. Київ: Алерта, КНТ, Центр учбової літератури. 2009. Т. 1. 964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Особлива частина : підручник / за заг. ред. О. М. Литвинова. Харків: ХНУВС, 2011. 572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Кузнєцов В. О., Гіжевський В. К. Кримінальне право України (повн. курс у схемах та табл.) : навч. посіб. Київ: Кондор, 2005. 459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Сливич І. І., Ступник Я. В. Кримінальне право України. Особлива частина : навч. посіб. Ужгород: Гельветика, 2014. 656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Климчук О. Нове у кримінальній відповідальності за диверсію. Підприємництво, господарство і право. 2002. № 3. С. 84-86.</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Чуваков О. А. Диверсія як злочин проти основ національної безпеки. Конституційно-правовий вимір в розвитку правової системи України: матеріали міжнар. наук.-практ. конф. ( м. Одеса 25.10.2013 р.). Одеса. 2013. С. 244-248.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Особлива частина: підручник / за ред. В. Я. Тація, В. І. Борисова, В. І. Тютюгіна. 5-те вид., переробл. і допов. Харків: Право, 2015. 680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Тютюгін В. І., Комаров О. Д., Рубащенко М. А. Кримінальне право України. Особлива частина: посіб. для підготовки до іспитів. Харків: Право, 2016. 156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Сичевський В. В., Харитонов Є. І., Олєйніков Д. О. Науково-практичний коментар до Розділу I Особливої частини Кримінального кодексу України (Злочини проти основ національної безпеки України). Харків: Право, 2016. 232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Кодекс цивільного захисту України: Закон України від 02.10.2012 р. № 5403-VI. Відомості Верховної Ради України. 2013. № 34-35. Ст.458.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Захаренко В. Е., Сокол С. С., Бузницкая С. В., Антошкина В. К. Уголовное право Украины. Учебное пособие. Донецк: Юго-Восток, 2005. Кн. 2. 275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Про ветеринарну медицину: Закон України від 25.06.1992 р. № 2498- XII. Відомості Верховної Ради України. 1992. № 36. Ст. 531.</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Про затвердження Класифікаційних ознак надзвичайних ситуацій: Наказ МНС України від 12.12.2012 р. № 1400. URL: http://zakon2.rada.gov.ua/laws/show/z0040-13/page (дата звернення 01.05.2018).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Про забезпечення санітарного та епідемічного благополуччя населення: Закон України від 24.02.1994 р. № 4004-XII. Відомості Верховної Ради України. 1994. № 27. Ст. 218.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Мочкош Я. В. Об’єкт злочину в кримінальному праві України: фатаморгана чи реальність . Часоп. Київ. ун-ту права. 2011. № 2. С. 226-230.</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Рубащенко М. А. Кримінальна відповідальність за посягання на територіальну цілісність і недоторканність: монографія. Харків: Право, 2016. 286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Демидова Л. М. Безтілесна річ як предмет злочину. Вісник академії правових наук України. 2015.№ 2(81). С. 101-107.</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Радутний О. Е. Кримінальна відповідальність за незаконне збирання, використання та розголошення відомостей, що становлять комерційну або банківську таємницю : монографія. Харків: Ксілон, 2008. 202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Музика А. А., Лащук Є. В. Предмет злочину: теоретичні основи пізнання : моногр. Київ: ПАЛИВОДА А. В., 2011. 192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Гуторова Н. О. Проблеми кримінально-правової охорони державних фінансів України: автореф. дис. … д-ра юрид. наук. Харків, 2002. 38 с</w:t>
      </w:r>
      <w:r w:rsidRPr="002C746F">
        <w:rPr>
          <w:rFonts w:ascii="Times New Roman" w:hAnsi="Times New Roman"/>
          <w:sz w:val="28"/>
          <w:szCs w:val="28"/>
          <w:lang w:val="en-US"/>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Загальна частина : підручник / за ред. В. Я. Тація, В. І. Борисова, В. І. Тютюгіна. 5-те вид., переробл. і допов. Харків: Право, 2015. 528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Лихова С. Я., Садовський М. В. Кримінальна відповідальність за диверсію (ст. 113 КК України). Юридична наука і практика: виклики часу: матеріали V міжнародної науково-практичної конференції. Київ. 2015 р. Т. ІІ. 288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Берзін П. С. Проблеми кваліфікації закінчених злочинів у сфері господарської діяльності. Адвокат. 2012. № 12(147). С. 9-14.</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Особлива частина: підручник / за ред. М. І. Мельника, В. А. Клименка. Київ: Юридична думка, 2004. 656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України: Особлива частина - розділи І, II: Практикум: навчальний посібник / за заг. ред. В. К. Матвійчука. Київ: КНТ, 2008. 256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Гуторова Н. А. Уголовное право Украины. Особенная часть: конспект лекц. Харьков: Одиссей, 2003. 320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Кримінальний кодекс України. Наук-практ. комент.: у 2 т. / за заг. ред. В. Я. Тація, В. П. Пшонки, В. І. Борисова, В. І. Тютюгіна. 5-те вид., допов. Харків: Право, 2013. Т. 2. 1040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Великий тлумачний словник сучасної української мови / уклад. і голов. ред. В. Т. Бусел. Київ, Ірпінь: Перун, 2005. 1728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Про затвердження Правил пожежної безпеки для суден, які будуються та ремонтуються: Наказ МНС України від 23.03.2004 р. №136. Офіційний вісник України. 2004. № 17. Ст. 1208.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Мохончук С. М. Уголовная ответственность за терроризм : дисс. … канд. юрид. наук. Харьков. 1999. 187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Тихий В. П. Злочини проти суспільної (загальної) безпеки – Конспект лекцій. Харків. 1996. 69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Газдайка-Василишин І. Б. Некорисливі злочини проти власності: монографія. Львів. 2012. 212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 xml:space="preserve"> ДСТУ 2272-93. Пожежна безпека. Терміни та визначення. [Чинний від 01.-01.-95]. Вид. офіц. Київ: Держспоживстандарт України, 1993. 27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Стеблюк М. І. Цивільна оборона: підручник. Київ: Знання, 2006. 487 c.</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Кримінальне право (Особлива частина): підручник / за ред. О. О. Дудорова, Є. О. Письменського. Т. 1. Луганськ: Елтон-2, 2012. 780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Бантишев О. Ф., Кузьмін С. А. Злочини проти основ національної безпеки України: наук.-практ. Коментар. Київ: ПАЛИВОДА А. В. 84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 Т</w:t>
      </w:r>
      <w:r w:rsidRPr="002C746F">
        <w:rPr>
          <w:rFonts w:ascii="Times New Roman" w:hAnsi="Times New Roman"/>
          <w:sz w:val="28"/>
          <w:szCs w:val="28"/>
        </w:rPr>
        <w:t>ихий В. П., Панов М. І. Злочин, його види та стадії: науково-практичний коментар. Київ: Промені, 2007. 40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 xml:space="preserve">Ухвала Рівненського міс. суду від 28 квітня 2017 р., судова справа № 569/6480/17. URL: </w:t>
      </w:r>
      <w:hyperlink r:id="rId10" w:history="1">
        <w:r w:rsidRPr="002C746F">
          <w:rPr>
            <w:rStyle w:val="Hyperlink"/>
            <w:rFonts w:ascii="Times New Roman" w:hAnsi="Times New Roman"/>
            <w:sz w:val="28"/>
            <w:szCs w:val="28"/>
          </w:rPr>
          <w:t>http://reyestr.court.gov.ua/Review/66972921</w:t>
        </w:r>
      </w:hyperlink>
      <w:r w:rsidRPr="002C746F">
        <w:rPr>
          <w:rFonts w:ascii="Times New Roman" w:hAnsi="Times New Roman"/>
          <w:sz w:val="28"/>
          <w:szCs w:val="28"/>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Климосюк А. С. Законодавча конструкція диверсії: реалії та перспективи. Jurnalul juridic national: teorie si practica. 2018. № 2. Т. 1. С. 125-128.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Норми радіаційної безпеки (НРБУ-97): Державні гігієнічні нормативи: ДГН 6.6.1- 6.5.001 – 98: Видання офіційне. </w:t>
      </w:r>
      <w:r w:rsidRPr="002C746F">
        <w:rPr>
          <w:rFonts w:ascii="Times New Roman" w:hAnsi="Times New Roman"/>
          <w:sz w:val="28"/>
          <w:szCs w:val="28"/>
        </w:rPr>
        <w:t>Київ. 1998. 125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Про затвердження Інструкції щодо проведення радіаційного контролю транспортних засобів і вантажів у пунктах пропуску через державний кордон та на митній території України: Наказ Міністерства екології та природних ресурсів України від 15.05.2000 р. № 27. </w:t>
      </w:r>
      <w:r w:rsidRPr="002C746F">
        <w:rPr>
          <w:rFonts w:ascii="Times New Roman" w:hAnsi="Times New Roman"/>
          <w:sz w:val="28"/>
          <w:szCs w:val="28"/>
        </w:rPr>
        <w:t>Офіційний вісник України. 2000. № 28. Ст. 1184.</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 Про захист населення від інфекційних хвороб: Закон України від 06.04. 2000 р. № 1645-ІІІ. Відомості Верховної Ради України. 2000. № 29. Ст. 228.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Воробйов О. О., Романів Л. В. Цивільний захист. Навчальний посібник. Чернівці: Рута, 2008. 152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Ломако В. А. Зміст умислу та його види. Текст лекцій. Харків: Юрид. ін.-т, 1991. 15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Вереша Р. В. Суб’єктивні елементи складу злочину: наук.-практ. посіб. Київ: Алерта, 2015. 88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Жаровська Г., Ющик О. Кримінальне право України (Загальна частина): навч. посіб. Чернівці: Чернівецький нац. ун-т, 2013. 304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Вереша Р.В. Мотив та мета злочину: наук.-практ. посіб. Київ: Алерта, 2016. 56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Павликівський В. І. Мета як обов’язкова ознака перешкоджання законній професійній діяльності журналістів. Науковий вісник Херсонського державного університету. Сер. Юридичні науки. 2014. Вип. 3. Т. 3. С. 80-84.</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Дудоров О. О., Хавронюк М. І. Кримінальне право: Навчальний посібник. Київ. 2014. 944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Чуваков О. А. Диверсія як злочин проти основ національної безпеки. Конституційно-правовий вимір в розвитку правової системи України: матеріали міжнар. наук.-практ. конф. ( м. Одеса 25.10.2013 р.). Одеса. 2013. С. 244-248.</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Сухонос В. В. Кримінальне право України. Загальна частина: підручник. Суми: Університетська книга, 2016. 375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Вереша Р. В. Суб’єкт злочину: нак.-практ. посіб. Київ: Алерта, 2014. 44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Актуальні питання кримінального законодавства України та практики його застосування: монографія / В. Я. Тацій та ін.; Нац. акад. прав. наук України, НДІ вивч. проблем злочинності ім. акад. В. В. Сташиса НАПрН України. Харків: Право, 2017. 400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Мирошниченко Н. М. Вікова осудність у кримінально-правовій доктрині України : автореф. дис. ... канд. юрид. наук. Одеса. 2013. 20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Ткаченко В. В. Кримінальна відповідальність за диверсію та терористичний акт у контексті віку, з якого може наставати кримінальна відповідальність. Актуальні проблеми кримінальної відповідальності: матеріали міжнар. наук.-практ. конф. (м. Харків 10-11 жовт. 2013 р.). Харків: Право, 2013. С. 357-360.</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Бурдін В. М. Особливості кримінальної відповідальності неповнолітніх в Україні: монографія. </w:t>
      </w:r>
      <w:r w:rsidRPr="002C746F">
        <w:rPr>
          <w:rFonts w:ascii="Times New Roman" w:hAnsi="Times New Roman"/>
          <w:sz w:val="28"/>
          <w:szCs w:val="28"/>
        </w:rPr>
        <w:t>Київ: Атіка, 2004. 240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Олєйніков Д. О. Особливості суб’єктивної сторони співучасті у вчиненні злочинів проти основ національної безпеки України. Наукові записки Львівського університету бізнесу та права. 2013. № 11. С. 249-253.</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lang w:val="uk-UA"/>
        </w:rPr>
        <w:t xml:space="preserve">Климосюк А. С. Безпосередній об’єкт диверсії (стаття 113 КК України). </w:t>
      </w:r>
      <w:r w:rsidRPr="002C746F">
        <w:rPr>
          <w:rFonts w:ascii="Times New Roman" w:hAnsi="Times New Roman"/>
          <w:sz w:val="28"/>
          <w:szCs w:val="28"/>
        </w:rPr>
        <w:t>Проблеми законності. 2017. Вип. 137. С. 101-112.</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Кондратьєв Я. Ю., Романюк Б. В. Тероризм: сучасний стан та міжнародний досвід боротьби. Київ: Нац. акад. внутр. справ України, 2003. 451 c.</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Романюк Б. В., Коваленко В. В. Щодо кримінально-правового визначення поняття тероризму. Право України. 2001. № 6. С. 71-75.</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Антипенко В. Ф. Міжнародно-правовий фактор визначення ознак об’єкта складу терористичного акту у внутрішньому законодавстві. Проблеми відповідальності за злочини проти громадської безпеки за новим Кримінальним кодексом України: матеріали міжнар. наук.-практ. Семінару (м. Харків 1-2 жовт. 2002 р.). Харків. 2003. С. 197-202.</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Климосюк А. С. Про кримінально-правову характеристику предметів диверсії та необхідність вдосконалення їх законодавчого формулювання в ст. 113 Кримінального кодексу України. Науковий вісник Херсонського державного університету. Серія Юридичні науки. 2016. № 5. С. 101–106.</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Форос А. В. Кримінально-правові ознаки терористичного акту. Правова держава. 2012. № 15. С. 177-182.</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Тихий В. П., Панов М. І. Злочин, його види та стадії: науковопрактичний коментар. Київ: Промені, 2007. 40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 xml:space="preserve">Про практику застосування судами України законодавства у справах про злочини проти безпеки виробництва: Постанова Пленуму ВСУ від 12.06.2009 р. № 7. URL: </w:t>
      </w:r>
      <w:hyperlink r:id="rId11" w:history="1">
        <w:r w:rsidRPr="002C746F">
          <w:rPr>
            <w:rStyle w:val="Hyperlink"/>
            <w:rFonts w:ascii="Times New Roman" w:hAnsi="Times New Roman"/>
            <w:sz w:val="28"/>
            <w:szCs w:val="28"/>
          </w:rPr>
          <w:t>http://zakon5.rada.gov.ua/laws/show/va007700-09</w:t>
        </w:r>
      </w:hyperlink>
      <w:r w:rsidRPr="002C746F">
        <w:rPr>
          <w:rFonts w:ascii="Times New Roman" w:hAnsi="Times New Roman"/>
          <w:sz w:val="28"/>
          <w:szCs w:val="28"/>
        </w:rPr>
        <w:t>.</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Фальченко С. Л. Проблемні питання кваліфікації злочину за ст. 330 КК України. 10 років чинності Кримінального кодексу України: проблеми застосування, удосконалення та подальшої гармонізації із законодавством європейських країн: матеріали міжнар. наук.-практ. конф. (м. Харків 13-14 жовт. 2011 р.). Харків :Право, 2011. С.382-386.</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Мохончук С. М. Кримінально-правова охорона миру та безпеки людства: авт.. дис.. док.юрид наук. Харків. 2014. 42 с.</w:t>
      </w:r>
    </w:p>
    <w:p w:rsidR="00071A7D" w:rsidRPr="002C746F" w:rsidRDefault="00071A7D" w:rsidP="004E28F4">
      <w:pPr>
        <w:pStyle w:val="ListParagraph"/>
        <w:numPr>
          <w:ilvl w:val="0"/>
          <w:numId w:val="4"/>
        </w:numPr>
        <w:spacing w:line="360" w:lineRule="auto"/>
        <w:jc w:val="both"/>
        <w:rPr>
          <w:rFonts w:ascii="Times New Roman" w:hAnsi="Times New Roman"/>
          <w:sz w:val="28"/>
          <w:szCs w:val="28"/>
          <w:lang w:val="uk-UA"/>
        </w:rPr>
      </w:pPr>
      <w:r w:rsidRPr="002C746F">
        <w:rPr>
          <w:rFonts w:ascii="Times New Roman" w:hAnsi="Times New Roman"/>
          <w:sz w:val="28"/>
          <w:szCs w:val="28"/>
        </w:rPr>
        <w:t>Про судову практику в справах про злочини проти життя та здоров’я особи: Постанова Пленуму ВСУ від 7.02.2003 р. № 2. URL: http://zakon5.rada.gov.ua/laws/show/v0002700-03</w:t>
      </w:r>
    </w:p>
    <w:p w:rsidR="00071A7D" w:rsidRPr="00E256E2" w:rsidRDefault="00071A7D" w:rsidP="004E28F4">
      <w:pPr>
        <w:spacing w:after="0" w:line="360" w:lineRule="auto"/>
        <w:ind w:firstLine="708"/>
        <w:contextualSpacing/>
        <w:jc w:val="both"/>
        <w:rPr>
          <w:rFonts w:ascii="Times New Roman" w:hAnsi="Times New Roman"/>
          <w:sz w:val="28"/>
          <w:szCs w:val="28"/>
          <w:lang w:val="uk-UA" w:eastAsia="ru-RU"/>
        </w:rPr>
      </w:pPr>
    </w:p>
    <w:sectPr w:rsidR="00071A7D" w:rsidRPr="00E256E2" w:rsidSect="00E952E5">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A7D" w:rsidRDefault="00071A7D" w:rsidP="00376821">
      <w:pPr>
        <w:spacing w:after="0" w:line="240" w:lineRule="auto"/>
      </w:pPr>
      <w:r>
        <w:separator/>
      </w:r>
    </w:p>
  </w:endnote>
  <w:endnote w:type="continuationSeparator" w:id="1">
    <w:p w:rsidR="00071A7D" w:rsidRDefault="00071A7D" w:rsidP="003768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SimSun">
    <w:altName w:val="§­§°§®§Ц"/>
    <w:panose1 w:val="02010600030101010101"/>
    <w:charset w:val="86"/>
    <w:family w:val="auto"/>
    <w:notTrueType/>
    <w:pitch w:val="variable"/>
    <w:sig w:usb0="00000001" w:usb1="080E0000" w:usb2="00000010" w:usb3="00000000" w:csb0="00040000" w:csb1="00000000"/>
  </w:font>
  <w:font w:name="MS Gothic">
    <w:altName w:val="?l?r ?S?V?b?N"/>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A7D" w:rsidRDefault="00071A7D" w:rsidP="00376821">
      <w:pPr>
        <w:spacing w:after="0" w:line="240" w:lineRule="auto"/>
      </w:pPr>
      <w:r>
        <w:separator/>
      </w:r>
    </w:p>
  </w:footnote>
  <w:footnote w:type="continuationSeparator" w:id="1">
    <w:p w:rsidR="00071A7D" w:rsidRDefault="00071A7D" w:rsidP="003768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0A0"/>
    </w:tblPr>
    <w:tblGrid>
      <w:gridCol w:w="3119"/>
      <w:gridCol w:w="3119"/>
      <w:gridCol w:w="3117"/>
    </w:tblGrid>
    <w:tr w:rsidR="00071A7D" w:rsidRPr="00DF3158">
      <w:trPr>
        <w:trHeight w:val="720"/>
      </w:trPr>
      <w:tc>
        <w:tcPr>
          <w:tcW w:w="1667" w:type="pct"/>
        </w:tcPr>
        <w:p w:rsidR="00071A7D" w:rsidRPr="00DF3158" w:rsidRDefault="00071A7D">
          <w:pPr>
            <w:pStyle w:val="Header"/>
            <w:tabs>
              <w:tab w:val="clear" w:pos="4677"/>
              <w:tab w:val="clear" w:pos="9355"/>
            </w:tabs>
            <w:rPr>
              <w:color w:val="5B9BD5"/>
            </w:rPr>
          </w:pPr>
        </w:p>
      </w:tc>
      <w:tc>
        <w:tcPr>
          <w:tcW w:w="1667" w:type="pct"/>
        </w:tcPr>
        <w:p w:rsidR="00071A7D" w:rsidRPr="00DF3158" w:rsidRDefault="00071A7D">
          <w:pPr>
            <w:pStyle w:val="Header"/>
            <w:tabs>
              <w:tab w:val="clear" w:pos="4677"/>
              <w:tab w:val="clear" w:pos="9355"/>
            </w:tabs>
            <w:jc w:val="center"/>
            <w:rPr>
              <w:color w:val="5B9BD5"/>
            </w:rPr>
          </w:pPr>
        </w:p>
      </w:tc>
      <w:tc>
        <w:tcPr>
          <w:tcW w:w="1666" w:type="pct"/>
        </w:tcPr>
        <w:p w:rsidR="00071A7D" w:rsidRPr="00DF3158" w:rsidRDefault="00071A7D">
          <w:pPr>
            <w:pStyle w:val="Header"/>
            <w:tabs>
              <w:tab w:val="clear" w:pos="4677"/>
              <w:tab w:val="clear" w:pos="9355"/>
            </w:tabs>
            <w:jc w:val="right"/>
            <w:rPr>
              <w:rFonts w:ascii="Times New Roman" w:hAnsi="Times New Roman"/>
              <w:color w:val="000000"/>
              <w:sz w:val="28"/>
              <w:szCs w:val="28"/>
            </w:rPr>
          </w:pPr>
          <w:r w:rsidRPr="00DF3158">
            <w:rPr>
              <w:rFonts w:ascii="Times New Roman" w:hAnsi="Times New Roman"/>
              <w:color w:val="000000"/>
              <w:sz w:val="28"/>
              <w:szCs w:val="28"/>
            </w:rPr>
            <w:fldChar w:fldCharType="begin"/>
          </w:r>
          <w:r w:rsidRPr="00DF3158">
            <w:rPr>
              <w:rFonts w:ascii="Times New Roman" w:hAnsi="Times New Roman"/>
              <w:color w:val="000000"/>
              <w:sz w:val="28"/>
              <w:szCs w:val="28"/>
            </w:rPr>
            <w:instrText>PAGE   \* MERGEFORMAT</w:instrText>
          </w:r>
          <w:r w:rsidRPr="00DF3158">
            <w:rPr>
              <w:rFonts w:ascii="Times New Roman" w:hAnsi="Times New Roman"/>
              <w:color w:val="000000"/>
              <w:sz w:val="28"/>
              <w:szCs w:val="28"/>
            </w:rPr>
            <w:fldChar w:fldCharType="separate"/>
          </w:r>
          <w:r>
            <w:rPr>
              <w:rFonts w:ascii="Times New Roman" w:hAnsi="Times New Roman"/>
              <w:noProof/>
              <w:color w:val="000000"/>
              <w:sz w:val="28"/>
              <w:szCs w:val="28"/>
            </w:rPr>
            <w:t>5</w:t>
          </w:r>
          <w:r w:rsidRPr="00DF3158">
            <w:rPr>
              <w:rFonts w:ascii="Times New Roman" w:hAnsi="Times New Roman"/>
              <w:color w:val="000000"/>
              <w:sz w:val="28"/>
              <w:szCs w:val="28"/>
            </w:rPr>
            <w:fldChar w:fldCharType="end"/>
          </w:r>
        </w:p>
      </w:tc>
    </w:tr>
  </w:tbl>
  <w:p w:rsidR="00071A7D" w:rsidRDefault="00071A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33C"/>
    <w:multiLevelType w:val="multilevel"/>
    <w:tmpl w:val="2B5497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11D062F"/>
    <w:multiLevelType w:val="multilevel"/>
    <w:tmpl w:val="ECBEC4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62D42A9"/>
    <w:multiLevelType w:val="multilevel"/>
    <w:tmpl w:val="274CF0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64B39D1"/>
    <w:multiLevelType w:val="hybridMultilevel"/>
    <w:tmpl w:val="C94E6420"/>
    <w:lvl w:ilvl="0" w:tplc="6AC686C6">
      <w:start w:val="6"/>
      <w:numFmt w:val="bullet"/>
      <w:lvlText w:val="-"/>
      <w:lvlJc w:val="left"/>
      <w:pPr>
        <w:ind w:left="1776" w:hanging="360"/>
      </w:pPr>
      <w:rPr>
        <w:rFonts w:ascii="Times New Roman" w:eastAsia="Times New Roman" w:hAnsi="Times New Roman" w:hint="default"/>
        <w:b/>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
    <w:nsid w:val="2E900C21"/>
    <w:multiLevelType w:val="hybridMultilevel"/>
    <w:tmpl w:val="525038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44615EE"/>
    <w:multiLevelType w:val="multilevel"/>
    <w:tmpl w:val="DD2C5B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37807C7"/>
    <w:multiLevelType w:val="multilevel"/>
    <w:tmpl w:val="1102CA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46D5E02"/>
    <w:multiLevelType w:val="multilevel"/>
    <w:tmpl w:val="63D8AF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74F4141D"/>
    <w:multiLevelType w:val="hybridMultilevel"/>
    <w:tmpl w:val="9F888FF6"/>
    <w:lvl w:ilvl="0" w:tplc="6BAAE94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76DB0696"/>
    <w:multiLevelType w:val="hybridMultilevel"/>
    <w:tmpl w:val="704478C0"/>
    <w:lvl w:ilvl="0" w:tplc="E3E8E96C">
      <w:start w:val="6"/>
      <w:numFmt w:val="bullet"/>
      <w:lvlText w:val="-"/>
      <w:lvlJc w:val="left"/>
      <w:pPr>
        <w:ind w:left="1776" w:hanging="360"/>
      </w:pPr>
      <w:rPr>
        <w:rFonts w:ascii="Times New Roman" w:eastAsia="Times New Roman" w:hAnsi="Times New Roman" w:hint="default"/>
        <w:b/>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0">
    <w:nsid w:val="7DAE42EC"/>
    <w:multiLevelType w:val="multilevel"/>
    <w:tmpl w:val="27CE69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9"/>
  </w:num>
  <w:num w:numId="3">
    <w:abstractNumId w:val="8"/>
  </w:num>
  <w:num w:numId="4">
    <w:abstractNumId w:val="4"/>
  </w:num>
  <w:num w:numId="5">
    <w:abstractNumId w:val="0"/>
  </w:num>
  <w:num w:numId="6">
    <w:abstractNumId w:val="1"/>
  </w:num>
  <w:num w:numId="7">
    <w:abstractNumId w:val="2"/>
  </w:num>
  <w:num w:numId="8">
    <w:abstractNumId w:val="7"/>
  </w:num>
  <w:num w:numId="9">
    <w:abstractNumId w:val="5"/>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1648"/>
    <w:rsid w:val="00020C63"/>
    <w:rsid w:val="00026BC2"/>
    <w:rsid w:val="00047A4E"/>
    <w:rsid w:val="00071A7D"/>
    <w:rsid w:val="000B37F1"/>
    <w:rsid w:val="000C0C8B"/>
    <w:rsid w:val="00103503"/>
    <w:rsid w:val="00141BF9"/>
    <w:rsid w:val="00196BF1"/>
    <w:rsid w:val="001A534D"/>
    <w:rsid w:val="0024347E"/>
    <w:rsid w:val="00292A99"/>
    <w:rsid w:val="002C746F"/>
    <w:rsid w:val="0031501E"/>
    <w:rsid w:val="003153E6"/>
    <w:rsid w:val="00362C35"/>
    <w:rsid w:val="00363F6E"/>
    <w:rsid w:val="00376821"/>
    <w:rsid w:val="003B0B86"/>
    <w:rsid w:val="003F0DE7"/>
    <w:rsid w:val="004C4D55"/>
    <w:rsid w:val="004E28F4"/>
    <w:rsid w:val="00500DD9"/>
    <w:rsid w:val="005276BD"/>
    <w:rsid w:val="005330A0"/>
    <w:rsid w:val="005D1FAD"/>
    <w:rsid w:val="005E669B"/>
    <w:rsid w:val="005F6780"/>
    <w:rsid w:val="00612AAA"/>
    <w:rsid w:val="00635E82"/>
    <w:rsid w:val="00641DB8"/>
    <w:rsid w:val="00653F22"/>
    <w:rsid w:val="006727C8"/>
    <w:rsid w:val="006821F2"/>
    <w:rsid w:val="006D19C7"/>
    <w:rsid w:val="00762AAA"/>
    <w:rsid w:val="007727EC"/>
    <w:rsid w:val="00821648"/>
    <w:rsid w:val="0084321E"/>
    <w:rsid w:val="00904375"/>
    <w:rsid w:val="009044BC"/>
    <w:rsid w:val="009766B0"/>
    <w:rsid w:val="00992667"/>
    <w:rsid w:val="009A6BCE"/>
    <w:rsid w:val="009C0C54"/>
    <w:rsid w:val="009F08C2"/>
    <w:rsid w:val="00A2610C"/>
    <w:rsid w:val="00A2722E"/>
    <w:rsid w:val="00A34F28"/>
    <w:rsid w:val="00A42DBD"/>
    <w:rsid w:val="00AD7153"/>
    <w:rsid w:val="00AF4634"/>
    <w:rsid w:val="00B3789F"/>
    <w:rsid w:val="00B63E8E"/>
    <w:rsid w:val="00B95EAD"/>
    <w:rsid w:val="00BC0D1C"/>
    <w:rsid w:val="00C1678E"/>
    <w:rsid w:val="00C314BF"/>
    <w:rsid w:val="00C67861"/>
    <w:rsid w:val="00CA0BFE"/>
    <w:rsid w:val="00CC413C"/>
    <w:rsid w:val="00CD6F6A"/>
    <w:rsid w:val="00D24AA0"/>
    <w:rsid w:val="00D3259F"/>
    <w:rsid w:val="00D641B7"/>
    <w:rsid w:val="00D8284D"/>
    <w:rsid w:val="00DD21AA"/>
    <w:rsid w:val="00DF3158"/>
    <w:rsid w:val="00E256E2"/>
    <w:rsid w:val="00E952E5"/>
    <w:rsid w:val="00E96EDC"/>
    <w:rsid w:val="00F921C4"/>
    <w:rsid w:val="00FB22FB"/>
    <w:rsid w:val="00FB50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E8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1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DefaultParagraphFont"/>
    <w:uiPriority w:val="99"/>
    <w:rsid w:val="00A2610C"/>
    <w:rPr>
      <w:rFonts w:cs="Times New Roman"/>
    </w:rPr>
  </w:style>
  <w:style w:type="paragraph" w:styleId="ListParagraph">
    <w:name w:val="List Paragraph"/>
    <w:basedOn w:val="Normal"/>
    <w:uiPriority w:val="99"/>
    <w:qFormat/>
    <w:rsid w:val="0084321E"/>
    <w:pPr>
      <w:ind w:left="720"/>
      <w:contextualSpacing/>
    </w:pPr>
  </w:style>
  <w:style w:type="paragraph" w:styleId="Header">
    <w:name w:val="header"/>
    <w:basedOn w:val="Normal"/>
    <w:link w:val="HeaderChar"/>
    <w:uiPriority w:val="99"/>
    <w:rsid w:val="0037682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76821"/>
    <w:rPr>
      <w:rFonts w:cs="Times New Roman"/>
    </w:rPr>
  </w:style>
  <w:style w:type="paragraph" w:styleId="Footer">
    <w:name w:val="footer"/>
    <w:basedOn w:val="Normal"/>
    <w:link w:val="FooterChar"/>
    <w:uiPriority w:val="99"/>
    <w:rsid w:val="0037682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76821"/>
    <w:rPr>
      <w:rFonts w:cs="Times New Roman"/>
    </w:rPr>
  </w:style>
  <w:style w:type="character" w:styleId="Hyperlink">
    <w:name w:val="Hyperlink"/>
    <w:basedOn w:val="DefaultParagraphFont"/>
    <w:uiPriority w:val="99"/>
    <w:rsid w:val="00992667"/>
    <w:rPr>
      <w:rFonts w:cs="Times New Roman"/>
      <w:color w:val="0563C1"/>
      <w:u w:val="single"/>
    </w:rPr>
  </w:style>
  <w:style w:type="paragraph" w:styleId="BalloonText">
    <w:name w:val="Balloon Text"/>
    <w:basedOn w:val="Normal"/>
    <w:link w:val="BalloonTextChar"/>
    <w:uiPriority w:val="99"/>
    <w:semiHidden/>
    <w:rsid w:val="002C7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C746F"/>
    <w:rPr>
      <w:rFonts w:ascii="Segoe UI" w:hAnsi="Segoe UI" w:cs="Segoe UI"/>
      <w:sz w:val="18"/>
      <w:szCs w:val="18"/>
    </w:rPr>
  </w:style>
  <w:style w:type="paragraph" w:styleId="HTMLPreformatted">
    <w:name w:val="HTML Preformatted"/>
    <w:basedOn w:val="Normal"/>
    <w:link w:val="HTMLPreformattedChar"/>
    <w:uiPriority w:val="99"/>
    <w:rsid w:val="009F0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PreformattedChar">
    <w:name w:val="HTML Preformatted Char"/>
    <w:basedOn w:val="DefaultParagraphFont"/>
    <w:link w:val="HTMLPreformatted"/>
    <w:uiPriority w:val="99"/>
    <w:locked/>
    <w:rsid w:val="009F08C2"/>
    <w:rPr>
      <w:rFonts w:ascii="Courier New" w:hAnsi="Courier New" w:cs="Times New Roman"/>
      <w:sz w:val="20"/>
      <w:szCs w:val="20"/>
      <w:lang w:eastAsia="ru-RU"/>
    </w:rPr>
  </w:style>
  <w:style w:type="character" w:styleId="Strong">
    <w:name w:val="Strong"/>
    <w:basedOn w:val="DefaultParagraphFont"/>
    <w:uiPriority w:val="99"/>
    <w:qFormat/>
    <w:rsid w:val="00D3259F"/>
    <w:rPr>
      <w:rFonts w:cs="Times New Roman"/>
      <w:b/>
      <w:bCs/>
    </w:rPr>
  </w:style>
</w:styles>
</file>

<file path=word/webSettings.xml><?xml version="1.0" encoding="utf-8"?>
<w:webSettings xmlns:r="http://schemas.openxmlformats.org/officeDocument/2006/relationships" xmlns:w="http://schemas.openxmlformats.org/wordprocessingml/2006/main">
  <w:divs>
    <w:div w:id="205945604">
      <w:marLeft w:val="0"/>
      <w:marRight w:val="0"/>
      <w:marTop w:val="0"/>
      <w:marBottom w:val="0"/>
      <w:divBdr>
        <w:top w:val="none" w:sz="0" w:space="0" w:color="auto"/>
        <w:left w:val="none" w:sz="0" w:space="0" w:color="auto"/>
        <w:bottom w:val="none" w:sz="0" w:space="0" w:color="auto"/>
        <w:right w:val="none" w:sz="0" w:space="0" w:color="auto"/>
      </w:divBdr>
    </w:div>
    <w:div w:id="205945605">
      <w:marLeft w:val="0"/>
      <w:marRight w:val="0"/>
      <w:marTop w:val="0"/>
      <w:marBottom w:val="0"/>
      <w:divBdr>
        <w:top w:val="none" w:sz="0" w:space="0" w:color="auto"/>
        <w:left w:val="none" w:sz="0" w:space="0" w:color="auto"/>
        <w:bottom w:val="none" w:sz="0" w:space="0" w:color="auto"/>
        <w:right w:val="none" w:sz="0" w:space="0" w:color="auto"/>
      </w:divBdr>
    </w:div>
    <w:div w:id="205945606">
      <w:marLeft w:val="0"/>
      <w:marRight w:val="0"/>
      <w:marTop w:val="0"/>
      <w:marBottom w:val="0"/>
      <w:divBdr>
        <w:top w:val="none" w:sz="0" w:space="0" w:color="auto"/>
        <w:left w:val="none" w:sz="0" w:space="0" w:color="auto"/>
        <w:bottom w:val="none" w:sz="0" w:space="0" w:color="auto"/>
        <w:right w:val="none" w:sz="0" w:space="0" w:color="auto"/>
      </w:divBdr>
    </w:div>
    <w:div w:id="205945607">
      <w:marLeft w:val="0"/>
      <w:marRight w:val="0"/>
      <w:marTop w:val="0"/>
      <w:marBottom w:val="0"/>
      <w:divBdr>
        <w:top w:val="none" w:sz="0" w:space="0" w:color="auto"/>
        <w:left w:val="none" w:sz="0" w:space="0" w:color="auto"/>
        <w:bottom w:val="none" w:sz="0" w:space="0" w:color="auto"/>
        <w:right w:val="none" w:sz="0" w:space="0" w:color="auto"/>
      </w:divBdr>
    </w:div>
    <w:div w:id="205945608">
      <w:marLeft w:val="0"/>
      <w:marRight w:val="0"/>
      <w:marTop w:val="0"/>
      <w:marBottom w:val="0"/>
      <w:divBdr>
        <w:top w:val="none" w:sz="0" w:space="0" w:color="auto"/>
        <w:left w:val="none" w:sz="0" w:space="0" w:color="auto"/>
        <w:bottom w:val="none" w:sz="0" w:space="0" w:color="auto"/>
        <w:right w:val="none" w:sz="0" w:space="0" w:color="auto"/>
      </w:divBdr>
    </w:div>
    <w:div w:id="205945609">
      <w:marLeft w:val="0"/>
      <w:marRight w:val="0"/>
      <w:marTop w:val="0"/>
      <w:marBottom w:val="0"/>
      <w:divBdr>
        <w:top w:val="none" w:sz="0" w:space="0" w:color="auto"/>
        <w:left w:val="none" w:sz="0" w:space="0" w:color="auto"/>
        <w:bottom w:val="none" w:sz="0" w:space="0" w:color="auto"/>
        <w:right w:val="none" w:sz="0" w:space="0" w:color="auto"/>
      </w:divBdr>
    </w:div>
    <w:div w:id="205945610">
      <w:marLeft w:val="0"/>
      <w:marRight w:val="0"/>
      <w:marTop w:val="0"/>
      <w:marBottom w:val="0"/>
      <w:divBdr>
        <w:top w:val="none" w:sz="0" w:space="0" w:color="auto"/>
        <w:left w:val="none" w:sz="0" w:space="0" w:color="auto"/>
        <w:bottom w:val="none" w:sz="0" w:space="0" w:color="auto"/>
        <w:right w:val="none" w:sz="0" w:space="0" w:color="auto"/>
      </w:divBdr>
    </w:div>
    <w:div w:id="205945611">
      <w:marLeft w:val="0"/>
      <w:marRight w:val="0"/>
      <w:marTop w:val="0"/>
      <w:marBottom w:val="0"/>
      <w:divBdr>
        <w:top w:val="none" w:sz="0" w:space="0" w:color="auto"/>
        <w:left w:val="none" w:sz="0" w:space="0" w:color="auto"/>
        <w:bottom w:val="none" w:sz="0" w:space="0" w:color="auto"/>
        <w:right w:val="none" w:sz="0" w:space="0" w:color="auto"/>
      </w:divBdr>
    </w:div>
    <w:div w:id="205945612">
      <w:marLeft w:val="0"/>
      <w:marRight w:val="0"/>
      <w:marTop w:val="0"/>
      <w:marBottom w:val="0"/>
      <w:divBdr>
        <w:top w:val="none" w:sz="0" w:space="0" w:color="auto"/>
        <w:left w:val="none" w:sz="0" w:space="0" w:color="auto"/>
        <w:bottom w:val="none" w:sz="0" w:space="0" w:color="auto"/>
        <w:right w:val="none" w:sz="0" w:space="0" w:color="auto"/>
      </w:divBdr>
    </w:div>
    <w:div w:id="205945613">
      <w:marLeft w:val="0"/>
      <w:marRight w:val="0"/>
      <w:marTop w:val="0"/>
      <w:marBottom w:val="0"/>
      <w:divBdr>
        <w:top w:val="none" w:sz="0" w:space="0" w:color="auto"/>
        <w:left w:val="none" w:sz="0" w:space="0" w:color="auto"/>
        <w:bottom w:val="none" w:sz="0" w:space="0" w:color="auto"/>
        <w:right w:val="none" w:sz="0" w:space="0" w:color="auto"/>
      </w:divBdr>
    </w:div>
    <w:div w:id="205945614">
      <w:marLeft w:val="0"/>
      <w:marRight w:val="0"/>
      <w:marTop w:val="0"/>
      <w:marBottom w:val="0"/>
      <w:divBdr>
        <w:top w:val="none" w:sz="0" w:space="0" w:color="auto"/>
        <w:left w:val="none" w:sz="0" w:space="0" w:color="auto"/>
        <w:bottom w:val="none" w:sz="0" w:space="0" w:color="auto"/>
        <w:right w:val="none" w:sz="0" w:space="0" w:color="auto"/>
      </w:divBdr>
    </w:div>
    <w:div w:id="205945615">
      <w:marLeft w:val="0"/>
      <w:marRight w:val="0"/>
      <w:marTop w:val="0"/>
      <w:marBottom w:val="0"/>
      <w:divBdr>
        <w:top w:val="none" w:sz="0" w:space="0" w:color="auto"/>
        <w:left w:val="none" w:sz="0" w:space="0" w:color="auto"/>
        <w:bottom w:val="none" w:sz="0" w:space="0" w:color="auto"/>
        <w:right w:val="none" w:sz="0" w:space="0" w:color="auto"/>
      </w:divBdr>
    </w:div>
    <w:div w:id="205945616">
      <w:marLeft w:val="0"/>
      <w:marRight w:val="0"/>
      <w:marTop w:val="0"/>
      <w:marBottom w:val="0"/>
      <w:divBdr>
        <w:top w:val="none" w:sz="0" w:space="0" w:color="auto"/>
        <w:left w:val="none" w:sz="0" w:space="0" w:color="auto"/>
        <w:bottom w:val="none" w:sz="0" w:space="0" w:color="auto"/>
        <w:right w:val="none" w:sz="0" w:space="0" w:color="auto"/>
      </w:divBdr>
    </w:div>
    <w:div w:id="205945617">
      <w:marLeft w:val="0"/>
      <w:marRight w:val="0"/>
      <w:marTop w:val="0"/>
      <w:marBottom w:val="0"/>
      <w:divBdr>
        <w:top w:val="none" w:sz="0" w:space="0" w:color="auto"/>
        <w:left w:val="none" w:sz="0" w:space="0" w:color="auto"/>
        <w:bottom w:val="none" w:sz="0" w:space="0" w:color="auto"/>
        <w:right w:val="none" w:sz="0" w:space="0" w:color="auto"/>
      </w:divBdr>
    </w:div>
    <w:div w:id="205945618">
      <w:marLeft w:val="0"/>
      <w:marRight w:val="0"/>
      <w:marTop w:val="0"/>
      <w:marBottom w:val="0"/>
      <w:divBdr>
        <w:top w:val="none" w:sz="0" w:space="0" w:color="auto"/>
        <w:left w:val="none" w:sz="0" w:space="0" w:color="auto"/>
        <w:bottom w:val="none" w:sz="0" w:space="0" w:color="auto"/>
        <w:right w:val="none" w:sz="0" w:space="0" w:color="auto"/>
      </w:divBdr>
    </w:div>
    <w:div w:id="205945619">
      <w:marLeft w:val="0"/>
      <w:marRight w:val="0"/>
      <w:marTop w:val="0"/>
      <w:marBottom w:val="0"/>
      <w:divBdr>
        <w:top w:val="none" w:sz="0" w:space="0" w:color="auto"/>
        <w:left w:val="none" w:sz="0" w:space="0" w:color="auto"/>
        <w:bottom w:val="none" w:sz="0" w:space="0" w:color="auto"/>
        <w:right w:val="none" w:sz="0" w:space="0" w:color="auto"/>
      </w:divBdr>
    </w:div>
    <w:div w:id="205945620">
      <w:marLeft w:val="0"/>
      <w:marRight w:val="0"/>
      <w:marTop w:val="0"/>
      <w:marBottom w:val="0"/>
      <w:divBdr>
        <w:top w:val="none" w:sz="0" w:space="0" w:color="auto"/>
        <w:left w:val="none" w:sz="0" w:space="0" w:color="auto"/>
        <w:bottom w:val="none" w:sz="0" w:space="0" w:color="auto"/>
        <w:right w:val="none" w:sz="0" w:space="0" w:color="auto"/>
      </w:divBdr>
    </w:div>
    <w:div w:id="205945621">
      <w:marLeft w:val="0"/>
      <w:marRight w:val="0"/>
      <w:marTop w:val="0"/>
      <w:marBottom w:val="0"/>
      <w:divBdr>
        <w:top w:val="none" w:sz="0" w:space="0" w:color="auto"/>
        <w:left w:val="none" w:sz="0" w:space="0" w:color="auto"/>
        <w:bottom w:val="none" w:sz="0" w:space="0" w:color="auto"/>
        <w:right w:val="none" w:sz="0" w:space="0" w:color="auto"/>
      </w:divBdr>
    </w:div>
    <w:div w:id="205945622">
      <w:marLeft w:val="0"/>
      <w:marRight w:val="0"/>
      <w:marTop w:val="0"/>
      <w:marBottom w:val="0"/>
      <w:divBdr>
        <w:top w:val="none" w:sz="0" w:space="0" w:color="auto"/>
        <w:left w:val="none" w:sz="0" w:space="0" w:color="auto"/>
        <w:bottom w:val="none" w:sz="0" w:space="0" w:color="auto"/>
        <w:right w:val="none" w:sz="0" w:space="0" w:color="auto"/>
      </w:divBdr>
    </w:div>
    <w:div w:id="205945623">
      <w:marLeft w:val="0"/>
      <w:marRight w:val="0"/>
      <w:marTop w:val="0"/>
      <w:marBottom w:val="0"/>
      <w:divBdr>
        <w:top w:val="none" w:sz="0" w:space="0" w:color="auto"/>
        <w:left w:val="none" w:sz="0" w:space="0" w:color="auto"/>
        <w:bottom w:val="none" w:sz="0" w:space="0" w:color="auto"/>
        <w:right w:val="none" w:sz="0" w:space="0" w:color="auto"/>
      </w:divBdr>
    </w:div>
    <w:div w:id="205945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URL:http://zakon0.rada.gov.ua/laws/show/6591-10/ed1984022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extbooks.net.ua/content/view/1060/13/"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5.rada.gov.ua/laws/show/va007700-09" TargetMode="External"/><Relationship Id="rId5" Type="http://schemas.openxmlformats.org/officeDocument/2006/relationships/footnotes" Target="footnotes.xml"/><Relationship Id="rId10" Type="http://schemas.openxmlformats.org/officeDocument/2006/relationships/hyperlink" Target="http://reyestr.court.gov.ua/Review/66972921" TargetMode="External"/><Relationship Id="rId4" Type="http://schemas.openxmlformats.org/officeDocument/2006/relationships/webSettings" Target="webSettings.xml"/><Relationship Id="rId9" Type="http://schemas.openxmlformats.org/officeDocument/2006/relationships/hyperlink" Target="https://www.wipo.int/wipolex/ru/legislation/details/1429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95</Pages>
  <Words>25004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Hidden Missle</dc:creator>
  <cp:keywords/>
  <dc:description/>
  <cp:lastModifiedBy>room-27</cp:lastModifiedBy>
  <cp:revision>2</cp:revision>
  <dcterms:created xsi:type="dcterms:W3CDTF">2024-12-19T07:45:00Z</dcterms:created>
  <dcterms:modified xsi:type="dcterms:W3CDTF">2024-12-19T07:45:00Z</dcterms:modified>
</cp:coreProperties>
</file>