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Фізіології людини та тварин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spacing w:val="4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pacing w:val="40"/>
          <w:sz w:val="28"/>
          <w:szCs w:val="28"/>
          <w:lang w:eastAsia="ru-RU"/>
        </w:rPr>
        <w:t>Дипломна робота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магістр</w:t>
      </w:r>
    </w:p>
    <w:p w:rsidR="00DA70A6" w:rsidRPr="00DA70A6" w:rsidRDefault="00DA70A6" w:rsidP="00DA70A6">
      <w:pPr>
        <w:widowControl w:val="0"/>
        <w:autoSpaceDE w:val="0"/>
        <w:autoSpaceDN w:val="0"/>
        <w:adjustRightInd w:val="0"/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на тему: «</w:t>
      </w: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Поведінкові реакції щурів при аліментарному </w:t>
      </w:r>
      <w:proofErr w:type="gramStart"/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жировому</w:t>
      </w:r>
      <w:proofErr w:type="gramEnd"/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навантаженні»</w:t>
      </w:r>
    </w:p>
    <w:p w:rsidR="00DA70A6" w:rsidRPr="00DA70A6" w:rsidRDefault="00DA70A6" w:rsidP="00DA70A6">
      <w:pPr>
        <w:tabs>
          <w:tab w:val="right" w:pos="9355"/>
        </w:tabs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proofErr w:type="spellStart"/>
      <w:r w:rsidRPr="00DA70A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Behavioural</w:t>
      </w:r>
      <w:proofErr w:type="spellEnd"/>
      <w:r w:rsidRPr="00DA70A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response of rats during the alimentary high fat diet</w:t>
      </w: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DA70A6" w:rsidRPr="00DA70A6" w:rsidRDefault="00DA70A6" w:rsidP="00DA70A6">
      <w:pPr>
        <w:spacing w:after="0" w:line="360" w:lineRule="auto"/>
        <w:ind w:firstLine="453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A70A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Виконала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DA70A6" w:rsidRPr="00DA70A6" w:rsidRDefault="00DA70A6" w:rsidP="00DA70A6">
      <w:pPr>
        <w:spacing w:after="0" w:line="360" w:lineRule="auto"/>
        <w:ind w:firstLine="453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студентка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денної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DA70A6" w:rsidRPr="00DA70A6" w:rsidRDefault="00DA70A6" w:rsidP="00DA70A6">
      <w:pPr>
        <w:spacing w:after="0" w:line="360" w:lineRule="auto"/>
        <w:ind w:firstLine="453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091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іо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логія</w:t>
      </w:r>
      <w:proofErr w:type="spellEnd"/>
    </w:p>
    <w:p w:rsidR="00DA70A6" w:rsidRPr="00DA70A6" w:rsidRDefault="00DA70A6" w:rsidP="00DA70A6">
      <w:pPr>
        <w:spacing w:after="0" w:line="360" w:lineRule="auto"/>
        <w:ind w:firstLine="453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Лєвченко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Валентина Василівна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DA70A6" w:rsidRPr="00DA70A6" w:rsidRDefault="00DA70A6" w:rsidP="00DA70A6">
      <w:pPr>
        <w:tabs>
          <w:tab w:val="left" w:pos="5245"/>
          <w:tab w:val="right" w:pos="9355"/>
        </w:tabs>
        <w:spacing w:after="0" w:line="360" w:lineRule="auto"/>
        <w:ind w:firstLine="453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Науковий к</w:t>
      </w:r>
      <w:proofErr w:type="spellStart"/>
      <w:r w:rsidRPr="00DA70A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ерівник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к.б.н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доцент</w:t>
      </w:r>
    </w:p>
    <w:p w:rsidR="00DA70A6" w:rsidRPr="00DA70A6" w:rsidRDefault="00DA70A6" w:rsidP="00DA70A6">
      <w:pPr>
        <w:tabs>
          <w:tab w:val="left" w:pos="4005"/>
        </w:tabs>
        <w:spacing w:after="0" w:line="360" w:lineRule="auto"/>
        <w:ind w:firstLine="453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Сьомік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Лідія Іванівна</w:t>
      </w:r>
    </w:p>
    <w:p w:rsidR="00DA70A6" w:rsidRPr="00DA70A6" w:rsidRDefault="00DA70A6" w:rsidP="00DA70A6">
      <w:pPr>
        <w:tabs>
          <w:tab w:val="left" w:pos="5245"/>
          <w:tab w:val="right" w:pos="9355"/>
        </w:tabs>
        <w:spacing w:after="0" w:line="360" w:lineRule="auto"/>
        <w:ind w:firstLine="4536"/>
        <w:contextualSpacing/>
        <w:jc w:val="both"/>
        <w:rPr>
          <w:rFonts w:ascii="Calibri" w:eastAsia="Times New Roman" w:hAnsi="Calibri" w:cs="Times New Roman"/>
          <w:bCs/>
          <w:shd w:val="clear" w:color="auto" w:fill="FFFFFF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Рецензент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к.б.н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доцент</w:t>
      </w:r>
      <w:r w:rsidRPr="00DA70A6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 xml:space="preserve"> </w:t>
      </w:r>
    </w:p>
    <w:p w:rsidR="00DA70A6" w:rsidRPr="00DA70A6" w:rsidRDefault="00DA70A6" w:rsidP="00DA70A6">
      <w:pPr>
        <w:tabs>
          <w:tab w:val="left" w:pos="5245"/>
          <w:tab w:val="right" w:pos="9355"/>
        </w:tabs>
        <w:spacing w:after="0" w:line="360" w:lineRule="auto"/>
        <w:ind w:firstLine="4536"/>
        <w:contextualSpacing/>
        <w:jc w:val="both"/>
        <w:rPr>
          <w:rFonts w:ascii="Calibri" w:eastAsia="Times New Roman" w:hAnsi="Calibri" w:cs="Times New Roman"/>
          <w:b/>
          <w:lang w:val="ru-RU" w:eastAsia="ru-RU"/>
        </w:rPr>
      </w:pPr>
      <w:r w:rsidRPr="00DA70A6">
        <w:rPr>
          <w:rFonts w:ascii="Calibri" w:eastAsia="Times New Roman" w:hAnsi="Calibri" w:cs="Times New Roman"/>
          <w:bCs/>
          <w:sz w:val="28"/>
          <w:szCs w:val="28"/>
          <w:shd w:val="clear" w:color="auto" w:fill="FFFFFF"/>
          <w:lang w:eastAsia="ru-RU"/>
        </w:rPr>
        <w:t xml:space="preserve">                    </w:t>
      </w:r>
      <w:proofErr w:type="spellStart"/>
      <w:r w:rsidRPr="00DA70A6">
        <w:rPr>
          <w:rFonts w:ascii="Calibri" w:eastAsia="Times New Roman" w:hAnsi="Calibri" w:cs="Times New Roman"/>
          <w:bCs/>
          <w:sz w:val="28"/>
          <w:szCs w:val="28"/>
          <w:shd w:val="clear" w:color="auto" w:fill="FFFFFF"/>
          <w:lang w:eastAsia="ru-RU"/>
        </w:rPr>
        <w:t>Гудзенко</w:t>
      </w:r>
      <w:proofErr w:type="spellEnd"/>
      <w:r w:rsidRPr="00DA70A6">
        <w:rPr>
          <w:rFonts w:ascii="Calibri" w:eastAsia="Times New Roman" w:hAnsi="Calibri" w:cs="Times New Roman"/>
          <w:b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DA70A6">
        <w:rPr>
          <w:rFonts w:ascii="Calibri" w:eastAsia="Times New Roman" w:hAnsi="Calibri" w:cs="Times New Roman"/>
          <w:bCs/>
          <w:sz w:val="28"/>
          <w:szCs w:val="28"/>
          <w:shd w:val="clear" w:color="auto" w:fill="FFFFFF"/>
          <w:lang w:eastAsia="ru-RU"/>
        </w:rPr>
        <w:t>Тетьяна</w:t>
      </w:r>
      <w:proofErr w:type="spellEnd"/>
      <w:r w:rsidRPr="00DA70A6">
        <w:rPr>
          <w:rFonts w:ascii="Calibri" w:eastAsia="Times New Roman" w:hAnsi="Calibri" w:cs="Times New Roman"/>
          <w:bCs/>
          <w:sz w:val="28"/>
          <w:szCs w:val="28"/>
          <w:shd w:val="clear" w:color="auto" w:fill="FFFFFF"/>
          <w:lang w:eastAsia="ru-RU"/>
        </w:rPr>
        <w:t xml:space="preserve"> Василівна</w:t>
      </w:r>
    </w:p>
    <w:p w:rsidR="00DA70A6" w:rsidRPr="00DA70A6" w:rsidRDefault="00DA70A6" w:rsidP="00DA70A6">
      <w:pPr>
        <w:spacing w:after="0" w:line="360" w:lineRule="auto"/>
        <w:ind w:left="3969"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DA70A6" w:rsidRPr="00DA70A6" w:rsidTr="00DA70A6">
        <w:trPr>
          <w:jc w:val="center"/>
        </w:trPr>
        <w:tc>
          <w:tcPr>
            <w:tcW w:w="4967" w:type="dxa"/>
            <w:hideMark/>
          </w:tcPr>
          <w:p w:rsidR="00DA70A6" w:rsidRPr="00DA70A6" w:rsidRDefault="00DA70A6" w:rsidP="00DA70A6">
            <w:pPr>
              <w:spacing w:after="0" w:line="360" w:lineRule="auto"/>
              <w:ind w:firstLine="7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DA70A6" w:rsidRPr="00DA70A6" w:rsidRDefault="00DA70A6" w:rsidP="00DA70A6">
            <w:pPr>
              <w:spacing w:before="120" w:after="0" w:line="360" w:lineRule="auto"/>
              <w:ind w:firstLine="7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DA70A6" w:rsidRPr="00DA70A6" w:rsidRDefault="00DA70A6" w:rsidP="00DA70A6">
            <w:pPr>
              <w:spacing w:before="120" w:after="0" w:line="360" w:lineRule="auto"/>
              <w:ind w:firstLine="7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№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_________ 2018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</w:p>
          <w:p w:rsidR="00DA70A6" w:rsidRPr="00DA70A6" w:rsidRDefault="00DA70A6" w:rsidP="00DA70A6">
            <w:pPr>
              <w:spacing w:before="600" w:after="0" w:line="360" w:lineRule="auto"/>
              <w:ind w:firstLine="7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DA70A6" w:rsidRPr="00DA70A6" w:rsidRDefault="00DA70A6" w:rsidP="00DA70A6">
            <w:pPr>
              <w:tabs>
                <w:tab w:val="left" w:pos="284"/>
                <w:tab w:val="left" w:pos="1767"/>
              </w:tabs>
              <w:spacing w:after="0" w:line="360" w:lineRule="auto"/>
              <w:ind w:firstLine="7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________________ Макаренко О.А.</w:t>
            </w:r>
          </w:p>
          <w:p w:rsidR="00DA70A6" w:rsidRPr="00DA70A6" w:rsidRDefault="00DA70A6" w:rsidP="00DA70A6">
            <w:pPr>
              <w:tabs>
                <w:tab w:val="left" w:pos="284"/>
                <w:tab w:val="left" w:pos="1767"/>
              </w:tabs>
              <w:spacing w:after="0" w:line="360" w:lineRule="auto"/>
              <w:ind w:firstLine="7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               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(</w:t>
            </w:r>
            <w:proofErr w:type="spellStart"/>
            <w:proofErr w:type="gram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п</w:t>
            </w:r>
            <w:proofErr w:type="gram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ідпис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)</w:t>
            </w:r>
          </w:p>
        </w:tc>
        <w:tc>
          <w:tcPr>
            <w:tcW w:w="4678" w:type="dxa"/>
            <w:hideMark/>
          </w:tcPr>
          <w:p w:rsidR="00DA70A6" w:rsidRPr="00DA70A6" w:rsidRDefault="00DA70A6" w:rsidP="00DA70A6">
            <w:pPr>
              <w:tabs>
                <w:tab w:val="right" w:pos="4462"/>
              </w:tabs>
              <w:spacing w:after="0" w:line="360" w:lineRule="auto"/>
              <w:ind w:firstLine="29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1</w:t>
            </w:r>
          </w:p>
          <w:p w:rsidR="00DA70A6" w:rsidRPr="00DA70A6" w:rsidRDefault="00DA70A6" w:rsidP="00DA70A6">
            <w:pPr>
              <w:tabs>
                <w:tab w:val="right" w:pos="4462"/>
              </w:tabs>
              <w:spacing w:before="120" w:after="0" w:line="360" w:lineRule="auto"/>
              <w:ind w:firstLine="29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№__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__________201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</w:p>
          <w:p w:rsidR="00DA70A6" w:rsidRPr="00DA70A6" w:rsidRDefault="00DA70A6" w:rsidP="00DA70A6">
            <w:pPr>
              <w:tabs>
                <w:tab w:val="right" w:pos="4462"/>
              </w:tabs>
              <w:spacing w:before="120" w:after="0" w:line="360" w:lineRule="auto"/>
              <w:ind w:firstLine="29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  <w:t>___/_____</w:t>
            </w:r>
          </w:p>
          <w:p w:rsidR="00DA70A6" w:rsidRPr="00DA70A6" w:rsidRDefault="00DA70A6" w:rsidP="00DA70A6">
            <w:pPr>
              <w:spacing w:after="0" w:line="360" w:lineRule="auto"/>
              <w:ind w:firstLine="29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 xml:space="preserve">(за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національною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 xml:space="preserve"> шкалою, шкалою ЕСТ</w:t>
            </w:r>
            <w:proofErr w:type="gram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en-US" w:eastAsia="ru-RU"/>
              </w:rPr>
              <w:t>S</w:t>
            </w:r>
            <w:proofErr w:type="gram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 xml:space="preserve">,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бали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val="ru-RU" w:eastAsia="ru-RU"/>
              </w:rPr>
              <w:t>)</w:t>
            </w:r>
          </w:p>
          <w:p w:rsidR="00DA70A6" w:rsidRPr="00DA70A6" w:rsidRDefault="00DA70A6" w:rsidP="00DA70A6">
            <w:pPr>
              <w:spacing w:after="0" w:line="360" w:lineRule="auto"/>
              <w:ind w:firstLine="29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DA70A6" w:rsidRPr="00DA70A6" w:rsidRDefault="00DA70A6" w:rsidP="00DA70A6">
            <w:pPr>
              <w:spacing w:after="0" w:line="360" w:lineRule="auto"/>
              <w:ind w:firstLine="29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________________ </w:t>
            </w:r>
            <w:proofErr w:type="spellStart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Чеботар</w:t>
            </w:r>
            <w:proofErr w:type="spellEnd"/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С.В.</w:t>
            </w:r>
          </w:p>
          <w:p w:rsidR="00DA70A6" w:rsidRPr="00DA70A6" w:rsidRDefault="00DA70A6" w:rsidP="00DA70A6">
            <w:pPr>
              <w:spacing w:after="0" w:line="360" w:lineRule="auto"/>
              <w:ind w:firstLine="29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</w:pPr>
            <w:r w:rsidRPr="00DA70A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                    (підпис)</w:t>
            </w:r>
          </w:p>
        </w:tc>
      </w:tr>
      <w:tr w:rsidR="00DA70A6" w:rsidRPr="00DA70A6" w:rsidTr="00DA70A6">
        <w:trPr>
          <w:jc w:val="center"/>
        </w:trPr>
        <w:tc>
          <w:tcPr>
            <w:tcW w:w="4967" w:type="dxa"/>
          </w:tcPr>
          <w:p w:rsidR="00DA70A6" w:rsidRPr="00DA70A6" w:rsidRDefault="00DA70A6" w:rsidP="00DA70A6">
            <w:pPr>
              <w:spacing w:after="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DA70A6" w:rsidRPr="00DA70A6" w:rsidRDefault="00DA70A6" w:rsidP="00DA70A6">
            <w:pPr>
              <w:spacing w:after="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DA70A6" w:rsidRPr="00DA70A6" w:rsidRDefault="00DA70A6" w:rsidP="00DA70A6">
            <w:pPr>
              <w:spacing w:after="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DA70A6" w:rsidRPr="00DA70A6" w:rsidRDefault="00DA70A6" w:rsidP="00DA70A6">
            <w:pPr>
              <w:spacing w:after="0" w:line="360" w:lineRule="auto"/>
              <w:ind w:firstLine="567"/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spacing w:after="0" w:line="36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DA70A6" w:rsidRPr="00DA70A6" w:rsidRDefault="00DA70A6" w:rsidP="00DA70A6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АНОТАЦІЯ</w:t>
      </w:r>
    </w:p>
    <w:p w:rsidR="00DA70A6" w:rsidRPr="00DA70A6" w:rsidRDefault="00DA70A6" w:rsidP="00DA70A6">
      <w:p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роботі представлені результати аналізу дії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високожирового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навантаження на центральну нервову систему щурів та на біохімічні показники головного мозку. Виявлено, що тривожність щурів збільшується, а дослідницька активність знижується після додавання до раціону харчування пальмової олії та звичайної соняшникової олії. Додавання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високоолеїнової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соняшникової олії «Оливка» підвищує дослідницьку активність та не впливає на інші показники. Підвищення тривожності та зниження дослідницької активності може бути пов’язано з біохімічними змінами в головному мозку щурів: суттєве збільшення активності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еластази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уреази на тлі зниження активності каталази та лізоциму після вживання звичайної соняшникової олії, пальмової олії та вершкового масла. </w:t>
      </w:r>
    </w:p>
    <w:p w:rsidR="00DA70A6" w:rsidRPr="00DA70A6" w:rsidRDefault="00DA70A6" w:rsidP="00DA70A6">
      <w:pPr>
        <w:tabs>
          <w:tab w:val="left" w:pos="851"/>
        </w:tabs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Роботу викладено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68 сторінках, вона містить 10 рисунків та 1 таблицю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. Наведено посилання на 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74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джерел літератури (61 кирилицею, 13 латиницею).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 слова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щурі,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жирове навантаження, «відкрите поле», поведінка.</w:t>
      </w: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DA70A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SUMMARY</w:t>
      </w: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results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analysis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effect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high-fat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loading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central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nervous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system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rats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biochemical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parameters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brain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are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presented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paper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has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been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found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that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anxiety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rats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increases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research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activity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decreases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after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adding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palm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oil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common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sunflower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oil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to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diet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addition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high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oleic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sunflower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oil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"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Olive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"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increases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research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activity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does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not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affect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other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indicators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Increased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anxiety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decreased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research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activity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may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due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to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biochemical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changes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brain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rats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a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significant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increase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activity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elastase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urease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against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background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reduced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activity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catalase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lysozyme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after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use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conventional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sunflower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oil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palm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oil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butter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The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work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presented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68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pages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contains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10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figures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table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Reference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is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made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to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74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sources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of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literature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(6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Cyrillic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13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Latin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).</w:t>
      </w: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DA70A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Key</w:t>
      </w:r>
      <w:proofErr w:type="spellEnd"/>
      <w:r w:rsidRPr="00DA70A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words</w:t>
      </w:r>
      <w:proofErr w:type="spellEnd"/>
      <w:r w:rsidRPr="00DA70A6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:</w:t>
      </w:r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rats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fat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load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, "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open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field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", </w:t>
      </w:r>
      <w:proofErr w:type="spellStart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behavior</w:t>
      </w:r>
      <w:proofErr w:type="spellEnd"/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DA70A6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УМОВНИХ СКОРОЧЕНЬ</w:t>
      </w:r>
    </w:p>
    <w:p w:rsidR="00DA70A6" w:rsidRPr="00DA70A6" w:rsidRDefault="00DA70A6" w:rsidP="00DA70A6">
      <w:pPr>
        <w:tabs>
          <w:tab w:val="left" w:pos="42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АТФ –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аденозинтрифосфат</w:t>
      </w:r>
      <w:proofErr w:type="spellEnd"/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ЦНС – центральна нервова система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 – перекисне окиснення ліпідів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ГЕБ –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гематоенцефалічний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бар’єр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ГАМК - гамма-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аміномасляна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кислота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НАДН –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нікотинамідаденінди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нуклеотид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ЛПНЩ -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ліпопротеїни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низької щільності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ЛПДНЩ -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ліпопротеїни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дуже низької щільності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ЛПВЩ -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ліпопротеїни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високої щільності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ВНД - вища нервова діяльність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tabs>
          <w:tab w:val="left" w:pos="426"/>
          <w:tab w:val="right" w:leader="dot" w:pos="9344"/>
        </w:tabs>
        <w:spacing w:after="0" w:line="360" w:lineRule="auto"/>
        <w:ind w:firstLine="567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DA70A6">
        <w:rPr>
          <w:rFonts w:ascii="Times New Roman" w:eastAsia="Calibri" w:hAnsi="Times New Roman" w:cs="Times New Roman"/>
          <w:sz w:val="28"/>
          <w:szCs w:val="28"/>
        </w:rPr>
        <w:lastRenderedPageBreak/>
        <w:t>ЗМІСТ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ВСТУП………………………………………………………………………..6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1.ОГЛЯД ЛІТЕРАТУРИ...…………………………………………………10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1.1. Загальні особливості біохімічного складу та метаболізму нервової тканини……………………………………………………………………………..10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1.2. </w:t>
      </w:r>
      <w:proofErr w:type="spellStart"/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Гематоенцефалічний</w:t>
      </w:r>
      <w:proofErr w:type="spellEnd"/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бар’єр………………………………………….14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1.3. Поведінка тварин……………………………………………………..17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     1.3.1. Поведінкові та вегетативні складові процесу адаптації………..18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     1.3.2. </w:t>
      </w:r>
      <w:r w:rsidRPr="00DA70A6">
        <w:rPr>
          <w:rFonts w:ascii="Times New Roman" w:eastAsia="Calibri" w:hAnsi="Times New Roman" w:cs="Times New Roman"/>
          <w:sz w:val="28"/>
          <w:szCs w:val="28"/>
        </w:rPr>
        <w:t>Вплив факторів навколишнього середовища на поведінку та адаптацію тварин………………………………………………………………...21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  <w:tab w:val="center" w:pos="4819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1.4. Жири та жирні кислоти………………………………………………22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  <w:tab w:val="center" w:pos="4819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           1.4.2. </w:t>
      </w:r>
      <w:r w:rsidRPr="00DA70A6">
        <w:rPr>
          <w:rFonts w:ascii="Times New Roman" w:eastAsia="Calibri" w:hAnsi="Times New Roman" w:cs="Times New Roman"/>
          <w:sz w:val="28"/>
          <w:szCs w:val="28"/>
        </w:rPr>
        <w:t>Вплив надлишку жирів на функцію печінки та організму в цілому…………………………………………………………………………….26</w:t>
      </w:r>
    </w:p>
    <w:p w:rsidR="00DA70A6" w:rsidRPr="00DA70A6" w:rsidRDefault="00DA70A6" w:rsidP="00DA70A6">
      <w:pPr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МАТЕРІАЛИ ТА МЕТОДИ ДОСЛІДЖЕННЯ………………………...30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A70A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2.1. Схема досліду……………………………………………………...30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2.2.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 орієнтовно-дослідницької поведінки за методом «відкритого поля» у дослідах на щурах………………………………………..32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2.3. Методика визначення активності лізоциму……………………...33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2.4. Методика визначення активності уреази.………………………..35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2.5. Вивчення активності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еластази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…………………………………….36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2.6. Визначення вмісті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малонового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діальдегіду.……………………..37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2.7. Методика визначення активності каталази……………………….38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2.8.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Математико – статистичний аналіз………………………………39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3. </w:t>
      </w: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РЕЗУЛЬТАТИ ДОСЛІДЖЕНЬ ТА ЇХ ОБГОВОРЕННЯ……………...41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     3.1. Оцінка поведінки щурів, які отримували різні харчові жири………………………………………………………………………………41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      3.2. Біохімічні дослідження тканин головного мозку щурів, які тривалий час отримували різні харчові жири...………………………………..49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УЗАГАЛЬНЕННЯ………………………………………………………….58</w:t>
      </w:r>
    </w:p>
    <w:p w:rsidR="00DA70A6" w:rsidRPr="00DA70A6" w:rsidRDefault="00DA70A6" w:rsidP="00DA70A6">
      <w:pPr>
        <w:shd w:val="clear" w:color="auto" w:fill="FFFFFF"/>
        <w:tabs>
          <w:tab w:val="left" w:pos="426"/>
          <w:tab w:val="left" w:pos="567"/>
        </w:tabs>
        <w:spacing w:after="0"/>
        <w:ind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ВИСНОВКИ………………………………………………………………..61</w:t>
      </w:r>
    </w:p>
    <w:p w:rsidR="00DA70A6" w:rsidRPr="00DA70A6" w:rsidRDefault="00DA70A6" w:rsidP="00DA70A6">
      <w:pPr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СПИСОК ЛІТЕРАТУРИ…………………………………………………..62</w:t>
      </w:r>
    </w:p>
    <w:p w:rsidR="00DA70A6" w:rsidRPr="00DA70A6" w:rsidRDefault="00DA70A6" w:rsidP="00DA70A6">
      <w:pPr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ДОДАТОК</w:t>
      </w:r>
    </w:p>
    <w:p w:rsidR="00DA70A6" w:rsidRPr="00DA70A6" w:rsidRDefault="00DA70A6" w:rsidP="00DA70A6">
      <w:pPr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ОХОРОНА ПРАЦІ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center"/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eastAsia="ru-RU"/>
        </w:rPr>
        <w:lastRenderedPageBreak/>
        <w:t>ВСТУП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 адаптаційних структурно-функціональних перебудов в організмі, встановлення закономірностей і особливостей функціонування систем, що реалізують і регулюючих адаптацію, є актуальною проблемою і одним з пріоритетних напрямків сучасної фізіології. Однією з причин, що забезпечують формування адаптаційних реакцій, є нераціональне харчування, зокрема, надмірне споживання тваринного жиру, холестерину [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Доценко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2004]. Питання про формування адаптаційних реакцій організму на дію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високожирового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навантаження, співвідношення специфічних і неспецифічних проявів цих реакцій активно дискутується. Наприклад, на тлі підвищеного споживання холестерину змінюється функціонування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гіпота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-ламо-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гіпофізарно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адренокортикальної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системи (ГГАС) - від гіперфункції ГГАС на початкових етапах холестеринового навантаження до поступової нормалізації її функціонування. Це дає підставу говорити про здатність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гіпержирового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раціону впливати на центральну нейроендокринну регуляцію адаптаційних процесів.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Calibri" w:eastAsia="Times New Roman" w:hAnsi="Calibri" w:cs="Times New Roman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Адаптація здійснюється різноманітними механізмами на різних структурно-функціональних рівнях організму. У реалізації базисних механізмів адаптації на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клітинно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-молекулярному рівні активну участь беруть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гепатобіліарна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імунна,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прооксидантно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-антиоксидантна, ліпід-транспортна системи [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Bauer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2008]. Порушення про- і антиоксидантного балансу впливає на стан ліпідного каркаса клітинної мембрани. Навіть незначна зміна складу фосфоліпідів, жирних кислот здатне змінювати фізико-хімічні властивості і функціональні характеристики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цитомембрани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Модифікація мембранних ліпідів може обумовлювати як біохімічну адаптацію клітини, так і зрив процесів пристосування [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Курашвілі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2003]. Фізіологічні механізми здатні ефективно виконувати завдання пристосування організму тільки при тісному комплексуванні гомеостатичних систем. Подібна регуляція визначає надійність їх спільного функціонування, але вона ж створює ризик розвитку функціональних розладів загальної регуляції при порушенні функцій будь-</w:t>
      </w:r>
    </w:p>
    <w:p w:rsidR="00DA70A6" w:rsidRPr="00DA70A6" w:rsidRDefault="00DA70A6" w:rsidP="00DA70A6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якої з систем. Досліджень, в яких би враховувалося інтегральна взаємодія систем, що беруть участь в підтримці гомеостазу та забезпеченні адаптаційних процесів, вкрай мало 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[Владимиров, 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2000]. Системні уявлення про гомеостаз і адаптацію все ще не сформувалися, вони розвиваються і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уточнюються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Системна реакція на стрес, спрямована на усунення або послаблення стресу, супроводжується змінами поведінкових, вегетативних, рухових, сенсорних, когнітивних та інших функцій організму [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Судаков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2010]. Поведінка при стресі є невід'ємною частиною загальної поведінки, при цьому зрушення поведінкового реагування відбувається в бік крайніх станів збудження - гальмування центральної нервової системи і укладається в єдину шкалу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етиологічної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активності стрес - страх - тривожність - депресія [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Калуев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, 2003]. Для вивчення якісних і кількісних показників поведінки застосовуються загальні і спеціальні поведінкові тести. Одним з таких тестів, який використовується в даний час в основному в складі батареї тестів, є тест «відкрите поле» [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Судаков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2013]. Тест «відкрите поле», застосовуваний відповідно до протоколу для скринінгу, що дозволяє виявляти значні порушення в нервової, м'язової, сенсорної і вегетативної системах організму і оцінювати більш тонкі функціональні зміни, пов'язані з індивідуальною та соціальною поведінкою тварин. 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Незважаючи на численні дослідження тварин в модифікованих тестах «відкрите поле» [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Коплик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, 1995], нами не було знайдено робіт, які вивчають зміну стану поведінки при аліментарному жировому навантаженні.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Мета роботи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вивчення впливу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високожирового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навантаження на центральну нервову систему (ЦНС) за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емоційно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-поведінковими реакціями у щурів та біохімічні показники головного мозку. </w:t>
      </w:r>
    </w:p>
    <w:p w:rsidR="00DA70A6" w:rsidRPr="00DA70A6" w:rsidRDefault="00DA70A6" w:rsidP="00DA70A6">
      <w:pPr>
        <w:tabs>
          <w:tab w:val="left" w:pos="0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досягнення мети були поставлені наступні задачі:</w:t>
      </w:r>
    </w:p>
    <w:p w:rsidR="00DA70A6" w:rsidRPr="00DA70A6" w:rsidRDefault="00DA70A6" w:rsidP="00DA70A6">
      <w:pPr>
        <w:tabs>
          <w:tab w:val="left" w:pos="709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Визначити наслідки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високожирового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аліментарного годування щурів на поведінкові реакції (рухової та дослідницької активності).</w:t>
      </w:r>
    </w:p>
    <w:p w:rsidR="00DA70A6" w:rsidRPr="00DA70A6" w:rsidRDefault="00DA70A6" w:rsidP="00DA70A6">
      <w:pPr>
        <w:tabs>
          <w:tab w:val="left" w:pos="0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Проаналізувати поведінкову реакцію щурів у тесті «відкрите поле» за показниками тривожності та стресу.</w:t>
      </w:r>
    </w:p>
    <w:p w:rsidR="00DA70A6" w:rsidRPr="00DA70A6" w:rsidRDefault="00DA70A6" w:rsidP="00DA70A6">
      <w:pPr>
        <w:tabs>
          <w:tab w:val="left" w:pos="0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3. Вивчити вплив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високожирового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аліментарного навантаження на біохімічні показники в тканинах головного мозку.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Обгрунтувати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особливості реакцій щурів змінами біохімічних показників в тканинах головного мозку при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високожировому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аліментарному годуванні.</w:t>
      </w:r>
    </w:p>
    <w:p w:rsidR="00DA70A6" w:rsidRPr="00DA70A6" w:rsidRDefault="00DA70A6" w:rsidP="00DA70A6">
      <w:pPr>
        <w:tabs>
          <w:tab w:val="left" w:pos="426"/>
        </w:tabs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Об'єкт дослідження: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поведінкові реакції щурів на тлі довготривалого жирового харчування.</w:t>
      </w:r>
    </w:p>
    <w:p w:rsidR="00DA70A6" w:rsidRPr="00DA70A6" w:rsidRDefault="00DA70A6" w:rsidP="00DA70A6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Предмет дослідження: 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поведінкова реакція щурів у тесті «відкрите поле», та активність деяких ферментів тканин головного мозку при аліментарному жировому навантаженні тварин.</w:t>
      </w:r>
    </w:p>
    <w:p w:rsidR="00C54CCF" w:rsidRDefault="00C54CCF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Default="00DA70A6"/>
    <w:p w:rsidR="00DA70A6" w:rsidRPr="00DA70A6" w:rsidRDefault="00DA70A6" w:rsidP="00DA70A6">
      <w:pPr>
        <w:spacing w:line="360" w:lineRule="auto"/>
        <w:jc w:val="center"/>
        <w:outlineLvl w:val="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DA70A6" w:rsidRPr="00DA70A6" w:rsidRDefault="00DA70A6" w:rsidP="00DA70A6">
      <w:pPr>
        <w:spacing w:line="360" w:lineRule="auto"/>
        <w:ind w:firstLine="567"/>
        <w:jc w:val="center"/>
        <w:outlineLvl w:val="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Пальмова олія та у великій мірі звичайна соняшникова олія підвищували рухову активність щурів (горизонтальна та вертикальна активність). Дослідницька активність щурів (норки) значно пригнічувалась після вживання вершкового масла, пальмової,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кокосовї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звичайної соняшникової олії.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Високоолеїнова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соняшникова олія «Оливка» підвищувала орієнтовно-дослідницьку активність щурів.</w:t>
      </w:r>
    </w:p>
    <w:p w:rsidR="00DA70A6" w:rsidRPr="00DA70A6" w:rsidRDefault="00DA70A6" w:rsidP="00DA70A6">
      <w:pPr>
        <w:spacing w:line="360" w:lineRule="auto"/>
        <w:ind w:firstLine="567"/>
        <w:jc w:val="both"/>
        <w:outlineLvl w:val="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Вживання пальмової, звичайної соняшникової олії, а також вершкового масла сприяло підвищенню тривожності щурів за результатами рухової активності  поряд з частим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грумінгом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дефекаціями.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Високоолеїнова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соняшникова олія «Оливка» не впливала на стан тривожності тварин.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Біохімічні дослідження встановили суттєве підвищення активності уреази та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еластази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одночасним зниженням активності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лізоцима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каталази в головному мозку щурів після отримання до раціону харчування пальмової,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звичаїної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соняшникової олії та вершкового масла. «Оливка» не сприяла суттєвому впливу на данні показники.</w:t>
      </w: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A70A6" w:rsidRPr="00DA70A6" w:rsidRDefault="00DA70A6" w:rsidP="00DA70A6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Збільшення тривожності поряд зі зниженням дослідницької активності щурів можемо пояснити накопиченням токсичних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сполук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(уреаза, 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NH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олігопептиди</w:t>
      </w:r>
      <w:proofErr w:type="spellEnd"/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в тканинах головного мозку тварин після тривалого вживання пальмової, звичайної соняшникової олії та вершкового масла.</w:t>
      </w:r>
    </w:p>
    <w:p w:rsidR="00DA70A6" w:rsidRPr="00DA70A6" w:rsidRDefault="00DA70A6" w:rsidP="00DA70A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70A6" w:rsidRPr="00DA70A6" w:rsidRDefault="00DA70A6" w:rsidP="00DA70A6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DA70A6" w:rsidRPr="00DA70A6" w:rsidRDefault="00DA70A6" w:rsidP="00DA70A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ЛІТЕРАТУРИ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Акмаев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Г.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Современные представления о взаимодействиях регулирующих систем: нервной, эндокринной и иммунной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Успехи физиол. наук. – 2008. – № 2. – С. 18 - 25.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Александровский Ю.А.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Пограничные психические расстройства – М.: ГЭОТАР – Медиа, 2007. – 708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Амикишиева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А.В.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Поведенческое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фенотипирование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современные методы и оборудование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Вестник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ВОГиС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2009. – Т. 13, № 3. – С. 529 - 542.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Ашмарин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И.П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Нейрохимия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Учебник – Москва: Изд. Института биомедицинской химии РАМН, 1996. – 470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Батуев А.С.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Высшая нервная деятельность. – М.: Высшая школа. – 1991. – 256 с. 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Бекетова Н.А.,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Врежесинская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О.А.,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Коденцова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В.Н., Кошелева О.В., Гусева Г.В., Трусов Н.В.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содержания жира в рационе на обеспеченность крыс витаминами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Вопр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питания. – 2012. – т. 81, – С. 52 - 57.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7. </w:t>
      </w:r>
      <w:proofErr w:type="spellStart"/>
      <w:proofErr w:type="gram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Бивалькевич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Н.В.,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Караман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Ю.К.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Механизмы регенерации печени при алиментарной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дислипидемии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Здоровье.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Мед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кология. Наука. 2009. № 4-5 (39-40). С. 26-29.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8.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Бивалькевич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Н.В.,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Караман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Ю.К.,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Новгородцева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Т.П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Морфологические изменения ткани печени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экспериментальной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дислипидемии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Бюл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СО РАМН. 2010. Т. 30, № 1. С. 48-52.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9.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Бойкін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Д.П., Бондарчук Т.І.,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Іванків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О.Л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Клінічна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імія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За ред. О.Я. Склярова. – К.: Медицина, 2006. – 432 с. 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10.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Буреш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Я.,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Бурешова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О., Хьюстон Д.П.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Методики и основные эксперименты по изучению мозга и поведения. – М.: Медицина, 1991. – 399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11.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Владимиров Ю.В.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Биологические мембраны и запрограммированная смерть клетки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Соровский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образовательный журн. 2000. Т. 6, № 9. С. 2-9.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12.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Гаврикова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М.,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Сегень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Т.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Уреазная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активность ротовой активности у больных с острой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одонтогенной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инфекцией лицевой области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Стоматология 1996. − Спец.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− С. 49–50.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13.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Гланц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</w:t>
      </w:r>
      <w:proofErr w:type="spellStart"/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Медико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биологическая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статистика. – М.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Практика, 1998. – 459 с. 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14.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Горбунова А.В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Вегетативная нервная система и устойчивость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сердечно-сосудистых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функций при эмоциональном стрессе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Нейрохимия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2000. – Т. 17. – № 3. – С. 163-184.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15.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Громова О.А.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Нейротрофическая система мозга: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нейропептиды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макрои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микроэлементы, нейротрофические препараты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Оригинальные исследования. – 2007. –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2. - № 12. – С. 57-63.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16.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Доценко В.А.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Теоретические и практические проблемы питания здорового и больного человека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Вопр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питания. 2004. № 6. С. 36-39.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17.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Исмайлова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X. Ю.,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Агаев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М., Семенова Т. П.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Индивидуальные особенности поведения: (моноаминергические механизмы) – Баку: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Нурлан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2007. – 228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18.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Калуев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А.В.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Изучение тревожности у животных – вчера, сегодня, завтра // Стресс и поведение: материалы 7-й междисциплинарной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по биологической психиатрии. М.,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2003.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145-148.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19.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Караман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Ю.К.,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Новгородцева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Т.П.,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Бивалькевич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Н.В., Лобанова Е.Г.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Способ моделирования неалкогольного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стеатогепатита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крыс / Патент РФ № 2394281. 2010.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Бюл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№ 19.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Карманова И.Г.,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Оганесян Г.А.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Физиология и патология цикла бодрствование-сон. – СПб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Наука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- 1994. - 375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21.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Ковальзон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В.М.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Стресс, сон и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нейропептиды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Vivos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voco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Природа, 1999. – №5. – С. 1-5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22.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Коган А.Б.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Основы физиологии высшей нервной деятельности. – М.: Высшая школа, 1988. - 368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23.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Коплик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Е.В.,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Салиева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P.M., Горбунова А.В.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Тест «открытого поля» как прогностический критерий устойчивости крыс линии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Вистар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 эмоциональному стрессу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Журн.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высш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нервн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деят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1995.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 45,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4.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775-781.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A70A6">
        <w:rPr>
          <w:rFonts w:ascii="Times New Roman" w:eastAsia="Times New Roman" w:hAnsi="Times New Roman" w:cs="Times New Roman"/>
          <w:iCs/>
          <w:color w:val="000000"/>
          <w:sz w:val="28"/>
          <w:szCs w:val="28"/>
          <w:shd w:val="clear" w:color="auto" w:fill="FFFFFF"/>
          <w:lang w:eastAsia="ru-RU"/>
        </w:rPr>
        <w:t>24</w:t>
      </w:r>
      <w:r w:rsidRPr="00DA70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>Королюк</w:t>
      </w:r>
      <w:proofErr w:type="spellEnd"/>
      <w:r w:rsidRPr="00DA70A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ru-RU"/>
        </w:rPr>
        <w:t xml:space="preserve"> М. А</w:t>
      </w:r>
      <w:r w:rsidRPr="00DA70A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.</w:t>
      </w:r>
      <w:r w:rsidRPr="00DA70A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,</w:t>
      </w:r>
      <w:r w:rsidRPr="00DA70A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Иванова Л. И., Майорова И. Г., Токарев В. Е.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Метод определения активности каталазы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Лаб. дело. 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1988. 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№1. 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–</w:t>
      </w:r>
      <w:r w:rsidRPr="00DA70A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 С. 16-18.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Коросов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В.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Горбач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Компьютерная обработка биологических данных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Петрозаводск: изд-во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ПетрГУ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2007. – 76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Крыжановский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Г.Н.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Общая патофизиология нервной системы - М.: Медицина. – 1997. - 318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Курашвили JI.B.,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Васильков В.Г.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Липидный обмен при неотложных состояниях. Пенза, 2003. 198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28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Лапин И.П.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Модели тревоги на животных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Экспер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и клин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армакол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2000. – Т. 63, № 3. – С. 54 – 67.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29.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Левицкий А.П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Идеальная формула жирового питания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Одесса: КП ОГТ, 2002. – 65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Левицкий А.П., Стефанов А.В.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Методы определения активности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эластазы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ее ингибиторов: Метод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екомендации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К.: ГФЦ, 2002. − 15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Майзелис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 Я.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Современные представления о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гематоэнцефа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лическом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барьере: нейрофизиологические и нейрохимические аспекты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урн. высшей нервной деятельности. – 2009. – Т. 36 (4). – С. 611 – 618.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Малышев И.Ю.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Манухина Е.Б.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Стресс, адаптация и оксид азота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Биохимия. – 1998. – Т. 63, № 7. – С. 992 – 1006.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Мантейфель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Б. П.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Экология поведения животных. М.: Наука, 1980. − 56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Маркель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А.Л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К оценке основных характеристик поведения крыс в тесте открытого поля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Журн.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высш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нервн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деятельности.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1981.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Т. 31,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2.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301–307.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Матасар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І.,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Салін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наукове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обгрунтовання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розробку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норм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фізіологічних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потреб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дорослого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працездатного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населення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основних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харчових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речовинах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енергії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Ліки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2000.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12. – С. 61.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Медик В.А.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Статистика в медицине и биологии. М., 2000. 69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Меерсон Ф.</w:t>
      </w:r>
      <w:proofErr w:type="gram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Пшенникова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М.Г.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Адаптация к стрессовым ситуациям и физическим нагрузкам – М.: Медицина, 1988. – 256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38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Меерсон Ф.З.,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Пшенникова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М.Г., Кузнецова Б.А.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Развитие адаптации к стрессу в результате курса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транскранальной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элестростимуляции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Бюл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эксперим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биол. и мед. – 1994. – № 1. – С.16 – 18.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39.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Мельников А.В.,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Куликов М.А., Новикова М.Р.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 др. Выбор поведенческих тестов для оценки типологических особенностей поведения крыс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Журнал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высш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нервн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деятельности. 2004. Т. 54, № 5. С. 712–717.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Новгородцева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Т.П.,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Караман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Ю.К., Гвозденко Т.А., Жукова Н.В.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Состав жирных кислот печени крыс в условиях алиментарного стресса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Матер.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Всерос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научно-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практич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«Актуальные вопросы диагностики, лечения и профилактики метаболического синдрома». 5 – 6 октября 2011 г., Владивосток. Здоровье. Мед экология. Наука. 2011. № 1(44). С. 60-64.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Отеллин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Формирование патологий головного мозга в эмбриональный период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Природа. - 2003. - № 9 . - С. 35-46.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Писаржевский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С.А.,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Глоба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А.Г.,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Ширшов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О.Н., Марчук А.И.,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Светухин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А.М., Карелин А.А.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 определения активности лизоцима в сыворотке крови с использованием в качестве субстрата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хитиназура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Вопросы медицинской химии, 1997, том: 43(3), 185-190.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Покровский В.М.,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Коротько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Г.Ф М.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Физиология человека. Медицина, 1997. – 448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44.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Пошивалов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П.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Экспериментальная психофармакология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агресивного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поведения. Л.: Наука, 1986. − 139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Родина В. И.,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Крупина Н. А.,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Крыжановский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Г. Н.,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Окнина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Б.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Новый метод оценки тревожно-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фобических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состояний у крыс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Высшая нервная деятельность. – 1993. – № 43 (5). – С. 1006-1017.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46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Сабанчиева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Ж.Х.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Определение активности каталазы эритроцитов – как показатель антиоксидантной защиты организма у больных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вич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-инфекцией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Успехи современного естествознания. – 2004. – № 8 – С. 69-69.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47.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Самойлов А.В., Кочеткова А.А.,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Севериненко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С.М., Байков В.Г.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Некоторые аспекты моделирования сбалансированного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жирнокислотного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состава спредов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Вопр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питания. – 2008. – т. 77, № 3. – С. 74 – 78.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48.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Северин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Е.С.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Биохимия: Учебник. – [2-е изд.,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испр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.] – Москва: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Гэотар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Мед, 2004. – 784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49.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Скопич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В.Г.,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Ейсимонт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Т.А.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Фізіологія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іологія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тварин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М.: Колос, 2005. – 456 с. 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50.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Смирнов В. М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Физиология человека. Медицина, 2002. - 608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Смоляр В.И.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Рациональное питание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К.: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1991. – 368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Стальная И. Д.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Гаришвили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Г.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 определения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малонового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диальдегида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 помощью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тиобарбитуровой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кислоты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Современные методы в биохимии − М. Медицина, 1977. − С. 66–68.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Судаков К.В.,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Умрюхин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П.Е.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Системные основы эмоционального стресса. М.: ГЭОТАР-Медиа, 2010. 112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Судаков С.К.,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Назарова Г.А., Алексеева Е.В. и др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Определение уровня тревожности у крыс в тестах «открытое поле», «крестообразный приподнятый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лабиринт» и тесте Фогеля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Бюл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эксп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биологии и медицины.2013. Т. 155, № 3. С. 268-270.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55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Таганович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 др.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Биологическая химия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Минск: Высшая школа, 2013. – 98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56.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Тарасенко Л.М., Григоренко В.К.,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Непорада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К.С.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Функціональна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біохімія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підручник</w:t>
      </w:r>
      <w:proofErr w:type="spellEnd"/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інниця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Нова книга, 2007. – 384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57.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Титов В.Н.,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Лисицын Д.М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Жирные кислоты. Физическая химия, биология и медицина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– Тверь: ООО «Изд-во Триада», 2006. – 672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58.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Філімонов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В.І.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Фізіологія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 .: ВСВ «Медицина», 2010. – С.424-443.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59.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Хухо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Ф.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Нейрохимия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Основы и принципы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Москва: Мир, 1990. – 384 с.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Шевчук В.Г.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Физиология.– В.,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–2012.-450 c.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Шилина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Н.М.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Современные представления о роли полиненасыщенных жирных кислот в питании женщин и детей: новые аспекты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Вопр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питания. – 2010. – т. 79, № 5. С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15-23.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Adam P.,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Taborsky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Sobek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O. et al.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Cerebrospinal fluid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Adv.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Chem. – 2007.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Vol. 36. – P. 1 – 62.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Ballabh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Braun A.,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Nedergaard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blood-brain barrier: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anoverview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Structure, regulation, and clinical implications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Neurobiol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Dis. – 2009.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Vol. 16. – P. 1 – 13.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64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Bauer M.E.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Chronic stress and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immunosenescence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a review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Neuroimmu-nomodulation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2008. N 15(4-6). P. 241-250.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65.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Brockman R. P.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Quantitative Aspects of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Rumi¬nant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Digestion and Metabolism – Eds. J. M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Forbes ,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France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 A B International, Wallingford, Oxon, UK, 1993. – P. 249–264.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66.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Craig P. M,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Territo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MC, Karnes W, Walsh JH.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Helicobacter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pylori secretes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 chemotactic factor for monocytes and neutrophils. Gut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1992;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33: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1020-3.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67.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Farrell C.,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Risau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W.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Normal and abnormal development of the blood-brain barrier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Microsc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Res. Tech. – 2006. – Vol. 27 (6). – P. 495 – 506.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68.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Grummer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 R.,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Carrol D. J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Anim. Sci. – 1991. – 69. – P. 3838–3852.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69.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Hocquette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J.-F.,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Bauchart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Reprod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Nutr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Dev. – 1999.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39. – P. 27–48.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Janzer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 C.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blood-brain barrier: cellular basis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Inherit. </w:t>
      </w:r>
      <w:proofErr w:type="spellStart"/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Metab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Dis. – 1993.</w:t>
      </w:r>
      <w:proofErr w:type="gram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Vol. 16 (4). – P. 639 – 647.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Karplus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 A.,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Pearson M.A.,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Hausinger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R.P.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70 Years of Crystalline Urease: What Have We Learned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Acc.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>Chem. Res. – 1997. – V. 30. – P. 330–337.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72.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de-DE" w:eastAsia="ru-RU"/>
        </w:rPr>
        <w:t>Mai U,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de-DE" w:eastAsia="ru-RU"/>
        </w:rPr>
        <w:t xml:space="preserve"> Perez-Perez GI, Wahl L et al.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Soluble surface proteins from Helicobacter pylori activate monocytes macrophages by lipopolysaccharide-independent mechanism. J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Invest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1991;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87: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894 - 900.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Mayo K, Held M,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Wadstrom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Megraud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Helicobacter pylori-human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polymorphonuclear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leucocyte interaction in the presence of ammonia.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Gastroenterol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Hepatol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1997; –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9: 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457 - 61.</w:t>
      </w:r>
    </w:p>
    <w:p w:rsidR="00DA70A6" w:rsidRPr="00DA70A6" w:rsidRDefault="00DA70A6" w:rsidP="00DA70A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>74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Pachter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 S.,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Vries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E., </w:t>
      </w:r>
      <w:proofErr w:type="spellStart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Fabry</w:t>
      </w:r>
      <w:proofErr w:type="spellEnd"/>
      <w:r w:rsidRPr="00DA70A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Z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The blood-brain barrier and its role in immune privilege in the central nervous system</w:t>
      </w:r>
      <w:r w:rsidRPr="00DA70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J. </w:t>
      </w:r>
      <w:proofErr w:type="spellStart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Neuropathol</w:t>
      </w:r>
      <w:proofErr w:type="spellEnd"/>
      <w:r w:rsidRPr="00DA70A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Exp. Neurol. – 2011. – Vol. 62. – P. 593 – 604.</w:t>
      </w:r>
    </w:p>
    <w:p w:rsidR="00DA70A6" w:rsidRDefault="00DA70A6"/>
    <w:sectPr w:rsidR="00DA70A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C46"/>
    <w:rsid w:val="00C54CCF"/>
    <w:rsid w:val="00D65C46"/>
    <w:rsid w:val="00DA7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437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13452</Words>
  <Characters>7669</Characters>
  <Application>Microsoft Office Word</Application>
  <DocSecurity>0</DocSecurity>
  <Lines>63</Lines>
  <Paragraphs>42</Paragraphs>
  <ScaleCrop>false</ScaleCrop>
  <Company/>
  <LinksUpToDate>false</LinksUpToDate>
  <CharactersWithSpaces>21079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2020-02-26T09:14:00Z</dcterms:created>
  <dcterms:modified xsi:type="dcterms:W3CDTF">2020-02-26T09:18:00Z</dcterms:modified>
</cp:coreProperties>
</file>