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C1B3C" w:rsidRPr="0094392D" w:rsidRDefault="00EC1B3C" w:rsidP="0094392D">
      <w:pPr>
        <w:spacing w:after="0" w:line="360" w:lineRule="auto"/>
        <w:jc w:val="center"/>
        <w:rPr>
          <w:rFonts w:ascii="Times New Roman" w:hAnsi="Times New Roman"/>
          <w:b/>
          <w:bCs/>
          <w:i/>
          <w:iCs/>
          <w:sz w:val="28"/>
          <w:szCs w:val="28"/>
          <w:lang w:val="uk-UA" w:eastAsia="ru-RU"/>
        </w:rPr>
      </w:pPr>
      <w:r w:rsidRPr="0094392D">
        <w:rPr>
          <w:rFonts w:ascii="Times New Roman" w:hAnsi="Times New Roman"/>
          <w:sz w:val="28"/>
          <w:szCs w:val="28"/>
          <w:lang w:val="uk-UA" w:eastAsia="ru-RU"/>
        </w:rPr>
        <w:t>ОДЕСЬКИЙ НАЦІОНАЛЬНИЙ УНІВЕРСИТЕТ ІМЕНІ І. І. МЕЧНИКОВА</w:t>
      </w:r>
    </w:p>
    <w:p w:rsidR="00EC1B3C" w:rsidRPr="0094392D" w:rsidRDefault="00EC1B3C" w:rsidP="0094392D">
      <w:pPr>
        <w:spacing w:after="0" w:line="360" w:lineRule="auto"/>
        <w:jc w:val="center"/>
        <w:rPr>
          <w:rFonts w:ascii="Times New Roman" w:hAnsi="Times New Roman"/>
          <w:sz w:val="28"/>
          <w:szCs w:val="28"/>
          <w:lang w:val="uk-UA" w:eastAsia="ru-RU"/>
        </w:rPr>
      </w:pPr>
      <w:r w:rsidRPr="0094392D">
        <w:rPr>
          <w:rFonts w:ascii="Times New Roman" w:hAnsi="Times New Roman"/>
          <w:sz w:val="28"/>
          <w:szCs w:val="28"/>
          <w:lang w:val="uk-UA" w:eastAsia="ru-RU"/>
        </w:rPr>
        <w:t>Факультет міжнародних відносин, політології та соціології</w:t>
      </w:r>
    </w:p>
    <w:p w:rsidR="00EC1B3C" w:rsidRPr="0094392D" w:rsidRDefault="00EC1B3C" w:rsidP="0094392D">
      <w:pPr>
        <w:spacing w:after="0" w:line="360" w:lineRule="auto"/>
        <w:jc w:val="center"/>
        <w:rPr>
          <w:rFonts w:ascii="Times New Roman" w:hAnsi="Times New Roman"/>
          <w:sz w:val="28"/>
          <w:szCs w:val="28"/>
          <w:lang w:val="uk-UA" w:eastAsia="ru-RU"/>
        </w:rPr>
      </w:pPr>
      <w:r w:rsidRPr="0094392D">
        <w:rPr>
          <w:rFonts w:ascii="Times New Roman" w:hAnsi="Times New Roman"/>
          <w:sz w:val="28"/>
          <w:szCs w:val="28"/>
          <w:lang w:val="uk-UA" w:eastAsia="ru-RU"/>
        </w:rPr>
        <w:t>Кафедра світового господарства і міжнародних економічних відносин</w:t>
      </w:r>
    </w:p>
    <w:p w:rsidR="00EC1B3C" w:rsidRPr="0094392D" w:rsidRDefault="00EC1B3C" w:rsidP="0094392D">
      <w:pPr>
        <w:spacing w:after="0" w:line="240" w:lineRule="auto"/>
        <w:rPr>
          <w:rFonts w:ascii="Times New Roman" w:hAnsi="Times New Roman"/>
          <w:sz w:val="28"/>
          <w:szCs w:val="28"/>
          <w:u w:val="single"/>
          <w:lang w:val="uk-UA" w:eastAsia="ru-RU"/>
        </w:rPr>
      </w:pPr>
    </w:p>
    <w:p w:rsidR="00EC1B3C" w:rsidRPr="0094392D" w:rsidRDefault="00EC1B3C" w:rsidP="0094392D">
      <w:pPr>
        <w:spacing w:after="0" w:line="240" w:lineRule="auto"/>
        <w:jc w:val="center"/>
        <w:rPr>
          <w:rFonts w:ascii="Times New Roman" w:hAnsi="Times New Roman"/>
          <w:sz w:val="28"/>
          <w:szCs w:val="28"/>
          <w:u w:val="single"/>
          <w:lang w:val="uk-UA" w:eastAsia="ru-RU"/>
        </w:rPr>
      </w:pPr>
    </w:p>
    <w:p w:rsidR="00EC1B3C" w:rsidRPr="0094392D" w:rsidRDefault="00EC1B3C" w:rsidP="0094392D">
      <w:pPr>
        <w:spacing w:after="0" w:line="240" w:lineRule="auto"/>
        <w:jc w:val="center"/>
        <w:rPr>
          <w:rFonts w:ascii="Times New Roman" w:hAnsi="Times New Roman"/>
          <w:sz w:val="28"/>
          <w:szCs w:val="28"/>
          <w:u w:val="single"/>
          <w:lang w:val="uk-UA" w:eastAsia="ru-RU"/>
        </w:rPr>
      </w:pPr>
    </w:p>
    <w:p w:rsidR="00EC1B3C" w:rsidRPr="0094392D" w:rsidRDefault="00EC1B3C" w:rsidP="0094392D">
      <w:pPr>
        <w:spacing w:after="0" w:line="240" w:lineRule="auto"/>
        <w:jc w:val="center"/>
        <w:rPr>
          <w:rFonts w:ascii="Times New Roman" w:hAnsi="Times New Roman"/>
          <w:sz w:val="28"/>
          <w:szCs w:val="28"/>
          <w:u w:val="single"/>
          <w:lang w:val="uk-UA" w:eastAsia="ru-RU"/>
        </w:rPr>
      </w:pPr>
    </w:p>
    <w:p w:rsidR="00EC1B3C" w:rsidRPr="0094392D" w:rsidRDefault="00EC1B3C" w:rsidP="0094392D">
      <w:pPr>
        <w:spacing w:after="0" w:line="360" w:lineRule="auto"/>
        <w:jc w:val="center"/>
        <w:rPr>
          <w:rFonts w:ascii="Times New Roman" w:hAnsi="Times New Roman"/>
          <w:b/>
          <w:bCs/>
          <w:sz w:val="32"/>
          <w:szCs w:val="32"/>
          <w:lang w:val="uk-UA" w:eastAsia="ru-RU"/>
        </w:rPr>
      </w:pPr>
      <w:r w:rsidRPr="0094392D">
        <w:rPr>
          <w:rFonts w:ascii="Times New Roman" w:hAnsi="Times New Roman"/>
          <w:b/>
          <w:bCs/>
          <w:sz w:val="32"/>
          <w:szCs w:val="32"/>
          <w:lang w:val="uk-UA" w:eastAsia="ru-RU"/>
        </w:rPr>
        <w:t>Кваліфікаційна робота</w:t>
      </w:r>
    </w:p>
    <w:p w:rsidR="00EC1B3C" w:rsidRPr="0094392D" w:rsidRDefault="00EC1B3C" w:rsidP="0094392D">
      <w:pPr>
        <w:spacing w:after="0" w:line="360" w:lineRule="auto"/>
        <w:jc w:val="center"/>
        <w:rPr>
          <w:rFonts w:ascii="Times New Roman" w:hAnsi="Times New Roman"/>
          <w:sz w:val="28"/>
          <w:szCs w:val="28"/>
          <w:lang w:val="uk-UA"/>
        </w:rPr>
      </w:pPr>
      <w:r w:rsidRPr="0094392D">
        <w:rPr>
          <w:rFonts w:ascii="Times New Roman" w:hAnsi="Times New Roman"/>
          <w:sz w:val="28"/>
          <w:szCs w:val="28"/>
          <w:lang w:val="uk-UA" w:eastAsia="ru-RU"/>
        </w:rPr>
        <w:t xml:space="preserve">на здобуття ступеня вищої освіти </w:t>
      </w:r>
      <w:r w:rsidRPr="0094392D">
        <w:rPr>
          <w:rFonts w:ascii="Times New Roman" w:hAnsi="Times New Roman"/>
          <w:sz w:val="28"/>
          <w:szCs w:val="28"/>
          <w:lang w:val="uk-UA" w:eastAsia="uk-UA"/>
        </w:rPr>
        <w:t>«</w:t>
      </w:r>
      <w:r w:rsidRPr="0094392D">
        <w:rPr>
          <w:rFonts w:ascii="Times New Roman" w:hAnsi="Times New Roman"/>
          <w:sz w:val="28"/>
          <w:szCs w:val="28"/>
          <w:lang w:val="uk-UA" w:eastAsia="ru-RU"/>
        </w:rPr>
        <w:t>бакалавр</w:t>
      </w:r>
      <w:r w:rsidRPr="0094392D">
        <w:rPr>
          <w:rFonts w:ascii="Times New Roman" w:hAnsi="Times New Roman"/>
          <w:sz w:val="28"/>
          <w:szCs w:val="28"/>
          <w:lang w:val="uk-UA"/>
        </w:rPr>
        <w:t>»</w:t>
      </w:r>
    </w:p>
    <w:p w:rsidR="00EC1B3C" w:rsidRPr="0094392D" w:rsidRDefault="00EC1B3C" w:rsidP="0094392D">
      <w:pPr>
        <w:spacing w:after="0" w:line="360" w:lineRule="auto"/>
        <w:jc w:val="center"/>
        <w:rPr>
          <w:rFonts w:ascii="Times New Roman" w:hAnsi="Times New Roman"/>
          <w:b/>
          <w:bCs/>
          <w:sz w:val="28"/>
          <w:szCs w:val="28"/>
          <w:lang w:val="uk-UA"/>
        </w:rPr>
      </w:pPr>
      <w:r w:rsidRPr="0094392D">
        <w:rPr>
          <w:rFonts w:ascii="Times New Roman" w:hAnsi="Times New Roman"/>
          <w:b/>
          <w:bCs/>
          <w:sz w:val="28"/>
          <w:szCs w:val="28"/>
          <w:lang w:val="uk-UA" w:eastAsia="uk-UA"/>
        </w:rPr>
        <w:t>«</w:t>
      </w:r>
      <w:r w:rsidRPr="0094392D">
        <w:rPr>
          <w:rFonts w:ascii="Times New Roman" w:hAnsi="Times New Roman"/>
          <w:b/>
          <w:color w:val="000000"/>
          <w:sz w:val="28"/>
          <w:szCs w:val="28"/>
          <w:lang w:val="uk-UA"/>
        </w:rPr>
        <w:t xml:space="preserve">Розвиток зовнішньоекономічних </w:t>
      </w:r>
      <w:r>
        <w:rPr>
          <w:rFonts w:ascii="Times New Roman" w:hAnsi="Times New Roman"/>
          <w:b/>
          <w:color w:val="000000"/>
          <w:sz w:val="28"/>
          <w:szCs w:val="28"/>
          <w:lang w:val="uk-UA"/>
        </w:rPr>
        <w:t>операцій</w:t>
      </w:r>
      <w:r w:rsidRPr="0094392D">
        <w:rPr>
          <w:rFonts w:ascii="Times New Roman" w:hAnsi="Times New Roman"/>
          <w:b/>
          <w:color w:val="000000"/>
          <w:sz w:val="28"/>
          <w:szCs w:val="28"/>
          <w:lang w:val="uk-UA"/>
        </w:rPr>
        <w:t xml:space="preserve"> Ізраїлю та Об’єднаних Арабських Еміратів у сучасних умовах</w:t>
      </w:r>
      <w:r w:rsidRPr="0094392D">
        <w:rPr>
          <w:rFonts w:ascii="Times New Roman" w:hAnsi="Times New Roman"/>
          <w:b/>
          <w:bCs/>
          <w:sz w:val="28"/>
          <w:szCs w:val="28"/>
          <w:lang w:val="uk-UA"/>
        </w:rPr>
        <w:t>»</w:t>
      </w:r>
    </w:p>
    <w:p w:rsidR="00EC1B3C" w:rsidRPr="0094392D" w:rsidRDefault="00EC1B3C" w:rsidP="0094392D">
      <w:pPr>
        <w:spacing w:after="0" w:line="360" w:lineRule="auto"/>
        <w:jc w:val="center"/>
        <w:rPr>
          <w:rFonts w:ascii="Times New Roman" w:hAnsi="Times New Roman"/>
          <w:b/>
          <w:color w:val="000000"/>
          <w:sz w:val="28"/>
          <w:szCs w:val="28"/>
          <w:lang w:val="uk-UA"/>
        </w:rPr>
      </w:pPr>
      <w:r w:rsidRPr="0094392D">
        <w:rPr>
          <w:rFonts w:ascii="Times New Roman" w:hAnsi="Times New Roman"/>
          <w:b/>
          <w:sz w:val="28"/>
          <w:szCs w:val="28"/>
          <w:lang w:val="uk-UA"/>
        </w:rPr>
        <w:t>«</w:t>
      </w:r>
      <w:r w:rsidRPr="0094392D">
        <w:rPr>
          <w:rFonts w:ascii="Times New Roman" w:hAnsi="Times New Roman"/>
          <w:b/>
          <w:color w:val="000000"/>
          <w:sz w:val="28"/>
          <w:szCs w:val="28"/>
          <w:lang w:val="uk-UA"/>
        </w:rPr>
        <w:t>DevelopmentofForeignEconomicRelationsofIsraelandtheUnitedArabEmiratesinModernConditions</w:t>
      </w:r>
      <w:r w:rsidRPr="0094392D">
        <w:rPr>
          <w:rFonts w:ascii="Times New Roman" w:hAnsi="Times New Roman"/>
          <w:b/>
          <w:sz w:val="28"/>
          <w:szCs w:val="28"/>
          <w:lang w:val="uk-UA"/>
        </w:rPr>
        <w:t>»</w:t>
      </w:r>
    </w:p>
    <w:p w:rsidR="00EC1B3C" w:rsidRPr="0094392D" w:rsidRDefault="00EC1B3C" w:rsidP="0094392D">
      <w:pPr>
        <w:spacing w:after="0" w:line="240" w:lineRule="auto"/>
        <w:rPr>
          <w:rFonts w:ascii="Times New Roman" w:hAnsi="Times New Roman"/>
          <w:sz w:val="28"/>
          <w:szCs w:val="28"/>
          <w:lang w:val="uk-UA" w:eastAsia="ru-RU"/>
        </w:rPr>
      </w:pPr>
    </w:p>
    <w:p w:rsidR="00EC1B3C" w:rsidRPr="0094392D" w:rsidRDefault="00EC1B3C" w:rsidP="0094392D">
      <w:pPr>
        <w:spacing w:after="0" w:line="360" w:lineRule="auto"/>
        <w:rPr>
          <w:rFonts w:ascii="Times New Roman" w:hAnsi="Times New Roman"/>
          <w:sz w:val="28"/>
          <w:szCs w:val="28"/>
          <w:lang w:val="uk-UA" w:eastAsia="ru-RU"/>
        </w:rPr>
      </w:pPr>
    </w:p>
    <w:p w:rsidR="00EC1B3C" w:rsidRPr="0094392D" w:rsidRDefault="00EC1B3C" w:rsidP="0094392D">
      <w:pPr>
        <w:spacing w:after="0" w:line="360" w:lineRule="auto"/>
        <w:rPr>
          <w:rFonts w:ascii="Times New Roman" w:hAnsi="Times New Roman"/>
          <w:sz w:val="28"/>
          <w:szCs w:val="28"/>
          <w:lang w:val="uk-UA" w:eastAsia="ru-RU"/>
        </w:rPr>
      </w:pPr>
      <w:r w:rsidRPr="0094392D">
        <w:rPr>
          <w:rFonts w:ascii="Times New Roman" w:hAnsi="Times New Roman"/>
          <w:sz w:val="28"/>
          <w:szCs w:val="28"/>
          <w:lang w:val="uk-UA" w:eastAsia="ru-RU"/>
        </w:rPr>
        <w:t xml:space="preserve">                                       Виконав: здобувач денної форми навчання</w:t>
      </w:r>
    </w:p>
    <w:p w:rsidR="00EC1B3C" w:rsidRPr="0094392D" w:rsidRDefault="00EC1B3C" w:rsidP="0094392D">
      <w:pPr>
        <w:spacing w:after="0" w:line="360" w:lineRule="auto"/>
        <w:rPr>
          <w:rFonts w:ascii="Times New Roman" w:hAnsi="Times New Roman"/>
          <w:sz w:val="28"/>
          <w:szCs w:val="28"/>
          <w:lang w:val="uk-UA" w:eastAsia="ru-RU"/>
        </w:rPr>
      </w:pPr>
      <w:r w:rsidRPr="0094392D">
        <w:rPr>
          <w:rFonts w:ascii="Times New Roman" w:hAnsi="Times New Roman"/>
          <w:sz w:val="28"/>
          <w:szCs w:val="28"/>
          <w:lang w:val="uk-UA" w:eastAsia="ru-RU"/>
        </w:rPr>
        <w:t xml:space="preserve">                                       спеціальності 292 «Міжнародні економічні відносини»</w:t>
      </w:r>
    </w:p>
    <w:p w:rsidR="00EC1B3C" w:rsidRPr="0094392D" w:rsidRDefault="00EC1B3C" w:rsidP="0094392D">
      <w:pPr>
        <w:spacing w:after="0" w:line="360" w:lineRule="auto"/>
        <w:jc w:val="center"/>
        <w:rPr>
          <w:rFonts w:ascii="Times New Roman" w:hAnsi="Times New Roman"/>
          <w:sz w:val="28"/>
          <w:szCs w:val="28"/>
          <w:lang w:val="uk-UA" w:eastAsia="ru-RU"/>
        </w:rPr>
      </w:pPr>
      <w:r w:rsidRPr="0094392D">
        <w:rPr>
          <w:rFonts w:ascii="Times New Roman" w:hAnsi="Times New Roman"/>
          <w:sz w:val="28"/>
          <w:szCs w:val="28"/>
          <w:lang w:val="uk-UA" w:eastAsia="ru-RU"/>
        </w:rPr>
        <w:t xml:space="preserve">                                       Освітня програма «Міжнародні економічні відносини»</w:t>
      </w:r>
    </w:p>
    <w:p w:rsidR="00EC1B3C" w:rsidRPr="0094392D" w:rsidRDefault="00EC1B3C" w:rsidP="0094392D">
      <w:pPr>
        <w:spacing w:after="0" w:line="360" w:lineRule="auto"/>
        <w:jc w:val="both"/>
        <w:rPr>
          <w:rFonts w:ascii="Times New Roman" w:hAnsi="Times New Roman"/>
          <w:sz w:val="28"/>
          <w:szCs w:val="28"/>
          <w:lang w:val="uk-UA" w:eastAsia="ru-RU"/>
        </w:rPr>
      </w:pPr>
      <w:r w:rsidRPr="0094392D">
        <w:rPr>
          <w:rFonts w:ascii="Times New Roman" w:hAnsi="Times New Roman"/>
          <w:sz w:val="28"/>
          <w:szCs w:val="28"/>
          <w:lang w:val="uk-UA" w:eastAsia="ru-RU"/>
        </w:rPr>
        <w:t>Аль-МансуріЯсінАхмедович</w:t>
      </w:r>
    </w:p>
    <w:p w:rsidR="00EC1B3C" w:rsidRPr="0094392D" w:rsidRDefault="00EC1B3C" w:rsidP="0094392D">
      <w:pPr>
        <w:spacing w:after="0" w:line="360" w:lineRule="auto"/>
        <w:jc w:val="both"/>
        <w:rPr>
          <w:rFonts w:ascii="Times New Roman" w:hAnsi="Times New Roman"/>
          <w:sz w:val="28"/>
          <w:szCs w:val="28"/>
          <w:lang w:val="uk-UA" w:eastAsia="ru-RU"/>
        </w:rPr>
      </w:pPr>
      <w:r w:rsidRPr="0094392D">
        <w:rPr>
          <w:rFonts w:ascii="Times New Roman" w:hAnsi="Times New Roman"/>
          <w:sz w:val="28"/>
          <w:szCs w:val="28"/>
          <w:lang w:val="uk-UA" w:eastAsia="ru-RU"/>
        </w:rPr>
        <w:t xml:space="preserve">                                     Керівник: д.е.н., проф. </w:t>
      </w:r>
      <w:r w:rsidRPr="0094392D">
        <w:rPr>
          <w:rFonts w:ascii="Times New Roman" w:hAnsi="Times New Roman"/>
          <w:color w:val="000000"/>
          <w:sz w:val="28"/>
          <w:szCs w:val="28"/>
          <w:shd w:val="clear" w:color="auto" w:fill="FFFFFF"/>
          <w:lang w:val="uk-UA"/>
        </w:rPr>
        <w:t>Маслій</w:t>
      </w:r>
      <w:r w:rsidRPr="0094392D">
        <w:rPr>
          <w:rFonts w:ascii="Times New Roman" w:hAnsi="Times New Roman"/>
          <w:sz w:val="28"/>
          <w:szCs w:val="28"/>
          <w:lang w:val="uk-UA" w:eastAsia="ru-RU"/>
        </w:rPr>
        <w:t xml:space="preserve"> Н.Д._________</w:t>
      </w:r>
    </w:p>
    <w:p w:rsidR="00EC1B3C" w:rsidRPr="0094392D" w:rsidRDefault="00EC1B3C" w:rsidP="0094392D">
      <w:pPr>
        <w:spacing w:after="0" w:line="360" w:lineRule="auto"/>
        <w:jc w:val="both"/>
        <w:rPr>
          <w:rFonts w:ascii="Times New Roman" w:hAnsi="Times New Roman"/>
          <w:sz w:val="28"/>
          <w:szCs w:val="28"/>
          <w:lang w:val="uk-UA" w:eastAsia="ru-RU"/>
        </w:rPr>
      </w:pPr>
      <w:r w:rsidRPr="0094392D">
        <w:rPr>
          <w:rFonts w:ascii="Times New Roman" w:hAnsi="Times New Roman"/>
          <w:sz w:val="28"/>
          <w:szCs w:val="28"/>
          <w:lang w:val="uk-UA" w:eastAsia="ru-RU"/>
        </w:rPr>
        <w:t xml:space="preserve">                                     Рецензент: д.е.н., проф. Горняк О.В.</w:t>
      </w:r>
    </w:p>
    <w:p w:rsidR="00EC1B3C" w:rsidRPr="0094392D" w:rsidRDefault="00EC1B3C" w:rsidP="0094392D">
      <w:pPr>
        <w:spacing w:after="0" w:line="240" w:lineRule="auto"/>
        <w:ind w:firstLine="240"/>
        <w:jc w:val="both"/>
        <w:rPr>
          <w:rFonts w:ascii="Times New Roman" w:hAnsi="Times New Roman"/>
          <w:sz w:val="20"/>
          <w:szCs w:val="20"/>
          <w:lang w:val="uk-UA" w:eastAsia="ru-RU"/>
        </w:rPr>
      </w:pPr>
      <w:r w:rsidRPr="0094392D">
        <w:rPr>
          <w:rFonts w:ascii="Times New Roman" w:hAnsi="Times New Roman"/>
          <w:sz w:val="28"/>
          <w:szCs w:val="28"/>
          <w:lang w:val="uk-UA" w:eastAsia="ru-RU"/>
        </w:rPr>
        <w:t>.</w:t>
      </w:r>
    </w:p>
    <w:p w:rsidR="00EC1B3C" w:rsidRPr="0094392D" w:rsidRDefault="00EC1B3C" w:rsidP="0094392D">
      <w:pPr>
        <w:spacing w:after="0" w:line="240" w:lineRule="auto"/>
        <w:ind w:firstLine="709"/>
        <w:jc w:val="both"/>
        <w:rPr>
          <w:rFonts w:ascii="Times New Roman" w:hAnsi="Times New Roman"/>
          <w:sz w:val="20"/>
          <w:szCs w:val="20"/>
          <w:lang w:val="uk-UA" w:eastAsia="ru-RU"/>
        </w:rPr>
      </w:pPr>
    </w:p>
    <w:p w:rsidR="00EC1B3C" w:rsidRPr="0094392D" w:rsidRDefault="00EC1B3C" w:rsidP="0094392D">
      <w:pPr>
        <w:spacing w:after="0" w:line="240" w:lineRule="auto"/>
        <w:ind w:firstLine="709"/>
        <w:jc w:val="both"/>
        <w:rPr>
          <w:rFonts w:ascii="Times New Roman" w:hAnsi="Times New Roman"/>
          <w:sz w:val="28"/>
          <w:szCs w:val="28"/>
          <w:lang w:val="uk-UA" w:eastAsia="ru-RU"/>
        </w:rPr>
      </w:pPr>
    </w:p>
    <w:p w:rsidR="00EC1B3C" w:rsidRPr="0094392D" w:rsidRDefault="00EC1B3C" w:rsidP="0094392D">
      <w:pPr>
        <w:spacing w:after="0" w:line="240" w:lineRule="auto"/>
        <w:ind w:firstLine="709"/>
        <w:jc w:val="both"/>
        <w:rPr>
          <w:rFonts w:ascii="Times New Roman" w:hAnsi="Times New Roman"/>
          <w:sz w:val="28"/>
          <w:szCs w:val="28"/>
          <w:lang w:val="uk-UA" w:eastAsia="ru-RU"/>
        </w:rPr>
      </w:pPr>
    </w:p>
    <w:p w:rsidR="00EC1B3C" w:rsidRPr="0094392D" w:rsidRDefault="00EC1B3C" w:rsidP="0094392D">
      <w:pPr>
        <w:widowControl w:val="0"/>
        <w:spacing w:after="0" w:line="360" w:lineRule="auto"/>
        <w:jc w:val="both"/>
        <w:rPr>
          <w:rFonts w:ascii="Times New Roman" w:hAnsi="Times New Roman"/>
          <w:color w:val="000000"/>
          <w:sz w:val="28"/>
          <w:szCs w:val="28"/>
          <w:lang w:val="uk-UA"/>
        </w:rPr>
      </w:pPr>
      <w:r w:rsidRPr="0094392D">
        <w:rPr>
          <w:rFonts w:ascii="Times New Roman" w:hAnsi="Times New Roman"/>
          <w:color w:val="000000"/>
          <w:sz w:val="28"/>
          <w:szCs w:val="28"/>
          <w:lang w:val="uk-UA"/>
        </w:rPr>
        <w:t>Рекомендовано до захисту:                 Захищено на засіданні ЕК №</w:t>
      </w:r>
    </w:p>
    <w:p w:rsidR="00EC1B3C" w:rsidRPr="0094392D" w:rsidRDefault="00EC1B3C" w:rsidP="0094392D">
      <w:pPr>
        <w:widowControl w:val="0"/>
        <w:spacing w:after="0" w:line="360" w:lineRule="auto"/>
        <w:jc w:val="both"/>
        <w:rPr>
          <w:rFonts w:ascii="Times New Roman" w:hAnsi="Times New Roman"/>
          <w:color w:val="000000"/>
          <w:sz w:val="28"/>
          <w:szCs w:val="28"/>
          <w:lang w:val="uk-UA"/>
        </w:rPr>
      </w:pPr>
      <w:r w:rsidRPr="0094392D">
        <w:rPr>
          <w:rFonts w:ascii="Times New Roman" w:hAnsi="Times New Roman"/>
          <w:color w:val="000000"/>
          <w:sz w:val="28"/>
          <w:szCs w:val="28"/>
          <w:lang w:val="uk-UA"/>
        </w:rPr>
        <w:t>Протокол засідання кафедри               протокол №___від _____06.2023 р.</w:t>
      </w:r>
    </w:p>
    <w:p w:rsidR="00EC1B3C" w:rsidRPr="0094392D" w:rsidRDefault="00EC1B3C" w:rsidP="0094392D">
      <w:pPr>
        <w:widowControl w:val="0"/>
        <w:spacing w:after="0" w:line="360" w:lineRule="auto"/>
        <w:jc w:val="both"/>
        <w:rPr>
          <w:rFonts w:ascii="Times New Roman" w:hAnsi="Times New Roman"/>
          <w:color w:val="000000"/>
          <w:sz w:val="28"/>
          <w:szCs w:val="28"/>
          <w:lang w:val="uk-UA"/>
        </w:rPr>
      </w:pPr>
      <w:r w:rsidRPr="0094392D">
        <w:rPr>
          <w:rFonts w:ascii="Times New Roman" w:hAnsi="Times New Roman"/>
          <w:color w:val="000000"/>
          <w:sz w:val="28"/>
          <w:szCs w:val="28"/>
          <w:lang w:val="uk-UA"/>
        </w:rPr>
        <w:t xml:space="preserve">№ 9 від 31.05.2023 р.                          Оцінка____________/______/______                         </w:t>
      </w:r>
    </w:p>
    <w:p w:rsidR="00EC1B3C" w:rsidRPr="0094392D" w:rsidRDefault="00EC1B3C" w:rsidP="0094392D">
      <w:pPr>
        <w:widowControl w:val="0"/>
        <w:spacing w:after="0" w:line="360" w:lineRule="auto"/>
        <w:jc w:val="both"/>
        <w:rPr>
          <w:rFonts w:ascii="Times New Roman" w:hAnsi="Times New Roman"/>
          <w:color w:val="000000"/>
          <w:sz w:val="28"/>
          <w:szCs w:val="28"/>
          <w:lang w:val="uk-UA"/>
        </w:rPr>
      </w:pPr>
      <w:r w:rsidRPr="0094392D">
        <w:rPr>
          <w:rFonts w:ascii="Times New Roman" w:hAnsi="Times New Roman"/>
          <w:color w:val="000000"/>
          <w:sz w:val="28"/>
          <w:szCs w:val="28"/>
          <w:lang w:val="uk-UA"/>
        </w:rPr>
        <w:t>Завідувач кафедри                               Голова ЕК</w:t>
      </w:r>
    </w:p>
    <w:p w:rsidR="00EC1B3C" w:rsidRPr="0094392D" w:rsidRDefault="00EC1B3C" w:rsidP="0094392D">
      <w:pPr>
        <w:widowControl w:val="0"/>
        <w:spacing w:after="0" w:line="360" w:lineRule="auto"/>
        <w:jc w:val="both"/>
        <w:rPr>
          <w:rFonts w:ascii="Times New Roman" w:hAnsi="Times New Roman"/>
          <w:color w:val="000000"/>
          <w:sz w:val="28"/>
          <w:szCs w:val="28"/>
          <w:lang w:val="uk-UA"/>
        </w:rPr>
      </w:pPr>
    </w:p>
    <w:p w:rsidR="00EC1B3C" w:rsidRPr="0094392D" w:rsidRDefault="00EC1B3C" w:rsidP="0094392D">
      <w:pPr>
        <w:widowControl w:val="0"/>
        <w:spacing w:after="0" w:line="360" w:lineRule="auto"/>
        <w:jc w:val="both"/>
        <w:rPr>
          <w:rFonts w:ascii="Times New Roman" w:hAnsi="Times New Roman"/>
          <w:color w:val="000000"/>
          <w:sz w:val="28"/>
          <w:szCs w:val="28"/>
          <w:lang w:val="uk-UA"/>
        </w:rPr>
      </w:pPr>
      <w:r w:rsidRPr="0094392D">
        <w:rPr>
          <w:rFonts w:ascii="Times New Roman" w:hAnsi="Times New Roman"/>
          <w:color w:val="000000"/>
          <w:sz w:val="28"/>
          <w:szCs w:val="28"/>
          <w:lang w:val="uk-UA"/>
        </w:rPr>
        <w:t>_________ЯКУБОВСЬКИЙ Сергій       __________ ПІЧУГІНА Юлія</w:t>
      </w:r>
    </w:p>
    <w:p w:rsidR="00EC1B3C" w:rsidRPr="0094392D" w:rsidRDefault="00EC1B3C" w:rsidP="0094392D">
      <w:pPr>
        <w:spacing w:after="0" w:line="240" w:lineRule="auto"/>
        <w:ind w:firstLine="709"/>
        <w:jc w:val="center"/>
        <w:rPr>
          <w:rFonts w:ascii="Times New Roman" w:hAnsi="Times New Roman"/>
          <w:sz w:val="28"/>
          <w:szCs w:val="28"/>
          <w:lang w:val="uk-UA" w:eastAsia="ru-RU"/>
        </w:rPr>
      </w:pPr>
    </w:p>
    <w:p w:rsidR="00EC1B3C" w:rsidRPr="0094392D" w:rsidRDefault="00EC1B3C" w:rsidP="0094392D">
      <w:pPr>
        <w:spacing w:after="0" w:line="240" w:lineRule="auto"/>
        <w:jc w:val="center"/>
        <w:rPr>
          <w:rFonts w:ascii="Times New Roman" w:hAnsi="Times New Roman"/>
          <w:sz w:val="28"/>
          <w:szCs w:val="28"/>
          <w:lang w:val="uk-UA" w:eastAsia="ru-RU"/>
        </w:rPr>
      </w:pPr>
    </w:p>
    <w:p w:rsidR="00EC1B3C" w:rsidRPr="0094392D" w:rsidRDefault="00EC1B3C" w:rsidP="0094392D">
      <w:pPr>
        <w:spacing w:after="0" w:line="240" w:lineRule="auto"/>
        <w:jc w:val="center"/>
        <w:rPr>
          <w:rFonts w:ascii="Times New Roman" w:hAnsi="Times New Roman"/>
          <w:sz w:val="28"/>
          <w:szCs w:val="28"/>
          <w:lang w:val="uk-UA"/>
        </w:rPr>
      </w:pPr>
      <w:r w:rsidRPr="0094392D">
        <w:rPr>
          <w:rFonts w:ascii="Times New Roman" w:hAnsi="Times New Roman"/>
          <w:sz w:val="28"/>
          <w:szCs w:val="28"/>
          <w:lang w:val="uk-UA" w:eastAsia="ru-RU"/>
        </w:rPr>
        <w:t>Одеса – 2023</w:t>
      </w:r>
    </w:p>
    <w:p w:rsidR="00EC1B3C" w:rsidRPr="0094392D" w:rsidRDefault="00EC1B3C" w:rsidP="0094392D">
      <w:pPr>
        <w:widowControl w:val="0"/>
        <w:autoSpaceDE w:val="0"/>
        <w:autoSpaceDN w:val="0"/>
        <w:adjustRightInd w:val="0"/>
        <w:spacing w:after="0" w:line="240" w:lineRule="auto"/>
        <w:jc w:val="center"/>
        <w:rPr>
          <w:rFonts w:ascii="Times New Roman" w:hAnsi="Times New Roman"/>
          <w:b/>
          <w:bCs/>
          <w:color w:val="000000"/>
          <w:sz w:val="28"/>
          <w:szCs w:val="28"/>
          <w:lang w:val="uk-UA" w:eastAsia="ru-RU"/>
        </w:rPr>
      </w:pPr>
      <w:r w:rsidRPr="0094392D">
        <w:rPr>
          <w:rFonts w:ascii="Times New Roman" w:hAnsi="Times New Roman"/>
          <w:b/>
          <w:bCs/>
          <w:color w:val="000000"/>
          <w:sz w:val="28"/>
          <w:szCs w:val="28"/>
          <w:lang w:val="uk-UA" w:eastAsia="ru-RU"/>
        </w:rPr>
        <w:lastRenderedPageBreak/>
        <w:t>ЗМІСТ</w:t>
      </w:r>
    </w:p>
    <w:p w:rsidR="00EC1B3C" w:rsidRPr="0094392D" w:rsidRDefault="00EC1B3C" w:rsidP="0094392D">
      <w:pPr>
        <w:widowControl w:val="0"/>
        <w:autoSpaceDE w:val="0"/>
        <w:autoSpaceDN w:val="0"/>
        <w:adjustRightInd w:val="0"/>
        <w:spacing w:after="0" w:line="240" w:lineRule="auto"/>
        <w:jc w:val="center"/>
        <w:rPr>
          <w:rFonts w:ascii="Times New Roman" w:hAnsi="Times New Roman"/>
          <w:b/>
          <w:bCs/>
          <w:color w:val="000000"/>
          <w:sz w:val="28"/>
          <w:szCs w:val="28"/>
          <w:lang w:val="uk-UA" w:eastAsia="ru-RU"/>
        </w:rPr>
      </w:pPr>
    </w:p>
    <w:tbl>
      <w:tblPr>
        <w:tblW w:w="10221" w:type="dxa"/>
        <w:tblInd w:w="-431" w:type="dxa"/>
        <w:tblLook w:val="00A0" w:firstRow="1" w:lastRow="0" w:firstColumn="1" w:lastColumn="0" w:noHBand="0" w:noVBand="0"/>
      </w:tblPr>
      <w:tblGrid>
        <w:gridCol w:w="9725"/>
        <w:gridCol w:w="496"/>
      </w:tblGrid>
      <w:tr w:rsidR="00EC1B3C" w:rsidRPr="008D06EC" w:rsidTr="0094392D">
        <w:tc>
          <w:tcPr>
            <w:tcW w:w="9725" w:type="dxa"/>
          </w:tcPr>
          <w:p w:rsidR="00EC1B3C" w:rsidRPr="0094392D" w:rsidRDefault="00EC1B3C" w:rsidP="0094392D">
            <w:pPr>
              <w:suppressAutoHyphens/>
              <w:spacing w:after="0" w:line="360" w:lineRule="auto"/>
              <w:jc w:val="both"/>
              <w:rPr>
                <w:rFonts w:ascii="Times New Roman" w:hAnsi="Times New Roman"/>
                <w:color w:val="000000"/>
                <w:sz w:val="28"/>
                <w:szCs w:val="28"/>
                <w:lang w:val="uk-UA" w:eastAsia="ru-RU"/>
              </w:rPr>
            </w:pPr>
            <w:r w:rsidRPr="0094392D">
              <w:rPr>
                <w:rFonts w:ascii="Times New Roman" w:hAnsi="Times New Roman"/>
                <w:color w:val="000000"/>
                <w:sz w:val="28"/>
                <w:szCs w:val="28"/>
                <w:lang w:val="uk-UA" w:eastAsia="ru-RU"/>
              </w:rPr>
              <w:t>ВСТУП……………………………………………………………………………...</w:t>
            </w:r>
          </w:p>
        </w:tc>
        <w:tc>
          <w:tcPr>
            <w:tcW w:w="496" w:type="dxa"/>
          </w:tcPr>
          <w:p w:rsidR="00EC1B3C" w:rsidRPr="0094392D" w:rsidRDefault="00EC1B3C" w:rsidP="0094392D">
            <w:pPr>
              <w:spacing w:after="0" w:line="360" w:lineRule="auto"/>
              <w:rPr>
                <w:rFonts w:ascii="Times New Roman" w:hAnsi="Times New Roman"/>
                <w:color w:val="000000"/>
                <w:sz w:val="28"/>
                <w:szCs w:val="28"/>
                <w:lang w:val="uk-UA" w:eastAsia="ru-RU"/>
              </w:rPr>
            </w:pPr>
            <w:r w:rsidRPr="0094392D">
              <w:rPr>
                <w:rFonts w:ascii="Times New Roman" w:hAnsi="Times New Roman"/>
                <w:color w:val="000000"/>
                <w:sz w:val="28"/>
                <w:szCs w:val="28"/>
                <w:lang w:val="uk-UA" w:eastAsia="ru-RU"/>
              </w:rPr>
              <w:t>3</w:t>
            </w:r>
          </w:p>
        </w:tc>
      </w:tr>
      <w:tr w:rsidR="00EC1B3C" w:rsidRPr="008D06EC" w:rsidTr="0094392D">
        <w:tc>
          <w:tcPr>
            <w:tcW w:w="9725" w:type="dxa"/>
          </w:tcPr>
          <w:p w:rsidR="00EC1B3C" w:rsidRPr="0094392D" w:rsidRDefault="00EC1B3C" w:rsidP="0094392D">
            <w:pPr>
              <w:suppressAutoHyphens/>
              <w:spacing w:after="0" w:line="360" w:lineRule="auto"/>
              <w:rPr>
                <w:rFonts w:ascii="Times New Roman" w:hAnsi="Times New Roman"/>
                <w:color w:val="000000"/>
                <w:sz w:val="28"/>
                <w:szCs w:val="28"/>
                <w:lang w:val="uk-UA" w:eastAsia="ru-RU"/>
              </w:rPr>
            </w:pPr>
          </w:p>
          <w:p w:rsidR="00EC1B3C" w:rsidRPr="0094392D" w:rsidRDefault="00EC1B3C" w:rsidP="00B726D9">
            <w:pPr>
              <w:suppressAutoHyphens/>
              <w:spacing w:after="0" w:line="360" w:lineRule="auto"/>
              <w:rPr>
                <w:rFonts w:ascii="Times New Roman" w:hAnsi="Times New Roman"/>
                <w:sz w:val="20"/>
                <w:szCs w:val="20"/>
                <w:lang w:val="uk-UA" w:eastAsia="ru-RU"/>
              </w:rPr>
            </w:pPr>
            <w:r w:rsidRPr="0094392D">
              <w:rPr>
                <w:rFonts w:ascii="Times New Roman" w:hAnsi="Times New Roman"/>
                <w:color w:val="000000"/>
                <w:sz w:val="28"/>
                <w:szCs w:val="28"/>
                <w:lang w:val="uk-UA" w:eastAsia="ru-RU"/>
              </w:rPr>
              <w:t xml:space="preserve">РОЗДІЛ 1. ТЕОРЕТИЧНІ ОСНОВИ АНАЛІЗУ ЗОВНІШНЬОЕКОНОМІЧНИХ </w:t>
            </w:r>
            <w:r>
              <w:rPr>
                <w:rFonts w:ascii="Times New Roman" w:hAnsi="Times New Roman"/>
                <w:color w:val="000000"/>
                <w:sz w:val="28"/>
                <w:szCs w:val="28"/>
                <w:lang w:val="uk-UA" w:eastAsia="ru-RU"/>
              </w:rPr>
              <w:t>ОПЕРАЦІЙ</w:t>
            </w:r>
            <w:r w:rsidRPr="00B726D9">
              <w:rPr>
                <w:rFonts w:ascii="Times New Roman" w:hAnsi="Times New Roman"/>
                <w:color w:val="000000"/>
                <w:sz w:val="28"/>
                <w:szCs w:val="28"/>
                <w:lang w:val="uk-UA" w:eastAsia="ru-RU"/>
              </w:rPr>
              <w:t>ІЗРАЇЛЮ ТА ОБ’ЄДНАНИХ АРАБСЬКИХ ЕМІРАТІВ</w:t>
            </w:r>
            <w:r>
              <w:rPr>
                <w:rFonts w:ascii="Times New Roman" w:hAnsi="Times New Roman"/>
                <w:color w:val="000000"/>
                <w:sz w:val="28"/>
                <w:szCs w:val="28"/>
                <w:lang w:val="uk-UA" w:eastAsia="ru-RU"/>
              </w:rPr>
              <w:t>…………</w:t>
            </w:r>
          </w:p>
        </w:tc>
        <w:tc>
          <w:tcPr>
            <w:tcW w:w="496" w:type="dxa"/>
          </w:tcPr>
          <w:p w:rsidR="00EC1B3C" w:rsidRPr="0094392D" w:rsidRDefault="00EC1B3C" w:rsidP="0094392D">
            <w:pPr>
              <w:spacing w:after="0" w:line="360" w:lineRule="auto"/>
              <w:rPr>
                <w:rFonts w:ascii="Times New Roman" w:hAnsi="Times New Roman"/>
                <w:color w:val="000000"/>
                <w:sz w:val="28"/>
                <w:szCs w:val="28"/>
                <w:lang w:val="uk-UA" w:eastAsia="ru-RU"/>
              </w:rPr>
            </w:pPr>
          </w:p>
          <w:p w:rsidR="00EC1B3C" w:rsidRPr="0094392D" w:rsidRDefault="00EC1B3C" w:rsidP="0094392D">
            <w:pPr>
              <w:spacing w:after="0" w:line="360" w:lineRule="auto"/>
              <w:rPr>
                <w:rFonts w:ascii="Times New Roman" w:hAnsi="Times New Roman"/>
                <w:color w:val="000000"/>
                <w:sz w:val="28"/>
                <w:szCs w:val="28"/>
                <w:lang w:val="uk-UA" w:eastAsia="ru-RU"/>
              </w:rPr>
            </w:pPr>
          </w:p>
          <w:p w:rsidR="00EC1B3C" w:rsidRPr="0094392D" w:rsidRDefault="00EC1B3C" w:rsidP="0094392D">
            <w:pPr>
              <w:spacing w:after="0" w:line="360" w:lineRule="auto"/>
              <w:rPr>
                <w:rFonts w:ascii="Times New Roman" w:hAnsi="Times New Roman"/>
                <w:color w:val="000000"/>
                <w:sz w:val="28"/>
                <w:szCs w:val="28"/>
                <w:lang w:val="uk-UA" w:eastAsia="ru-RU"/>
              </w:rPr>
            </w:pPr>
            <w:r w:rsidRPr="0094392D">
              <w:rPr>
                <w:rFonts w:ascii="Times New Roman" w:hAnsi="Times New Roman"/>
                <w:color w:val="000000"/>
                <w:sz w:val="28"/>
                <w:szCs w:val="28"/>
                <w:lang w:val="uk-UA" w:eastAsia="ru-RU"/>
              </w:rPr>
              <w:t xml:space="preserve"> 5</w:t>
            </w:r>
          </w:p>
        </w:tc>
      </w:tr>
      <w:tr w:rsidR="00EC1B3C" w:rsidRPr="008D06EC" w:rsidTr="0094392D">
        <w:tc>
          <w:tcPr>
            <w:tcW w:w="9725" w:type="dxa"/>
          </w:tcPr>
          <w:p w:rsidR="00EC1B3C" w:rsidRPr="0094392D" w:rsidRDefault="00EC1B3C" w:rsidP="0094392D">
            <w:pPr>
              <w:suppressAutoHyphens/>
              <w:spacing w:after="0" w:line="360" w:lineRule="auto"/>
              <w:jc w:val="both"/>
              <w:rPr>
                <w:rFonts w:ascii="Times New Roman" w:hAnsi="Times New Roman"/>
                <w:color w:val="000000"/>
                <w:sz w:val="28"/>
                <w:szCs w:val="28"/>
                <w:lang w:val="uk-UA" w:eastAsia="ru-RU"/>
              </w:rPr>
            </w:pPr>
          </w:p>
          <w:p w:rsidR="00EC1B3C" w:rsidRPr="0094392D" w:rsidRDefault="00EC1B3C" w:rsidP="00B726D9">
            <w:pPr>
              <w:suppressAutoHyphens/>
              <w:spacing w:after="0" w:line="360" w:lineRule="auto"/>
              <w:rPr>
                <w:rFonts w:ascii="Times New Roman" w:hAnsi="Times New Roman"/>
                <w:color w:val="000000"/>
                <w:sz w:val="28"/>
                <w:szCs w:val="28"/>
                <w:lang w:val="uk-UA" w:eastAsia="ru-RU"/>
              </w:rPr>
            </w:pPr>
            <w:r w:rsidRPr="0094392D">
              <w:rPr>
                <w:rFonts w:ascii="Times New Roman" w:hAnsi="Times New Roman"/>
                <w:color w:val="000000"/>
                <w:sz w:val="28"/>
                <w:szCs w:val="28"/>
                <w:lang w:val="uk-UA" w:eastAsia="ru-RU"/>
              </w:rPr>
              <w:t xml:space="preserve">РОЗДІЛ 2. ДОСЛІДЖЕННЯ ІНДИКАТОРІВ ЗОВНІШНЬОЕКОНОМІЧНИХ </w:t>
            </w:r>
            <w:r>
              <w:rPr>
                <w:rFonts w:ascii="Times New Roman" w:hAnsi="Times New Roman"/>
                <w:color w:val="000000"/>
                <w:sz w:val="28"/>
                <w:szCs w:val="28"/>
                <w:lang w:val="uk-UA" w:eastAsia="ru-RU"/>
              </w:rPr>
              <w:t xml:space="preserve">ОПЕРАЦІЙ </w:t>
            </w:r>
            <w:r w:rsidRPr="00B726D9">
              <w:rPr>
                <w:rFonts w:ascii="Times New Roman" w:hAnsi="Times New Roman"/>
                <w:color w:val="000000"/>
                <w:sz w:val="28"/>
                <w:szCs w:val="28"/>
                <w:lang w:val="uk-UA" w:eastAsia="ru-RU"/>
              </w:rPr>
              <w:t>ІЗРАЇЛЮ ТА ОБ’ЄДНАНИХ АРАБСЬКИХ ЕМІРАТІВ</w:t>
            </w:r>
            <w:r w:rsidRPr="0094392D">
              <w:rPr>
                <w:rFonts w:ascii="Times New Roman" w:hAnsi="Times New Roman"/>
                <w:color w:val="000000"/>
                <w:sz w:val="28"/>
                <w:szCs w:val="28"/>
                <w:lang w:val="uk-UA" w:eastAsia="ru-RU"/>
              </w:rPr>
              <w:t>…………..</w:t>
            </w:r>
          </w:p>
        </w:tc>
        <w:tc>
          <w:tcPr>
            <w:tcW w:w="496" w:type="dxa"/>
          </w:tcPr>
          <w:p w:rsidR="00EC1B3C" w:rsidRPr="0094392D" w:rsidRDefault="00EC1B3C" w:rsidP="0094392D">
            <w:pPr>
              <w:suppressAutoHyphens/>
              <w:spacing w:after="0" w:line="360" w:lineRule="auto"/>
              <w:jc w:val="both"/>
              <w:rPr>
                <w:rFonts w:ascii="Times New Roman" w:hAnsi="Times New Roman"/>
                <w:color w:val="000000"/>
                <w:sz w:val="28"/>
                <w:szCs w:val="28"/>
                <w:lang w:val="uk-UA" w:eastAsia="ru-RU"/>
              </w:rPr>
            </w:pPr>
          </w:p>
          <w:p w:rsidR="00EC1B3C" w:rsidRPr="0094392D" w:rsidRDefault="00EC1B3C" w:rsidP="0094392D">
            <w:pPr>
              <w:suppressAutoHyphens/>
              <w:spacing w:after="0" w:line="360" w:lineRule="auto"/>
              <w:jc w:val="both"/>
              <w:rPr>
                <w:rFonts w:ascii="Times New Roman" w:hAnsi="Times New Roman"/>
                <w:color w:val="000000"/>
                <w:sz w:val="28"/>
                <w:szCs w:val="28"/>
                <w:lang w:val="uk-UA" w:eastAsia="ru-RU"/>
              </w:rPr>
            </w:pPr>
          </w:p>
          <w:p w:rsidR="00EC1B3C" w:rsidRPr="0094392D" w:rsidRDefault="00EC1B3C" w:rsidP="0094392D">
            <w:pPr>
              <w:suppressAutoHyphens/>
              <w:spacing w:after="0" w:line="360" w:lineRule="auto"/>
              <w:jc w:val="both"/>
              <w:rPr>
                <w:rFonts w:ascii="Times New Roman" w:hAnsi="Times New Roman"/>
                <w:color w:val="000000"/>
                <w:sz w:val="28"/>
                <w:szCs w:val="28"/>
                <w:lang w:val="uk-UA" w:eastAsia="ru-RU"/>
              </w:rPr>
            </w:pPr>
            <w:r w:rsidRPr="0094392D">
              <w:rPr>
                <w:rFonts w:ascii="Times New Roman" w:hAnsi="Times New Roman"/>
                <w:color w:val="000000"/>
                <w:sz w:val="28"/>
                <w:szCs w:val="28"/>
                <w:lang w:val="uk-UA" w:eastAsia="ru-RU"/>
              </w:rPr>
              <w:t>12</w:t>
            </w:r>
          </w:p>
        </w:tc>
      </w:tr>
      <w:tr w:rsidR="00EC1B3C" w:rsidRPr="008D06EC" w:rsidTr="0094392D">
        <w:tc>
          <w:tcPr>
            <w:tcW w:w="9725" w:type="dxa"/>
          </w:tcPr>
          <w:p w:rsidR="00EC1B3C" w:rsidRPr="0094392D" w:rsidRDefault="00EC1B3C" w:rsidP="0094392D">
            <w:pPr>
              <w:suppressAutoHyphens/>
              <w:spacing w:after="0" w:line="360" w:lineRule="auto"/>
              <w:jc w:val="both"/>
              <w:rPr>
                <w:rFonts w:ascii="Times New Roman" w:hAnsi="Times New Roman"/>
                <w:color w:val="000000"/>
                <w:sz w:val="28"/>
                <w:szCs w:val="28"/>
                <w:lang w:val="uk-UA" w:eastAsia="ru-RU"/>
              </w:rPr>
            </w:pPr>
            <w:r w:rsidRPr="0094392D">
              <w:rPr>
                <w:rFonts w:ascii="Times New Roman" w:hAnsi="Times New Roman"/>
                <w:color w:val="000000"/>
                <w:sz w:val="28"/>
                <w:szCs w:val="28"/>
                <w:lang w:val="uk-UA" w:eastAsia="ru-RU"/>
              </w:rPr>
              <w:t xml:space="preserve">2.1. </w:t>
            </w:r>
            <w:r w:rsidRPr="00B726D9">
              <w:rPr>
                <w:rFonts w:ascii="Times New Roman" w:hAnsi="Times New Roman"/>
                <w:color w:val="000000"/>
                <w:sz w:val="28"/>
                <w:szCs w:val="28"/>
                <w:lang w:val="uk-UA" w:eastAsia="ru-RU"/>
              </w:rPr>
              <w:t xml:space="preserve">Порівняльний аналіз поточних рахунків Ізраїлю та Об’єднаних Арабських Еміратів </w:t>
            </w:r>
            <w:r w:rsidRPr="0094392D">
              <w:rPr>
                <w:rFonts w:ascii="Times New Roman" w:hAnsi="Times New Roman"/>
                <w:color w:val="000000"/>
                <w:sz w:val="28"/>
                <w:szCs w:val="28"/>
                <w:lang w:val="uk-UA" w:eastAsia="ru-RU"/>
              </w:rPr>
              <w:t>……………………………………...………..……</w:t>
            </w:r>
            <w:r>
              <w:rPr>
                <w:rFonts w:ascii="Times New Roman" w:hAnsi="Times New Roman"/>
                <w:color w:val="000000"/>
                <w:sz w:val="28"/>
                <w:szCs w:val="28"/>
                <w:lang w:val="uk-UA" w:eastAsia="ru-RU"/>
              </w:rPr>
              <w:t>……………</w:t>
            </w:r>
            <w:r w:rsidRPr="0094392D">
              <w:rPr>
                <w:rFonts w:ascii="Times New Roman" w:hAnsi="Times New Roman"/>
                <w:color w:val="000000"/>
                <w:sz w:val="28"/>
                <w:szCs w:val="28"/>
                <w:lang w:val="uk-UA" w:eastAsia="ru-RU"/>
              </w:rPr>
              <w:t xml:space="preserve">…………... </w:t>
            </w:r>
          </w:p>
        </w:tc>
        <w:tc>
          <w:tcPr>
            <w:tcW w:w="496" w:type="dxa"/>
          </w:tcPr>
          <w:p w:rsidR="00EC1B3C" w:rsidRPr="0094392D" w:rsidRDefault="00EC1B3C" w:rsidP="0094392D">
            <w:pPr>
              <w:suppressAutoHyphens/>
              <w:spacing w:after="0" w:line="360" w:lineRule="auto"/>
              <w:jc w:val="both"/>
              <w:rPr>
                <w:rFonts w:ascii="Times New Roman" w:hAnsi="Times New Roman"/>
                <w:color w:val="000000"/>
                <w:sz w:val="28"/>
                <w:szCs w:val="28"/>
                <w:lang w:val="uk-UA" w:eastAsia="ru-RU"/>
              </w:rPr>
            </w:pPr>
            <w:r w:rsidRPr="0094392D">
              <w:rPr>
                <w:rFonts w:ascii="Times New Roman" w:hAnsi="Times New Roman"/>
                <w:color w:val="000000"/>
                <w:sz w:val="28"/>
                <w:szCs w:val="28"/>
                <w:lang w:val="uk-UA" w:eastAsia="ru-RU"/>
              </w:rPr>
              <w:t xml:space="preserve"> 12</w:t>
            </w:r>
          </w:p>
        </w:tc>
      </w:tr>
      <w:tr w:rsidR="00EC1B3C" w:rsidRPr="008D06EC" w:rsidTr="0094392D">
        <w:tc>
          <w:tcPr>
            <w:tcW w:w="9725" w:type="dxa"/>
          </w:tcPr>
          <w:p w:rsidR="00EC1B3C" w:rsidRPr="0094392D" w:rsidRDefault="00EC1B3C" w:rsidP="0094392D">
            <w:pPr>
              <w:suppressAutoHyphens/>
              <w:spacing w:after="0" w:line="360" w:lineRule="auto"/>
              <w:jc w:val="both"/>
              <w:rPr>
                <w:rFonts w:ascii="Times New Roman" w:hAnsi="Times New Roman"/>
                <w:color w:val="000000"/>
                <w:sz w:val="28"/>
                <w:szCs w:val="28"/>
                <w:lang w:val="uk-UA" w:eastAsia="ru-RU"/>
              </w:rPr>
            </w:pPr>
            <w:r w:rsidRPr="0094392D">
              <w:rPr>
                <w:rFonts w:ascii="Times New Roman" w:hAnsi="Times New Roman"/>
                <w:color w:val="000000"/>
                <w:sz w:val="28"/>
                <w:szCs w:val="28"/>
                <w:lang w:val="uk-UA" w:eastAsia="ru-RU"/>
              </w:rPr>
              <w:t xml:space="preserve">2.2. </w:t>
            </w:r>
            <w:r w:rsidRPr="00B726D9">
              <w:rPr>
                <w:rFonts w:ascii="Times New Roman" w:hAnsi="Times New Roman"/>
                <w:color w:val="000000"/>
                <w:sz w:val="28"/>
                <w:szCs w:val="28"/>
                <w:lang w:val="uk-UA" w:eastAsia="ru-RU"/>
              </w:rPr>
              <w:t>Порівняльний аналіз фінансових рахунків Ізраїлю та Об’єднаних Арабських Еміратів</w:t>
            </w:r>
            <w:r w:rsidRPr="0094392D">
              <w:rPr>
                <w:rFonts w:ascii="Times New Roman" w:hAnsi="Times New Roman"/>
                <w:color w:val="000000"/>
                <w:sz w:val="28"/>
                <w:szCs w:val="28"/>
                <w:lang w:val="uk-UA" w:eastAsia="ru-RU"/>
              </w:rPr>
              <w:t>……</w:t>
            </w:r>
            <w:r>
              <w:rPr>
                <w:rFonts w:ascii="Times New Roman" w:hAnsi="Times New Roman"/>
                <w:color w:val="000000"/>
                <w:sz w:val="28"/>
                <w:szCs w:val="28"/>
                <w:lang w:val="uk-UA" w:eastAsia="ru-RU"/>
              </w:rPr>
              <w:t>………………………………………………………….</w:t>
            </w:r>
            <w:r w:rsidRPr="0094392D">
              <w:rPr>
                <w:rFonts w:ascii="Times New Roman" w:hAnsi="Times New Roman"/>
                <w:color w:val="000000"/>
                <w:sz w:val="28"/>
                <w:szCs w:val="28"/>
                <w:lang w:val="uk-UA" w:eastAsia="ru-RU"/>
              </w:rPr>
              <w:t>…</w:t>
            </w:r>
          </w:p>
        </w:tc>
        <w:tc>
          <w:tcPr>
            <w:tcW w:w="496" w:type="dxa"/>
          </w:tcPr>
          <w:p w:rsidR="00EC1B3C" w:rsidRPr="0094392D" w:rsidRDefault="00EC1B3C" w:rsidP="0094392D">
            <w:pPr>
              <w:suppressAutoHyphens/>
              <w:spacing w:after="0" w:line="360" w:lineRule="auto"/>
              <w:jc w:val="both"/>
              <w:rPr>
                <w:rFonts w:ascii="Times New Roman" w:hAnsi="Times New Roman"/>
                <w:color w:val="000000"/>
                <w:sz w:val="28"/>
                <w:szCs w:val="28"/>
                <w:lang w:val="uk-UA" w:eastAsia="ru-RU"/>
              </w:rPr>
            </w:pPr>
            <w:r w:rsidRPr="0094392D">
              <w:rPr>
                <w:rFonts w:ascii="Times New Roman" w:hAnsi="Times New Roman"/>
                <w:color w:val="000000"/>
                <w:sz w:val="28"/>
                <w:szCs w:val="28"/>
                <w:lang w:val="uk-UA" w:eastAsia="ru-RU"/>
              </w:rPr>
              <w:t>17</w:t>
            </w:r>
          </w:p>
        </w:tc>
      </w:tr>
      <w:tr w:rsidR="00EC1B3C" w:rsidRPr="008D06EC" w:rsidTr="0094392D">
        <w:tc>
          <w:tcPr>
            <w:tcW w:w="9725" w:type="dxa"/>
          </w:tcPr>
          <w:p w:rsidR="00EC1B3C" w:rsidRPr="0094392D" w:rsidRDefault="00EC1B3C" w:rsidP="00FC275A">
            <w:pPr>
              <w:suppressAutoHyphens/>
              <w:spacing w:after="0" w:line="360" w:lineRule="auto"/>
              <w:jc w:val="both"/>
              <w:rPr>
                <w:rFonts w:ascii="Times New Roman" w:hAnsi="Times New Roman"/>
                <w:color w:val="000000"/>
                <w:sz w:val="28"/>
                <w:szCs w:val="28"/>
                <w:lang w:val="uk-UA" w:eastAsia="ru-RU"/>
              </w:rPr>
            </w:pPr>
            <w:r w:rsidRPr="0094392D">
              <w:rPr>
                <w:rFonts w:ascii="Times New Roman" w:hAnsi="Times New Roman"/>
                <w:color w:val="000000"/>
                <w:sz w:val="28"/>
                <w:szCs w:val="28"/>
                <w:lang w:val="uk-UA" w:eastAsia="ru-RU"/>
              </w:rPr>
              <w:t xml:space="preserve">2.3. </w:t>
            </w:r>
            <w:r w:rsidRPr="00FC275A">
              <w:rPr>
                <w:rFonts w:ascii="Times New Roman" w:hAnsi="Times New Roman"/>
                <w:color w:val="000000"/>
                <w:sz w:val="28"/>
                <w:szCs w:val="28"/>
                <w:lang w:val="uk-UA" w:eastAsia="ru-RU"/>
              </w:rPr>
              <w:t xml:space="preserve">Моделювання та результат операцій «CarryTrade» з державними облігаціями </w:t>
            </w:r>
            <w:r>
              <w:rPr>
                <w:rFonts w:ascii="Times New Roman" w:hAnsi="Times New Roman"/>
                <w:color w:val="000000"/>
                <w:sz w:val="28"/>
                <w:szCs w:val="28"/>
                <w:lang w:val="uk-UA" w:eastAsia="ru-RU"/>
              </w:rPr>
              <w:t xml:space="preserve">Ізраїлю, </w:t>
            </w:r>
            <w:r w:rsidRPr="00FC275A">
              <w:rPr>
                <w:rFonts w:ascii="Times New Roman" w:hAnsi="Times New Roman"/>
                <w:color w:val="000000"/>
                <w:sz w:val="28"/>
                <w:szCs w:val="28"/>
                <w:lang w:val="uk-UA" w:eastAsia="ru-RU"/>
              </w:rPr>
              <w:t>Об’єднаних Арабських Еміратів та України</w:t>
            </w:r>
            <w:r>
              <w:rPr>
                <w:rFonts w:ascii="Times New Roman" w:hAnsi="Times New Roman"/>
                <w:color w:val="000000"/>
                <w:sz w:val="28"/>
                <w:szCs w:val="28"/>
                <w:lang w:val="uk-UA" w:eastAsia="ru-RU"/>
              </w:rPr>
              <w:t>…..</w:t>
            </w:r>
            <w:r w:rsidRPr="0094392D">
              <w:rPr>
                <w:rFonts w:ascii="Times New Roman" w:hAnsi="Times New Roman"/>
                <w:color w:val="000000"/>
                <w:sz w:val="28"/>
                <w:szCs w:val="28"/>
                <w:lang w:val="uk-UA" w:eastAsia="ru-RU"/>
              </w:rPr>
              <w:t>…………...</w:t>
            </w:r>
          </w:p>
        </w:tc>
        <w:tc>
          <w:tcPr>
            <w:tcW w:w="496" w:type="dxa"/>
          </w:tcPr>
          <w:p w:rsidR="00EC1B3C" w:rsidRPr="0094392D" w:rsidRDefault="00EC1B3C" w:rsidP="00FC275A">
            <w:pPr>
              <w:suppressAutoHyphens/>
              <w:spacing w:after="0" w:line="360" w:lineRule="auto"/>
              <w:jc w:val="both"/>
              <w:rPr>
                <w:rFonts w:ascii="Times New Roman" w:hAnsi="Times New Roman"/>
                <w:color w:val="000000"/>
                <w:sz w:val="28"/>
                <w:szCs w:val="28"/>
                <w:lang w:val="uk-UA" w:eastAsia="ru-RU"/>
              </w:rPr>
            </w:pPr>
            <w:r w:rsidRPr="0094392D">
              <w:rPr>
                <w:rFonts w:ascii="Times New Roman" w:hAnsi="Times New Roman"/>
                <w:color w:val="000000"/>
                <w:sz w:val="28"/>
                <w:szCs w:val="28"/>
                <w:lang w:val="uk-UA" w:eastAsia="ru-RU"/>
              </w:rPr>
              <w:t xml:space="preserve"> 2</w:t>
            </w:r>
            <w:r>
              <w:rPr>
                <w:rFonts w:ascii="Times New Roman" w:hAnsi="Times New Roman"/>
                <w:color w:val="000000"/>
                <w:sz w:val="28"/>
                <w:szCs w:val="28"/>
                <w:lang w:val="uk-UA" w:eastAsia="ru-RU"/>
              </w:rPr>
              <w:t>1</w:t>
            </w:r>
          </w:p>
        </w:tc>
      </w:tr>
      <w:tr w:rsidR="00EC1B3C" w:rsidRPr="008D06EC" w:rsidTr="0094392D">
        <w:trPr>
          <w:trHeight w:val="1461"/>
        </w:trPr>
        <w:tc>
          <w:tcPr>
            <w:tcW w:w="9725" w:type="dxa"/>
          </w:tcPr>
          <w:p w:rsidR="00EC1B3C" w:rsidRPr="0094392D" w:rsidRDefault="00EC1B3C" w:rsidP="0094392D">
            <w:pPr>
              <w:suppressAutoHyphens/>
              <w:spacing w:after="0" w:line="360" w:lineRule="auto"/>
              <w:jc w:val="both"/>
              <w:rPr>
                <w:rFonts w:ascii="Times New Roman" w:hAnsi="Times New Roman"/>
                <w:color w:val="000000"/>
                <w:sz w:val="28"/>
                <w:szCs w:val="28"/>
                <w:lang w:val="uk-UA" w:eastAsia="ru-RU"/>
              </w:rPr>
            </w:pPr>
          </w:p>
          <w:p w:rsidR="00EC1B3C" w:rsidRPr="0094392D" w:rsidRDefault="00EC1B3C" w:rsidP="00FC275A">
            <w:pPr>
              <w:spacing w:after="0" w:line="360" w:lineRule="auto"/>
              <w:jc w:val="both"/>
              <w:rPr>
                <w:rFonts w:ascii="Times New Roman" w:hAnsi="Times New Roman"/>
                <w:sz w:val="28"/>
                <w:szCs w:val="28"/>
                <w:lang w:val="uk-UA"/>
              </w:rPr>
            </w:pPr>
            <w:r w:rsidRPr="0094392D">
              <w:rPr>
                <w:rFonts w:ascii="Times New Roman" w:hAnsi="Times New Roman"/>
                <w:color w:val="000000"/>
                <w:sz w:val="28"/>
                <w:szCs w:val="28"/>
                <w:lang w:val="uk-UA" w:eastAsia="ru-RU"/>
              </w:rPr>
              <w:t xml:space="preserve">РОЗДІЛ 3. </w:t>
            </w:r>
            <w:r w:rsidRPr="00FC275A">
              <w:rPr>
                <w:rFonts w:ascii="Times New Roman" w:hAnsi="Times New Roman"/>
                <w:sz w:val="28"/>
                <w:szCs w:val="28"/>
                <w:lang w:val="uk-UA"/>
              </w:rPr>
              <w:t>ОСОБЛИВОСТІ ЗОВНІШНЬОЕКОНОМІЧНИХ ОПЕРАЦІЙ ІЗРАЇЛЮ ТА ОБ’ЄДНАНИХ АРАБСЬКИХ ЕМІРАТІВ З УКРАЇНОЮ</w:t>
            </w:r>
            <w:r>
              <w:rPr>
                <w:rFonts w:ascii="Times New Roman" w:hAnsi="Times New Roman"/>
                <w:sz w:val="28"/>
                <w:szCs w:val="28"/>
                <w:lang w:val="uk-UA"/>
              </w:rPr>
              <w:t>………</w:t>
            </w:r>
          </w:p>
        </w:tc>
        <w:tc>
          <w:tcPr>
            <w:tcW w:w="496" w:type="dxa"/>
          </w:tcPr>
          <w:p w:rsidR="00EC1B3C" w:rsidRPr="0094392D" w:rsidRDefault="00EC1B3C" w:rsidP="0094392D">
            <w:pPr>
              <w:suppressAutoHyphens/>
              <w:spacing w:after="0" w:line="360" w:lineRule="auto"/>
              <w:jc w:val="both"/>
              <w:rPr>
                <w:rFonts w:ascii="Times New Roman" w:hAnsi="Times New Roman"/>
                <w:color w:val="000000"/>
                <w:sz w:val="28"/>
                <w:szCs w:val="28"/>
                <w:lang w:val="uk-UA" w:eastAsia="ru-RU"/>
              </w:rPr>
            </w:pPr>
          </w:p>
          <w:p w:rsidR="00EC1B3C" w:rsidRPr="0094392D" w:rsidRDefault="00EC1B3C" w:rsidP="00FC275A">
            <w:pPr>
              <w:suppressAutoHyphens/>
              <w:spacing w:after="0" w:line="360" w:lineRule="auto"/>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t>28</w:t>
            </w:r>
          </w:p>
        </w:tc>
      </w:tr>
      <w:tr w:rsidR="00EC1B3C" w:rsidRPr="008D06EC" w:rsidTr="0094392D">
        <w:tc>
          <w:tcPr>
            <w:tcW w:w="9725" w:type="dxa"/>
          </w:tcPr>
          <w:p w:rsidR="00EC1B3C" w:rsidRPr="0094392D" w:rsidRDefault="00EC1B3C" w:rsidP="0094392D">
            <w:pPr>
              <w:suppressAutoHyphens/>
              <w:spacing w:after="0" w:line="360" w:lineRule="auto"/>
              <w:jc w:val="both"/>
              <w:rPr>
                <w:rFonts w:ascii="Times New Roman" w:hAnsi="Times New Roman"/>
                <w:color w:val="000000"/>
                <w:sz w:val="28"/>
                <w:szCs w:val="28"/>
                <w:lang w:val="uk-UA" w:eastAsia="ru-RU"/>
              </w:rPr>
            </w:pPr>
          </w:p>
          <w:p w:rsidR="00EC1B3C" w:rsidRPr="0094392D" w:rsidRDefault="00EC1B3C" w:rsidP="0094392D">
            <w:pPr>
              <w:suppressAutoHyphens/>
              <w:spacing w:after="0" w:line="360" w:lineRule="auto"/>
              <w:jc w:val="both"/>
              <w:rPr>
                <w:rFonts w:ascii="Times New Roman" w:hAnsi="Times New Roman"/>
                <w:color w:val="000000"/>
                <w:sz w:val="28"/>
                <w:szCs w:val="28"/>
                <w:lang w:val="uk-UA" w:eastAsia="ru-RU"/>
              </w:rPr>
            </w:pPr>
            <w:r w:rsidRPr="0094392D">
              <w:rPr>
                <w:rFonts w:ascii="Times New Roman" w:hAnsi="Times New Roman"/>
                <w:color w:val="000000"/>
                <w:sz w:val="28"/>
                <w:szCs w:val="28"/>
                <w:lang w:val="uk-UA" w:eastAsia="ru-RU"/>
              </w:rPr>
              <w:t>ВИСНОВКИ…………………………………………………………………………</w:t>
            </w:r>
          </w:p>
        </w:tc>
        <w:tc>
          <w:tcPr>
            <w:tcW w:w="496" w:type="dxa"/>
          </w:tcPr>
          <w:p w:rsidR="00EC1B3C" w:rsidRPr="0094392D" w:rsidRDefault="00EC1B3C" w:rsidP="00FC275A">
            <w:pPr>
              <w:suppressAutoHyphens/>
              <w:spacing w:after="0" w:line="360" w:lineRule="auto"/>
              <w:jc w:val="both"/>
              <w:rPr>
                <w:rFonts w:ascii="Times New Roman" w:hAnsi="Times New Roman"/>
                <w:color w:val="000000"/>
                <w:sz w:val="28"/>
                <w:szCs w:val="28"/>
                <w:lang w:val="uk-UA" w:eastAsia="ru-RU"/>
              </w:rPr>
            </w:pPr>
            <w:r w:rsidRPr="0094392D">
              <w:rPr>
                <w:rFonts w:ascii="Times New Roman" w:hAnsi="Times New Roman"/>
                <w:color w:val="000000"/>
                <w:sz w:val="28"/>
                <w:szCs w:val="28"/>
                <w:lang w:val="uk-UA" w:eastAsia="ru-RU"/>
              </w:rPr>
              <w:t xml:space="preserve">  3</w:t>
            </w:r>
            <w:r>
              <w:rPr>
                <w:rFonts w:ascii="Times New Roman" w:hAnsi="Times New Roman"/>
                <w:color w:val="000000"/>
                <w:sz w:val="28"/>
                <w:szCs w:val="28"/>
                <w:lang w:val="uk-UA" w:eastAsia="ru-RU"/>
              </w:rPr>
              <w:t>4</w:t>
            </w:r>
          </w:p>
        </w:tc>
      </w:tr>
      <w:tr w:rsidR="00EC1B3C" w:rsidRPr="008D06EC" w:rsidTr="0094392D">
        <w:tc>
          <w:tcPr>
            <w:tcW w:w="9725" w:type="dxa"/>
          </w:tcPr>
          <w:p w:rsidR="00EC1B3C" w:rsidRPr="0094392D" w:rsidRDefault="00EC1B3C" w:rsidP="0094392D">
            <w:pPr>
              <w:suppressAutoHyphens/>
              <w:spacing w:after="0" w:line="360" w:lineRule="auto"/>
              <w:jc w:val="both"/>
              <w:rPr>
                <w:rFonts w:ascii="Times New Roman" w:hAnsi="Times New Roman"/>
                <w:color w:val="000000"/>
                <w:sz w:val="28"/>
                <w:szCs w:val="28"/>
                <w:lang w:val="uk-UA" w:eastAsia="ru-RU"/>
              </w:rPr>
            </w:pPr>
          </w:p>
          <w:p w:rsidR="00EC1B3C" w:rsidRPr="0094392D" w:rsidRDefault="00EC1B3C" w:rsidP="0094392D">
            <w:pPr>
              <w:suppressAutoHyphens/>
              <w:spacing w:after="0" w:line="360" w:lineRule="auto"/>
              <w:jc w:val="both"/>
              <w:rPr>
                <w:rFonts w:ascii="Times New Roman" w:hAnsi="Times New Roman"/>
                <w:color w:val="000000"/>
                <w:sz w:val="28"/>
                <w:szCs w:val="28"/>
                <w:lang w:val="uk-UA" w:eastAsia="ru-RU"/>
              </w:rPr>
            </w:pPr>
            <w:r w:rsidRPr="0094392D">
              <w:rPr>
                <w:rFonts w:ascii="Times New Roman" w:hAnsi="Times New Roman"/>
                <w:color w:val="000000"/>
                <w:sz w:val="28"/>
                <w:szCs w:val="28"/>
                <w:lang w:val="uk-UA" w:eastAsia="ru-RU"/>
              </w:rPr>
              <w:t>СПИСОК ВИКОРИСТАНИХ ДЖЕРЕЛ……………………………………...…...</w:t>
            </w:r>
          </w:p>
        </w:tc>
        <w:tc>
          <w:tcPr>
            <w:tcW w:w="496" w:type="dxa"/>
          </w:tcPr>
          <w:p w:rsidR="00EC1B3C" w:rsidRPr="0094392D" w:rsidRDefault="00EC1B3C" w:rsidP="0094392D">
            <w:pPr>
              <w:suppressAutoHyphens/>
              <w:spacing w:after="0" w:line="360" w:lineRule="auto"/>
              <w:jc w:val="both"/>
              <w:rPr>
                <w:rFonts w:ascii="Times New Roman" w:hAnsi="Times New Roman"/>
                <w:color w:val="000000"/>
                <w:sz w:val="28"/>
                <w:szCs w:val="28"/>
                <w:lang w:val="uk-UA" w:eastAsia="ru-RU"/>
              </w:rPr>
            </w:pPr>
            <w:r w:rsidRPr="0094392D">
              <w:rPr>
                <w:rFonts w:ascii="Times New Roman" w:hAnsi="Times New Roman"/>
                <w:color w:val="000000"/>
                <w:sz w:val="28"/>
                <w:szCs w:val="28"/>
                <w:lang w:val="uk-UA" w:eastAsia="ru-RU"/>
              </w:rPr>
              <w:t xml:space="preserve"> 38</w:t>
            </w:r>
          </w:p>
        </w:tc>
      </w:tr>
      <w:tr w:rsidR="00EC1B3C" w:rsidRPr="008D06EC" w:rsidTr="0094392D">
        <w:tc>
          <w:tcPr>
            <w:tcW w:w="9725" w:type="dxa"/>
          </w:tcPr>
          <w:p w:rsidR="00EC1B3C" w:rsidRPr="0094392D" w:rsidRDefault="00EC1B3C" w:rsidP="0094392D">
            <w:pPr>
              <w:suppressAutoHyphens/>
              <w:spacing w:after="0" w:line="360" w:lineRule="auto"/>
              <w:jc w:val="both"/>
              <w:rPr>
                <w:rFonts w:ascii="Times New Roman" w:hAnsi="Times New Roman"/>
                <w:color w:val="000000"/>
                <w:sz w:val="28"/>
                <w:szCs w:val="28"/>
                <w:lang w:val="uk-UA" w:eastAsia="ru-RU"/>
              </w:rPr>
            </w:pPr>
          </w:p>
          <w:p w:rsidR="00EC1B3C" w:rsidRPr="0094392D" w:rsidRDefault="00EC1B3C" w:rsidP="0094392D">
            <w:pPr>
              <w:suppressAutoHyphens/>
              <w:spacing w:after="0" w:line="360" w:lineRule="auto"/>
              <w:jc w:val="both"/>
              <w:rPr>
                <w:rFonts w:ascii="Times New Roman" w:hAnsi="Times New Roman"/>
                <w:color w:val="000000"/>
                <w:sz w:val="28"/>
                <w:szCs w:val="28"/>
                <w:lang w:val="uk-UA" w:eastAsia="ru-RU"/>
              </w:rPr>
            </w:pPr>
            <w:r w:rsidRPr="0094392D">
              <w:rPr>
                <w:rFonts w:ascii="Times New Roman" w:hAnsi="Times New Roman"/>
                <w:color w:val="000000"/>
                <w:sz w:val="28"/>
                <w:szCs w:val="28"/>
                <w:lang w:val="uk-UA" w:eastAsia="ru-RU"/>
              </w:rPr>
              <w:t>ДОДАТКИ……………………………………...…………………………………....</w:t>
            </w:r>
          </w:p>
        </w:tc>
        <w:tc>
          <w:tcPr>
            <w:tcW w:w="496" w:type="dxa"/>
          </w:tcPr>
          <w:p w:rsidR="00EC1B3C" w:rsidRPr="0094392D" w:rsidRDefault="00EC1B3C" w:rsidP="00FC275A">
            <w:pPr>
              <w:suppressAutoHyphens/>
              <w:spacing w:after="0" w:line="360" w:lineRule="auto"/>
              <w:jc w:val="both"/>
              <w:rPr>
                <w:rFonts w:ascii="Times New Roman" w:hAnsi="Times New Roman"/>
                <w:color w:val="000000"/>
                <w:sz w:val="28"/>
                <w:szCs w:val="28"/>
                <w:lang w:val="uk-UA" w:eastAsia="ru-RU"/>
              </w:rPr>
            </w:pPr>
            <w:r w:rsidRPr="0094392D">
              <w:rPr>
                <w:rFonts w:ascii="Times New Roman" w:hAnsi="Times New Roman"/>
                <w:color w:val="000000"/>
                <w:sz w:val="28"/>
                <w:szCs w:val="28"/>
                <w:lang w:val="uk-UA" w:eastAsia="ru-RU"/>
              </w:rPr>
              <w:t xml:space="preserve"> 4</w:t>
            </w:r>
            <w:r>
              <w:rPr>
                <w:rFonts w:ascii="Times New Roman" w:hAnsi="Times New Roman"/>
                <w:color w:val="000000"/>
                <w:sz w:val="28"/>
                <w:szCs w:val="28"/>
                <w:lang w:val="uk-UA" w:eastAsia="ru-RU"/>
              </w:rPr>
              <w:t>1</w:t>
            </w:r>
          </w:p>
        </w:tc>
      </w:tr>
    </w:tbl>
    <w:p w:rsidR="00EC1B3C" w:rsidRPr="0094392D" w:rsidRDefault="00EC1B3C" w:rsidP="0094392D">
      <w:pPr>
        <w:keepNext/>
        <w:keepLines/>
        <w:spacing w:after="360" w:line="360" w:lineRule="auto"/>
        <w:jc w:val="center"/>
        <w:outlineLvl w:val="0"/>
        <w:rPr>
          <w:rFonts w:ascii="Times New Roman" w:eastAsia="SimSun" w:hAnsi="Times New Roman" w:cs="Mangal"/>
          <w:b/>
          <w:bCs/>
          <w:kern w:val="28"/>
          <w:sz w:val="28"/>
          <w:szCs w:val="28"/>
          <w:lang w:val="uk-UA" w:eastAsia="hi-IN" w:bidi="hi-IN"/>
        </w:rPr>
      </w:pPr>
    </w:p>
    <w:p w:rsidR="00EC1B3C" w:rsidRPr="0094392D" w:rsidRDefault="00EC1B3C" w:rsidP="0094392D">
      <w:pPr>
        <w:keepNext/>
        <w:keepLines/>
        <w:spacing w:before="240" w:after="0" w:line="360" w:lineRule="auto"/>
        <w:ind w:firstLine="851"/>
        <w:jc w:val="both"/>
        <w:outlineLvl w:val="0"/>
        <w:rPr>
          <w:rFonts w:ascii="Calibri Light" w:hAnsi="Calibri Light"/>
          <w:color w:val="2F5496"/>
          <w:sz w:val="36"/>
          <w:szCs w:val="36"/>
          <w:lang w:val="uk-UA" w:eastAsia="hi-IN" w:bidi="hi-IN"/>
        </w:rPr>
      </w:pPr>
    </w:p>
    <w:p w:rsidR="00EC1B3C" w:rsidRPr="0094392D" w:rsidRDefault="00EC1B3C" w:rsidP="0094392D">
      <w:pPr>
        <w:spacing w:after="0" w:line="360" w:lineRule="auto"/>
        <w:ind w:firstLine="851"/>
        <w:jc w:val="both"/>
        <w:rPr>
          <w:rFonts w:ascii="Times New Roman" w:hAnsi="Times New Roman"/>
          <w:sz w:val="28"/>
          <w:szCs w:val="28"/>
          <w:lang w:val="uk-UA" w:eastAsia="hi-IN" w:bidi="hi-IN"/>
        </w:rPr>
      </w:pPr>
    </w:p>
    <w:p w:rsidR="00EC1B3C" w:rsidRPr="0094392D" w:rsidRDefault="00EC1B3C" w:rsidP="0094392D">
      <w:pPr>
        <w:suppressAutoHyphens/>
        <w:spacing w:after="200" w:line="360" w:lineRule="auto"/>
        <w:jc w:val="center"/>
        <w:rPr>
          <w:rFonts w:ascii="Times New Roman" w:hAnsi="Times New Roman"/>
          <w:sz w:val="16"/>
          <w:lang w:val="uk-UA" w:eastAsia="ru-RU"/>
        </w:rPr>
      </w:pPr>
    </w:p>
    <w:p w:rsidR="00EC1B3C" w:rsidRPr="0094392D" w:rsidRDefault="00EC1B3C" w:rsidP="0094392D">
      <w:pPr>
        <w:suppressAutoHyphens/>
        <w:spacing w:after="200" w:line="360" w:lineRule="auto"/>
        <w:jc w:val="center"/>
        <w:rPr>
          <w:rFonts w:ascii="Times New Roman" w:hAnsi="Times New Roman"/>
          <w:sz w:val="16"/>
          <w:lang w:val="uk-UA" w:eastAsia="ru-RU"/>
        </w:rPr>
      </w:pPr>
    </w:p>
    <w:p w:rsidR="00EC1B3C" w:rsidRPr="0094392D" w:rsidRDefault="00EC1B3C" w:rsidP="0094392D">
      <w:pPr>
        <w:suppressAutoHyphens/>
        <w:spacing w:after="0" w:line="360" w:lineRule="auto"/>
        <w:jc w:val="center"/>
        <w:rPr>
          <w:rFonts w:ascii="Times New Roman" w:hAnsi="Times New Roman"/>
          <w:b/>
          <w:sz w:val="28"/>
          <w:szCs w:val="28"/>
          <w:lang w:val="uk-UA" w:eastAsia="ru-RU"/>
        </w:rPr>
      </w:pPr>
    </w:p>
    <w:p w:rsidR="00EC1B3C" w:rsidRPr="0094392D" w:rsidRDefault="00EC1B3C" w:rsidP="0094392D">
      <w:pPr>
        <w:suppressAutoHyphens/>
        <w:spacing w:after="0" w:line="360" w:lineRule="auto"/>
        <w:jc w:val="center"/>
        <w:rPr>
          <w:lang w:val="uk-UA" w:eastAsia="ru-RU"/>
        </w:rPr>
      </w:pPr>
      <w:r w:rsidRPr="0094392D">
        <w:rPr>
          <w:rFonts w:ascii="Times New Roman" w:hAnsi="Times New Roman"/>
          <w:b/>
          <w:sz w:val="28"/>
          <w:szCs w:val="28"/>
          <w:lang w:val="uk-UA" w:eastAsia="ru-RU"/>
        </w:rPr>
        <w:lastRenderedPageBreak/>
        <w:t>ВСТУП</w:t>
      </w:r>
      <w:bookmarkStart w:id="0" w:name="_Hlk88239250"/>
      <w:bookmarkEnd w:id="0"/>
    </w:p>
    <w:p w:rsidR="00EC1B3C" w:rsidRPr="0094392D" w:rsidRDefault="00EC1B3C" w:rsidP="0094392D">
      <w:pPr>
        <w:suppressAutoHyphens/>
        <w:spacing w:after="0" w:line="360" w:lineRule="auto"/>
        <w:ind w:firstLine="720"/>
        <w:jc w:val="center"/>
        <w:rPr>
          <w:rFonts w:ascii="Times New Roman" w:hAnsi="Times New Roman"/>
          <w:b/>
          <w:sz w:val="28"/>
          <w:szCs w:val="28"/>
          <w:lang w:val="uk-UA" w:eastAsia="ru-RU"/>
        </w:rPr>
      </w:pPr>
    </w:p>
    <w:p w:rsidR="00EC1B3C" w:rsidRPr="0094392D" w:rsidRDefault="00EC1B3C" w:rsidP="00194EB7">
      <w:pPr>
        <w:widowControl w:val="0"/>
        <w:autoSpaceDE w:val="0"/>
        <w:autoSpaceDN w:val="0"/>
        <w:spacing w:after="0" w:line="360" w:lineRule="auto"/>
        <w:ind w:firstLine="720"/>
        <w:jc w:val="both"/>
        <w:rPr>
          <w:rFonts w:ascii="Times New Roman" w:hAnsi="Times New Roman"/>
          <w:sz w:val="28"/>
          <w:szCs w:val="28"/>
          <w:lang w:val="uk-UA"/>
        </w:rPr>
      </w:pPr>
      <w:r w:rsidRPr="0094392D">
        <w:rPr>
          <w:rFonts w:ascii="Times New Roman" w:hAnsi="Times New Roman"/>
          <w:b/>
          <w:sz w:val="28"/>
          <w:szCs w:val="28"/>
          <w:lang w:val="uk-UA"/>
        </w:rPr>
        <w:t xml:space="preserve">Актуальність теми дипломної роботи </w:t>
      </w:r>
      <w:r w:rsidRPr="0094392D">
        <w:rPr>
          <w:rFonts w:ascii="Times New Roman" w:hAnsi="Times New Roman"/>
          <w:sz w:val="28"/>
          <w:szCs w:val="28"/>
          <w:lang w:val="uk-UA"/>
        </w:rPr>
        <w:t>полягає в тому що, дослідження зовнішньоекономічних операцій</w:t>
      </w:r>
      <w:r w:rsidR="00567DCA">
        <w:rPr>
          <w:rFonts w:ascii="Times New Roman" w:hAnsi="Times New Roman"/>
          <w:sz w:val="28"/>
          <w:szCs w:val="28"/>
          <w:lang w:val="uk-UA"/>
        </w:rPr>
        <w:t xml:space="preserve"> </w:t>
      </w:r>
      <w:r w:rsidRPr="0094392D">
        <w:rPr>
          <w:rFonts w:ascii="Times New Roman" w:hAnsi="Times New Roman"/>
          <w:sz w:val="28"/>
          <w:szCs w:val="28"/>
          <w:lang w:val="uk-UA"/>
        </w:rPr>
        <w:t>займає</w:t>
      </w:r>
      <w:r w:rsidR="00567DCA">
        <w:rPr>
          <w:rFonts w:ascii="Times New Roman" w:hAnsi="Times New Roman"/>
          <w:sz w:val="28"/>
          <w:szCs w:val="28"/>
          <w:lang w:val="uk-UA"/>
        </w:rPr>
        <w:t xml:space="preserve"> </w:t>
      </w:r>
      <w:r w:rsidRPr="0094392D">
        <w:rPr>
          <w:rFonts w:ascii="Times New Roman" w:hAnsi="Times New Roman"/>
          <w:sz w:val="28"/>
          <w:szCs w:val="28"/>
          <w:lang w:val="uk-UA"/>
        </w:rPr>
        <w:t>одне</w:t>
      </w:r>
      <w:r w:rsidR="00567DCA">
        <w:rPr>
          <w:rFonts w:ascii="Times New Roman" w:hAnsi="Times New Roman"/>
          <w:sz w:val="28"/>
          <w:szCs w:val="28"/>
          <w:lang w:val="uk-UA"/>
        </w:rPr>
        <w:t xml:space="preserve"> </w:t>
      </w:r>
      <w:r w:rsidRPr="0094392D">
        <w:rPr>
          <w:rFonts w:ascii="Times New Roman" w:hAnsi="Times New Roman"/>
          <w:sz w:val="28"/>
          <w:szCs w:val="28"/>
          <w:lang w:val="uk-UA"/>
        </w:rPr>
        <w:t>знайважливіших</w:t>
      </w:r>
      <w:r w:rsidR="00567DCA">
        <w:rPr>
          <w:rFonts w:ascii="Times New Roman" w:hAnsi="Times New Roman"/>
          <w:sz w:val="28"/>
          <w:szCs w:val="28"/>
          <w:lang w:val="uk-UA"/>
        </w:rPr>
        <w:t xml:space="preserve"> </w:t>
      </w:r>
      <w:r w:rsidRPr="0094392D">
        <w:rPr>
          <w:rFonts w:ascii="Times New Roman" w:hAnsi="Times New Roman"/>
          <w:sz w:val="28"/>
          <w:szCs w:val="28"/>
          <w:lang w:val="uk-UA"/>
        </w:rPr>
        <w:t>місць</w:t>
      </w:r>
      <w:r w:rsidR="00567DCA">
        <w:rPr>
          <w:rFonts w:ascii="Times New Roman" w:hAnsi="Times New Roman"/>
          <w:sz w:val="28"/>
          <w:szCs w:val="28"/>
          <w:lang w:val="uk-UA"/>
        </w:rPr>
        <w:t xml:space="preserve"> </w:t>
      </w:r>
      <w:r w:rsidRPr="0094392D">
        <w:rPr>
          <w:rFonts w:ascii="Times New Roman" w:hAnsi="Times New Roman"/>
          <w:sz w:val="28"/>
          <w:szCs w:val="28"/>
          <w:lang w:val="uk-UA"/>
        </w:rPr>
        <w:t>в</w:t>
      </w:r>
      <w:r w:rsidR="00567DCA">
        <w:rPr>
          <w:rFonts w:ascii="Times New Roman" w:hAnsi="Times New Roman"/>
          <w:sz w:val="28"/>
          <w:szCs w:val="28"/>
          <w:lang w:val="uk-UA"/>
        </w:rPr>
        <w:t xml:space="preserve"> </w:t>
      </w:r>
      <w:r w:rsidRPr="0094392D">
        <w:rPr>
          <w:rFonts w:ascii="Times New Roman" w:hAnsi="Times New Roman"/>
          <w:sz w:val="28"/>
          <w:szCs w:val="28"/>
          <w:lang w:val="uk-UA"/>
        </w:rPr>
        <w:t>системі</w:t>
      </w:r>
      <w:r w:rsidR="00567DCA">
        <w:rPr>
          <w:rFonts w:ascii="Times New Roman" w:hAnsi="Times New Roman"/>
          <w:sz w:val="28"/>
          <w:szCs w:val="28"/>
          <w:lang w:val="uk-UA"/>
        </w:rPr>
        <w:t xml:space="preserve"> </w:t>
      </w:r>
      <w:bookmarkStart w:id="1" w:name="_GoBack"/>
      <w:bookmarkEnd w:id="1"/>
      <w:r w:rsidRPr="0094392D">
        <w:rPr>
          <w:rFonts w:ascii="Times New Roman" w:hAnsi="Times New Roman"/>
          <w:sz w:val="28"/>
          <w:szCs w:val="28"/>
          <w:lang w:val="uk-UA"/>
        </w:rPr>
        <w:t xml:space="preserve">соціально-економічного аналізу як в Ізраїлю та Об’єднаних арабських еміратів, так і в Україні. </w:t>
      </w:r>
    </w:p>
    <w:p w:rsidR="00EC1B3C" w:rsidRPr="0094392D" w:rsidRDefault="00EC1B3C" w:rsidP="00194EB7">
      <w:pPr>
        <w:widowControl w:val="0"/>
        <w:autoSpaceDE w:val="0"/>
        <w:autoSpaceDN w:val="0"/>
        <w:spacing w:after="0" w:line="360" w:lineRule="auto"/>
        <w:ind w:firstLine="720"/>
        <w:jc w:val="both"/>
        <w:rPr>
          <w:rFonts w:ascii="Times New Roman" w:hAnsi="Times New Roman"/>
          <w:sz w:val="28"/>
          <w:szCs w:val="28"/>
          <w:lang w:val="uk-UA"/>
        </w:rPr>
      </w:pPr>
      <w:r w:rsidRPr="0094392D">
        <w:rPr>
          <w:rFonts w:ascii="Times New Roman" w:hAnsi="Times New Roman"/>
          <w:sz w:val="28"/>
          <w:szCs w:val="28"/>
          <w:lang w:val="uk-UA"/>
        </w:rPr>
        <w:t xml:space="preserve">Ізраїль вважається однією з найрозвиненіших країн у Південно-Західній Азії з економічного і індустріального розвитку. Ізраїльську економіку вирізняє виняткова гнучкість і здатність долати кризи. Цілями економічної політики Ізраїлю є подальше зростання та подальша інтеграція економіки країни у світові ринки. Незважаючи на перешкоди, Ізраїль досяг високого рівня життя для більшості своїх жителів, зростання значного промислового експорту та туристичного сектору, а також передових технологій світового рівня та науково обґрунтованої промисловості. Однак цей економічний прогрес не був рівномірним. </w:t>
      </w:r>
    </w:p>
    <w:p w:rsidR="00EC1B3C" w:rsidRPr="0094392D" w:rsidRDefault="00EC1B3C" w:rsidP="00194EB7">
      <w:pPr>
        <w:widowControl w:val="0"/>
        <w:autoSpaceDE w:val="0"/>
        <w:autoSpaceDN w:val="0"/>
        <w:spacing w:after="0" w:line="360" w:lineRule="auto"/>
        <w:ind w:firstLine="720"/>
        <w:jc w:val="both"/>
        <w:rPr>
          <w:rFonts w:ascii="Times New Roman" w:hAnsi="Times New Roman"/>
          <w:sz w:val="28"/>
          <w:szCs w:val="28"/>
          <w:lang w:val="uk-UA"/>
        </w:rPr>
      </w:pPr>
      <w:r w:rsidRPr="0094392D">
        <w:rPr>
          <w:rFonts w:ascii="Times New Roman" w:hAnsi="Times New Roman"/>
          <w:sz w:val="28"/>
          <w:szCs w:val="28"/>
          <w:lang w:val="uk-UA"/>
        </w:rPr>
        <w:t>Об'єднані Арабські Емірати мають одну з найбільш відкритих економік у світі. В ОАЕ діє відкрита ринкова економіка, в якій ціни на товари і послуги визначаються зa вільною системою цін. З моменту відкриття нафти в ОАЕ майже 60 років тому країна зазнала глибокої трансформації від бідного регіону невеликих пустельних князівств до сучасної держави з високим рівнем життя. Стратегічний план ОАЕ зосереджується на економічній диверсифікації, просуванні ОАЕ як глобального торговельного та туристичного центру, розвитку промисловості та створення нових робочих місць для громадян шляхом покращення освіти та збільшення зайнятості в приватному секторі.</w:t>
      </w:r>
    </w:p>
    <w:p w:rsidR="00EC1B3C" w:rsidRPr="0094392D" w:rsidRDefault="00EC1B3C" w:rsidP="00194EB7">
      <w:pPr>
        <w:widowControl w:val="0"/>
        <w:autoSpaceDE w:val="0"/>
        <w:autoSpaceDN w:val="0"/>
        <w:spacing w:after="0" w:line="360" w:lineRule="auto"/>
        <w:ind w:firstLine="720"/>
        <w:jc w:val="both"/>
        <w:rPr>
          <w:rFonts w:ascii="Times New Roman" w:hAnsi="Times New Roman"/>
          <w:sz w:val="28"/>
          <w:szCs w:val="28"/>
          <w:lang w:val="uk-UA"/>
        </w:rPr>
      </w:pPr>
      <w:r w:rsidRPr="0094392D">
        <w:rPr>
          <w:rFonts w:ascii="Times New Roman" w:hAnsi="Times New Roman"/>
          <w:sz w:val="28"/>
          <w:szCs w:val="28"/>
          <w:lang w:val="uk-UA"/>
        </w:rPr>
        <w:t xml:space="preserve">Таким чином, тема дипломної роботи є актуальною для сучасних міжнародних економічних відносин та України, яка може використати досвід Ізраїлю у подоланні власних кризових явищ, які пов’язані з збільшенням державного боргу, падінням ВВП, погіршенням сальдо торгівлі викликаного економічними проблемами в умовах повномасштабної війни Росії проти </w:t>
      </w:r>
      <w:r w:rsidRPr="0094392D">
        <w:rPr>
          <w:rFonts w:ascii="Times New Roman" w:hAnsi="Times New Roman"/>
          <w:sz w:val="28"/>
          <w:szCs w:val="28"/>
          <w:lang w:val="uk-UA"/>
        </w:rPr>
        <w:lastRenderedPageBreak/>
        <w:t>України.</w:t>
      </w:r>
    </w:p>
    <w:p w:rsidR="00EC1B3C" w:rsidRDefault="00EC1B3C" w:rsidP="0094392D">
      <w:pPr>
        <w:spacing w:after="0" w:line="360" w:lineRule="auto"/>
        <w:ind w:firstLine="567"/>
        <w:jc w:val="both"/>
        <w:rPr>
          <w:rFonts w:ascii="Times New Roman" w:hAnsi="Times New Roman"/>
          <w:sz w:val="28"/>
          <w:szCs w:val="28"/>
          <w:lang w:val="uk-UA" w:eastAsia="ru-RU"/>
        </w:rPr>
      </w:pPr>
      <w:r w:rsidRPr="0094392D">
        <w:rPr>
          <w:rFonts w:ascii="Times New Roman" w:hAnsi="Times New Roman"/>
          <w:b/>
          <w:sz w:val="28"/>
          <w:szCs w:val="28"/>
          <w:lang w:val="uk-UA" w:eastAsia="ru-RU"/>
        </w:rPr>
        <w:t>Метою дипломної роботи</w:t>
      </w:r>
      <w:r w:rsidRPr="0094392D">
        <w:rPr>
          <w:rFonts w:ascii="Times New Roman" w:hAnsi="Times New Roman"/>
          <w:sz w:val="28"/>
          <w:szCs w:val="28"/>
          <w:lang w:val="uk-UA" w:eastAsia="ru-RU"/>
        </w:rPr>
        <w:t xml:space="preserve"> є аналіз сучасного стану зовнішньоекономічних операцій Ізраїлю та Об’єднаних Арабських Еміратів.</w:t>
      </w:r>
    </w:p>
    <w:p w:rsidR="00EC1B3C" w:rsidRPr="00FC275A" w:rsidRDefault="00EC1B3C" w:rsidP="00FC275A">
      <w:pPr>
        <w:spacing w:after="0" w:line="360" w:lineRule="auto"/>
        <w:ind w:firstLine="567"/>
        <w:jc w:val="both"/>
        <w:rPr>
          <w:rFonts w:ascii="Times New Roman" w:hAnsi="Times New Roman"/>
          <w:sz w:val="28"/>
          <w:szCs w:val="28"/>
          <w:lang w:val="uk-UA" w:eastAsia="ru-RU"/>
        </w:rPr>
      </w:pPr>
      <w:r w:rsidRPr="00FC275A">
        <w:rPr>
          <w:rFonts w:ascii="Times New Roman" w:hAnsi="Times New Roman"/>
          <w:sz w:val="28"/>
          <w:szCs w:val="28"/>
          <w:lang w:val="uk-UA" w:eastAsia="ru-RU"/>
        </w:rPr>
        <w:t xml:space="preserve">Досягнення поставленої мети передбачає вирішення у дипломній роботі наступних </w:t>
      </w:r>
      <w:r w:rsidRPr="00FC275A">
        <w:rPr>
          <w:rFonts w:ascii="Times New Roman" w:hAnsi="Times New Roman"/>
          <w:b/>
          <w:sz w:val="28"/>
          <w:szCs w:val="28"/>
          <w:lang w:val="uk-UA" w:eastAsia="ru-RU"/>
        </w:rPr>
        <w:t>завдань</w:t>
      </w:r>
      <w:r w:rsidRPr="00FC275A">
        <w:rPr>
          <w:rFonts w:ascii="Times New Roman" w:hAnsi="Times New Roman"/>
          <w:sz w:val="28"/>
          <w:szCs w:val="28"/>
          <w:lang w:val="uk-UA" w:eastAsia="ru-RU"/>
        </w:rPr>
        <w:t>:</w:t>
      </w:r>
    </w:p>
    <w:p w:rsidR="00EC1B3C" w:rsidRPr="00FC275A" w:rsidRDefault="00EC1B3C" w:rsidP="00FC275A">
      <w:pPr>
        <w:numPr>
          <w:ilvl w:val="0"/>
          <w:numId w:val="2"/>
        </w:numPr>
        <w:suppressAutoHyphens/>
        <w:spacing w:after="0" w:line="360" w:lineRule="auto"/>
        <w:jc w:val="both"/>
        <w:rPr>
          <w:rFonts w:ascii="Times New Roman" w:hAnsi="Times New Roman"/>
          <w:sz w:val="28"/>
          <w:szCs w:val="28"/>
          <w:lang w:val="uk-UA" w:eastAsia="ru-RU"/>
        </w:rPr>
      </w:pPr>
      <w:r w:rsidRPr="00FC275A">
        <w:rPr>
          <w:rFonts w:ascii="Times New Roman" w:hAnsi="Times New Roman"/>
          <w:sz w:val="28"/>
          <w:szCs w:val="28"/>
          <w:lang w:val="uk-UA" w:eastAsia="ru-RU"/>
        </w:rPr>
        <w:t xml:space="preserve">вивчити теоретичні основи аналізу зовнішньоекономічних </w:t>
      </w:r>
      <w:r>
        <w:rPr>
          <w:rFonts w:ascii="Times New Roman" w:hAnsi="Times New Roman"/>
          <w:sz w:val="28"/>
          <w:szCs w:val="28"/>
          <w:lang w:val="uk-UA" w:eastAsia="ru-RU"/>
        </w:rPr>
        <w:t>операцій</w:t>
      </w:r>
      <w:r w:rsidRPr="00FC275A">
        <w:rPr>
          <w:rFonts w:ascii="Times New Roman" w:hAnsi="Times New Roman"/>
          <w:sz w:val="28"/>
          <w:szCs w:val="28"/>
          <w:lang w:val="uk-UA" w:eastAsia="ru-RU"/>
        </w:rPr>
        <w:t xml:space="preserve"> Ізраїлю та Об’єднаних Арабських Еміратів;</w:t>
      </w:r>
    </w:p>
    <w:p w:rsidR="00EC1B3C" w:rsidRDefault="00EC1B3C" w:rsidP="00FC275A">
      <w:pPr>
        <w:numPr>
          <w:ilvl w:val="0"/>
          <w:numId w:val="2"/>
        </w:numPr>
        <w:suppressAutoHyphens/>
        <w:spacing w:after="0" w:line="360" w:lineRule="auto"/>
        <w:jc w:val="both"/>
        <w:rPr>
          <w:rFonts w:ascii="Times New Roman" w:hAnsi="Times New Roman"/>
          <w:sz w:val="28"/>
          <w:szCs w:val="28"/>
          <w:lang w:val="uk-UA" w:eastAsia="ru-RU"/>
        </w:rPr>
      </w:pPr>
      <w:r>
        <w:rPr>
          <w:rFonts w:ascii="Times New Roman" w:hAnsi="Times New Roman"/>
          <w:sz w:val="28"/>
          <w:szCs w:val="28"/>
          <w:lang w:val="uk-UA" w:eastAsia="ru-RU"/>
        </w:rPr>
        <w:t>провестип</w:t>
      </w:r>
      <w:r w:rsidRPr="00FC275A">
        <w:rPr>
          <w:rFonts w:ascii="Times New Roman" w:hAnsi="Times New Roman"/>
          <w:sz w:val="28"/>
          <w:szCs w:val="28"/>
          <w:lang w:val="uk-UA" w:eastAsia="ru-RU"/>
        </w:rPr>
        <w:t>орівняльний аналіз поточних рахунків Ізраїлю та Об’єднаних Арабських Еміратів</w:t>
      </w:r>
      <w:r>
        <w:rPr>
          <w:rFonts w:ascii="Times New Roman" w:hAnsi="Times New Roman"/>
          <w:sz w:val="28"/>
          <w:szCs w:val="28"/>
          <w:lang w:val="uk-UA" w:eastAsia="ru-RU"/>
        </w:rPr>
        <w:t>;</w:t>
      </w:r>
    </w:p>
    <w:p w:rsidR="00EC1B3C" w:rsidRPr="00FC275A" w:rsidRDefault="00EC1B3C" w:rsidP="00FC275A">
      <w:pPr>
        <w:numPr>
          <w:ilvl w:val="0"/>
          <w:numId w:val="2"/>
        </w:numPr>
        <w:suppressAutoHyphens/>
        <w:spacing w:after="0" w:line="360" w:lineRule="auto"/>
        <w:jc w:val="both"/>
        <w:rPr>
          <w:rFonts w:ascii="Times New Roman" w:hAnsi="Times New Roman"/>
          <w:sz w:val="28"/>
          <w:szCs w:val="28"/>
          <w:lang w:val="uk-UA" w:eastAsia="ru-RU"/>
        </w:rPr>
      </w:pPr>
      <w:r>
        <w:rPr>
          <w:rFonts w:ascii="Times New Roman" w:hAnsi="Times New Roman"/>
          <w:sz w:val="28"/>
          <w:szCs w:val="28"/>
          <w:lang w:val="uk-UA" w:eastAsia="ru-RU"/>
        </w:rPr>
        <w:t>визначити особливості формування</w:t>
      </w:r>
      <w:r w:rsidRPr="00FC275A">
        <w:rPr>
          <w:rFonts w:ascii="Times New Roman" w:hAnsi="Times New Roman"/>
          <w:sz w:val="28"/>
          <w:szCs w:val="28"/>
          <w:lang w:val="uk-UA" w:eastAsia="ru-RU"/>
        </w:rPr>
        <w:t xml:space="preserve"> фінансових рахунків Ізраїлю та Об’єднаних Арабських Еміратів</w:t>
      </w:r>
      <w:r>
        <w:rPr>
          <w:rFonts w:ascii="Times New Roman" w:hAnsi="Times New Roman"/>
          <w:sz w:val="28"/>
          <w:szCs w:val="28"/>
          <w:lang w:val="uk-UA" w:eastAsia="ru-RU"/>
        </w:rPr>
        <w:t>;</w:t>
      </w:r>
    </w:p>
    <w:p w:rsidR="00EC1B3C" w:rsidRDefault="00EC1B3C" w:rsidP="00FC275A">
      <w:pPr>
        <w:numPr>
          <w:ilvl w:val="0"/>
          <w:numId w:val="2"/>
        </w:numPr>
        <w:suppressAutoHyphens/>
        <w:spacing w:after="0" w:line="360" w:lineRule="auto"/>
        <w:jc w:val="both"/>
        <w:rPr>
          <w:rFonts w:ascii="Times New Roman" w:hAnsi="Times New Roman"/>
          <w:sz w:val="28"/>
          <w:szCs w:val="28"/>
          <w:lang w:val="uk-UA" w:eastAsia="ru-RU"/>
        </w:rPr>
      </w:pPr>
      <w:r>
        <w:rPr>
          <w:rFonts w:ascii="Times New Roman" w:hAnsi="Times New Roman"/>
          <w:sz w:val="28"/>
          <w:szCs w:val="28"/>
          <w:lang w:val="uk-UA" w:eastAsia="ru-RU"/>
        </w:rPr>
        <w:t>Здійснити м</w:t>
      </w:r>
      <w:r w:rsidRPr="00FC275A">
        <w:rPr>
          <w:rFonts w:ascii="Times New Roman" w:hAnsi="Times New Roman"/>
          <w:sz w:val="28"/>
          <w:szCs w:val="28"/>
          <w:lang w:val="uk-UA" w:eastAsia="ru-RU"/>
        </w:rPr>
        <w:t xml:space="preserve">оделювання та </w:t>
      </w:r>
      <w:r>
        <w:rPr>
          <w:rFonts w:ascii="Times New Roman" w:hAnsi="Times New Roman"/>
          <w:sz w:val="28"/>
          <w:szCs w:val="28"/>
          <w:lang w:val="uk-UA" w:eastAsia="ru-RU"/>
        </w:rPr>
        <w:t xml:space="preserve">визначити </w:t>
      </w:r>
      <w:r w:rsidRPr="00FC275A">
        <w:rPr>
          <w:rFonts w:ascii="Times New Roman" w:hAnsi="Times New Roman"/>
          <w:sz w:val="28"/>
          <w:szCs w:val="28"/>
          <w:lang w:val="uk-UA" w:eastAsia="ru-RU"/>
        </w:rPr>
        <w:t>результат операцій «CarryTrade» з державними облігаціями Ізраїлю, Об’єднани</w:t>
      </w:r>
      <w:r>
        <w:rPr>
          <w:rFonts w:ascii="Times New Roman" w:hAnsi="Times New Roman"/>
          <w:sz w:val="28"/>
          <w:szCs w:val="28"/>
          <w:lang w:val="uk-UA" w:eastAsia="ru-RU"/>
        </w:rPr>
        <w:t>х Арабських Еміратів та України;</w:t>
      </w:r>
    </w:p>
    <w:p w:rsidR="00EC1B3C" w:rsidRPr="00FC275A" w:rsidRDefault="00EC1B3C" w:rsidP="00F93BF1">
      <w:pPr>
        <w:numPr>
          <w:ilvl w:val="0"/>
          <w:numId w:val="2"/>
        </w:numPr>
        <w:suppressAutoHyphens/>
        <w:spacing w:after="0" w:line="360" w:lineRule="auto"/>
        <w:jc w:val="both"/>
        <w:rPr>
          <w:rFonts w:ascii="Times New Roman" w:hAnsi="Times New Roman"/>
          <w:sz w:val="28"/>
          <w:szCs w:val="28"/>
          <w:lang w:val="uk-UA" w:eastAsia="ru-RU"/>
        </w:rPr>
      </w:pPr>
      <w:r w:rsidRPr="00FC275A">
        <w:rPr>
          <w:rFonts w:ascii="Times New Roman" w:hAnsi="Times New Roman"/>
          <w:sz w:val="28"/>
          <w:szCs w:val="28"/>
          <w:lang w:val="uk-UA" w:eastAsia="ru-RU"/>
        </w:rPr>
        <w:t xml:space="preserve">дослідити особливості зовнішньоекономічних операцій </w:t>
      </w:r>
      <w:r w:rsidRPr="00F93BF1">
        <w:rPr>
          <w:rFonts w:ascii="Times New Roman" w:hAnsi="Times New Roman"/>
          <w:sz w:val="28"/>
          <w:szCs w:val="28"/>
          <w:lang w:val="uk-UA" w:eastAsia="ru-RU"/>
        </w:rPr>
        <w:t>Ізраїлю</w:t>
      </w:r>
      <w:r>
        <w:rPr>
          <w:rFonts w:ascii="Times New Roman" w:hAnsi="Times New Roman"/>
          <w:sz w:val="28"/>
          <w:szCs w:val="28"/>
          <w:lang w:val="uk-UA" w:eastAsia="ru-RU"/>
        </w:rPr>
        <w:t xml:space="preserve"> і </w:t>
      </w:r>
      <w:r w:rsidRPr="00F93BF1">
        <w:rPr>
          <w:rFonts w:ascii="Times New Roman" w:hAnsi="Times New Roman"/>
          <w:sz w:val="28"/>
          <w:szCs w:val="28"/>
          <w:lang w:val="uk-UA" w:eastAsia="ru-RU"/>
        </w:rPr>
        <w:t xml:space="preserve">Об’єднаних Арабських Еміратів </w:t>
      </w:r>
      <w:r w:rsidRPr="00FC275A">
        <w:rPr>
          <w:rFonts w:ascii="Times New Roman" w:hAnsi="Times New Roman"/>
          <w:sz w:val="28"/>
          <w:szCs w:val="28"/>
          <w:lang w:val="uk-UA" w:eastAsia="ru-RU"/>
        </w:rPr>
        <w:t>з Україною.</w:t>
      </w:r>
    </w:p>
    <w:p w:rsidR="00EC1B3C" w:rsidRPr="00FC275A" w:rsidRDefault="00EC1B3C" w:rsidP="00FC275A">
      <w:pPr>
        <w:spacing w:after="0" w:line="360" w:lineRule="auto"/>
        <w:ind w:firstLine="567"/>
        <w:jc w:val="both"/>
        <w:rPr>
          <w:rFonts w:ascii="Times New Roman" w:hAnsi="Times New Roman"/>
          <w:b/>
          <w:sz w:val="10"/>
          <w:szCs w:val="10"/>
          <w:lang w:val="uk-UA" w:eastAsia="ru-RU"/>
        </w:rPr>
      </w:pPr>
    </w:p>
    <w:p w:rsidR="00EC1B3C" w:rsidRPr="00FC275A" w:rsidRDefault="00EC1B3C" w:rsidP="00FC275A">
      <w:pPr>
        <w:spacing w:after="0" w:line="360" w:lineRule="auto"/>
        <w:ind w:firstLine="709"/>
        <w:jc w:val="both"/>
        <w:rPr>
          <w:rFonts w:ascii="Times New Roman" w:hAnsi="Times New Roman"/>
          <w:sz w:val="28"/>
          <w:szCs w:val="28"/>
          <w:lang w:val="uk-UA" w:eastAsia="ru-RU"/>
        </w:rPr>
      </w:pPr>
      <w:r w:rsidRPr="00FC275A">
        <w:rPr>
          <w:rFonts w:ascii="Times New Roman" w:hAnsi="Times New Roman"/>
          <w:b/>
          <w:sz w:val="28"/>
          <w:szCs w:val="28"/>
          <w:lang w:val="uk-UA" w:eastAsia="ru-RU"/>
        </w:rPr>
        <w:t>Об’єктом дослідження</w:t>
      </w:r>
      <w:r w:rsidRPr="00FC275A">
        <w:rPr>
          <w:rFonts w:ascii="Times New Roman" w:hAnsi="Times New Roman"/>
          <w:sz w:val="28"/>
          <w:szCs w:val="28"/>
          <w:lang w:val="uk-UA" w:eastAsia="ru-RU"/>
        </w:rPr>
        <w:t xml:space="preserve"> –  є економіки </w:t>
      </w:r>
      <w:r w:rsidRPr="00F93BF1">
        <w:rPr>
          <w:rFonts w:ascii="Times New Roman" w:hAnsi="Times New Roman"/>
          <w:sz w:val="28"/>
          <w:szCs w:val="28"/>
          <w:lang w:val="uk-UA" w:eastAsia="ru-RU"/>
        </w:rPr>
        <w:t>Ізраїлю і Об’єднаних Арабських Еміратів</w:t>
      </w:r>
      <w:r w:rsidRPr="00FC275A">
        <w:rPr>
          <w:rFonts w:ascii="Times New Roman" w:hAnsi="Times New Roman"/>
          <w:sz w:val="28"/>
          <w:szCs w:val="28"/>
          <w:lang w:val="uk-UA" w:eastAsia="ru-RU"/>
        </w:rPr>
        <w:t>.</w:t>
      </w:r>
    </w:p>
    <w:p w:rsidR="00EC1B3C" w:rsidRPr="00FC275A" w:rsidRDefault="00EC1B3C" w:rsidP="00FC275A">
      <w:pPr>
        <w:spacing w:after="0" w:line="360" w:lineRule="auto"/>
        <w:ind w:firstLine="709"/>
        <w:jc w:val="both"/>
        <w:rPr>
          <w:rFonts w:ascii="Times New Roman" w:hAnsi="Times New Roman"/>
          <w:sz w:val="28"/>
          <w:szCs w:val="28"/>
          <w:lang w:val="uk-UA" w:eastAsia="ru-RU"/>
        </w:rPr>
      </w:pPr>
      <w:r w:rsidRPr="00FC275A">
        <w:rPr>
          <w:rFonts w:ascii="Times New Roman" w:hAnsi="Times New Roman"/>
          <w:b/>
          <w:sz w:val="28"/>
          <w:szCs w:val="28"/>
          <w:lang w:val="uk-UA" w:eastAsia="ru-RU"/>
        </w:rPr>
        <w:t>Предметом дослідження</w:t>
      </w:r>
      <w:r w:rsidRPr="00FC275A">
        <w:rPr>
          <w:rFonts w:ascii="Times New Roman" w:hAnsi="Times New Roman"/>
          <w:sz w:val="28"/>
          <w:szCs w:val="28"/>
          <w:lang w:val="uk-UA" w:eastAsia="ru-RU"/>
        </w:rPr>
        <w:t xml:space="preserve"> – є теоретичні основи та прикладні аспекти трансформації зовнішньоекономічних </w:t>
      </w:r>
      <w:r>
        <w:rPr>
          <w:rFonts w:ascii="Times New Roman" w:hAnsi="Times New Roman"/>
          <w:sz w:val="28"/>
          <w:szCs w:val="28"/>
          <w:lang w:val="uk-UA" w:eastAsia="ru-RU"/>
        </w:rPr>
        <w:t>операцій</w:t>
      </w:r>
      <w:r w:rsidRPr="00F93BF1">
        <w:rPr>
          <w:rFonts w:ascii="Times New Roman" w:hAnsi="Times New Roman"/>
          <w:sz w:val="28"/>
          <w:szCs w:val="28"/>
          <w:lang w:val="uk-UA" w:eastAsia="ru-RU"/>
        </w:rPr>
        <w:t xml:space="preserve">Ізраїлю і Об’єднаних Арабських Еміратів </w:t>
      </w:r>
      <w:r w:rsidRPr="00FC275A">
        <w:rPr>
          <w:rFonts w:ascii="Times New Roman" w:hAnsi="Times New Roman"/>
          <w:sz w:val="28"/>
          <w:szCs w:val="28"/>
          <w:lang w:val="uk-UA" w:eastAsia="ru-RU"/>
        </w:rPr>
        <w:t xml:space="preserve">в </w:t>
      </w:r>
      <w:r>
        <w:rPr>
          <w:rFonts w:ascii="Times New Roman" w:hAnsi="Times New Roman"/>
          <w:sz w:val="28"/>
          <w:szCs w:val="28"/>
          <w:lang w:val="uk-UA" w:eastAsia="ru-RU"/>
        </w:rPr>
        <w:t xml:space="preserve">сучасних </w:t>
      </w:r>
      <w:r w:rsidRPr="00FC275A">
        <w:rPr>
          <w:rFonts w:ascii="Times New Roman" w:hAnsi="Times New Roman"/>
          <w:sz w:val="28"/>
          <w:szCs w:val="28"/>
          <w:lang w:val="uk-UA" w:eastAsia="ru-RU"/>
        </w:rPr>
        <w:t>умовах.</w:t>
      </w:r>
    </w:p>
    <w:p w:rsidR="00EC1B3C" w:rsidRPr="00FC275A" w:rsidRDefault="00EC1B3C" w:rsidP="00FC275A">
      <w:pPr>
        <w:spacing w:after="0" w:line="360" w:lineRule="auto"/>
        <w:ind w:firstLine="709"/>
        <w:jc w:val="both"/>
        <w:rPr>
          <w:rFonts w:ascii="Times New Roman" w:hAnsi="Times New Roman"/>
          <w:sz w:val="28"/>
          <w:szCs w:val="28"/>
          <w:lang w:val="uk-UA" w:eastAsia="ru-RU"/>
        </w:rPr>
      </w:pPr>
      <w:r w:rsidRPr="00FC275A">
        <w:rPr>
          <w:rFonts w:ascii="Times New Roman" w:hAnsi="Times New Roman"/>
          <w:sz w:val="28"/>
          <w:szCs w:val="28"/>
          <w:lang w:val="uk-UA" w:eastAsia="ru-RU"/>
        </w:rPr>
        <w:t xml:space="preserve">При виконанні поставлених завдань були використані дані та матеріали з таких джерел: сайти Центральних банків країн, сайт Міжнародного валютного фонду, наукова література. </w:t>
      </w:r>
    </w:p>
    <w:p w:rsidR="00EC1B3C" w:rsidRPr="00FC275A" w:rsidRDefault="00EC1B3C" w:rsidP="00FC275A">
      <w:pPr>
        <w:spacing w:after="0" w:line="360" w:lineRule="auto"/>
        <w:ind w:firstLine="709"/>
        <w:jc w:val="both"/>
        <w:rPr>
          <w:rFonts w:ascii="Times New Roman" w:hAnsi="Times New Roman"/>
          <w:sz w:val="28"/>
          <w:szCs w:val="28"/>
          <w:lang w:val="uk-UA" w:eastAsia="ru-RU"/>
        </w:rPr>
      </w:pPr>
      <w:r w:rsidRPr="00FC275A">
        <w:rPr>
          <w:rFonts w:ascii="Times New Roman" w:hAnsi="Times New Roman"/>
          <w:sz w:val="28"/>
          <w:szCs w:val="28"/>
          <w:lang w:val="uk-UA" w:eastAsia="ru-RU"/>
        </w:rPr>
        <w:t>У роботі були використані наступні методи дослідження: теоретико-критичний аналіз джерел за темою дослідження, узагальнення і синтезування отриманої інформації, графічний метод та метод регресійного аналізу.</w:t>
      </w:r>
    </w:p>
    <w:p w:rsidR="00EC1B3C" w:rsidRPr="0094392D" w:rsidRDefault="00EC1B3C" w:rsidP="0094392D">
      <w:pPr>
        <w:spacing w:after="0" w:line="360" w:lineRule="auto"/>
        <w:ind w:firstLine="567"/>
        <w:jc w:val="both"/>
        <w:rPr>
          <w:rFonts w:ascii="Times New Roman" w:hAnsi="Times New Roman"/>
          <w:sz w:val="28"/>
          <w:szCs w:val="28"/>
          <w:lang w:val="uk-UA" w:eastAsia="ru-RU"/>
        </w:rPr>
      </w:pPr>
    </w:p>
    <w:p w:rsidR="00EC1B3C" w:rsidRDefault="00EC1B3C" w:rsidP="006F7044">
      <w:pPr>
        <w:spacing w:after="0" w:line="360" w:lineRule="auto"/>
        <w:jc w:val="center"/>
        <w:rPr>
          <w:rFonts w:ascii="Times New Roman" w:hAnsi="Times New Roman"/>
          <w:b/>
          <w:sz w:val="28"/>
          <w:lang w:val="uk-UA"/>
        </w:rPr>
      </w:pPr>
    </w:p>
    <w:p w:rsidR="00EC1B3C" w:rsidRPr="0094392D" w:rsidRDefault="00EC1B3C" w:rsidP="006F7044">
      <w:pPr>
        <w:spacing w:after="0" w:line="360" w:lineRule="auto"/>
        <w:jc w:val="center"/>
        <w:rPr>
          <w:rFonts w:ascii="Times New Roman" w:hAnsi="Times New Roman"/>
          <w:b/>
          <w:sz w:val="28"/>
          <w:lang w:val="uk-UA"/>
        </w:rPr>
      </w:pPr>
      <w:r w:rsidRPr="0094392D">
        <w:rPr>
          <w:rFonts w:ascii="Times New Roman" w:hAnsi="Times New Roman"/>
          <w:b/>
          <w:sz w:val="28"/>
          <w:lang w:val="uk-UA"/>
        </w:rPr>
        <w:t>РОЗДІЛ 1</w:t>
      </w:r>
    </w:p>
    <w:p w:rsidR="00EC1B3C" w:rsidRPr="0094392D" w:rsidRDefault="00EC1B3C" w:rsidP="006F7044">
      <w:pPr>
        <w:spacing w:after="0" w:line="360" w:lineRule="auto"/>
        <w:jc w:val="center"/>
        <w:rPr>
          <w:rFonts w:ascii="Times New Roman" w:hAnsi="Times New Roman"/>
          <w:b/>
          <w:sz w:val="28"/>
          <w:szCs w:val="32"/>
          <w:lang w:val="uk-UA"/>
        </w:rPr>
      </w:pPr>
      <w:r w:rsidRPr="0094392D">
        <w:rPr>
          <w:rFonts w:ascii="Times New Roman" w:hAnsi="Times New Roman"/>
          <w:b/>
          <w:sz w:val="28"/>
          <w:szCs w:val="32"/>
          <w:lang w:val="uk-UA"/>
        </w:rPr>
        <w:t>ТЕОРЕТИЧНІ ОСНОВИ АНАЛІЗУ ЗОВНІШНЬОЕКОНОМІЧНИХ ОПЕРАЦІЙ ІЗРАЇЛЮ ТА ОБ’ЄДНАНИХ АРАБСЬКИХ ЕМІРАТІВ</w:t>
      </w:r>
    </w:p>
    <w:p w:rsidR="00EC1B3C" w:rsidRPr="0094392D" w:rsidRDefault="00EC1B3C" w:rsidP="006F7044">
      <w:pPr>
        <w:spacing w:after="0" w:line="360" w:lineRule="auto"/>
        <w:jc w:val="center"/>
        <w:rPr>
          <w:rFonts w:ascii="Times New Roman" w:hAnsi="Times New Roman"/>
          <w:b/>
          <w:sz w:val="32"/>
          <w:lang w:val="uk-UA"/>
        </w:rPr>
      </w:pPr>
    </w:p>
    <w:p w:rsidR="00EC1B3C" w:rsidRPr="0094392D" w:rsidRDefault="00EC1B3C" w:rsidP="00745309">
      <w:pPr>
        <w:spacing w:after="0" w:line="360" w:lineRule="auto"/>
        <w:ind w:firstLine="709"/>
        <w:jc w:val="both"/>
        <w:rPr>
          <w:rFonts w:ascii="Times New Roman" w:hAnsi="Times New Roman"/>
          <w:color w:val="000000"/>
          <w:sz w:val="28"/>
          <w:szCs w:val="28"/>
          <w:shd w:val="clear" w:color="auto" w:fill="FFFFFF"/>
          <w:lang w:val="uk-UA"/>
        </w:rPr>
      </w:pPr>
      <w:r w:rsidRPr="0094392D">
        <w:rPr>
          <w:rFonts w:ascii="Times New Roman" w:hAnsi="Times New Roman"/>
          <w:color w:val="000000"/>
          <w:sz w:val="28"/>
          <w:szCs w:val="28"/>
          <w:shd w:val="clear" w:color="auto" w:fill="FFFFFF"/>
          <w:lang w:val="uk-UA"/>
        </w:rPr>
        <w:t>Даний розділ включає аналіз статей дослідників зовнішньоекономічних операцій Ізраїлю та Об’єднаних Арабських Еміратів.</w:t>
      </w:r>
    </w:p>
    <w:p w:rsidR="00EC1B3C" w:rsidRPr="0094392D" w:rsidRDefault="00EC1B3C" w:rsidP="009A1301">
      <w:pPr>
        <w:spacing w:after="0" w:line="360" w:lineRule="auto"/>
        <w:ind w:firstLine="709"/>
        <w:jc w:val="both"/>
        <w:rPr>
          <w:rFonts w:ascii="Times New Roman" w:hAnsi="Times New Roman"/>
          <w:color w:val="000000"/>
          <w:sz w:val="28"/>
          <w:szCs w:val="28"/>
          <w:shd w:val="clear" w:color="auto" w:fill="FFFFFF"/>
          <w:lang w:val="uk-UA"/>
        </w:rPr>
      </w:pPr>
      <w:r w:rsidRPr="0094392D">
        <w:rPr>
          <w:rFonts w:ascii="Times New Roman" w:hAnsi="Times New Roman"/>
          <w:color w:val="000000"/>
          <w:sz w:val="28"/>
          <w:szCs w:val="28"/>
          <w:shd w:val="clear" w:color="auto" w:fill="FFFFFF"/>
          <w:lang w:val="uk-UA"/>
        </w:rPr>
        <w:t>Згідно зі статтею «Зовнішня торгівля ОАЕ досягла 600 мільярдів доларів», автора СтаффаРайтера (2023),шейх МохаммедбінРашидАльМактум, віце-президент і прем’єр-міністр ОАЕ та правитель Дубая затвердив, що зовнішня торгівля Об’єднаних Арабських Еміратів перевищила 600 мільярдів доларів (2,2 трильйона дирхамів ОАЕ) у 2022 році.Ця цифра була оприлюднена після того, як шейх Мухаммед головував на засіданні кабінету міністрів.</w:t>
      </w:r>
    </w:p>
    <w:p w:rsidR="00EC1B3C" w:rsidRPr="00567DCA" w:rsidRDefault="00EC1B3C" w:rsidP="00EC33FD">
      <w:pPr>
        <w:spacing w:after="0" w:line="360" w:lineRule="auto"/>
        <w:ind w:firstLine="709"/>
        <w:jc w:val="both"/>
        <w:rPr>
          <w:rFonts w:ascii="Times New Roman" w:hAnsi="Times New Roman"/>
          <w:color w:val="000000"/>
          <w:sz w:val="28"/>
          <w:szCs w:val="28"/>
          <w:shd w:val="clear" w:color="auto" w:fill="FFFFFF"/>
          <w:lang w:val="uk-UA"/>
        </w:rPr>
      </w:pPr>
      <w:r w:rsidRPr="0094392D">
        <w:rPr>
          <w:rFonts w:ascii="Times New Roman" w:hAnsi="Times New Roman"/>
          <w:color w:val="000000"/>
          <w:sz w:val="28"/>
          <w:szCs w:val="28"/>
          <w:shd w:val="clear" w:color="auto" w:fill="FFFFFF"/>
          <w:lang w:val="uk-UA"/>
        </w:rPr>
        <w:t>Зовнішня торгівля Об’єднаних Арабських Еміратів демонструє зростання на 17 відсотків порівняно з 2021 роком, що обумовлено розвитком секторів туризму та нерухомості.Попит на інвестиції, туризм і нерухомість в ОАЕ досяг безпрецедентних показників у 2022 році. В наслідок цього, уряд Об’єднаних Арабських Еміратів і надалі забезпечуватиме найкраще бізнес-середовище для іноземних інвесторів та резидентів-бізнесменів</w:t>
      </w:r>
      <w:r>
        <w:rPr>
          <w:rFonts w:ascii="Times New Roman" w:hAnsi="Times New Roman"/>
          <w:color w:val="000000"/>
          <w:sz w:val="28"/>
          <w:szCs w:val="28"/>
          <w:shd w:val="clear" w:color="auto" w:fill="FFFFFF"/>
          <w:lang w:val="uk-UA"/>
        </w:rPr>
        <w:t xml:space="preserve"> країни</w:t>
      </w:r>
      <w:r w:rsidRPr="0094392D">
        <w:rPr>
          <w:rFonts w:ascii="Times New Roman" w:hAnsi="Times New Roman"/>
          <w:color w:val="000000"/>
          <w:sz w:val="28"/>
          <w:szCs w:val="28"/>
          <w:shd w:val="clear" w:color="auto" w:fill="FFFFFF"/>
          <w:lang w:val="uk-UA"/>
        </w:rPr>
        <w:t>[4]</w:t>
      </w:r>
      <w:r w:rsidRPr="00567DCA">
        <w:rPr>
          <w:rFonts w:ascii="Times New Roman" w:hAnsi="Times New Roman"/>
          <w:color w:val="000000"/>
          <w:sz w:val="28"/>
          <w:szCs w:val="28"/>
          <w:shd w:val="clear" w:color="auto" w:fill="FFFFFF"/>
          <w:lang w:val="uk-UA"/>
        </w:rPr>
        <w:t>.</w:t>
      </w:r>
    </w:p>
    <w:p w:rsidR="00EC1B3C" w:rsidRPr="0094392D" w:rsidRDefault="00EC1B3C" w:rsidP="00B93697">
      <w:pPr>
        <w:spacing w:after="0" w:line="360" w:lineRule="auto"/>
        <w:ind w:firstLine="709"/>
        <w:jc w:val="both"/>
        <w:rPr>
          <w:rFonts w:ascii="Times New Roman" w:hAnsi="Times New Roman"/>
          <w:color w:val="000000"/>
          <w:sz w:val="28"/>
          <w:szCs w:val="28"/>
          <w:shd w:val="clear" w:color="auto" w:fill="FFFFFF"/>
          <w:lang w:val="uk-UA"/>
        </w:rPr>
      </w:pPr>
      <w:r w:rsidRPr="0094392D">
        <w:rPr>
          <w:rFonts w:ascii="Times New Roman" w:hAnsi="Times New Roman"/>
          <w:color w:val="000000"/>
          <w:sz w:val="28"/>
          <w:szCs w:val="28"/>
          <w:shd w:val="clear" w:color="auto" w:fill="FFFFFF"/>
          <w:lang w:val="uk-UA"/>
        </w:rPr>
        <w:t>Розглянувши статтю «Десять найбільших експортерів нафти у світі», авторства Олександри Твін (2022), можна зробити наступні висновки. Історично Саудівська Аравія була лідером у світі за річним експортом нафти, але це змінилося в 2019 році, коли Об’єднані Арабські Емірати випередили її як найбільшого світового експортера нафти.</w:t>
      </w:r>
    </w:p>
    <w:p w:rsidR="00EC1B3C" w:rsidRPr="0094392D" w:rsidRDefault="00EC1B3C" w:rsidP="00B93697">
      <w:pPr>
        <w:spacing w:after="0" w:line="360" w:lineRule="auto"/>
        <w:ind w:firstLine="709"/>
        <w:jc w:val="both"/>
        <w:rPr>
          <w:rFonts w:ascii="Times New Roman" w:hAnsi="Times New Roman"/>
          <w:color w:val="000000"/>
          <w:sz w:val="28"/>
          <w:szCs w:val="28"/>
          <w:shd w:val="clear" w:color="auto" w:fill="FFFFFF"/>
          <w:lang w:val="uk-UA"/>
        </w:rPr>
      </w:pPr>
      <w:r w:rsidRPr="0094392D">
        <w:rPr>
          <w:rFonts w:ascii="Times New Roman" w:hAnsi="Times New Roman"/>
          <w:color w:val="000000"/>
          <w:sz w:val="28"/>
          <w:szCs w:val="28"/>
          <w:shd w:val="clear" w:color="auto" w:fill="FFFFFF"/>
          <w:lang w:val="uk-UA"/>
        </w:rPr>
        <w:t>Об’єднані Арабські Емірати, невелика країна розміром приблизно з Південну Кароліну, експортували нафти на 176 мільярдів доларів у 2019 році, що становить 16,13% світового експорту нафти.</w:t>
      </w:r>
    </w:p>
    <w:p w:rsidR="00EC1B3C" w:rsidRPr="0094392D" w:rsidRDefault="00EC1B3C" w:rsidP="00B93697">
      <w:pPr>
        <w:spacing w:after="0" w:line="360" w:lineRule="auto"/>
        <w:ind w:firstLine="709"/>
        <w:jc w:val="both"/>
        <w:rPr>
          <w:rFonts w:ascii="Times New Roman" w:hAnsi="Times New Roman"/>
          <w:color w:val="000000"/>
          <w:sz w:val="28"/>
          <w:szCs w:val="28"/>
          <w:shd w:val="clear" w:color="auto" w:fill="FFFFFF"/>
          <w:lang w:val="uk-UA"/>
        </w:rPr>
      </w:pPr>
      <w:r w:rsidRPr="0094392D">
        <w:rPr>
          <w:rFonts w:ascii="Times New Roman" w:hAnsi="Times New Roman"/>
          <w:color w:val="000000"/>
          <w:sz w:val="28"/>
          <w:szCs w:val="28"/>
          <w:shd w:val="clear" w:color="auto" w:fill="FFFFFF"/>
          <w:lang w:val="uk-UA"/>
        </w:rPr>
        <w:t>Незважаючи на те, що у 2019 році Об’єднані Арабські Емірати були найбільшим експортером нафти, у 2020 році вони опустилися на шосте місце з 42 мільярдами доларів доходу та 6,57% усього експорту нафти.</w:t>
      </w:r>
    </w:p>
    <w:p w:rsidR="00EC1B3C" w:rsidRPr="0094392D" w:rsidRDefault="00EC1B3C" w:rsidP="00B93697">
      <w:pPr>
        <w:spacing w:after="0" w:line="360" w:lineRule="auto"/>
        <w:ind w:firstLine="709"/>
        <w:jc w:val="both"/>
        <w:rPr>
          <w:rFonts w:ascii="Times New Roman" w:hAnsi="Times New Roman"/>
          <w:color w:val="000000"/>
          <w:sz w:val="28"/>
          <w:szCs w:val="28"/>
          <w:shd w:val="clear" w:color="auto" w:fill="FFFFFF"/>
          <w:lang w:val="uk-UA"/>
        </w:rPr>
      </w:pPr>
      <w:r w:rsidRPr="0094392D">
        <w:rPr>
          <w:rFonts w:ascii="Times New Roman" w:hAnsi="Times New Roman"/>
          <w:color w:val="000000"/>
          <w:sz w:val="28"/>
          <w:szCs w:val="28"/>
          <w:shd w:val="clear" w:color="auto" w:fill="FFFFFF"/>
          <w:lang w:val="uk-UA"/>
        </w:rPr>
        <w:t>У 2020 році ОАЕ видобули 3,78 млн барелів на день, що становить 4% світового видобутку.</w:t>
      </w:r>
    </w:p>
    <w:p w:rsidR="00EC1B3C" w:rsidRPr="0094392D" w:rsidRDefault="00EC1B3C" w:rsidP="00644478">
      <w:pPr>
        <w:spacing w:after="0" w:line="360" w:lineRule="auto"/>
        <w:ind w:firstLine="709"/>
        <w:jc w:val="both"/>
        <w:rPr>
          <w:rFonts w:ascii="Times New Roman" w:hAnsi="Times New Roman"/>
          <w:color w:val="000000"/>
          <w:sz w:val="28"/>
          <w:szCs w:val="28"/>
          <w:shd w:val="clear" w:color="auto" w:fill="FFFFFF"/>
          <w:lang w:val="uk-UA"/>
        </w:rPr>
      </w:pPr>
      <w:r w:rsidRPr="0094392D">
        <w:rPr>
          <w:rFonts w:ascii="Times New Roman" w:hAnsi="Times New Roman"/>
          <w:color w:val="000000"/>
          <w:sz w:val="28"/>
          <w:szCs w:val="28"/>
          <w:shd w:val="clear" w:color="auto" w:fill="FFFFFF"/>
          <w:lang w:val="uk-UA"/>
        </w:rPr>
        <w:t>За оцінками, ОАЕ мають сьомі за величиною запаси нафти у світі, загальна кількість яких становить приблизно 100 мільярдів барелів. Економіка країни менше залежить від нафти, ніж колись, хоча видобуток нафти та газу все ще становить близько 30% ВВП[12].</w:t>
      </w:r>
    </w:p>
    <w:p w:rsidR="00EC1B3C" w:rsidRPr="0094392D" w:rsidRDefault="00EC1B3C" w:rsidP="00FC007E">
      <w:pPr>
        <w:spacing w:after="0" w:line="360" w:lineRule="auto"/>
        <w:ind w:firstLine="709"/>
        <w:jc w:val="both"/>
        <w:rPr>
          <w:rFonts w:ascii="Times New Roman" w:hAnsi="Times New Roman"/>
          <w:sz w:val="28"/>
          <w:lang w:val="uk-UA"/>
        </w:rPr>
      </w:pPr>
      <w:r w:rsidRPr="0094392D">
        <w:rPr>
          <w:rFonts w:ascii="Times New Roman" w:hAnsi="Times New Roman"/>
          <w:sz w:val="28"/>
          <w:lang w:val="uk-UA"/>
        </w:rPr>
        <w:t>Згідно зі статтею «Економічне співробітництво Ізраїлю та ОАЕ має глибоке коріння та широкі дивіденди», авторства Катерини Бауер (2022), Об’єднані Арабські Емірати прагнуть розвитку економічних та торгівельних зв’язків з Ізраїлем. Для Еміратів нормалізація економічних та торгівельних відносин із Ізраїлем пов’язана зі збільшенням загроз, але лідери Еміратів підкреслили, що вони розглядають розвиток відносин із Ізраїлем як перебудову своєї зовнішньої політики та зміну економічних цілей.</w:t>
      </w:r>
    </w:p>
    <w:p w:rsidR="00EC1B3C" w:rsidRPr="0094392D" w:rsidRDefault="00EC1B3C" w:rsidP="00FC007E">
      <w:pPr>
        <w:spacing w:after="0" w:line="360" w:lineRule="auto"/>
        <w:ind w:firstLine="709"/>
        <w:jc w:val="both"/>
        <w:rPr>
          <w:rFonts w:ascii="Times New Roman" w:hAnsi="Times New Roman"/>
          <w:sz w:val="28"/>
          <w:lang w:val="uk-UA"/>
        </w:rPr>
      </w:pPr>
      <w:r w:rsidRPr="0094392D">
        <w:rPr>
          <w:rFonts w:ascii="Times New Roman" w:hAnsi="Times New Roman"/>
          <w:sz w:val="28"/>
          <w:lang w:val="uk-UA"/>
        </w:rPr>
        <w:t>Згідно з даними, двостороння торгівля ОАЕ та Ізраїлю наприкінці 2021 року наблизилася до 1 мільярда доларів, і представники ОАЕ заявили, що протягом наступного десятиліття показники можуть перевищити 1 трильйон доларів. Заради досягнення таких показників,дві країни підписали десятки меморандумів про взаєморозуміння та почали переговори щодо угоди про вільну торгівлю у листопаді.</w:t>
      </w:r>
    </w:p>
    <w:p w:rsidR="00EC1B3C" w:rsidRPr="0094392D" w:rsidRDefault="00EC1B3C" w:rsidP="00FC007E">
      <w:pPr>
        <w:spacing w:after="0" w:line="360" w:lineRule="auto"/>
        <w:ind w:firstLine="709"/>
        <w:jc w:val="both"/>
        <w:rPr>
          <w:rFonts w:ascii="Times New Roman" w:hAnsi="Times New Roman"/>
          <w:sz w:val="28"/>
          <w:lang w:val="uk-UA"/>
        </w:rPr>
      </w:pPr>
      <w:r w:rsidRPr="0094392D">
        <w:rPr>
          <w:rFonts w:ascii="Times New Roman" w:hAnsi="Times New Roman"/>
          <w:sz w:val="28"/>
          <w:lang w:val="uk-UA"/>
        </w:rPr>
        <w:t>Наприкінці 2021 року, ОАЕ оголосили про плани інвестувати 10 мільярдів доларів в економіку Ізраїлю, а такожпоєднати приватні і державні фонди країни, які, ймовірно, включатимуть інвестиції в ізраїльські технологічні стартапи, а також великі проекти.</w:t>
      </w:r>
    </w:p>
    <w:p w:rsidR="00EC1B3C" w:rsidRPr="00567DCA" w:rsidRDefault="00EC1B3C" w:rsidP="0042758F">
      <w:pPr>
        <w:spacing w:after="0" w:line="360" w:lineRule="auto"/>
        <w:ind w:firstLine="709"/>
        <w:jc w:val="both"/>
        <w:rPr>
          <w:rFonts w:ascii="Times New Roman" w:hAnsi="Times New Roman"/>
          <w:sz w:val="28"/>
          <w:lang w:val="uk-UA"/>
        </w:rPr>
      </w:pPr>
      <w:r w:rsidRPr="0094392D">
        <w:rPr>
          <w:rFonts w:ascii="Times New Roman" w:hAnsi="Times New Roman"/>
          <w:sz w:val="28"/>
          <w:lang w:val="uk-UA"/>
        </w:rPr>
        <w:t xml:space="preserve">Окрім цього, Об’єднані Арабські Емірати у 2021 році оголосили реформи візового режиму та іноземної власності, щопризведуть до залучення та утримання висококваліфікованих працівників з Ізраїлю. Дані нововведення є вигідними для обох країн. ОАЕ зможуть розвинути економіку завдяки знанням іноземних спеціалістів, а Ізраїль, в свою чергу, зможе залучити інвестиції Еміратів до ізраїльських компаній, що розташовані на території </w:t>
      </w:r>
      <w:r>
        <w:rPr>
          <w:rFonts w:ascii="Times New Roman" w:hAnsi="Times New Roman"/>
          <w:sz w:val="28"/>
          <w:lang w:val="uk-UA"/>
        </w:rPr>
        <w:t>ОАЕ</w:t>
      </w:r>
      <w:r w:rsidRPr="0094392D">
        <w:rPr>
          <w:rFonts w:ascii="Times New Roman" w:hAnsi="Times New Roman"/>
          <w:sz w:val="28"/>
          <w:lang w:val="uk-UA"/>
        </w:rPr>
        <w:t>[14]</w:t>
      </w:r>
      <w:r w:rsidRPr="00567DCA">
        <w:rPr>
          <w:rFonts w:ascii="Times New Roman" w:hAnsi="Times New Roman"/>
          <w:sz w:val="28"/>
          <w:lang w:val="uk-UA"/>
        </w:rPr>
        <w:t>.</w:t>
      </w:r>
    </w:p>
    <w:p w:rsidR="00EC1B3C" w:rsidRPr="0094392D" w:rsidRDefault="00EC1B3C" w:rsidP="00037A1C">
      <w:pPr>
        <w:spacing w:after="0" w:line="360" w:lineRule="auto"/>
        <w:ind w:firstLine="709"/>
        <w:jc w:val="both"/>
        <w:rPr>
          <w:rFonts w:ascii="Times New Roman" w:hAnsi="Times New Roman"/>
          <w:sz w:val="28"/>
          <w:lang w:val="uk-UA"/>
        </w:rPr>
      </w:pPr>
      <w:r w:rsidRPr="0094392D">
        <w:rPr>
          <w:rFonts w:ascii="Times New Roman" w:hAnsi="Times New Roman"/>
          <w:sz w:val="28"/>
          <w:lang w:val="uk-UA"/>
        </w:rPr>
        <w:t xml:space="preserve">У статті «Відносини США з Ізраїлем», автора НедаПрайса (2023) йдеться про співробітництво Ізраїлю з  його найбільшим економічним партнером – Сполученими Штатами Америки. </w:t>
      </w:r>
    </w:p>
    <w:p w:rsidR="00EC1B3C" w:rsidRPr="0094392D" w:rsidRDefault="00EC1B3C" w:rsidP="00037A1C">
      <w:pPr>
        <w:spacing w:after="0" w:line="360" w:lineRule="auto"/>
        <w:ind w:firstLine="709"/>
        <w:jc w:val="both"/>
        <w:rPr>
          <w:rFonts w:ascii="Times New Roman" w:hAnsi="Times New Roman"/>
          <w:sz w:val="28"/>
          <w:lang w:val="uk-UA"/>
        </w:rPr>
      </w:pPr>
      <w:r w:rsidRPr="0094392D">
        <w:rPr>
          <w:rFonts w:ascii="Times New Roman" w:hAnsi="Times New Roman"/>
          <w:sz w:val="28"/>
          <w:lang w:val="uk-UA"/>
        </w:rPr>
        <w:t>Економічні та торговельні відносини між США та Ізраїлем є міцними, вони базуються на щорічній двосторонній торгівлі товарами та послугами на суму майже 50 мільярдів доларів. Кілька договорів і угод, у тому числі Угода про вільну торгівлю (ЗВТ) між США та Ізраїлем 1985 року, зміцнюють двосторонні економічні відносини. Після підписання ЗВТ у 1985 році Сполучені Штати стали найбільшим торговим партнером Ізраїлю.</w:t>
      </w:r>
    </w:p>
    <w:p w:rsidR="00EC1B3C" w:rsidRPr="00567DCA" w:rsidRDefault="00EC1B3C" w:rsidP="00037A1C">
      <w:pPr>
        <w:spacing w:after="0" w:line="360" w:lineRule="auto"/>
        <w:ind w:firstLine="709"/>
        <w:jc w:val="both"/>
        <w:rPr>
          <w:rFonts w:ascii="Times New Roman" w:hAnsi="Times New Roman"/>
          <w:sz w:val="28"/>
        </w:rPr>
      </w:pPr>
      <w:r w:rsidRPr="0094392D">
        <w:rPr>
          <w:rFonts w:ascii="Times New Roman" w:hAnsi="Times New Roman"/>
          <w:sz w:val="28"/>
          <w:lang w:val="uk-UA"/>
        </w:rPr>
        <w:t>Щоб сприяти економічному співробітництву, щорічно збирається Спільна група економічного розвитку (JEDG) для обговорення економічного партнерства та сфер потенційного зростання. Сполучені Штати та Ізраїль також координують науковий і культурний обмін через Двонаціональний науковий фонд, Двонаціональний фонд сільськогосподарських досліджень і розвитку, Двонаціональний фонд промислових досліджень і розвитку та Американсько-ізраїльський фонд освіти. У липні 2022 року Сполучені Штати та Ізраїль провели Стратегічний діалог високого рівня з питань технологій для партнерства щодо критичних і нових технологій дл</w:t>
      </w:r>
      <w:r>
        <w:rPr>
          <w:rFonts w:ascii="Times New Roman" w:hAnsi="Times New Roman"/>
          <w:sz w:val="28"/>
          <w:lang w:val="uk-UA"/>
        </w:rPr>
        <w:t>я вирішення глобальних викликів</w:t>
      </w:r>
      <w:r w:rsidRPr="0094392D">
        <w:rPr>
          <w:rFonts w:ascii="Times New Roman" w:hAnsi="Times New Roman"/>
          <w:sz w:val="28"/>
          <w:lang w:val="uk-UA"/>
        </w:rPr>
        <w:t>[17]</w:t>
      </w:r>
      <w:r w:rsidRPr="00567DCA">
        <w:rPr>
          <w:rFonts w:ascii="Times New Roman" w:hAnsi="Times New Roman"/>
          <w:sz w:val="28"/>
        </w:rPr>
        <w:t>.</w:t>
      </w:r>
    </w:p>
    <w:p w:rsidR="00EC1B3C" w:rsidRPr="00567DCA" w:rsidRDefault="00EC1B3C" w:rsidP="009F0789">
      <w:pPr>
        <w:spacing w:after="0" w:line="360" w:lineRule="auto"/>
        <w:ind w:firstLine="709"/>
        <w:jc w:val="both"/>
        <w:rPr>
          <w:rFonts w:ascii="Times New Roman" w:hAnsi="Times New Roman"/>
          <w:sz w:val="28"/>
        </w:rPr>
      </w:pPr>
      <w:r w:rsidRPr="0094392D">
        <w:rPr>
          <w:rFonts w:ascii="Times New Roman" w:hAnsi="Times New Roman"/>
          <w:sz w:val="28"/>
          <w:lang w:val="uk-UA"/>
        </w:rPr>
        <w:t>Згідно зі статею «Відносини США з Об’єднаними Арабськими Еміратами», авторства Барбари Ліф (2020), Об’єднані Арабські Емірати єнайбільшим експортним ринком Сполучених Штатів у регіоні Близького Сходу та Північної Африки, і в країні працюють понад 1000 американських фірм. Багато інших американських компаній, залучених сильними галузями логістики та транспорту, використовують ОАЕ як регіональну штаб-квартиру, з якої ведуть бізнес на Близькому Сході, у Північній</w:t>
      </w:r>
      <w:r>
        <w:rPr>
          <w:rFonts w:ascii="Times New Roman" w:hAnsi="Times New Roman"/>
          <w:sz w:val="28"/>
          <w:lang w:val="uk-UA"/>
        </w:rPr>
        <w:t xml:space="preserve"> Африці та деяких частинах Азії</w:t>
      </w:r>
      <w:r w:rsidRPr="0094392D">
        <w:rPr>
          <w:rFonts w:ascii="Times New Roman" w:hAnsi="Times New Roman"/>
          <w:sz w:val="28"/>
          <w:lang w:val="uk-UA"/>
        </w:rPr>
        <w:t>[16]</w:t>
      </w:r>
      <w:r w:rsidRPr="00567DCA">
        <w:rPr>
          <w:rFonts w:ascii="Times New Roman" w:hAnsi="Times New Roman"/>
          <w:sz w:val="28"/>
        </w:rPr>
        <w:t>.</w:t>
      </w:r>
    </w:p>
    <w:p w:rsidR="00EC1B3C" w:rsidRPr="0094392D" w:rsidRDefault="00EC1B3C" w:rsidP="000610E9">
      <w:pPr>
        <w:spacing w:after="0" w:line="360" w:lineRule="auto"/>
        <w:ind w:firstLine="709"/>
        <w:jc w:val="both"/>
        <w:rPr>
          <w:rFonts w:ascii="Times New Roman" w:hAnsi="Times New Roman"/>
          <w:sz w:val="28"/>
          <w:lang w:val="uk-UA"/>
        </w:rPr>
      </w:pPr>
      <w:r w:rsidRPr="0094392D">
        <w:rPr>
          <w:rFonts w:ascii="Times New Roman" w:hAnsi="Times New Roman"/>
          <w:sz w:val="28"/>
          <w:lang w:val="uk-UA"/>
        </w:rPr>
        <w:t>У статті «Україна активізує торговельно-економічне партнерство з ОАЕ», авторства Галини Єрмоленко (2023), говориться про те, що у 2023 році Об’єднані Арабські Емірати будуть активно розвивати економічні відносини з Україною. Про це йшлося під час зустрічі першого віцепрем’єра – міністра економіки Юлії Свириденко з державним міністром з міжнародної торгівлі ОАЕ Др. Тані бін Ахмедом АльЗеюді. Сторони обговорили розширення економічного та інвестиційного співробітництва, посилення товарообігу, запровадження санкцій проти РФ.</w:t>
      </w:r>
    </w:p>
    <w:p w:rsidR="00EC1B3C" w:rsidRPr="00567DCA" w:rsidRDefault="00EC1B3C" w:rsidP="00BD51DE">
      <w:pPr>
        <w:spacing w:after="0" w:line="360" w:lineRule="auto"/>
        <w:ind w:firstLine="709"/>
        <w:jc w:val="both"/>
        <w:rPr>
          <w:rFonts w:ascii="Times New Roman" w:hAnsi="Times New Roman"/>
          <w:sz w:val="28"/>
          <w:lang w:val="uk-UA"/>
        </w:rPr>
      </w:pPr>
      <w:r w:rsidRPr="0094392D">
        <w:rPr>
          <w:rFonts w:ascii="Times New Roman" w:hAnsi="Times New Roman"/>
          <w:sz w:val="28"/>
          <w:lang w:val="uk-UA"/>
        </w:rPr>
        <w:t>За словами Юлії Свириденко, спільна мета сторін – розширити взаємовигідну співпрацю у багатьох галузях економіки, зокрема, шляхом укладання Угоди про всеосяжне економічне партнерство. За даними Мінекономіки, через війну загальний товарообіг між країнами у 2022-му знизився до $293,9 млн із $1,14 млрд у попередньому році. Обсяг українського експорту до ОАЕ минулого року склав $205,9 млн. Частка агропромислової продукції у торгівлі між Україною та ОАЕ становить понад 50%, металургійної – близько 30%. Україна націлена збільшити постачання на ринок Об’єднаних Арабських Еміратів продукції тваринництва, а також металургійної продук</w:t>
      </w:r>
      <w:r>
        <w:rPr>
          <w:rFonts w:ascii="Times New Roman" w:hAnsi="Times New Roman"/>
          <w:sz w:val="28"/>
          <w:lang w:val="uk-UA"/>
        </w:rPr>
        <w:t>ції та виробів з чорних металів</w:t>
      </w:r>
      <w:r w:rsidRPr="0094392D">
        <w:rPr>
          <w:rFonts w:ascii="Times New Roman" w:hAnsi="Times New Roman"/>
          <w:sz w:val="28"/>
          <w:lang w:val="uk-UA"/>
        </w:rPr>
        <w:t xml:space="preserve"> [8]</w:t>
      </w:r>
      <w:r w:rsidRPr="00567DCA">
        <w:rPr>
          <w:rFonts w:ascii="Times New Roman" w:hAnsi="Times New Roman"/>
          <w:sz w:val="28"/>
          <w:lang w:val="uk-UA"/>
        </w:rPr>
        <w:t>.</w:t>
      </w:r>
    </w:p>
    <w:p w:rsidR="00EC1B3C" w:rsidRPr="0094392D" w:rsidRDefault="00EC1B3C" w:rsidP="00BD51DE">
      <w:pPr>
        <w:spacing w:after="0" w:line="360" w:lineRule="auto"/>
        <w:ind w:firstLine="709"/>
        <w:jc w:val="both"/>
        <w:rPr>
          <w:rFonts w:ascii="Times New Roman" w:hAnsi="Times New Roman"/>
          <w:sz w:val="28"/>
          <w:lang w:val="uk-UA"/>
        </w:rPr>
      </w:pPr>
      <w:r w:rsidRPr="0094392D">
        <w:rPr>
          <w:rFonts w:ascii="Times New Roman" w:hAnsi="Times New Roman"/>
          <w:sz w:val="28"/>
          <w:lang w:val="uk-UA"/>
        </w:rPr>
        <w:t xml:space="preserve">Розглянувши статтю «Економічні відносини між Ізраїлем та Європою», авторів ЕлаяРетіга та ОдедаЕрена (2018), можна дійти наступних висновків. За останнє десятиліття економічна торгівля між Ізраїлем і країнами ЄС процвітала. Незважаючи на політичні розбіжності, Європа залишається одним з найбільших і найважливіших ринків Ізраїлю як для експорту, так і для імпорту. Це домінування особливо відображається на ізраїльському продовольчому ринку, в ізраїльському імпорті транспортних засобів, на фармацевтичному ринку, а також у технологічному та науковому співробітництві. </w:t>
      </w:r>
    </w:p>
    <w:p w:rsidR="00EC1B3C" w:rsidRPr="0094392D" w:rsidRDefault="00EC1B3C" w:rsidP="00BD51DE">
      <w:pPr>
        <w:spacing w:after="0" w:line="360" w:lineRule="auto"/>
        <w:ind w:firstLine="709"/>
        <w:jc w:val="both"/>
        <w:rPr>
          <w:rFonts w:ascii="Times New Roman" w:hAnsi="Times New Roman"/>
          <w:sz w:val="28"/>
          <w:lang w:val="uk-UA"/>
        </w:rPr>
      </w:pPr>
      <w:r w:rsidRPr="0094392D">
        <w:rPr>
          <w:rFonts w:ascii="Times New Roman" w:hAnsi="Times New Roman"/>
          <w:sz w:val="28"/>
          <w:lang w:val="uk-UA"/>
        </w:rPr>
        <w:t xml:space="preserve">Імміграційна криза та терористичні загрози в Європі сприяли значному збільшенню експорту оборонної продукції з Ізраїлю до Європи, і в 2016 році Європа стала другим за величиною напрямком експорту ізраїльської збройової промисловості після Азії. Розрив між Європою та США може зіграти на руку Ізраїлю в цьому контексті, особливо в сфері військового експорту до Західної Європи. З іншого боку, зростаюча політична напруга між ЄС та урядом Ізраїлю, погрози бойкоту та зміцнення курсу шекеля щодо євро загрожують іншим аспектам торгівлі, зокрема ізраїльському експорту. </w:t>
      </w:r>
    </w:p>
    <w:p w:rsidR="00EC1B3C" w:rsidRPr="00567DCA" w:rsidRDefault="00EC1B3C" w:rsidP="00BD51DE">
      <w:pPr>
        <w:spacing w:after="0" w:line="360" w:lineRule="auto"/>
        <w:ind w:firstLine="709"/>
        <w:jc w:val="both"/>
        <w:rPr>
          <w:rFonts w:ascii="Times New Roman" w:hAnsi="Times New Roman"/>
          <w:sz w:val="28"/>
          <w:lang w:val="uk-UA"/>
        </w:rPr>
      </w:pPr>
      <w:r w:rsidRPr="0094392D">
        <w:rPr>
          <w:rFonts w:ascii="Times New Roman" w:hAnsi="Times New Roman"/>
          <w:sz w:val="28"/>
          <w:lang w:val="uk-UA"/>
        </w:rPr>
        <w:t>За будь-якого сценарію не очікується, що перехід ізраїльського експорту на ринки Китаю та Індії найближчим часом замінит</w:t>
      </w:r>
      <w:r>
        <w:rPr>
          <w:rFonts w:ascii="Times New Roman" w:hAnsi="Times New Roman"/>
          <w:sz w:val="28"/>
          <w:lang w:val="uk-UA"/>
        </w:rPr>
        <w:t>ь залежність Ізраїлю від Європи</w:t>
      </w:r>
      <w:r w:rsidRPr="0094392D">
        <w:rPr>
          <w:rFonts w:ascii="Times New Roman" w:hAnsi="Times New Roman"/>
          <w:sz w:val="28"/>
          <w:lang w:val="uk-UA"/>
        </w:rPr>
        <w:t>[9]</w:t>
      </w:r>
      <w:r w:rsidRPr="00567DCA">
        <w:rPr>
          <w:rFonts w:ascii="Times New Roman" w:hAnsi="Times New Roman"/>
          <w:sz w:val="28"/>
          <w:lang w:val="uk-UA"/>
        </w:rPr>
        <w:t>.</w:t>
      </w:r>
    </w:p>
    <w:p w:rsidR="00EC1B3C" w:rsidRPr="0094392D" w:rsidRDefault="00EC1B3C" w:rsidP="00AC3CAE">
      <w:pPr>
        <w:spacing w:after="0" w:line="360" w:lineRule="auto"/>
        <w:ind w:firstLine="709"/>
        <w:jc w:val="both"/>
        <w:rPr>
          <w:rFonts w:ascii="Times New Roman" w:hAnsi="Times New Roman"/>
          <w:sz w:val="28"/>
          <w:lang w:val="uk-UA"/>
        </w:rPr>
      </w:pPr>
      <w:r w:rsidRPr="0094392D">
        <w:rPr>
          <w:rFonts w:ascii="Times New Roman" w:hAnsi="Times New Roman"/>
          <w:sz w:val="28"/>
          <w:lang w:val="uk-UA"/>
        </w:rPr>
        <w:t>Розглянувши статтю «Головні торгівельні партнери Ізраїлю», автора ДеніелаВоркмана (2021), в якій йшлося про головні країни, що спричиняють торгівельний дефіцит Ізраїлю, можна дійти наступних висновків.</w:t>
      </w:r>
    </w:p>
    <w:p w:rsidR="00EC1B3C" w:rsidRPr="0094392D" w:rsidRDefault="00EC1B3C" w:rsidP="00AC3CAE">
      <w:pPr>
        <w:spacing w:after="0" w:line="360" w:lineRule="auto"/>
        <w:ind w:firstLine="709"/>
        <w:jc w:val="both"/>
        <w:rPr>
          <w:rFonts w:ascii="Times New Roman" w:hAnsi="Times New Roman"/>
          <w:sz w:val="28"/>
          <w:lang w:val="uk-UA"/>
        </w:rPr>
      </w:pPr>
      <w:r w:rsidRPr="0094392D">
        <w:rPr>
          <w:rFonts w:ascii="Times New Roman" w:hAnsi="Times New Roman"/>
          <w:sz w:val="28"/>
          <w:lang w:val="uk-UA"/>
        </w:rPr>
        <w:t>Загалом у 2021 році Ізраїль отримав -30,5 мільярдів доларів торгівельного дефіциту, що на 59,5% більше, ніж у 2020 році: -19,4 мільярдів доларів.</w:t>
      </w:r>
    </w:p>
    <w:p w:rsidR="00EC1B3C" w:rsidRPr="0094392D" w:rsidRDefault="00EC1B3C" w:rsidP="00B57B40">
      <w:pPr>
        <w:spacing w:after="0" w:line="360" w:lineRule="auto"/>
        <w:ind w:firstLine="709"/>
        <w:jc w:val="both"/>
        <w:rPr>
          <w:rFonts w:ascii="Times New Roman" w:hAnsi="Times New Roman"/>
          <w:sz w:val="28"/>
          <w:lang w:val="uk-UA"/>
        </w:rPr>
      </w:pPr>
      <w:r w:rsidRPr="0094392D">
        <w:rPr>
          <w:rFonts w:ascii="Times New Roman" w:hAnsi="Times New Roman"/>
          <w:sz w:val="28"/>
          <w:lang w:val="uk-UA"/>
        </w:rPr>
        <w:t>Ізраїль зазнав найбільшого торгівельного дефіциту з такими країнами, як: Китай: -12,3 мільярда доларів США; Німеччина: -3,9 мільярда доларів;  Туреччина: -3,8 мільярда доларів; Японія: -1,3 мільярда доларів; В'єтнам: -1,1 мільярда доларів.</w:t>
      </w:r>
    </w:p>
    <w:p w:rsidR="00EC1B3C" w:rsidRPr="0094392D" w:rsidRDefault="00EC1B3C" w:rsidP="00B57B40">
      <w:pPr>
        <w:spacing w:after="0" w:line="360" w:lineRule="auto"/>
        <w:ind w:firstLine="709"/>
        <w:jc w:val="both"/>
        <w:rPr>
          <w:rFonts w:ascii="Times New Roman" w:hAnsi="Times New Roman"/>
          <w:sz w:val="28"/>
          <w:lang w:val="uk-UA"/>
        </w:rPr>
      </w:pPr>
      <w:r w:rsidRPr="0094392D">
        <w:rPr>
          <w:rFonts w:ascii="Times New Roman" w:hAnsi="Times New Roman"/>
          <w:sz w:val="28"/>
          <w:lang w:val="uk-UA"/>
        </w:rPr>
        <w:t>Серед торговельних партнерів Ізраїлю, які спричиняють найбільше негативне сальдо торгівлі, ізраїльський дефіцит із В’єтнамом (зростання на 369,7%), Японією (зростання на 346%) і Китаєм (зростання на 257,9%) з 2020 по 2021 рік зростав найшвидшими процентними темпами.</w:t>
      </w:r>
    </w:p>
    <w:p w:rsidR="00EC1B3C" w:rsidRPr="00567DCA" w:rsidRDefault="00EC1B3C" w:rsidP="00AC3CAE">
      <w:pPr>
        <w:spacing w:after="0" w:line="360" w:lineRule="auto"/>
        <w:ind w:firstLine="709"/>
        <w:jc w:val="both"/>
        <w:rPr>
          <w:rFonts w:ascii="Times New Roman" w:hAnsi="Times New Roman"/>
          <w:sz w:val="28"/>
          <w:lang w:val="uk-UA"/>
        </w:rPr>
      </w:pPr>
      <w:r w:rsidRPr="0094392D">
        <w:rPr>
          <w:rFonts w:ascii="Times New Roman" w:hAnsi="Times New Roman"/>
          <w:sz w:val="28"/>
          <w:lang w:val="uk-UA"/>
        </w:rPr>
        <w:t>Ці недоліки грошових потоків чітко вказують на недоліки конкурентоспроможності Ізраїлю з вищезазначеними країнами, але також представляють ключові можливості для Ізраїлю розробити стратегії для конкретної країни, щоб зміцнити свою загальну позицію в мі</w:t>
      </w:r>
      <w:r>
        <w:rPr>
          <w:rFonts w:ascii="Times New Roman" w:hAnsi="Times New Roman"/>
          <w:sz w:val="28"/>
          <w:lang w:val="uk-UA"/>
        </w:rPr>
        <w:t>жнародній торгівлі</w:t>
      </w:r>
      <w:r w:rsidRPr="0094392D">
        <w:rPr>
          <w:rFonts w:ascii="Times New Roman" w:hAnsi="Times New Roman"/>
          <w:sz w:val="28"/>
          <w:lang w:val="uk-UA"/>
        </w:rPr>
        <w:t>[5]</w:t>
      </w:r>
      <w:r w:rsidRPr="00567DCA">
        <w:rPr>
          <w:rFonts w:ascii="Times New Roman" w:hAnsi="Times New Roman"/>
          <w:sz w:val="28"/>
          <w:lang w:val="uk-UA"/>
        </w:rPr>
        <w:t>.</w:t>
      </w:r>
    </w:p>
    <w:p w:rsidR="00EC1B3C" w:rsidRPr="0094392D" w:rsidRDefault="00EC1B3C" w:rsidP="00EE076F">
      <w:pPr>
        <w:spacing w:after="0" w:line="360" w:lineRule="auto"/>
        <w:ind w:firstLine="709"/>
        <w:jc w:val="both"/>
        <w:rPr>
          <w:rFonts w:ascii="Times New Roman" w:hAnsi="Times New Roman"/>
          <w:sz w:val="28"/>
          <w:lang w:val="uk-UA"/>
        </w:rPr>
      </w:pPr>
      <w:r w:rsidRPr="0094392D">
        <w:rPr>
          <w:rFonts w:ascii="Times New Roman" w:hAnsi="Times New Roman"/>
          <w:sz w:val="28"/>
          <w:lang w:val="uk-UA"/>
        </w:rPr>
        <w:t xml:space="preserve">У статті «Топ-10 товарів експорту Об’єднаних Арабських Еміратів», авторства ДеніелаВоркмана (2021), мова йде про основні продукти експорту ОАЕ. </w:t>
      </w:r>
    </w:p>
    <w:p w:rsidR="00EC1B3C" w:rsidRPr="00567DCA" w:rsidRDefault="00EC1B3C" w:rsidP="00EE076F">
      <w:pPr>
        <w:spacing w:after="0" w:line="360" w:lineRule="auto"/>
        <w:ind w:firstLine="709"/>
        <w:jc w:val="both"/>
        <w:rPr>
          <w:rFonts w:ascii="Times New Roman" w:hAnsi="Times New Roman"/>
          <w:sz w:val="28"/>
          <w:lang w:val="uk-UA"/>
        </w:rPr>
      </w:pPr>
      <w:r w:rsidRPr="0094392D">
        <w:rPr>
          <w:rFonts w:ascii="Times New Roman" w:hAnsi="Times New Roman"/>
          <w:sz w:val="28"/>
          <w:lang w:val="uk-UA"/>
        </w:rPr>
        <w:t>На 10 найпопулярніших експортних категорій товарів ОАЕ припадає 91,4% загальної вартості світових поставок.Органічні хімікати ростуть найшвидше серед 10 найбільших категорій експорту, збільшившись на 199,3% з 2020 року.На другому місці за збільшенням експортних продажів – сіль, сірка, камінь і цемент, які подорожчали на 103,9%.Поставки алюмінію з ОАЕ показали третє місце за швидкістю зростання вартості на 78,4%.Серед 10 найбільших категорій експорту ОАЕ найбільше знизилися електричні машини та обладна</w:t>
      </w:r>
      <w:r>
        <w:rPr>
          <w:rFonts w:ascii="Times New Roman" w:hAnsi="Times New Roman"/>
          <w:sz w:val="28"/>
          <w:lang w:val="uk-UA"/>
        </w:rPr>
        <w:t>ння, які впали на -89,5% за рік</w:t>
      </w:r>
      <w:r w:rsidRPr="0094392D">
        <w:rPr>
          <w:rFonts w:ascii="Times New Roman" w:hAnsi="Times New Roman"/>
          <w:sz w:val="28"/>
          <w:lang w:val="uk-UA"/>
        </w:rPr>
        <w:t>[6]</w:t>
      </w:r>
      <w:r w:rsidRPr="00567DCA">
        <w:rPr>
          <w:rFonts w:ascii="Times New Roman" w:hAnsi="Times New Roman"/>
          <w:sz w:val="28"/>
          <w:lang w:val="uk-UA"/>
        </w:rPr>
        <w:t>.</w:t>
      </w:r>
    </w:p>
    <w:p w:rsidR="00EC1B3C" w:rsidRPr="0094392D" w:rsidRDefault="00EC1B3C" w:rsidP="00EE076F">
      <w:pPr>
        <w:spacing w:after="0" w:line="360" w:lineRule="auto"/>
        <w:ind w:firstLine="709"/>
        <w:jc w:val="both"/>
        <w:rPr>
          <w:rFonts w:ascii="Times New Roman" w:hAnsi="Times New Roman"/>
          <w:sz w:val="28"/>
          <w:lang w:val="uk-UA"/>
        </w:rPr>
      </w:pPr>
      <w:r w:rsidRPr="0094392D">
        <w:rPr>
          <w:rFonts w:ascii="Times New Roman" w:hAnsi="Times New Roman"/>
          <w:sz w:val="28"/>
          <w:lang w:val="uk-UA"/>
        </w:rPr>
        <w:t>Отже, зовнішня торгівля Об’єднаних Арабських Еміратів продемонструвала стрімкий зріст у 2022 році, в порівняні з 2021 роком. Така динаміка обумовлена розвитком секторів туризму та нерухомості, в наслідок чого уряд Об’єднаних Арабських Еміратів продовжить забезпечувати найкраще бізнес-середовище для іноземних інвесторів та резидентів країни.</w:t>
      </w:r>
    </w:p>
    <w:p w:rsidR="00EC1B3C" w:rsidRPr="0094392D" w:rsidRDefault="00EC1B3C" w:rsidP="00EE076F">
      <w:pPr>
        <w:spacing w:after="0" w:line="360" w:lineRule="auto"/>
        <w:ind w:firstLine="709"/>
        <w:jc w:val="both"/>
        <w:rPr>
          <w:rFonts w:ascii="Times New Roman" w:hAnsi="Times New Roman"/>
          <w:sz w:val="28"/>
          <w:lang w:val="uk-UA"/>
        </w:rPr>
      </w:pPr>
      <w:r w:rsidRPr="0094392D">
        <w:rPr>
          <w:rFonts w:ascii="Times New Roman" w:hAnsi="Times New Roman"/>
          <w:sz w:val="28"/>
          <w:lang w:val="uk-UA"/>
        </w:rPr>
        <w:t xml:space="preserve">Об’єднані Арабські Емірати стали лідером у світі за річним експортом нафти у 2019 році, випередивши Саудівську Аравію. Наступного року ситуація змінилася, і ОАЕ опустилися на шосте місце за рівнем експорту нафтової продукції. Згідно з дослідженнями 2022-го року, Об’єднані Арабські Емірати мають сьомі за величиною запаси нафти у світі, що означає, що на даний момент економіка країни найменше залежить від видобутку нафти, ніж колись. </w:t>
      </w:r>
    </w:p>
    <w:p w:rsidR="00EC1B3C" w:rsidRPr="0094392D" w:rsidRDefault="00EC1B3C" w:rsidP="00EE076F">
      <w:pPr>
        <w:spacing w:after="0" w:line="360" w:lineRule="auto"/>
        <w:ind w:firstLine="709"/>
        <w:jc w:val="both"/>
        <w:rPr>
          <w:rFonts w:ascii="Times New Roman" w:hAnsi="Times New Roman"/>
          <w:sz w:val="28"/>
          <w:lang w:val="uk-UA"/>
        </w:rPr>
      </w:pPr>
      <w:r w:rsidRPr="0094392D">
        <w:rPr>
          <w:rFonts w:ascii="Times New Roman" w:hAnsi="Times New Roman"/>
          <w:sz w:val="28"/>
          <w:lang w:val="uk-UA"/>
        </w:rPr>
        <w:t xml:space="preserve">ОАЕ прагнуть нормалізувати та розвинути економічні та торгівельні відносини з Ізраїлем, не зважаючи на ризики для Еміратів,для залучення та утримання висококваліфікованих працівників з Ізраїлю. Заради досягнення даної мети, у 2021 році ОАЕ провели ряд реформ, в тому числі реформу візового режиму та іноземної власності. Дані дії позитивно вплинуть на економіку Ізраїлю завдяки залученню інвестицій ОАЕ до ізраїльських компаній, що розташовані на території Об’єднаних Арабських Еміратів.  </w:t>
      </w:r>
    </w:p>
    <w:p w:rsidR="00EC1B3C" w:rsidRPr="0094392D" w:rsidRDefault="00EC1B3C" w:rsidP="00F53E14">
      <w:pPr>
        <w:spacing w:after="0" w:line="360" w:lineRule="auto"/>
        <w:ind w:firstLine="709"/>
        <w:jc w:val="both"/>
        <w:rPr>
          <w:rFonts w:ascii="Times New Roman" w:hAnsi="Times New Roman"/>
          <w:sz w:val="28"/>
          <w:lang w:val="uk-UA"/>
        </w:rPr>
      </w:pPr>
      <w:r w:rsidRPr="0094392D">
        <w:rPr>
          <w:rFonts w:ascii="Times New Roman" w:hAnsi="Times New Roman"/>
          <w:sz w:val="28"/>
          <w:lang w:val="uk-UA"/>
        </w:rPr>
        <w:t xml:space="preserve">Ізраїль має міцні економічні та торгівельні відносини з США, що базуються на щорічній двосторонній торгівлі, а також на угоді про вільну торгівлю, підписаній у 1985 році. У майбутньому Сполучені Штати та Ізраїль планують розвивати партнерство щодо нових технологій для вирішення глобальних проблем. ОАЕ також мають стабільні  економічні відносини з США, являючись найбільшим експортним ринком Сполучених Штатів.Багато американських компаній використовують ОАЕ як регіональну штаб-квартиру, з якої ведуть бізнес на Близькому Сході, у Північній Африці та деяких частинах Азії. </w:t>
      </w:r>
    </w:p>
    <w:p w:rsidR="00EC1B3C" w:rsidRPr="0094392D" w:rsidRDefault="00EC1B3C" w:rsidP="00F53E14">
      <w:pPr>
        <w:spacing w:after="0" w:line="360" w:lineRule="auto"/>
        <w:ind w:firstLine="709"/>
        <w:jc w:val="both"/>
        <w:rPr>
          <w:rFonts w:ascii="Times New Roman" w:hAnsi="Times New Roman"/>
          <w:sz w:val="28"/>
          <w:lang w:val="uk-UA"/>
        </w:rPr>
      </w:pPr>
      <w:r w:rsidRPr="0094392D">
        <w:rPr>
          <w:rFonts w:ascii="Times New Roman" w:hAnsi="Times New Roman"/>
          <w:sz w:val="28"/>
          <w:lang w:val="uk-UA"/>
        </w:rPr>
        <w:t xml:space="preserve">Згідно з дослідженнями, у 2021 році ОАЕ були найбільшим експортером органічних хімікатів, солі, сірки, каменю, цементу, алюмінію, електричних машин та обладнання у всьому світі. </w:t>
      </w:r>
    </w:p>
    <w:p w:rsidR="00EC1B3C" w:rsidRPr="0094392D" w:rsidRDefault="00EC1B3C" w:rsidP="00EE076F">
      <w:pPr>
        <w:spacing w:after="0" w:line="360" w:lineRule="auto"/>
        <w:ind w:firstLine="709"/>
        <w:jc w:val="both"/>
        <w:rPr>
          <w:rFonts w:ascii="Times New Roman" w:hAnsi="Times New Roman"/>
          <w:sz w:val="28"/>
          <w:lang w:val="uk-UA"/>
        </w:rPr>
      </w:pPr>
      <w:r w:rsidRPr="0094392D">
        <w:rPr>
          <w:rFonts w:ascii="Times New Roman" w:hAnsi="Times New Roman"/>
          <w:sz w:val="28"/>
          <w:lang w:val="uk-UA"/>
        </w:rPr>
        <w:t xml:space="preserve">ОАЕ планують активно розвивати економічні відносини з Україною у 2023 році шляхом розширення економічного та інвестиційного співробітництва, посилення товарообігу, запровадження санкцій проти рф. Спільною метою сторін є розширення взаємовигідної співпраці у багатьох галузях економіки, зокрема, шляхом укладання Угоди про всеосяжне економічне партнерство. </w:t>
      </w:r>
    </w:p>
    <w:p w:rsidR="00EC1B3C" w:rsidRPr="0094392D" w:rsidRDefault="00EC1B3C" w:rsidP="00EE076F">
      <w:pPr>
        <w:spacing w:after="0" w:line="360" w:lineRule="auto"/>
        <w:ind w:firstLine="709"/>
        <w:jc w:val="both"/>
        <w:rPr>
          <w:rFonts w:ascii="Times New Roman" w:hAnsi="Times New Roman"/>
          <w:sz w:val="28"/>
          <w:lang w:val="uk-UA"/>
        </w:rPr>
      </w:pPr>
      <w:r w:rsidRPr="0094392D">
        <w:rPr>
          <w:rFonts w:ascii="Times New Roman" w:hAnsi="Times New Roman"/>
          <w:sz w:val="28"/>
          <w:lang w:val="uk-UA"/>
        </w:rPr>
        <w:t xml:space="preserve">Ізраїль бере активну участь в економічному співробітництві з Європою, так як Європа є одним з найбільших та найважливіших ринків Ізраїлю для експорту та імпорту, не зважаючи на політичні розбіжності сторін. </w:t>
      </w:r>
    </w:p>
    <w:p w:rsidR="00EC1B3C" w:rsidRPr="0094392D" w:rsidRDefault="00EC1B3C" w:rsidP="004B2225">
      <w:pPr>
        <w:spacing w:after="0" w:line="360" w:lineRule="auto"/>
        <w:jc w:val="both"/>
        <w:rPr>
          <w:rFonts w:ascii="Times New Roman" w:hAnsi="Times New Roman"/>
          <w:sz w:val="28"/>
          <w:lang w:val="uk-UA"/>
        </w:rPr>
      </w:pPr>
      <w:r w:rsidRPr="0094392D">
        <w:rPr>
          <w:rFonts w:ascii="Times New Roman" w:hAnsi="Times New Roman"/>
          <w:sz w:val="28"/>
          <w:lang w:val="uk-UA"/>
        </w:rPr>
        <w:tab/>
        <w:t xml:space="preserve">Серед торгівельних партнерів Ізраїлю, що спричиняють найбільший торгівельний дефіцит країні, ізраїльський дефіцит з В’єтнамом, Японією та Китаєм зростав найшвидшими темпами з 2020 по 2021 рік. Дані показники вказують на недоліки конкурентоспроможності Ізраїлю, але також представляють можливості для Ізраїлю розробити стратегії для зміцнення своєї позиції в міжнародній торгівлі. </w:t>
      </w:r>
    </w:p>
    <w:p w:rsidR="00EC1B3C" w:rsidRPr="0094392D" w:rsidRDefault="00EC1B3C" w:rsidP="004B2225">
      <w:pPr>
        <w:spacing w:after="0" w:line="360" w:lineRule="auto"/>
        <w:jc w:val="both"/>
        <w:rPr>
          <w:rFonts w:ascii="Times New Roman" w:hAnsi="Times New Roman"/>
          <w:sz w:val="28"/>
          <w:lang w:val="uk-UA"/>
        </w:rPr>
      </w:pPr>
      <w:r w:rsidRPr="0094392D">
        <w:rPr>
          <w:rFonts w:ascii="Times New Roman" w:hAnsi="Times New Roman"/>
          <w:sz w:val="28"/>
          <w:lang w:val="uk-UA"/>
        </w:rPr>
        <w:tab/>
      </w:r>
    </w:p>
    <w:p w:rsidR="00EC1B3C" w:rsidRPr="0094392D" w:rsidRDefault="00EC1B3C" w:rsidP="004B2225">
      <w:pPr>
        <w:spacing w:after="0" w:line="360" w:lineRule="auto"/>
        <w:jc w:val="both"/>
        <w:rPr>
          <w:rFonts w:ascii="Times New Roman" w:hAnsi="Times New Roman"/>
          <w:sz w:val="28"/>
          <w:lang w:val="uk-UA"/>
        </w:rPr>
      </w:pPr>
    </w:p>
    <w:p w:rsidR="00EC1B3C" w:rsidRPr="0094392D" w:rsidRDefault="00EC1B3C" w:rsidP="004B2225">
      <w:pPr>
        <w:spacing w:after="0" w:line="360" w:lineRule="auto"/>
        <w:jc w:val="both"/>
        <w:rPr>
          <w:rFonts w:ascii="Times New Roman" w:hAnsi="Times New Roman"/>
          <w:sz w:val="28"/>
          <w:lang w:val="uk-UA"/>
        </w:rPr>
      </w:pPr>
    </w:p>
    <w:p w:rsidR="00EC1B3C" w:rsidRPr="0094392D" w:rsidRDefault="00EC1B3C" w:rsidP="004B2225">
      <w:pPr>
        <w:spacing w:after="0" w:line="360" w:lineRule="auto"/>
        <w:jc w:val="both"/>
        <w:rPr>
          <w:rFonts w:ascii="Times New Roman" w:hAnsi="Times New Roman"/>
          <w:sz w:val="28"/>
          <w:lang w:val="uk-UA"/>
        </w:rPr>
      </w:pPr>
    </w:p>
    <w:p w:rsidR="00EC1B3C" w:rsidRPr="0094392D" w:rsidRDefault="00EC1B3C" w:rsidP="004B2225">
      <w:pPr>
        <w:spacing w:after="0" w:line="360" w:lineRule="auto"/>
        <w:jc w:val="both"/>
        <w:rPr>
          <w:rFonts w:ascii="Times New Roman" w:hAnsi="Times New Roman"/>
          <w:sz w:val="28"/>
          <w:lang w:val="uk-UA"/>
        </w:rPr>
      </w:pPr>
    </w:p>
    <w:p w:rsidR="00EC1B3C" w:rsidRPr="0094392D" w:rsidRDefault="00EC1B3C" w:rsidP="004B2225">
      <w:pPr>
        <w:spacing w:after="0" w:line="360" w:lineRule="auto"/>
        <w:jc w:val="both"/>
        <w:rPr>
          <w:rFonts w:ascii="Times New Roman" w:hAnsi="Times New Roman"/>
          <w:sz w:val="28"/>
          <w:lang w:val="uk-UA"/>
        </w:rPr>
      </w:pPr>
    </w:p>
    <w:p w:rsidR="00EC1B3C" w:rsidRPr="0094392D" w:rsidRDefault="00EC1B3C" w:rsidP="004B2225">
      <w:pPr>
        <w:spacing w:after="0" w:line="360" w:lineRule="auto"/>
        <w:jc w:val="both"/>
        <w:rPr>
          <w:rFonts w:ascii="Times New Roman" w:hAnsi="Times New Roman"/>
          <w:sz w:val="28"/>
          <w:lang w:val="uk-UA"/>
        </w:rPr>
      </w:pPr>
    </w:p>
    <w:p w:rsidR="00EC1B3C" w:rsidRPr="0094392D" w:rsidRDefault="00EC1B3C" w:rsidP="004B2225">
      <w:pPr>
        <w:spacing w:after="0" w:line="360" w:lineRule="auto"/>
        <w:jc w:val="both"/>
        <w:rPr>
          <w:rFonts w:ascii="Times New Roman" w:hAnsi="Times New Roman"/>
          <w:sz w:val="28"/>
          <w:lang w:val="uk-UA"/>
        </w:rPr>
      </w:pPr>
    </w:p>
    <w:p w:rsidR="00EC1B3C" w:rsidRPr="0094392D" w:rsidRDefault="00EC1B3C" w:rsidP="004B2225">
      <w:pPr>
        <w:spacing w:after="0" w:line="360" w:lineRule="auto"/>
        <w:jc w:val="both"/>
        <w:rPr>
          <w:rFonts w:ascii="Times New Roman" w:hAnsi="Times New Roman"/>
          <w:sz w:val="28"/>
          <w:lang w:val="uk-UA"/>
        </w:rPr>
      </w:pPr>
    </w:p>
    <w:p w:rsidR="00EC1B3C" w:rsidRPr="00B726D9" w:rsidRDefault="00EC1B3C" w:rsidP="00B726D9">
      <w:pPr>
        <w:spacing w:after="0" w:line="360" w:lineRule="auto"/>
        <w:jc w:val="center"/>
        <w:rPr>
          <w:rFonts w:ascii="Times New Roman" w:hAnsi="Times New Roman"/>
          <w:b/>
          <w:sz w:val="28"/>
          <w:lang w:val="uk-UA"/>
        </w:rPr>
      </w:pPr>
      <w:r w:rsidRPr="00B726D9">
        <w:rPr>
          <w:rFonts w:ascii="Times New Roman" w:hAnsi="Times New Roman"/>
          <w:b/>
          <w:sz w:val="28"/>
          <w:lang w:val="uk-UA"/>
        </w:rPr>
        <w:t>РОЗДІЛ 2</w:t>
      </w:r>
    </w:p>
    <w:p w:rsidR="00EC1B3C" w:rsidRPr="00B726D9" w:rsidRDefault="00EC1B3C" w:rsidP="00B726D9">
      <w:pPr>
        <w:spacing w:after="0" w:line="360" w:lineRule="auto"/>
        <w:jc w:val="center"/>
        <w:rPr>
          <w:rFonts w:ascii="Times New Roman" w:hAnsi="Times New Roman"/>
          <w:b/>
          <w:color w:val="000000"/>
          <w:sz w:val="28"/>
          <w:szCs w:val="28"/>
          <w:lang w:val="uk-UA" w:eastAsia="ru-RU"/>
        </w:rPr>
      </w:pPr>
      <w:r w:rsidRPr="00B726D9">
        <w:rPr>
          <w:rFonts w:ascii="Times New Roman" w:hAnsi="Times New Roman"/>
          <w:b/>
          <w:color w:val="000000"/>
          <w:sz w:val="28"/>
          <w:szCs w:val="28"/>
          <w:lang w:val="uk-UA" w:eastAsia="ru-RU"/>
        </w:rPr>
        <w:t>ДОСЛІДЖЕННЯ ІНДИКАТОРІВ ЗОВНІШНЬОЕКОНОМІЧНИХ ОПЕРАЦІЙ  ІЗРАЇЛЮ ТА ОБ’ЄДНАНИХ АРАБСЬКИХ ЕМІРАТІВ</w:t>
      </w:r>
    </w:p>
    <w:p w:rsidR="00EC1B3C" w:rsidRPr="0094392D" w:rsidRDefault="00EC1B3C" w:rsidP="006959B9">
      <w:pPr>
        <w:spacing w:after="0" w:line="360" w:lineRule="auto"/>
        <w:rPr>
          <w:rFonts w:ascii="Times New Roman" w:hAnsi="Times New Roman"/>
          <w:b/>
          <w:sz w:val="28"/>
          <w:szCs w:val="32"/>
          <w:lang w:val="uk-UA"/>
        </w:rPr>
      </w:pPr>
    </w:p>
    <w:p w:rsidR="00EC1B3C" w:rsidRPr="0094392D" w:rsidRDefault="00EC1B3C" w:rsidP="006959B9">
      <w:pPr>
        <w:spacing w:after="0" w:line="360" w:lineRule="auto"/>
        <w:ind w:firstLine="708"/>
        <w:rPr>
          <w:rFonts w:ascii="Times New Roman" w:hAnsi="Times New Roman"/>
          <w:b/>
          <w:sz w:val="28"/>
          <w:szCs w:val="32"/>
          <w:lang w:val="uk-UA"/>
        </w:rPr>
      </w:pPr>
      <w:r w:rsidRPr="0094392D">
        <w:rPr>
          <w:rFonts w:ascii="Times New Roman" w:hAnsi="Times New Roman"/>
          <w:b/>
          <w:sz w:val="28"/>
          <w:szCs w:val="32"/>
          <w:lang w:val="uk-UA"/>
        </w:rPr>
        <w:t>2.1 Порівняльний аналіз поточних рахунків Ізраїлю та Об’єднаних Арабських Еміратів</w:t>
      </w:r>
    </w:p>
    <w:p w:rsidR="00EC1B3C" w:rsidRPr="0094392D" w:rsidRDefault="00EC1B3C" w:rsidP="006959B9">
      <w:pPr>
        <w:spacing w:after="0" w:line="360" w:lineRule="auto"/>
        <w:rPr>
          <w:rFonts w:ascii="Times New Roman" w:hAnsi="Times New Roman"/>
          <w:sz w:val="28"/>
          <w:szCs w:val="28"/>
          <w:lang w:val="uk-UA"/>
        </w:rPr>
      </w:pPr>
      <w:r w:rsidRPr="0094392D">
        <w:rPr>
          <w:rFonts w:ascii="Times New Roman" w:hAnsi="Times New Roman"/>
          <w:b/>
          <w:sz w:val="36"/>
          <w:lang w:val="uk-UA"/>
        </w:rPr>
        <w:tab/>
      </w:r>
      <w:r w:rsidRPr="0094392D">
        <w:rPr>
          <w:rFonts w:ascii="Times New Roman" w:hAnsi="Times New Roman"/>
          <w:sz w:val="28"/>
          <w:lang w:val="uk-UA"/>
        </w:rPr>
        <w:t>У</w:t>
      </w:r>
      <w:r w:rsidRPr="0094392D">
        <w:rPr>
          <w:rFonts w:ascii="Times New Roman" w:hAnsi="Times New Roman"/>
          <w:sz w:val="28"/>
          <w:szCs w:val="28"/>
          <w:lang w:val="uk-UA"/>
        </w:rPr>
        <w:t>даному підрозділі розглянуто динаміку складових поточного рахунку Ізраїлю та ОАЕ.</w:t>
      </w:r>
    </w:p>
    <w:p w:rsidR="00EC1B3C" w:rsidRPr="0094392D" w:rsidRDefault="00EC1B3C" w:rsidP="00A02E4F">
      <w:pPr>
        <w:spacing w:after="0" w:line="360" w:lineRule="auto"/>
        <w:ind w:firstLine="709"/>
        <w:jc w:val="both"/>
        <w:rPr>
          <w:rFonts w:ascii="Times New Roman" w:hAnsi="Times New Roman"/>
          <w:sz w:val="28"/>
          <w:szCs w:val="28"/>
          <w:lang w:val="uk-UA"/>
        </w:rPr>
      </w:pPr>
      <w:r w:rsidRPr="0094392D">
        <w:rPr>
          <w:rFonts w:ascii="Times New Roman" w:hAnsi="Times New Roman"/>
          <w:sz w:val="28"/>
          <w:szCs w:val="28"/>
          <w:lang w:val="uk-UA"/>
        </w:rPr>
        <w:t>Рахунок поточних операцій включає всі операції з реальними цінностями, що відбуваються між резидентами та нерезидентами, а також операції, пов’язані з безоплатним наданням або одержанням цінностей, які призначені для поточного використання. У структурі поточного рахунка виділяються чотири основні компоненти: товари, послуги, доходи та поточні трансферти.</w:t>
      </w:r>
    </w:p>
    <w:p w:rsidR="00EC1B3C" w:rsidRPr="0094392D" w:rsidRDefault="00567DCA" w:rsidP="00FA0B87">
      <w:pPr>
        <w:spacing w:after="0" w:line="360" w:lineRule="auto"/>
        <w:ind w:firstLine="709"/>
        <w:jc w:val="both"/>
        <w:rPr>
          <w:rFonts w:ascii="Times New Roman" w:hAnsi="Times New Roman"/>
          <w:sz w:val="28"/>
          <w:szCs w:val="28"/>
          <w:lang w:val="uk-UA"/>
        </w:rPr>
      </w:pPr>
      <w:r>
        <w:rPr>
          <w:noProof/>
          <w:lang w:eastAsia="ru-RU"/>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Диаграмма 6" o:spid="_x0000_i1025" type="#_x0000_t75" style="width:364.5pt;height:264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">
            <v:imagedata r:id="rId7" o:title=""/>
            <o:lock v:ext="edit" aspectratio="f"/>
          </v:shape>
        </w:pict>
      </w:r>
    </w:p>
    <w:p w:rsidR="00EC1B3C" w:rsidRPr="0094392D" w:rsidRDefault="00EC1B3C" w:rsidP="009D0AB2">
      <w:pPr>
        <w:spacing w:after="0" w:line="360" w:lineRule="auto"/>
        <w:ind w:firstLine="709"/>
        <w:jc w:val="both"/>
        <w:rPr>
          <w:rFonts w:ascii="Times New Roman" w:hAnsi="Times New Roman"/>
          <w:sz w:val="28"/>
          <w:lang w:val="uk-UA"/>
        </w:rPr>
      </w:pPr>
      <w:r w:rsidRPr="0094392D">
        <w:rPr>
          <w:rFonts w:ascii="Times New Roman" w:hAnsi="Times New Roman"/>
          <w:sz w:val="28"/>
          <w:szCs w:val="28"/>
          <w:lang w:val="uk-UA"/>
        </w:rPr>
        <w:t xml:space="preserve">Рис. 2.1 Динаміка рахунку поточних операцій </w:t>
      </w:r>
      <w:r w:rsidRPr="0094392D">
        <w:rPr>
          <w:rFonts w:ascii="Times New Roman" w:hAnsi="Times New Roman"/>
          <w:sz w:val="28"/>
          <w:lang w:val="uk-UA"/>
        </w:rPr>
        <w:t>Ізраїлю та ОАЕ у 2018-2022 рр. (в млн. дол. США)</w:t>
      </w:r>
    </w:p>
    <w:p w:rsidR="00EC1B3C" w:rsidRPr="0094392D" w:rsidRDefault="00EC1B3C" w:rsidP="009D0AB2">
      <w:pPr>
        <w:spacing w:after="0" w:line="360" w:lineRule="auto"/>
        <w:ind w:firstLine="709"/>
        <w:jc w:val="both"/>
        <w:rPr>
          <w:rFonts w:ascii="Times New Roman" w:hAnsi="Times New Roman"/>
          <w:sz w:val="28"/>
          <w:lang w:val="uk-UA"/>
        </w:rPr>
      </w:pPr>
      <w:r w:rsidRPr="0094392D">
        <w:rPr>
          <w:rFonts w:ascii="Times New Roman" w:hAnsi="Times New Roman"/>
          <w:sz w:val="28"/>
          <w:lang w:val="uk-UA"/>
        </w:rPr>
        <w:t>Джерело: складено на основі даних [7], [10]</w:t>
      </w:r>
    </w:p>
    <w:p w:rsidR="00EC1B3C" w:rsidRPr="0094392D" w:rsidRDefault="00EC1B3C" w:rsidP="009D0AB2">
      <w:pPr>
        <w:spacing w:after="0" w:line="360" w:lineRule="auto"/>
        <w:ind w:firstLine="709"/>
        <w:jc w:val="both"/>
        <w:rPr>
          <w:rFonts w:ascii="Times New Roman" w:hAnsi="Times New Roman"/>
          <w:sz w:val="28"/>
          <w:lang w:val="uk-UA"/>
        </w:rPr>
      </w:pPr>
      <w:r w:rsidRPr="0094392D">
        <w:rPr>
          <w:rFonts w:ascii="Times New Roman" w:hAnsi="Times New Roman"/>
          <w:sz w:val="28"/>
          <w:lang w:val="uk-UA"/>
        </w:rPr>
        <w:t xml:space="preserve">На Рис. 2.1 представлена динаміка рахунку поточних операцій та сальдо показників основних складових рахунку. Згідно з наведеними даними, показники рахунку поточних операцій ОАЕ значно перевищували рахунок поточних операцій Ізраїлю протягом 2018-2019 років, а також упродовж 2021-2022 років. У 2020 році спостерігався значний спад показників рахунку поточних операцій ОАЕ, а в Ізраїлю навпаки був зафіксований стрімкий зріст значень, в наслідок чого показники Ізраїлю перевищили значення рахунку поточних операцій ОАЕтого року. </w:t>
      </w:r>
    </w:p>
    <w:p w:rsidR="00EC1B3C" w:rsidRPr="0094392D" w:rsidRDefault="00EC1B3C" w:rsidP="009D0AB2">
      <w:pPr>
        <w:spacing w:after="0" w:line="360" w:lineRule="auto"/>
        <w:ind w:firstLine="709"/>
        <w:jc w:val="both"/>
        <w:rPr>
          <w:rFonts w:ascii="Times New Roman" w:hAnsi="Times New Roman"/>
          <w:sz w:val="28"/>
          <w:lang w:val="uk-UA"/>
        </w:rPr>
      </w:pPr>
      <w:r w:rsidRPr="0094392D">
        <w:rPr>
          <w:rFonts w:ascii="Times New Roman" w:hAnsi="Times New Roman"/>
          <w:sz w:val="28"/>
          <w:lang w:val="uk-UA"/>
        </w:rPr>
        <w:t xml:space="preserve">Далі розглянемо динаміку сальдо кожної складової рахунку поточних операцій Ізраїлю та ОАЕ за 2018-2022 рр. </w:t>
      </w:r>
    </w:p>
    <w:p w:rsidR="00EC1B3C" w:rsidRPr="0094392D" w:rsidRDefault="00567DCA" w:rsidP="009D0AB2">
      <w:pPr>
        <w:spacing w:after="0" w:line="360" w:lineRule="auto"/>
        <w:ind w:firstLine="709"/>
        <w:jc w:val="both"/>
        <w:rPr>
          <w:rFonts w:ascii="Times New Roman" w:hAnsi="Times New Roman"/>
          <w:sz w:val="36"/>
          <w:lang w:val="uk-UA"/>
        </w:rPr>
      </w:pPr>
      <w:r>
        <w:rPr>
          <w:noProof/>
          <w:lang w:eastAsia="ru-RU"/>
        </w:rPr>
        <w:pict>
          <v:shape id="Диаграмма 1" o:spid="_x0000_i1026" type="#_x0000_t75" style="width:360.75pt;height:237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">
            <v:imagedata r:id="rId8" o:title=""/>
            <o:lock v:ext="edit" aspectratio="f"/>
          </v:shape>
        </w:pict>
      </w:r>
    </w:p>
    <w:p w:rsidR="00EC1B3C" w:rsidRPr="0094392D" w:rsidRDefault="00EC1B3C" w:rsidP="009D0AB2">
      <w:pPr>
        <w:spacing w:after="0" w:line="360" w:lineRule="auto"/>
        <w:ind w:firstLine="709"/>
        <w:jc w:val="both"/>
        <w:rPr>
          <w:rFonts w:ascii="Times New Roman" w:hAnsi="Times New Roman"/>
          <w:sz w:val="28"/>
          <w:lang w:val="uk-UA"/>
        </w:rPr>
      </w:pPr>
      <w:r w:rsidRPr="0094392D">
        <w:rPr>
          <w:rFonts w:ascii="Times New Roman" w:hAnsi="Times New Roman"/>
          <w:sz w:val="28"/>
          <w:lang w:val="uk-UA"/>
        </w:rPr>
        <w:t>Рис. 2.2Динаміка балансу торгівлі товарами Ізраїлю та ОАЕ у 2018-2022 рр. (в млн. дол. США)</w:t>
      </w:r>
    </w:p>
    <w:p w:rsidR="00EC1B3C" w:rsidRPr="0094392D" w:rsidRDefault="00EC1B3C" w:rsidP="009D0AB2">
      <w:pPr>
        <w:spacing w:after="0" w:line="360" w:lineRule="auto"/>
        <w:ind w:firstLine="709"/>
        <w:jc w:val="both"/>
        <w:rPr>
          <w:rFonts w:ascii="Times New Roman" w:hAnsi="Times New Roman"/>
          <w:sz w:val="28"/>
          <w:lang w:val="uk-UA"/>
        </w:rPr>
      </w:pPr>
      <w:r w:rsidRPr="0094392D">
        <w:rPr>
          <w:rFonts w:ascii="Times New Roman" w:hAnsi="Times New Roman"/>
          <w:sz w:val="28"/>
          <w:lang w:val="uk-UA"/>
        </w:rPr>
        <w:t>Джерело: складено на основі даних [10], [12]</w:t>
      </w:r>
    </w:p>
    <w:p w:rsidR="00EC1B3C" w:rsidRPr="0094392D" w:rsidRDefault="00EC1B3C" w:rsidP="009D0AB2">
      <w:pPr>
        <w:spacing w:after="0" w:line="360" w:lineRule="auto"/>
        <w:ind w:firstLine="709"/>
        <w:jc w:val="both"/>
        <w:rPr>
          <w:rFonts w:ascii="Times New Roman" w:hAnsi="Times New Roman"/>
          <w:sz w:val="28"/>
          <w:lang w:val="uk-UA"/>
        </w:rPr>
      </w:pPr>
      <w:r w:rsidRPr="0094392D">
        <w:rPr>
          <w:rFonts w:ascii="Times New Roman" w:hAnsi="Times New Roman"/>
          <w:sz w:val="28"/>
          <w:lang w:val="uk-UA"/>
        </w:rPr>
        <w:t xml:space="preserve">Згідно з даними Рис. 2.1 можна зазначити, що Об’єднані Арабські Емірати протягом 2018-2022 років мали позитивні показники балансу торгівлі товарами, тобто країна більше експортувала товарів, ніж імпортувала. З 2018 по 2021 рік значення торгівельного балансу поступово знизилися з 143,27 млрд. дол. США до 77,63 млрд. дол. США. Такі дані обумовлені зниженням показників експорту товарів і періодичним зростом імпорту товарів. У 2022 році значення сальдо різко зросли і досягли 141,35 млрд. дол. США. </w:t>
      </w:r>
    </w:p>
    <w:p w:rsidR="00EC1B3C" w:rsidRPr="0094392D" w:rsidRDefault="00EC1B3C" w:rsidP="009D0AB2">
      <w:pPr>
        <w:spacing w:after="0" w:line="360" w:lineRule="auto"/>
        <w:ind w:firstLine="709"/>
        <w:jc w:val="both"/>
        <w:rPr>
          <w:rFonts w:ascii="Times New Roman" w:hAnsi="Times New Roman"/>
          <w:sz w:val="28"/>
          <w:lang w:val="uk-UA"/>
        </w:rPr>
      </w:pPr>
      <w:r w:rsidRPr="0094392D">
        <w:rPr>
          <w:rFonts w:ascii="Times New Roman" w:hAnsi="Times New Roman"/>
          <w:sz w:val="28"/>
          <w:lang w:val="uk-UA"/>
        </w:rPr>
        <w:t xml:space="preserve">В порівнянні з показниками ОАЕ, Ізраїль впродовж 2018-2022 років мав негативні значення балансу торгівлі товарами, що свідчить про те, що це країна-імпортер. Ізраїль експортує продукції в 6 разів менше, ніж Об’єднані Арабські Емірати. Значення сальдо торгівлі товарами Ізраїлю поступово зростали в 2018-2020 роках. У 2021-2022 роках показники балансу торгівлі Ізраїлю стрімко впали і досягли мінімального рівня у -25,86 млрд. дол. США, тобто в ці роки показники імпортутоварів були набагато вищими за значення експорту. </w:t>
      </w:r>
    </w:p>
    <w:p w:rsidR="00EC1B3C" w:rsidRPr="0094392D" w:rsidRDefault="00567DCA" w:rsidP="009D0AB2">
      <w:pPr>
        <w:spacing w:after="0" w:line="360" w:lineRule="auto"/>
        <w:ind w:firstLine="709"/>
        <w:jc w:val="both"/>
        <w:rPr>
          <w:rFonts w:ascii="Times New Roman" w:hAnsi="Times New Roman"/>
          <w:sz w:val="28"/>
          <w:lang w:val="uk-UA"/>
        </w:rPr>
      </w:pPr>
      <w:r>
        <w:rPr>
          <w:noProof/>
          <w:lang w:eastAsia="ru-RU"/>
        </w:rPr>
        <w:pict>
          <v:shape id="Диаграмма 2" o:spid="_x0000_i1027" type="#_x0000_t75" style="width:361.5pt;height:216.75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">
            <v:imagedata r:id="rId9" o:title=""/>
            <o:lock v:ext="edit" aspectratio="f"/>
          </v:shape>
        </w:pict>
      </w:r>
    </w:p>
    <w:p w:rsidR="00EC1B3C" w:rsidRPr="0094392D" w:rsidRDefault="00EC1B3C" w:rsidP="009D0AB2">
      <w:pPr>
        <w:spacing w:after="0" w:line="360" w:lineRule="auto"/>
        <w:ind w:firstLine="709"/>
        <w:jc w:val="both"/>
        <w:rPr>
          <w:rFonts w:ascii="Times New Roman" w:hAnsi="Times New Roman"/>
          <w:sz w:val="28"/>
          <w:lang w:val="uk-UA"/>
        </w:rPr>
      </w:pPr>
      <w:r w:rsidRPr="0094392D">
        <w:rPr>
          <w:rFonts w:ascii="Times New Roman" w:hAnsi="Times New Roman"/>
          <w:sz w:val="28"/>
          <w:lang w:val="uk-UA"/>
        </w:rPr>
        <w:t>Рис. 2.3Динаміка балансу торгівлі послугами Ізраїлю та ОАЕ у 2018-2022 рр. (в млн. дол. США)</w:t>
      </w:r>
    </w:p>
    <w:p w:rsidR="00EC1B3C" w:rsidRPr="0094392D" w:rsidRDefault="00EC1B3C" w:rsidP="009D0AB2">
      <w:pPr>
        <w:spacing w:after="0" w:line="360" w:lineRule="auto"/>
        <w:ind w:firstLine="709"/>
        <w:jc w:val="both"/>
        <w:rPr>
          <w:rFonts w:ascii="Times New Roman" w:hAnsi="Times New Roman"/>
          <w:sz w:val="28"/>
          <w:lang w:val="uk-UA"/>
        </w:rPr>
      </w:pPr>
      <w:r w:rsidRPr="0094392D">
        <w:rPr>
          <w:rFonts w:ascii="Times New Roman" w:hAnsi="Times New Roman"/>
          <w:sz w:val="28"/>
          <w:lang w:val="uk-UA"/>
        </w:rPr>
        <w:t>Джерело: складено на основі даних [7], [10]</w:t>
      </w:r>
    </w:p>
    <w:p w:rsidR="00EC1B3C" w:rsidRPr="0094392D" w:rsidRDefault="00EC1B3C" w:rsidP="009D0AB2">
      <w:pPr>
        <w:spacing w:after="0" w:line="360" w:lineRule="auto"/>
        <w:ind w:firstLine="709"/>
        <w:jc w:val="both"/>
        <w:rPr>
          <w:rFonts w:ascii="Times New Roman" w:hAnsi="Times New Roman"/>
          <w:sz w:val="28"/>
          <w:lang w:val="uk-UA"/>
        </w:rPr>
      </w:pPr>
      <w:r w:rsidRPr="0094392D">
        <w:rPr>
          <w:rFonts w:ascii="Times New Roman" w:hAnsi="Times New Roman"/>
          <w:sz w:val="28"/>
          <w:lang w:val="uk-UA"/>
        </w:rPr>
        <w:t>На Рис. 2.3 представлена динаміка балансу торгівлі послугами Ізраїлю та ОАЕ у 2018-2022 роках. Згідно з наведеними даними, Ізраїль поставляє та імпортує більше послуг, ніж Об’єднані Арабські Емірати. Сальдо торгівлі послугами Ізраїлю має позитивні показники, що свідчить про те, що країна є експортером послуг. Впродовж 2018-2022 році спостерігався стрімкий</w:t>
      </w:r>
      <w:r w:rsidRPr="0094392D">
        <w:rPr>
          <w:rFonts w:ascii="Times New Roman" w:hAnsi="Times New Roman"/>
          <w:sz w:val="28"/>
          <w:lang w:val="uk-UA"/>
        </w:rPr>
        <w:tab/>
        <w:t xml:space="preserve"> зріст балансу торгівлі послугами Ізраїлю, який призвів до збільшення показників з 19 929,2 млн. дол. США до 42 766,4 млн. дол. США.</w:t>
      </w:r>
    </w:p>
    <w:p w:rsidR="00EC1B3C" w:rsidRPr="0094392D" w:rsidRDefault="00EC1B3C" w:rsidP="009D0AB2">
      <w:pPr>
        <w:spacing w:after="0" w:line="360" w:lineRule="auto"/>
        <w:ind w:firstLine="709"/>
        <w:jc w:val="both"/>
        <w:rPr>
          <w:rFonts w:ascii="Times New Roman" w:hAnsi="Times New Roman"/>
          <w:sz w:val="28"/>
          <w:lang w:val="uk-UA"/>
        </w:rPr>
      </w:pPr>
      <w:r w:rsidRPr="0094392D">
        <w:rPr>
          <w:rFonts w:ascii="Times New Roman" w:hAnsi="Times New Roman"/>
          <w:sz w:val="28"/>
          <w:lang w:val="uk-UA"/>
        </w:rPr>
        <w:t xml:space="preserve">Об’єднані Арабські Емірати у 2018 році імпортували більше послуг, ніж експортували, тому сальдо торгівлі послугами в цей рік мало негативне значення. У 2019-2022 році показники балансу ОАЕ були позитивними (що свідчить про переважання рівня експорту над імпортом) і поступово зростали протягом зазначеного періоду. </w:t>
      </w:r>
    </w:p>
    <w:p w:rsidR="00EC1B3C" w:rsidRPr="0094392D" w:rsidRDefault="00EC1B3C" w:rsidP="009D0AB2">
      <w:pPr>
        <w:spacing w:after="0" w:line="360" w:lineRule="auto"/>
        <w:ind w:firstLine="709"/>
        <w:jc w:val="both"/>
        <w:rPr>
          <w:rFonts w:ascii="Times New Roman" w:hAnsi="Times New Roman"/>
          <w:sz w:val="28"/>
          <w:lang w:val="uk-UA"/>
        </w:rPr>
      </w:pPr>
      <w:r w:rsidRPr="0094392D">
        <w:rPr>
          <w:rFonts w:ascii="Times New Roman" w:hAnsi="Times New Roman"/>
          <w:sz w:val="28"/>
          <w:lang w:val="uk-UA"/>
        </w:rPr>
        <w:t xml:space="preserve">Далі проаналізуємо динаміку первинних та вторинних доходів Ізраїлю та ОАЕ протягом 2018-2022 років. </w:t>
      </w:r>
    </w:p>
    <w:p w:rsidR="00EC1B3C" w:rsidRPr="0094392D" w:rsidRDefault="00567DCA" w:rsidP="009D0AB2">
      <w:pPr>
        <w:spacing w:after="0" w:line="360" w:lineRule="auto"/>
        <w:ind w:firstLine="709"/>
        <w:jc w:val="both"/>
        <w:rPr>
          <w:rFonts w:ascii="Times New Roman" w:hAnsi="Times New Roman"/>
          <w:sz w:val="28"/>
          <w:lang w:val="uk-UA"/>
        </w:rPr>
      </w:pPr>
      <w:r>
        <w:rPr>
          <w:noProof/>
          <w:lang w:eastAsia="ru-RU"/>
        </w:rPr>
        <w:pict>
          <v:shape id="Диаграмма 3" o:spid="_x0000_i1028" type="#_x0000_t75" style="width:361.5pt;height:216.75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">
            <v:imagedata r:id="rId10" o:title=""/>
            <o:lock v:ext="edit" aspectratio="f"/>
          </v:shape>
        </w:pict>
      </w:r>
    </w:p>
    <w:p w:rsidR="00EC1B3C" w:rsidRPr="0094392D" w:rsidRDefault="00EC1B3C" w:rsidP="009D0AB2">
      <w:pPr>
        <w:spacing w:after="0" w:line="360" w:lineRule="auto"/>
        <w:ind w:firstLine="709"/>
        <w:jc w:val="both"/>
        <w:rPr>
          <w:rFonts w:ascii="Times New Roman" w:hAnsi="Times New Roman"/>
          <w:sz w:val="28"/>
          <w:lang w:val="uk-UA"/>
        </w:rPr>
      </w:pPr>
      <w:r w:rsidRPr="0094392D">
        <w:rPr>
          <w:rFonts w:ascii="Times New Roman" w:hAnsi="Times New Roman"/>
          <w:sz w:val="28"/>
          <w:lang w:val="uk-UA"/>
        </w:rPr>
        <w:t>Рис. 2.4 Динаміка сальдо первинних доходів Ізраїлю та ОАЕ у 2018-2022 рр. (в млн. дол. США)</w:t>
      </w:r>
    </w:p>
    <w:p w:rsidR="00EC1B3C" w:rsidRPr="0094392D" w:rsidRDefault="00EC1B3C" w:rsidP="009D0AB2">
      <w:pPr>
        <w:spacing w:after="0" w:line="360" w:lineRule="auto"/>
        <w:ind w:firstLine="709"/>
        <w:jc w:val="both"/>
        <w:rPr>
          <w:rFonts w:ascii="Times New Roman" w:hAnsi="Times New Roman"/>
          <w:sz w:val="28"/>
          <w:lang w:val="uk-UA"/>
        </w:rPr>
      </w:pPr>
      <w:r w:rsidRPr="0094392D">
        <w:rPr>
          <w:rFonts w:ascii="Times New Roman" w:hAnsi="Times New Roman"/>
          <w:sz w:val="28"/>
          <w:lang w:val="uk-UA"/>
        </w:rPr>
        <w:t>Джерело: складено на основі даних [7], [10]</w:t>
      </w:r>
    </w:p>
    <w:p w:rsidR="00EC1B3C" w:rsidRPr="0094392D" w:rsidRDefault="00EC1B3C" w:rsidP="009D0AB2">
      <w:pPr>
        <w:spacing w:after="0" w:line="360" w:lineRule="auto"/>
        <w:ind w:firstLine="709"/>
        <w:jc w:val="both"/>
        <w:rPr>
          <w:rFonts w:ascii="Times New Roman" w:hAnsi="Times New Roman"/>
          <w:sz w:val="28"/>
          <w:lang w:val="uk-UA"/>
        </w:rPr>
      </w:pPr>
      <w:r w:rsidRPr="0094392D">
        <w:rPr>
          <w:rFonts w:ascii="Times New Roman" w:hAnsi="Times New Roman"/>
          <w:sz w:val="28"/>
          <w:lang w:val="uk-UA"/>
        </w:rPr>
        <w:t xml:space="preserve">Згідно з Рис. 2.4, показники сальдо первинних доходів ОАЕ були вищими за показники балансу Ізраїлю впродовж 2018-2022 років. Значення Ізраїлю протягом останніх 5 років були негативними, тобто рівень дебету перевищував кредит. У 2018-2021 році спостерігався поступовий спад балансу первинних доходів Ізраїлю, але у 2021-2022 році значення збільшилися з </w:t>
      </w:r>
    </w:p>
    <w:p w:rsidR="00EC1B3C" w:rsidRPr="0094392D" w:rsidRDefault="00EC1B3C" w:rsidP="004F116D">
      <w:pPr>
        <w:spacing w:after="0" w:line="360" w:lineRule="auto"/>
        <w:jc w:val="both"/>
        <w:rPr>
          <w:rFonts w:ascii="Times New Roman" w:hAnsi="Times New Roman"/>
          <w:sz w:val="28"/>
          <w:lang w:val="uk-UA"/>
        </w:rPr>
      </w:pPr>
      <w:r w:rsidRPr="0094392D">
        <w:rPr>
          <w:rFonts w:ascii="Times New Roman" w:hAnsi="Times New Roman"/>
          <w:sz w:val="28"/>
          <w:lang w:val="uk-UA"/>
        </w:rPr>
        <w:t xml:space="preserve">-7 533 млн. дол. США до -7 312,4 млн. дол. США. </w:t>
      </w:r>
    </w:p>
    <w:p w:rsidR="00EC1B3C" w:rsidRPr="0094392D" w:rsidRDefault="00EC1B3C" w:rsidP="0035743B">
      <w:pPr>
        <w:spacing w:after="0" w:line="360" w:lineRule="auto"/>
        <w:ind w:firstLine="709"/>
        <w:jc w:val="both"/>
        <w:rPr>
          <w:rFonts w:ascii="Times New Roman" w:hAnsi="Times New Roman"/>
          <w:sz w:val="28"/>
          <w:lang w:val="uk-UA"/>
        </w:rPr>
      </w:pPr>
      <w:r w:rsidRPr="0094392D">
        <w:rPr>
          <w:rFonts w:ascii="Times New Roman" w:hAnsi="Times New Roman"/>
          <w:sz w:val="28"/>
          <w:lang w:val="uk-UA"/>
        </w:rPr>
        <w:t>В Об’єднаних Арабських Еміратах впродовж 2018-2019 років був зафіксований зріст позитивного балансу первинних доходів, тобто в ці роки надходження до країни з-за кордону перевищували виплати. У 2020-2022 роках показники балансу зазнали різкого падіння інабули негативних значень, так як рівень дебету перевищував кредит.У 2022 році показники балансу первинних доходів ОАЕ досягнули мінімальних значень і складали -2 886 млн. дол. США.</w:t>
      </w:r>
    </w:p>
    <w:p w:rsidR="00EC1B3C" w:rsidRPr="0094392D" w:rsidRDefault="00567DCA" w:rsidP="009D0AB2">
      <w:pPr>
        <w:spacing w:after="0" w:line="360" w:lineRule="auto"/>
        <w:ind w:firstLine="709"/>
        <w:jc w:val="both"/>
        <w:rPr>
          <w:rFonts w:ascii="Times New Roman" w:hAnsi="Times New Roman"/>
          <w:sz w:val="28"/>
          <w:lang w:val="uk-UA"/>
        </w:rPr>
      </w:pPr>
      <w:r>
        <w:rPr>
          <w:noProof/>
          <w:lang w:eastAsia="ru-RU"/>
        </w:rPr>
        <w:pict>
          <v:shape id="Диаграмма 4" o:spid="_x0000_i1029" type="#_x0000_t75" style="width:361.5pt;height:216.75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">
            <v:imagedata r:id="rId11" o:title=""/>
            <o:lock v:ext="edit" aspectratio="f"/>
          </v:shape>
        </w:pict>
      </w:r>
    </w:p>
    <w:p w:rsidR="00EC1B3C" w:rsidRPr="0094392D" w:rsidRDefault="00EC1B3C" w:rsidP="009D0AB2">
      <w:pPr>
        <w:spacing w:after="0" w:line="360" w:lineRule="auto"/>
        <w:ind w:firstLine="709"/>
        <w:jc w:val="both"/>
        <w:rPr>
          <w:rFonts w:ascii="Times New Roman" w:hAnsi="Times New Roman"/>
          <w:sz w:val="28"/>
          <w:lang w:val="uk-UA"/>
        </w:rPr>
      </w:pPr>
      <w:r w:rsidRPr="0094392D">
        <w:rPr>
          <w:rFonts w:ascii="Times New Roman" w:hAnsi="Times New Roman"/>
          <w:sz w:val="28"/>
          <w:lang w:val="uk-UA"/>
        </w:rPr>
        <w:t>Рис. 2.5 Динаміка сальдо вторинних доходівІзраїлю та ОАЕ у 2018-2022 рр. (в млн. дол. США)</w:t>
      </w:r>
    </w:p>
    <w:p w:rsidR="00EC1B3C" w:rsidRPr="0094392D" w:rsidRDefault="00EC1B3C" w:rsidP="009D0AB2">
      <w:pPr>
        <w:spacing w:after="0" w:line="360" w:lineRule="auto"/>
        <w:ind w:firstLine="709"/>
        <w:jc w:val="both"/>
        <w:rPr>
          <w:rFonts w:ascii="Times New Roman" w:hAnsi="Times New Roman"/>
          <w:sz w:val="28"/>
          <w:lang w:val="uk-UA"/>
        </w:rPr>
      </w:pPr>
      <w:r w:rsidRPr="0094392D">
        <w:rPr>
          <w:rFonts w:ascii="Times New Roman" w:hAnsi="Times New Roman"/>
          <w:sz w:val="28"/>
          <w:lang w:val="uk-UA"/>
        </w:rPr>
        <w:t>Джерело: складено на основі даних [7], [10]</w:t>
      </w:r>
    </w:p>
    <w:p w:rsidR="00EC1B3C" w:rsidRPr="0094392D" w:rsidRDefault="00EC1B3C" w:rsidP="00CF5A43">
      <w:pPr>
        <w:spacing w:after="0" w:line="360" w:lineRule="auto"/>
        <w:ind w:firstLine="709"/>
        <w:jc w:val="both"/>
        <w:rPr>
          <w:rFonts w:ascii="Times New Roman" w:hAnsi="Times New Roman"/>
          <w:sz w:val="28"/>
          <w:lang w:val="uk-UA"/>
        </w:rPr>
      </w:pPr>
      <w:r w:rsidRPr="0094392D">
        <w:rPr>
          <w:rFonts w:ascii="Times New Roman" w:hAnsi="Times New Roman"/>
          <w:sz w:val="28"/>
          <w:lang w:val="uk-UA"/>
        </w:rPr>
        <w:t>На Рис. 2.5 зображена динаміка сальдо вторинних доходів Ізраїлю та ОАЕ за 2018-2022 роки. Згідно з наведеними даними, баланс вторинних доходів Ізраїлю значно перевищував сальдо вторинних доходів ОАЕ. Значення вторинних доходів Ізраїлю були позитивними і поступово знижувались у 2018-2020 роках. У 2021-2022 році показники Ізраїлю стрімко зростали і досягнули максимально значення у 9 614,7 млн. дол. США в 2022 році. Протягом останніх 5 років значення кредиту перевищували дебет, тобто надходження до країни з-за кордону були вищими за виплати.</w:t>
      </w:r>
    </w:p>
    <w:p w:rsidR="00EC1B3C" w:rsidRPr="0094392D" w:rsidRDefault="00EC1B3C" w:rsidP="00B726D9">
      <w:pPr>
        <w:spacing w:after="0" w:line="360" w:lineRule="auto"/>
        <w:ind w:firstLine="709"/>
        <w:jc w:val="both"/>
        <w:rPr>
          <w:rFonts w:ascii="Times New Roman" w:hAnsi="Times New Roman"/>
          <w:sz w:val="28"/>
          <w:lang w:val="uk-UA"/>
        </w:rPr>
      </w:pPr>
      <w:r w:rsidRPr="0094392D">
        <w:rPr>
          <w:rFonts w:ascii="Times New Roman" w:hAnsi="Times New Roman"/>
          <w:sz w:val="28"/>
          <w:lang w:val="uk-UA"/>
        </w:rPr>
        <w:t xml:space="preserve">В Об’єднаних Арабських Еміратів показники балансу вторинних доходів були негативними протягом 2018-2022 років. У 2018-2019 роках значення сальдо поступово зросли, але вже у 2020 році показники різко впали, що пов’язано із всесвітньою кризою через пандемію COVID-19. У 2021-2022 рр. баланс вторинних доходів ОАЕ стрімко зростав і досягнув значення у -3 199,6 млн. дол. США у 2022 році. Негативні значення балансу вторинних доходів свідчить про переважання рівня виплат країни над надходженнями до економіки держави. </w:t>
      </w:r>
    </w:p>
    <w:p w:rsidR="00EC1B3C" w:rsidRPr="0094392D" w:rsidRDefault="00EC1B3C" w:rsidP="008B2405">
      <w:pPr>
        <w:spacing w:after="0" w:line="360" w:lineRule="auto"/>
        <w:jc w:val="both"/>
        <w:rPr>
          <w:rFonts w:ascii="Times New Roman" w:hAnsi="Times New Roman"/>
          <w:sz w:val="28"/>
          <w:lang w:val="uk-UA"/>
        </w:rPr>
      </w:pPr>
    </w:p>
    <w:p w:rsidR="00EC1B3C" w:rsidRPr="0094392D" w:rsidRDefault="00EC1B3C" w:rsidP="00571230">
      <w:pPr>
        <w:spacing w:after="0" w:line="360" w:lineRule="auto"/>
        <w:ind w:firstLine="708"/>
        <w:jc w:val="both"/>
        <w:rPr>
          <w:rFonts w:ascii="Times New Roman" w:hAnsi="Times New Roman"/>
          <w:b/>
          <w:sz w:val="28"/>
          <w:szCs w:val="32"/>
          <w:lang w:val="uk-UA"/>
        </w:rPr>
      </w:pPr>
      <w:r w:rsidRPr="0094392D">
        <w:rPr>
          <w:rFonts w:ascii="Times New Roman" w:hAnsi="Times New Roman"/>
          <w:b/>
          <w:sz w:val="28"/>
          <w:szCs w:val="32"/>
          <w:lang w:val="uk-UA"/>
        </w:rPr>
        <w:t>2.2 Порівняльний аналіз фінансових рахунків Ізраїлю та Об’єднаних Арабських Еміратів</w:t>
      </w:r>
    </w:p>
    <w:p w:rsidR="00EC1B3C" w:rsidRPr="0094392D" w:rsidRDefault="00EC1B3C" w:rsidP="00C41842">
      <w:pPr>
        <w:spacing w:after="0" w:line="360" w:lineRule="auto"/>
        <w:ind w:firstLine="709"/>
        <w:jc w:val="both"/>
        <w:rPr>
          <w:rFonts w:ascii="Times New Roman" w:hAnsi="Times New Roman"/>
          <w:sz w:val="28"/>
          <w:szCs w:val="28"/>
          <w:lang w:val="uk-UA"/>
        </w:rPr>
      </w:pPr>
      <w:r w:rsidRPr="0094392D">
        <w:rPr>
          <w:rFonts w:ascii="Times New Roman" w:hAnsi="Times New Roman"/>
          <w:sz w:val="28"/>
          <w:szCs w:val="28"/>
          <w:lang w:val="uk-UA"/>
        </w:rPr>
        <w:t>У фінансовому рахунку відображаються всі операції, в результаті яких відбувається перехід прав власності на зовнішні фінансові активи й вимоги країни, або, іншими словами, виникнення та погашення фінансових зобов’язань між резидентами і нерезидентами. Фінансовий рахунок поділяється на дві класифікаційні групи, що охоплюють операції з фінансовими активами (активи) й операції з фінансовими зобов’язаннями (пасиви). Обидві групи у свою чергу поділяються на три функціональні категорії: прямі, портфельні та інші інвестиції.</w:t>
      </w:r>
    </w:p>
    <w:p w:rsidR="00EC1B3C" w:rsidRPr="0094392D" w:rsidRDefault="00EC1B3C" w:rsidP="008B2405">
      <w:pPr>
        <w:spacing w:after="0" w:line="360" w:lineRule="auto"/>
        <w:jc w:val="both"/>
        <w:rPr>
          <w:rFonts w:ascii="Times New Roman" w:hAnsi="Times New Roman"/>
          <w:sz w:val="28"/>
          <w:lang w:val="uk-UA"/>
        </w:rPr>
      </w:pPr>
      <w:r w:rsidRPr="0094392D">
        <w:rPr>
          <w:rFonts w:ascii="Times New Roman" w:hAnsi="Times New Roman"/>
          <w:b/>
          <w:sz w:val="28"/>
          <w:lang w:val="uk-UA"/>
        </w:rPr>
        <w:tab/>
      </w:r>
      <w:r w:rsidRPr="0094392D">
        <w:rPr>
          <w:rFonts w:ascii="Times New Roman" w:hAnsi="Times New Roman"/>
          <w:sz w:val="28"/>
          <w:lang w:val="uk-UA"/>
        </w:rPr>
        <w:t xml:space="preserve">Спершу, розглянемо динаміку прямих іноземних інвестицій Ізраїлю та ОАЕ за 2018-2022 роки. </w:t>
      </w:r>
    </w:p>
    <w:p w:rsidR="00EC1B3C" w:rsidRPr="0094392D" w:rsidRDefault="00567DCA" w:rsidP="00F1254A">
      <w:pPr>
        <w:spacing w:after="0" w:line="360" w:lineRule="auto"/>
        <w:ind w:firstLine="708"/>
        <w:jc w:val="both"/>
        <w:rPr>
          <w:rFonts w:ascii="Times New Roman" w:hAnsi="Times New Roman"/>
          <w:sz w:val="28"/>
          <w:lang w:val="uk-UA"/>
        </w:rPr>
      </w:pPr>
      <w:r>
        <w:rPr>
          <w:noProof/>
          <w:lang w:eastAsia="ru-RU"/>
        </w:rPr>
        <w:pict>
          <v:shape id="Диаграмма 5" o:spid="_x0000_i1030" type="#_x0000_t75" style="width:361.5pt;height:216.75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">
            <v:imagedata r:id="rId12" o:title=""/>
            <o:lock v:ext="edit" aspectratio="f"/>
          </v:shape>
        </w:pict>
      </w:r>
    </w:p>
    <w:p w:rsidR="00EC1B3C" w:rsidRPr="0094392D" w:rsidRDefault="00EC1B3C" w:rsidP="00F1254A">
      <w:pPr>
        <w:spacing w:after="0" w:line="360" w:lineRule="auto"/>
        <w:ind w:firstLine="708"/>
        <w:jc w:val="both"/>
        <w:rPr>
          <w:rFonts w:ascii="Times New Roman" w:hAnsi="Times New Roman"/>
          <w:sz w:val="28"/>
          <w:lang w:val="uk-UA"/>
        </w:rPr>
      </w:pPr>
      <w:r w:rsidRPr="0094392D">
        <w:rPr>
          <w:rFonts w:ascii="Times New Roman" w:hAnsi="Times New Roman"/>
          <w:sz w:val="28"/>
          <w:lang w:val="uk-UA"/>
        </w:rPr>
        <w:t>Рис. 2.6 Динаміка балансу прямих іноземних інвестицій Ізраїлю та ОАЕ у 2018-2022 роках</w:t>
      </w:r>
    </w:p>
    <w:p w:rsidR="00EC1B3C" w:rsidRPr="0094392D" w:rsidRDefault="00EC1B3C" w:rsidP="007476C9">
      <w:pPr>
        <w:spacing w:after="0" w:line="360" w:lineRule="auto"/>
        <w:ind w:firstLine="709"/>
        <w:jc w:val="both"/>
        <w:rPr>
          <w:rFonts w:ascii="Times New Roman" w:hAnsi="Times New Roman"/>
          <w:sz w:val="28"/>
          <w:lang w:val="uk-UA"/>
        </w:rPr>
      </w:pPr>
      <w:r w:rsidRPr="0094392D">
        <w:rPr>
          <w:rFonts w:ascii="Times New Roman" w:hAnsi="Times New Roman"/>
          <w:sz w:val="28"/>
          <w:lang w:val="uk-UA"/>
        </w:rPr>
        <w:t>Джерело: складено на основі даних [11], [15]</w:t>
      </w:r>
    </w:p>
    <w:p w:rsidR="00EC1B3C" w:rsidRPr="0094392D" w:rsidRDefault="00EC1B3C" w:rsidP="00DB0937">
      <w:pPr>
        <w:spacing w:after="0" w:line="360" w:lineRule="auto"/>
        <w:ind w:firstLine="709"/>
        <w:jc w:val="both"/>
        <w:rPr>
          <w:rFonts w:ascii="Times New Roman" w:hAnsi="Times New Roman"/>
          <w:sz w:val="28"/>
          <w:szCs w:val="28"/>
          <w:lang w:val="uk-UA"/>
        </w:rPr>
      </w:pPr>
      <w:r w:rsidRPr="0094392D">
        <w:rPr>
          <w:rFonts w:ascii="Times New Roman" w:hAnsi="Times New Roman"/>
          <w:sz w:val="28"/>
          <w:lang w:val="uk-UA"/>
        </w:rPr>
        <w:t xml:space="preserve">Згідно з Рис. 2.6, рівень прямих інвестицій ОАЕ значно перевищував кількість інвестицій Ізраїлю впродовж 2018-2022 років. Протягом 2018-2022 рр., значення сальдо прямих інвестицій Ізраїлю були негативними, тобто </w:t>
      </w:r>
      <w:r w:rsidRPr="0094392D">
        <w:rPr>
          <w:rFonts w:ascii="Times New Roman" w:hAnsi="Times New Roman"/>
          <w:sz w:val="28"/>
          <w:szCs w:val="28"/>
          <w:lang w:val="uk-UA"/>
        </w:rPr>
        <w:t>збільшення вартості активів у резидентів Ізраїлю в інших країнах було менше, ніж збільшення вартості активів нерезидентів в Ізраїлі. В останні 5 років показники балансу прямих інвестицій були нестабільними та було зафіксовано два значних спади – у 2020 році та у 2022 році. У 2022 році значення сальдо прямих інвестицій Ізраїлю становило -18 518,8 млн. дол. США.</w:t>
      </w:r>
    </w:p>
    <w:p w:rsidR="00EC1B3C" w:rsidRPr="0094392D" w:rsidRDefault="00EC1B3C" w:rsidP="004B5749">
      <w:pPr>
        <w:spacing w:after="0" w:line="360" w:lineRule="auto"/>
        <w:ind w:firstLine="709"/>
        <w:jc w:val="both"/>
        <w:rPr>
          <w:rFonts w:ascii="Times New Roman" w:hAnsi="Times New Roman"/>
          <w:sz w:val="28"/>
          <w:szCs w:val="28"/>
          <w:lang w:val="uk-UA"/>
        </w:rPr>
      </w:pPr>
      <w:r w:rsidRPr="0094392D">
        <w:rPr>
          <w:rFonts w:ascii="Times New Roman" w:hAnsi="Times New Roman"/>
          <w:sz w:val="28"/>
          <w:szCs w:val="28"/>
          <w:lang w:val="uk-UA"/>
        </w:rPr>
        <w:t>Показники балансу прямих інвестицій ОАЕ впродовж 2018-2022 років в основному були позитивними, що означає, що збільшення вартості активів у резидентів ОАЕ в інших країнах було більше, ніж збільшення вартості активів нерезидентів в ОАЕ. У 2018-2020 році відбувався поступовий спад показників, в наслідок якого значення сальдо прямих інвестицій ОАЕ знизилися з 4 695 млн. дол. США у 2018 році до -944 млн. дол. США у 2020 році. У 2021 році спостерігався значний зріст показників, але вже у 2022 році значення знову різко впали.</w:t>
      </w:r>
    </w:p>
    <w:p w:rsidR="00EC1B3C" w:rsidRPr="0094392D" w:rsidRDefault="00EC1B3C" w:rsidP="004F1857">
      <w:pPr>
        <w:spacing w:after="0" w:line="360" w:lineRule="auto"/>
        <w:jc w:val="both"/>
        <w:rPr>
          <w:rFonts w:ascii="Times New Roman" w:hAnsi="Times New Roman"/>
          <w:sz w:val="28"/>
          <w:lang w:val="uk-UA"/>
        </w:rPr>
      </w:pPr>
      <w:r w:rsidRPr="0094392D">
        <w:rPr>
          <w:rFonts w:ascii="Times New Roman" w:hAnsi="Times New Roman"/>
          <w:sz w:val="28"/>
          <w:szCs w:val="28"/>
          <w:lang w:val="uk-UA"/>
        </w:rPr>
        <w:t xml:space="preserve">Далі розглянемо динаміку балансу портфельних інвестицій </w:t>
      </w:r>
      <w:r w:rsidRPr="0094392D">
        <w:rPr>
          <w:rFonts w:ascii="Times New Roman" w:hAnsi="Times New Roman"/>
          <w:sz w:val="28"/>
          <w:lang w:val="uk-UA"/>
        </w:rPr>
        <w:t xml:space="preserve">Ізраїлю та ОАЕ за 2018-2022 роки. </w:t>
      </w:r>
    </w:p>
    <w:p w:rsidR="00EC1B3C" w:rsidRPr="0094392D" w:rsidRDefault="00567DCA" w:rsidP="00F1254A">
      <w:pPr>
        <w:spacing w:after="0" w:line="360" w:lineRule="auto"/>
        <w:ind w:firstLine="708"/>
        <w:jc w:val="both"/>
        <w:rPr>
          <w:rFonts w:ascii="Times New Roman" w:hAnsi="Times New Roman"/>
          <w:sz w:val="28"/>
          <w:lang w:val="uk-UA"/>
        </w:rPr>
      </w:pPr>
      <w:r>
        <w:rPr>
          <w:noProof/>
          <w:lang w:eastAsia="ru-RU"/>
        </w:rPr>
        <w:pict>
          <v:shape id="Диаграмма 7" o:spid="_x0000_i1031" type="#_x0000_t75" style="width:361.5pt;height:216.75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">
            <v:imagedata r:id="rId13" o:title=""/>
            <o:lock v:ext="edit" aspectratio="f"/>
          </v:shape>
        </w:pict>
      </w:r>
    </w:p>
    <w:p w:rsidR="00EC1B3C" w:rsidRPr="0094392D" w:rsidRDefault="00EC1B3C" w:rsidP="00E8211B">
      <w:pPr>
        <w:spacing w:after="0" w:line="360" w:lineRule="auto"/>
        <w:ind w:firstLine="708"/>
        <w:jc w:val="both"/>
        <w:rPr>
          <w:rFonts w:ascii="Times New Roman" w:hAnsi="Times New Roman"/>
          <w:sz w:val="28"/>
          <w:lang w:val="uk-UA"/>
        </w:rPr>
      </w:pPr>
      <w:r w:rsidRPr="0094392D">
        <w:rPr>
          <w:rFonts w:ascii="Times New Roman" w:hAnsi="Times New Roman"/>
          <w:sz w:val="28"/>
          <w:lang w:val="uk-UA"/>
        </w:rPr>
        <w:t>Рис. 2.7 Динаміка балансу портфельних інвестицій Ізраїлю та ОАЕ у 2018-2022 роках</w:t>
      </w:r>
    </w:p>
    <w:p w:rsidR="00EC1B3C" w:rsidRPr="0094392D" w:rsidRDefault="00EC1B3C" w:rsidP="00E8211B">
      <w:pPr>
        <w:spacing w:after="0" w:line="360" w:lineRule="auto"/>
        <w:ind w:firstLine="709"/>
        <w:jc w:val="both"/>
        <w:rPr>
          <w:rFonts w:ascii="Times New Roman" w:hAnsi="Times New Roman"/>
          <w:sz w:val="28"/>
          <w:lang w:val="uk-UA"/>
        </w:rPr>
      </w:pPr>
      <w:r w:rsidRPr="0094392D">
        <w:rPr>
          <w:rFonts w:ascii="Times New Roman" w:hAnsi="Times New Roman"/>
          <w:sz w:val="28"/>
          <w:lang w:val="uk-UA"/>
        </w:rPr>
        <w:t>Джерело: складено на основі даних [7], [11]</w:t>
      </w:r>
    </w:p>
    <w:p w:rsidR="00EC1B3C" w:rsidRPr="0094392D" w:rsidRDefault="00EC1B3C" w:rsidP="002050A3">
      <w:pPr>
        <w:spacing w:after="0" w:line="360" w:lineRule="auto"/>
        <w:ind w:firstLine="709"/>
        <w:jc w:val="both"/>
        <w:rPr>
          <w:rStyle w:val="a3"/>
          <w:rFonts w:ascii="Times New Roman" w:hAnsi="Times New Roman"/>
          <w:color w:val="auto"/>
          <w:sz w:val="28"/>
          <w:u w:val="none"/>
          <w:lang w:val="uk-UA"/>
        </w:rPr>
      </w:pPr>
      <w:r w:rsidRPr="0094392D">
        <w:rPr>
          <w:rStyle w:val="a3"/>
          <w:rFonts w:ascii="Times New Roman" w:hAnsi="Times New Roman"/>
          <w:color w:val="auto"/>
          <w:sz w:val="28"/>
          <w:u w:val="none"/>
          <w:lang w:val="uk-UA"/>
        </w:rPr>
        <w:t xml:space="preserve">На Рис. 2.7 продемонстровано, що у 2018-2022 році значення сальдо портфельних інвестицій Ізраїлю значно перевищували баланс ОАЕ. У 2018-2019 роках показники Ізраїлю були позитивними і поступово знижувалися, у 2020 році почався стрімкий спад значень, який призвів до того, що баланс портфельних інвестицій країни став негативним. Негативні значення балансу портфельних інвестицій свідчить про те, що в ці роки зобов’язання країни перевищували активи. У 2022 році показники Ізраїлю зросли з -15 487,8 млн. дол. США (у 2021 році) до -6 816,4 млн. дол. США (у 2022 році). </w:t>
      </w:r>
    </w:p>
    <w:p w:rsidR="00EC1B3C" w:rsidRPr="0094392D" w:rsidRDefault="00EC1B3C" w:rsidP="002050A3">
      <w:pPr>
        <w:spacing w:after="0" w:line="360" w:lineRule="auto"/>
        <w:ind w:firstLine="709"/>
        <w:jc w:val="both"/>
        <w:rPr>
          <w:rStyle w:val="a3"/>
          <w:rFonts w:ascii="Times New Roman" w:hAnsi="Times New Roman"/>
          <w:color w:val="auto"/>
          <w:sz w:val="28"/>
          <w:u w:val="none"/>
          <w:lang w:val="uk-UA"/>
        </w:rPr>
      </w:pPr>
      <w:r w:rsidRPr="0094392D">
        <w:rPr>
          <w:rStyle w:val="a3"/>
          <w:rFonts w:ascii="Times New Roman" w:hAnsi="Times New Roman"/>
          <w:color w:val="auto"/>
          <w:sz w:val="28"/>
          <w:u w:val="none"/>
          <w:lang w:val="uk-UA"/>
        </w:rPr>
        <w:t xml:space="preserve">В ОАЕ показники сальдо портфельних інвестицій були позитивними протягом 2018-2022 років, тобто в цей період активи перевищували зобов’язання країни. З 2018 по 2019 рік значення балансу поступово зростали, після чого у 2020 році відбувся спад показників з 1 116,41 млн. дол. США (у 2019 році) до 1 089,18 млн. дол. США (у 2020 році). З 2021 по 2022 рік був зафіксований значний зріст значень балансу портфельних інвестицій ОАЕ, який завершився досягненням максимального значення сальдо у 2022 році і склав 3 000 млн. дол. США. </w:t>
      </w:r>
    </w:p>
    <w:p w:rsidR="00EC1B3C" w:rsidRPr="0094392D" w:rsidRDefault="00567DCA" w:rsidP="00F1254A">
      <w:pPr>
        <w:spacing w:after="0" w:line="360" w:lineRule="auto"/>
        <w:ind w:firstLine="708"/>
        <w:jc w:val="both"/>
        <w:rPr>
          <w:rFonts w:ascii="Times New Roman" w:hAnsi="Times New Roman"/>
          <w:sz w:val="28"/>
          <w:lang w:val="uk-UA"/>
        </w:rPr>
      </w:pPr>
      <w:r>
        <w:rPr>
          <w:noProof/>
          <w:lang w:eastAsia="ru-RU"/>
        </w:rPr>
        <w:pict>
          <v:shape id="Диаграмма 8" o:spid="_x0000_i1032" type="#_x0000_t75" style="width:361.5pt;height:216.75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">
            <v:imagedata r:id="rId14" o:title=""/>
            <o:lock v:ext="edit" aspectratio="f"/>
          </v:shape>
        </w:pict>
      </w:r>
    </w:p>
    <w:p w:rsidR="00EC1B3C" w:rsidRPr="0094392D" w:rsidRDefault="00EC1B3C" w:rsidP="00BA5DD9">
      <w:pPr>
        <w:spacing w:after="0" w:line="360" w:lineRule="auto"/>
        <w:ind w:firstLine="708"/>
        <w:jc w:val="both"/>
        <w:rPr>
          <w:rFonts w:ascii="Times New Roman" w:hAnsi="Times New Roman"/>
          <w:sz w:val="28"/>
          <w:lang w:val="uk-UA"/>
        </w:rPr>
      </w:pPr>
      <w:r w:rsidRPr="0094392D">
        <w:rPr>
          <w:rFonts w:ascii="Times New Roman" w:hAnsi="Times New Roman"/>
          <w:sz w:val="28"/>
          <w:lang w:val="uk-UA"/>
        </w:rPr>
        <w:t>Рис. 2.8 Динаміка балансу інших інвестицій Ізраїлю та ОАЕ у 2018-2022 роках</w:t>
      </w:r>
    </w:p>
    <w:p w:rsidR="00EC1B3C" w:rsidRPr="0094392D" w:rsidRDefault="00EC1B3C" w:rsidP="00BA5DD9">
      <w:pPr>
        <w:spacing w:after="0" w:line="360" w:lineRule="auto"/>
        <w:ind w:firstLine="709"/>
        <w:jc w:val="both"/>
        <w:rPr>
          <w:rFonts w:ascii="Times New Roman" w:hAnsi="Times New Roman"/>
          <w:sz w:val="28"/>
          <w:lang w:val="uk-UA"/>
        </w:rPr>
      </w:pPr>
      <w:r w:rsidRPr="0094392D">
        <w:rPr>
          <w:rFonts w:ascii="Times New Roman" w:hAnsi="Times New Roman"/>
          <w:sz w:val="28"/>
          <w:lang w:val="uk-UA"/>
        </w:rPr>
        <w:t>Джерело: складено на основі даних [7], [11]</w:t>
      </w:r>
    </w:p>
    <w:p w:rsidR="00EC1B3C" w:rsidRPr="0094392D" w:rsidRDefault="00EC1B3C" w:rsidP="0052247B">
      <w:pPr>
        <w:spacing w:after="0" w:line="360" w:lineRule="auto"/>
        <w:ind w:firstLine="708"/>
        <w:jc w:val="both"/>
        <w:rPr>
          <w:rFonts w:ascii="Times New Roman" w:hAnsi="Times New Roman"/>
          <w:sz w:val="28"/>
          <w:lang w:val="uk-UA"/>
        </w:rPr>
      </w:pPr>
      <w:r w:rsidRPr="0094392D">
        <w:rPr>
          <w:rFonts w:ascii="Times New Roman" w:hAnsi="Times New Roman"/>
          <w:sz w:val="28"/>
          <w:lang w:val="uk-UA"/>
        </w:rPr>
        <w:t>Згідно з Рис. 2.8, сальдо інших інвестицій Ізраїлю мало позитивні значення та значно перевищувало показники балансу ОАЕ протягом 2018-2022 років. Позитивне значення балансу інших інвестицій свідчить про переважання активів над пасивами. Впродовж 2018-2020 років сальдо інших інвестицій Ізраїлю поступово зростали, після чого у 2021 році вони зазнали різкого падіння через збільшення значень пасивів в той період, а у 2022 році показники знову збільшилися і досягли максимального рівня у 13 532 млн. дол. США.</w:t>
      </w:r>
    </w:p>
    <w:p w:rsidR="00EC1B3C" w:rsidRPr="0094392D" w:rsidRDefault="00EC1B3C" w:rsidP="0052247B">
      <w:pPr>
        <w:spacing w:after="0" w:line="360" w:lineRule="auto"/>
        <w:ind w:firstLine="708"/>
        <w:jc w:val="both"/>
        <w:rPr>
          <w:rFonts w:ascii="Times New Roman" w:hAnsi="Times New Roman"/>
          <w:sz w:val="28"/>
          <w:lang w:val="uk-UA"/>
        </w:rPr>
      </w:pPr>
      <w:r w:rsidRPr="0094392D">
        <w:rPr>
          <w:rFonts w:ascii="Times New Roman" w:hAnsi="Times New Roman"/>
          <w:sz w:val="28"/>
          <w:lang w:val="uk-UA"/>
        </w:rPr>
        <w:t>В ОАЕ сальдо інших інвестицій протягом 2018-2022 років мало негативні значення, що свідчить про переважання пасивів над активами. Протягом 2018-2021 років показники поступово збільшилися з -39,87 млн. дол. США у 2018 році до -25,34 млн. дол. США у 2021 році.У 2022 році значення  балансу інших інвестицій ОАЕ різко впали до мінімального рівня за весь період часу і сягнули -78,02 млн. дол. США.</w:t>
      </w:r>
    </w:p>
    <w:p w:rsidR="00EC1B3C" w:rsidRPr="0094392D" w:rsidRDefault="00567DCA" w:rsidP="0052247B">
      <w:pPr>
        <w:spacing w:after="0" w:line="360" w:lineRule="auto"/>
        <w:ind w:firstLine="708"/>
        <w:jc w:val="both"/>
        <w:rPr>
          <w:rFonts w:ascii="Times New Roman" w:hAnsi="Times New Roman"/>
          <w:sz w:val="28"/>
          <w:lang w:val="uk-UA"/>
        </w:rPr>
      </w:pPr>
      <w:r>
        <w:rPr>
          <w:noProof/>
          <w:lang w:eastAsia="ru-RU"/>
        </w:rPr>
        <w:pict>
          <v:shape id="Диаграмма 9" o:spid="_x0000_i1033" type="#_x0000_t75" style="width:361.5pt;height:216.75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">
            <v:imagedata r:id="rId15" o:title=""/>
            <o:lock v:ext="edit" aspectratio="f"/>
          </v:shape>
        </w:pict>
      </w:r>
    </w:p>
    <w:p w:rsidR="00EC1B3C" w:rsidRPr="0094392D" w:rsidRDefault="00EC1B3C" w:rsidP="0052247B">
      <w:pPr>
        <w:spacing w:after="0" w:line="360" w:lineRule="auto"/>
        <w:ind w:firstLine="708"/>
        <w:jc w:val="both"/>
        <w:rPr>
          <w:rFonts w:ascii="Times New Roman" w:hAnsi="Times New Roman"/>
          <w:sz w:val="28"/>
          <w:lang w:val="uk-UA"/>
        </w:rPr>
      </w:pPr>
      <w:r w:rsidRPr="0094392D">
        <w:rPr>
          <w:rFonts w:ascii="Times New Roman" w:hAnsi="Times New Roman"/>
          <w:sz w:val="28"/>
          <w:lang w:val="uk-UA"/>
        </w:rPr>
        <w:t>Рис. 2.9 Динаміка резервних активів Ізраїлю та ОАЕ за 2018-2022 рр.</w:t>
      </w:r>
    </w:p>
    <w:p w:rsidR="00EC1B3C" w:rsidRPr="0094392D" w:rsidRDefault="00EC1B3C" w:rsidP="00FC2885">
      <w:pPr>
        <w:spacing w:after="0" w:line="360" w:lineRule="auto"/>
        <w:ind w:firstLine="709"/>
        <w:jc w:val="both"/>
        <w:rPr>
          <w:rFonts w:ascii="Times New Roman" w:hAnsi="Times New Roman"/>
          <w:sz w:val="28"/>
          <w:lang w:val="uk-UA"/>
        </w:rPr>
      </w:pPr>
      <w:r w:rsidRPr="0094392D">
        <w:rPr>
          <w:rFonts w:ascii="Times New Roman" w:hAnsi="Times New Roman"/>
          <w:sz w:val="28"/>
          <w:lang w:val="uk-UA"/>
        </w:rPr>
        <w:t>Джерело: складено на основі даних [15]</w:t>
      </w:r>
    </w:p>
    <w:p w:rsidR="00EC1B3C" w:rsidRPr="0094392D" w:rsidRDefault="00EC1B3C" w:rsidP="00147402">
      <w:pPr>
        <w:spacing w:after="0" w:line="360" w:lineRule="auto"/>
        <w:ind w:firstLine="708"/>
        <w:jc w:val="both"/>
        <w:rPr>
          <w:rFonts w:ascii="Times New Roman" w:hAnsi="Times New Roman"/>
          <w:sz w:val="28"/>
          <w:lang w:val="uk-UA"/>
        </w:rPr>
      </w:pPr>
      <w:r w:rsidRPr="0094392D">
        <w:rPr>
          <w:rFonts w:ascii="Times New Roman" w:hAnsi="Times New Roman"/>
          <w:sz w:val="28"/>
          <w:lang w:val="uk-UA"/>
        </w:rPr>
        <w:t>На Рис. 2.9 зображено динаміку резервних активів Ізраїлю та ОАЕ за 2018-2022 рік. Згідно з даними, показники резервних активів Ізраїлю значно перевищували значення резервних активів ОАЕ впродовж 2018-2022 років. Протягом 2018-2021 році відбувався поступовий зріст показників резервних активів Ізраїлю і у 2021 році досягнули максимального значення у 212,93 млн. дол. США. Але вже у 2022 році значення впали до 189,7 млн. дол. США. В ОАЕ показники резервних активів збільшувалися у 2018-2019 роках, після чого був зафіксований спад у 2020 році, але вже у 2021-2022 роках резервні активи ОАЕ зросли і досягнули 131,7 млн. дол. США.</w:t>
      </w:r>
    </w:p>
    <w:p w:rsidR="00EC1B3C" w:rsidRPr="0094392D" w:rsidRDefault="00EC1B3C" w:rsidP="00147402">
      <w:pPr>
        <w:spacing w:after="0" w:line="360" w:lineRule="auto"/>
        <w:ind w:firstLine="708"/>
        <w:jc w:val="both"/>
        <w:rPr>
          <w:rFonts w:ascii="Times New Roman" w:hAnsi="Times New Roman"/>
          <w:b/>
          <w:sz w:val="28"/>
          <w:szCs w:val="32"/>
          <w:lang w:val="uk-UA"/>
        </w:rPr>
      </w:pPr>
      <w:r w:rsidRPr="0094392D">
        <w:rPr>
          <w:rFonts w:ascii="Times New Roman" w:hAnsi="Times New Roman"/>
          <w:b/>
          <w:sz w:val="28"/>
          <w:szCs w:val="32"/>
          <w:lang w:val="uk-UA"/>
        </w:rPr>
        <w:t xml:space="preserve">2.3 </w:t>
      </w:r>
      <w:r w:rsidRPr="00FC275A">
        <w:rPr>
          <w:rFonts w:ascii="Times New Roman" w:hAnsi="Times New Roman"/>
          <w:b/>
          <w:sz w:val="28"/>
          <w:szCs w:val="32"/>
          <w:lang w:val="uk-UA"/>
        </w:rPr>
        <w:t>Моделювання та результат операцій «CarryTrade» з державними облігаціями Ізраїлю, Об’єднаних Арабських Еміратів та України</w:t>
      </w:r>
    </w:p>
    <w:p w:rsidR="00EC1B3C" w:rsidRPr="0094392D" w:rsidRDefault="00EC1B3C" w:rsidP="001307DD">
      <w:pPr>
        <w:spacing w:after="0" w:line="360" w:lineRule="auto"/>
        <w:ind w:firstLine="709"/>
        <w:jc w:val="both"/>
        <w:rPr>
          <w:rFonts w:ascii="Times New Roman" w:hAnsi="Times New Roman"/>
          <w:sz w:val="28"/>
          <w:szCs w:val="28"/>
          <w:lang w:val="uk-UA"/>
        </w:rPr>
      </w:pPr>
      <w:r w:rsidRPr="0094392D">
        <w:rPr>
          <w:rFonts w:ascii="Times New Roman" w:hAnsi="Times New Roman"/>
          <w:sz w:val="28"/>
          <w:szCs w:val="28"/>
          <w:lang w:val="uk-UA"/>
        </w:rPr>
        <w:t xml:space="preserve">У даному підрозділі роботи досліджується вплив прямих інвестицій (активів), валютного курсу, відсоткової ставки та видатків державного бюджету у % від ВВП на баланс доходу від інвестицій Ізраїлю та ОАЕ за допомогою регресійної моделі. </w:t>
      </w:r>
    </w:p>
    <w:p w:rsidR="00EC1B3C" w:rsidRPr="0094392D" w:rsidRDefault="00EC1B3C" w:rsidP="001307DD">
      <w:pPr>
        <w:spacing w:after="0" w:line="360" w:lineRule="auto"/>
        <w:ind w:firstLine="709"/>
        <w:jc w:val="both"/>
        <w:rPr>
          <w:rFonts w:ascii="Times New Roman" w:hAnsi="Times New Roman"/>
          <w:sz w:val="28"/>
          <w:szCs w:val="28"/>
          <w:lang w:val="uk-UA"/>
        </w:rPr>
      </w:pPr>
      <w:r w:rsidRPr="0094392D">
        <w:rPr>
          <w:rFonts w:ascii="Times New Roman" w:hAnsi="Times New Roman"/>
          <w:sz w:val="28"/>
          <w:szCs w:val="28"/>
          <w:lang w:val="uk-UA"/>
        </w:rPr>
        <w:t xml:space="preserve">Отже, модель має вигляд: </w:t>
      </w:r>
    </w:p>
    <w:p w:rsidR="00EC1B3C" w:rsidRPr="0094392D" w:rsidRDefault="00EC1B3C" w:rsidP="001307DD">
      <w:pPr>
        <w:spacing w:after="0" w:line="360" w:lineRule="auto"/>
        <w:ind w:firstLine="709"/>
        <w:jc w:val="both"/>
        <w:rPr>
          <w:rFonts w:ascii="Times New Roman" w:hAnsi="Times New Roman"/>
          <w:sz w:val="28"/>
          <w:szCs w:val="28"/>
          <w:lang w:val="uk-UA"/>
        </w:rPr>
      </w:pPr>
      <w:r w:rsidRPr="0094392D">
        <w:rPr>
          <w:rFonts w:ascii="Times New Roman" w:hAnsi="Times New Roman"/>
          <w:sz w:val="28"/>
          <w:szCs w:val="28"/>
          <w:lang w:val="uk-UA"/>
        </w:rPr>
        <w:t xml:space="preserve">inv = β1·d + β2·e + β3·r + β4·exp, де </w:t>
      </w:r>
    </w:p>
    <w:p w:rsidR="00EC1B3C" w:rsidRPr="0094392D" w:rsidRDefault="00EC1B3C" w:rsidP="001307DD">
      <w:pPr>
        <w:spacing w:after="0" w:line="360" w:lineRule="auto"/>
        <w:ind w:firstLine="709"/>
        <w:jc w:val="both"/>
        <w:rPr>
          <w:rFonts w:ascii="Times New Roman" w:hAnsi="Times New Roman"/>
          <w:sz w:val="28"/>
          <w:szCs w:val="28"/>
          <w:lang w:val="uk-UA"/>
        </w:rPr>
      </w:pPr>
      <w:r w:rsidRPr="0094392D">
        <w:rPr>
          <w:rFonts w:ascii="Times New Roman" w:hAnsi="Times New Roman"/>
          <w:sz w:val="28"/>
          <w:szCs w:val="28"/>
          <w:lang w:val="uk-UA"/>
        </w:rPr>
        <w:t xml:space="preserve">inv – баланс доходу від інвестицій Ізраїлюта ОАЕ; </w:t>
      </w:r>
    </w:p>
    <w:p w:rsidR="00EC1B3C" w:rsidRPr="0094392D" w:rsidRDefault="00EC1B3C" w:rsidP="001307DD">
      <w:pPr>
        <w:spacing w:after="0" w:line="360" w:lineRule="auto"/>
        <w:ind w:firstLine="709"/>
        <w:jc w:val="both"/>
        <w:rPr>
          <w:rFonts w:ascii="Times New Roman" w:hAnsi="Times New Roman"/>
          <w:sz w:val="28"/>
          <w:szCs w:val="28"/>
          <w:lang w:val="uk-UA"/>
        </w:rPr>
      </w:pPr>
      <w:r w:rsidRPr="0094392D">
        <w:rPr>
          <w:rFonts w:ascii="Times New Roman" w:hAnsi="Times New Roman"/>
          <w:sz w:val="28"/>
          <w:szCs w:val="28"/>
          <w:lang w:val="uk-UA"/>
        </w:rPr>
        <w:t xml:space="preserve">d – прямі інвестиції (активи); </w:t>
      </w:r>
    </w:p>
    <w:p w:rsidR="00EC1B3C" w:rsidRPr="0094392D" w:rsidRDefault="00EC1B3C" w:rsidP="001307DD">
      <w:pPr>
        <w:spacing w:after="0" w:line="360" w:lineRule="auto"/>
        <w:ind w:firstLine="709"/>
        <w:jc w:val="both"/>
        <w:rPr>
          <w:rFonts w:ascii="Times New Roman" w:hAnsi="Times New Roman"/>
          <w:sz w:val="28"/>
          <w:szCs w:val="28"/>
          <w:lang w:val="uk-UA"/>
        </w:rPr>
      </w:pPr>
      <w:r w:rsidRPr="0094392D">
        <w:rPr>
          <w:rFonts w:ascii="Times New Roman" w:hAnsi="Times New Roman"/>
          <w:sz w:val="28"/>
          <w:szCs w:val="28"/>
          <w:lang w:val="uk-UA"/>
        </w:rPr>
        <w:t xml:space="preserve">e – валютний курс даних країн; </w:t>
      </w:r>
    </w:p>
    <w:p w:rsidR="00EC1B3C" w:rsidRPr="0094392D" w:rsidRDefault="00EC1B3C" w:rsidP="001307DD">
      <w:pPr>
        <w:spacing w:after="0" w:line="360" w:lineRule="auto"/>
        <w:ind w:firstLine="709"/>
        <w:jc w:val="both"/>
        <w:rPr>
          <w:rFonts w:ascii="Times New Roman" w:hAnsi="Times New Roman"/>
          <w:sz w:val="28"/>
          <w:szCs w:val="28"/>
          <w:lang w:val="uk-UA"/>
        </w:rPr>
      </w:pPr>
      <w:r w:rsidRPr="0094392D">
        <w:rPr>
          <w:rFonts w:ascii="Times New Roman" w:hAnsi="Times New Roman"/>
          <w:sz w:val="28"/>
          <w:szCs w:val="28"/>
          <w:lang w:val="uk-UA"/>
        </w:rPr>
        <w:t xml:space="preserve">r – відсоткова ставка; </w:t>
      </w:r>
    </w:p>
    <w:p w:rsidR="00EC1B3C" w:rsidRPr="0094392D" w:rsidRDefault="00EC1B3C" w:rsidP="001307DD">
      <w:pPr>
        <w:spacing w:after="0" w:line="360" w:lineRule="auto"/>
        <w:ind w:firstLine="709"/>
        <w:jc w:val="both"/>
        <w:rPr>
          <w:rFonts w:ascii="Times New Roman" w:hAnsi="Times New Roman"/>
          <w:sz w:val="28"/>
          <w:szCs w:val="28"/>
          <w:lang w:val="uk-UA"/>
        </w:rPr>
      </w:pPr>
      <w:r w:rsidRPr="0094392D">
        <w:rPr>
          <w:rFonts w:ascii="Times New Roman" w:hAnsi="Times New Roman"/>
          <w:sz w:val="28"/>
          <w:szCs w:val="28"/>
          <w:lang w:val="uk-UA"/>
        </w:rPr>
        <w:t xml:space="preserve">exp – видатки державного бюджету у % від ВВП країн. </w:t>
      </w:r>
    </w:p>
    <w:p w:rsidR="00EC1B3C" w:rsidRPr="0094392D" w:rsidRDefault="00EC1B3C" w:rsidP="001307DD">
      <w:pPr>
        <w:spacing w:after="0" w:line="360" w:lineRule="auto"/>
        <w:ind w:firstLine="709"/>
        <w:jc w:val="both"/>
        <w:rPr>
          <w:rFonts w:ascii="Times New Roman" w:hAnsi="Times New Roman"/>
          <w:sz w:val="28"/>
          <w:szCs w:val="28"/>
          <w:lang w:val="uk-UA"/>
        </w:rPr>
      </w:pPr>
      <w:r w:rsidRPr="0094392D">
        <w:rPr>
          <w:rFonts w:ascii="Times New Roman" w:hAnsi="Times New Roman"/>
          <w:sz w:val="28"/>
          <w:szCs w:val="28"/>
          <w:lang w:val="uk-UA"/>
        </w:rPr>
        <w:t xml:space="preserve">Дана модель була оцінена на підставі річних статистичних даних Ізраїлю та ОАЕ за період 1990-2022 років. Показники отримано із бази даних EconomistIntelligenceUnitreports, IMFInternationalFinancialStatistics, TheWorldBankData – WorldDevelopmentIndicators та FREDEconomicData (див. додаток А, табл. А.1). </w:t>
      </w:r>
    </w:p>
    <w:p w:rsidR="00EC1B3C" w:rsidRPr="0094392D" w:rsidRDefault="00EC1B3C" w:rsidP="001307DD">
      <w:pPr>
        <w:spacing w:after="0" w:line="360" w:lineRule="auto"/>
        <w:ind w:firstLine="709"/>
        <w:jc w:val="both"/>
        <w:rPr>
          <w:rFonts w:ascii="Times New Roman" w:hAnsi="Times New Roman"/>
          <w:sz w:val="28"/>
          <w:szCs w:val="28"/>
          <w:lang w:val="uk-UA"/>
        </w:rPr>
      </w:pPr>
      <w:r w:rsidRPr="0094392D">
        <w:rPr>
          <w:rFonts w:ascii="Times New Roman" w:hAnsi="Times New Roman"/>
          <w:sz w:val="28"/>
          <w:szCs w:val="28"/>
          <w:lang w:val="uk-UA"/>
        </w:rPr>
        <w:t>Спочатку розглянемо вплив перелічених показників на дохід від інвестицій Ізраїлю. Коефіцієнт детермінації R</w:t>
      </w:r>
      <w:r w:rsidRPr="0094392D">
        <w:rPr>
          <w:rFonts w:ascii="Times New Roman" w:hAnsi="Times New Roman"/>
          <w:sz w:val="28"/>
          <w:szCs w:val="28"/>
          <w:vertAlign w:val="superscript"/>
          <w:lang w:val="uk-UA"/>
        </w:rPr>
        <w:t>2</w:t>
      </w:r>
      <w:r w:rsidRPr="0094392D">
        <w:rPr>
          <w:rFonts w:ascii="Times New Roman" w:hAnsi="Times New Roman"/>
          <w:sz w:val="28"/>
          <w:szCs w:val="28"/>
          <w:lang w:val="uk-UA"/>
        </w:rPr>
        <w:t xml:space="preserve"> становить 0,30, тобто обрані факторипояснюють залежну змінну на 30%. Далі проаналізуємо таблицю 2.1, у якій наведені результати регресійного аналізу.</w:t>
      </w:r>
    </w:p>
    <w:p w:rsidR="00EC1B3C" w:rsidRPr="0094392D" w:rsidRDefault="00EC1B3C" w:rsidP="001307DD">
      <w:pPr>
        <w:spacing w:after="0" w:line="360" w:lineRule="auto"/>
        <w:ind w:firstLine="709"/>
        <w:jc w:val="both"/>
        <w:rPr>
          <w:rFonts w:ascii="Times New Roman" w:hAnsi="Times New Roman"/>
          <w:sz w:val="28"/>
          <w:szCs w:val="28"/>
          <w:lang w:val="uk-UA"/>
        </w:rPr>
      </w:pPr>
    </w:p>
    <w:p w:rsidR="00EC1B3C" w:rsidRPr="0094392D" w:rsidRDefault="00EC1B3C" w:rsidP="001307DD">
      <w:pPr>
        <w:spacing w:after="0" w:line="360" w:lineRule="auto"/>
        <w:ind w:firstLine="709"/>
        <w:jc w:val="both"/>
        <w:rPr>
          <w:rFonts w:ascii="Times New Roman" w:hAnsi="Times New Roman"/>
          <w:sz w:val="28"/>
          <w:szCs w:val="28"/>
          <w:lang w:val="uk-UA"/>
        </w:rPr>
      </w:pPr>
    </w:p>
    <w:p w:rsidR="00EC1B3C" w:rsidRPr="0094392D" w:rsidRDefault="00EC1B3C" w:rsidP="001307DD">
      <w:pPr>
        <w:spacing w:after="0" w:line="360" w:lineRule="auto"/>
        <w:ind w:firstLine="709"/>
        <w:jc w:val="both"/>
        <w:rPr>
          <w:rFonts w:ascii="Times New Roman" w:hAnsi="Times New Roman"/>
          <w:sz w:val="28"/>
          <w:szCs w:val="28"/>
          <w:lang w:val="uk-UA"/>
        </w:rPr>
      </w:pPr>
    </w:p>
    <w:p w:rsidR="00EC1B3C" w:rsidRDefault="00EC1B3C" w:rsidP="001307DD">
      <w:pPr>
        <w:spacing w:after="0" w:line="360" w:lineRule="auto"/>
        <w:ind w:firstLine="709"/>
        <w:jc w:val="both"/>
        <w:rPr>
          <w:rFonts w:ascii="Times New Roman" w:hAnsi="Times New Roman"/>
          <w:sz w:val="28"/>
          <w:szCs w:val="28"/>
          <w:lang w:val="uk-UA"/>
        </w:rPr>
      </w:pPr>
    </w:p>
    <w:p w:rsidR="00EC1B3C" w:rsidRDefault="00EC1B3C" w:rsidP="001307DD">
      <w:pPr>
        <w:spacing w:after="0" w:line="360" w:lineRule="auto"/>
        <w:ind w:firstLine="709"/>
        <w:jc w:val="both"/>
        <w:rPr>
          <w:rFonts w:ascii="Times New Roman" w:hAnsi="Times New Roman"/>
          <w:sz w:val="28"/>
          <w:szCs w:val="28"/>
          <w:lang w:val="uk-UA"/>
        </w:rPr>
      </w:pPr>
    </w:p>
    <w:p w:rsidR="00EC1B3C" w:rsidRDefault="00EC1B3C" w:rsidP="001307DD">
      <w:pPr>
        <w:spacing w:after="0" w:line="360" w:lineRule="auto"/>
        <w:ind w:firstLine="709"/>
        <w:jc w:val="both"/>
        <w:rPr>
          <w:rFonts w:ascii="Times New Roman" w:hAnsi="Times New Roman"/>
          <w:sz w:val="28"/>
          <w:szCs w:val="28"/>
          <w:lang w:val="uk-UA"/>
        </w:rPr>
      </w:pPr>
    </w:p>
    <w:p w:rsidR="00EC1B3C" w:rsidRPr="0094392D" w:rsidRDefault="00EC1B3C" w:rsidP="001307DD">
      <w:pPr>
        <w:spacing w:after="0" w:line="360" w:lineRule="auto"/>
        <w:ind w:firstLine="709"/>
        <w:jc w:val="both"/>
        <w:rPr>
          <w:rFonts w:ascii="Times New Roman" w:hAnsi="Times New Roman"/>
          <w:sz w:val="28"/>
          <w:szCs w:val="28"/>
          <w:lang w:val="uk-UA"/>
        </w:rPr>
      </w:pPr>
    </w:p>
    <w:p w:rsidR="00EC1B3C" w:rsidRPr="0094392D" w:rsidRDefault="00EC1B3C" w:rsidP="00252077">
      <w:pPr>
        <w:spacing w:after="0" w:line="360" w:lineRule="auto"/>
        <w:ind w:firstLine="708"/>
        <w:jc w:val="right"/>
        <w:rPr>
          <w:rFonts w:ascii="Times New Roman" w:hAnsi="Times New Roman"/>
          <w:sz w:val="28"/>
          <w:szCs w:val="28"/>
          <w:lang w:val="uk-UA"/>
        </w:rPr>
      </w:pPr>
      <w:r w:rsidRPr="0094392D">
        <w:rPr>
          <w:rFonts w:ascii="Times New Roman" w:hAnsi="Times New Roman"/>
          <w:sz w:val="28"/>
          <w:szCs w:val="28"/>
          <w:lang w:val="uk-UA"/>
        </w:rPr>
        <w:t>Таблиця 2.1</w:t>
      </w:r>
    </w:p>
    <w:p w:rsidR="00EC1B3C" w:rsidRPr="0094392D" w:rsidRDefault="00EC1B3C" w:rsidP="00252077">
      <w:pPr>
        <w:spacing w:after="0" w:line="360" w:lineRule="auto"/>
        <w:ind w:firstLine="708"/>
        <w:jc w:val="center"/>
        <w:rPr>
          <w:rFonts w:ascii="Times New Roman" w:hAnsi="Times New Roman"/>
          <w:sz w:val="28"/>
          <w:szCs w:val="28"/>
          <w:lang w:val="uk-UA"/>
        </w:rPr>
      </w:pPr>
      <w:r w:rsidRPr="0094392D">
        <w:rPr>
          <w:rFonts w:ascii="Times New Roman" w:hAnsi="Times New Roman"/>
          <w:sz w:val="28"/>
          <w:szCs w:val="28"/>
          <w:lang w:val="uk-UA"/>
        </w:rPr>
        <w:t>Регресійна модель факторів впливу на дохід від інвестицій Ізраїлю</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515"/>
        <w:gridCol w:w="1432"/>
        <w:gridCol w:w="1603"/>
        <w:gridCol w:w="2213"/>
        <w:gridCol w:w="1252"/>
        <w:gridCol w:w="1555"/>
      </w:tblGrid>
      <w:tr w:rsidR="00EC1B3C" w:rsidRPr="008D06EC" w:rsidTr="008D06EC">
        <w:trPr>
          <w:trHeight w:val="755"/>
          <w:jc w:val="center"/>
        </w:trPr>
        <w:tc>
          <w:tcPr>
            <w:tcW w:w="1557" w:type="dxa"/>
            <w:vMerge w:val="restart"/>
            <w:vAlign w:val="center"/>
          </w:tcPr>
          <w:p w:rsidR="00EC1B3C" w:rsidRPr="008D06EC" w:rsidRDefault="00EC1B3C" w:rsidP="008D06EC">
            <w:pPr>
              <w:spacing w:after="0" w:line="360" w:lineRule="auto"/>
              <w:jc w:val="center"/>
              <w:rPr>
                <w:rFonts w:ascii="Times New Roman" w:hAnsi="Times New Roman"/>
                <w:sz w:val="28"/>
                <w:szCs w:val="28"/>
                <w:lang w:val="uk-UA"/>
              </w:rPr>
            </w:pPr>
            <w:r w:rsidRPr="008D06EC">
              <w:rPr>
                <w:rFonts w:ascii="Times New Roman" w:hAnsi="Times New Roman"/>
                <w:sz w:val="28"/>
                <w:szCs w:val="28"/>
                <w:lang w:val="uk-UA"/>
              </w:rPr>
              <w:t>Модель</w:t>
            </w:r>
          </w:p>
        </w:tc>
        <w:tc>
          <w:tcPr>
            <w:tcW w:w="3114" w:type="dxa"/>
            <w:gridSpan w:val="2"/>
            <w:vAlign w:val="center"/>
          </w:tcPr>
          <w:p w:rsidR="00EC1B3C" w:rsidRPr="008D06EC" w:rsidRDefault="00EC1B3C" w:rsidP="008D06EC">
            <w:pPr>
              <w:spacing w:after="0" w:line="360" w:lineRule="auto"/>
              <w:jc w:val="center"/>
              <w:rPr>
                <w:rFonts w:ascii="Times New Roman" w:hAnsi="Times New Roman"/>
                <w:sz w:val="28"/>
                <w:szCs w:val="28"/>
                <w:lang w:val="uk-UA"/>
              </w:rPr>
            </w:pPr>
            <w:r w:rsidRPr="008D06EC">
              <w:rPr>
                <w:rFonts w:ascii="Times New Roman" w:hAnsi="Times New Roman"/>
                <w:sz w:val="28"/>
                <w:szCs w:val="28"/>
                <w:lang w:val="uk-UA"/>
              </w:rPr>
              <w:t>Нестандартизовані коефіцієнти</w:t>
            </w:r>
          </w:p>
        </w:tc>
        <w:tc>
          <w:tcPr>
            <w:tcW w:w="1558" w:type="dxa"/>
            <w:vAlign w:val="center"/>
          </w:tcPr>
          <w:p w:rsidR="00EC1B3C" w:rsidRPr="008D06EC" w:rsidRDefault="00EC1B3C" w:rsidP="008D06EC">
            <w:pPr>
              <w:spacing w:after="0" w:line="360" w:lineRule="auto"/>
              <w:jc w:val="center"/>
              <w:rPr>
                <w:rFonts w:ascii="Times New Roman" w:hAnsi="Times New Roman"/>
                <w:sz w:val="28"/>
                <w:szCs w:val="28"/>
                <w:lang w:val="uk-UA"/>
              </w:rPr>
            </w:pPr>
            <w:r w:rsidRPr="008D06EC">
              <w:rPr>
                <w:rFonts w:ascii="Times New Roman" w:hAnsi="Times New Roman"/>
                <w:sz w:val="28"/>
                <w:szCs w:val="28"/>
                <w:lang w:val="uk-UA"/>
              </w:rPr>
              <w:t>Стандартизовані коефіцієнти</w:t>
            </w:r>
          </w:p>
        </w:tc>
        <w:tc>
          <w:tcPr>
            <w:tcW w:w="1558" w:type="dxa"/>
            <w:vMerge w:val="restart"/>
            <w:vAlign w:val="center"/>
          </w:tcPr>
          <w:p w:rsidR="00EC1B3C" w:rsidRPr="008D06EC" w:rsidRDefault="00EC1B3C" w:rsidP="008D06EC">
            <w:pPr>
              <w:spacing w:after="0" w:line="360" w:lineRule="auto"/>
              <w:jc w:val="center"/>
              <w:rPr>
                <w:rFonts w:ascii="Times New Roman" w:hAnsi="Times New Roman"/>
                <w:sz w:val="28"/>
                <w:szCs w:val="28"/>
                <w:lang w:val="uk-UA"/>
              </w:rPr>
            </w:pPr>
            <w:r w:rsidRPr="008D06EC">
              <w:rPr>
                <w:rFonts w:ascii="Times New Roman" w:hAnsi="Times New Roman"/>
                <w:sz w:val="28"/>
                <w:szCs w:val="28"/>
                <w:lang w:val="uk-UA"/>
              </w:rPr>
              <w:t>t</w:t>
            </w:r>
          </w:p>
        </w:tc>
        <w:tc>
          <w:tcPr>
            <w:tcW w:w="1558" w:type="dxa"/>
            <w:vMerge w:val="restart"/>
            <w:vAlign w:val="center"/>
          </w:tcPr>
          <w:p w:rsidR="00EC1B3C" w:rsidRPr="008D06EC" w:rsidRDefault="00EC1B3C" w:rsidP="008D06EC">
            <w:pPr>
              <w:spacing w:after="0" w:line="360" w:lineRule="auto"/>
              <w:jc w:val="center"/>
              <w:rPr>
                <w:rFonts w:ascii="Times New Roman" w:hAnsi="Times New Roman"/>
                <w:sz w:val="28"/>
                <w:szCs w:val="28"/>
                <w:lang w:val="uk-UA"/>
              </w:rPr>
            </w:pPr>
            <w:r w:rsidRPr="008D06EC">
              <w:rPr>
                <w:rFonts w:ascii="Times New Roman" w:hAnsi="Times New Roman"/>
                <w:sz w:val="28"/>
                <w:szCs w:val="28"/>
                <w:lang w:val="uk-UA"/>
              </w:rPr>
              <w:t>Значимість</w:t>
            </w:r>
          </w:p>
        </w:tc>
      </w:tr>
      <w:tr w:rsidR="00EC1B3C" w:rsidRPr="008D06EC" w:rsidTr="008D06EC">
        <w:trPr>
          <w:jc w:val="center"/>
        </w:trPr>
        <w:tc>
          <w:tcPr>
            <w:tcW w:w="1557" w:type="dxa"/>
            <w:vMerge/>
            <w:vAlign w:val="center"/>
          </w:tcPr>
          <w:p w:rsidR="00EC1B3C" w:rsidRPr="008D06EC" w:rsidRDefault="00EC1B3C" w:rsidP="008D06EC">
            <w:pPr>
              <w:spacing w:after="0" w:line="360" w:lineRule="auto"/>
              <w:jc w:val="center"/>
              <w:rPr>
                <w:rFonts w:ascii="Times New Roman" w:hAnsi="Times New Roman"/>
                <w:sz w:val="28"/>
                <w:szCs w:val="28"/>
                <w:lang w:val="uk-UA"/>
              </w:rPr>
            </w:pPr>
          </w:p>
        </w:tc>
        <w:tc>
          <w:tcPr>
            <w:tcW w:w="1557" w:type="dxa"/>
            <w:vAlign w:val="center"/>
          </w:tcPr>
          <w:p w:rsidR="00EC1B3C" w:rsidRPr="008D06EC" w:rsidRDefault="00EC1B3C" w:rsidP="008D06EC">
            <w:pPr>
              <w:spacing w:after="0" w:line="360" w:lineRule="auto"/>
              <w:jc w:val="center"/>
              <w:rPr>
                <w:rFonts w:ascii="Times New Roman" w:hAnsi="Times New Roman"/>
                <w:sz w:val="28"/>
                <w:szCs w:val="28"/>
                <w:lang w:val="uk-UA"/>
              </w:rPr>
            </w:pPr>
            <w:r w:rsidRPr="008D06EC">
              <w:rPr>
                <w:rFonts w:ascii="Times New Roman" w:hAnsi="Times New Roman"/>
                <w:sz w:val="28"/>
                <w:szCs w:val="28"/>
                <w:lang w:val="uk-UA"/>
              </w:rPr>
              <w:t>В</w:t>
            </w:r>
          </w:p>
        </w:tc>
        <w:tc>
          <w:tcPr>
            <w:tcW w:w="1557" w:type="dxa"/>
            <w:vAlign w:val="center"/>
          </w:tcPr>
          <w:p w:rsidR="00EC1B3C" w:rsidRPr="008D06EC" w:rsidRDefault="00EC1B3C" w:rsidP="008D06EC">
            <w:pPr>
              <w:spacing w:after="0" w:line="360" w:lineRule="auto"/>
              <w:jc w:val="center"/>
              <w:rPr>
                <w:rFonts w:ascii="Times New Roman" w:hAnsi="Times New Roman"/>
                <w:sz w:val="28"/>
                <w:szCs w:val="28"/>
                <w:lang w:val="uk-UA"/>
              </w:rPr>
            </w:pPr>
            <w:r w:rsidRPr="008D06EC">
              <w:rPr>
                <w:rFonts w:ascii="Times New Roman" w:hAnsi="Times New Roman"/>
                <w:sz w:val="28"/>
                <w:szCs w:val="28"/>
                <w:lang w:val="uk-UA"/>
              </w:rPr>
              <w:t>Стандартна похибка</w:t>
            </w:r>
          </w:p>
        </w:tc>
        <w:tc>
          <w:tcPr>
            <w:tcW w:w="1558" w:type="dxa"/>
            <w:vAlign w:val="center"/>
          </w:tcPr>
          <w:p w:rsidR="00EC1B3C" w:rsidRPr="008D06EC" w:rsidRDefault="00EC1B3C" w:rsidP="008D06EC">
            <w:pPr>
              <w:spacing w:after="0" w:line="360" w:lineRule="auto"/>
              <w:jc w:val="center"/>
              <w:rPr>
                <w:rFonts w:ascii="Times New Roman" w:hAnsi="Times New Roman"/>
                <w:sz w:val="28"/>
                <w:szCs w:val="28"/>
                <w:lang w:val="uk-UA"/>
              </w:rPr>
            </w:pPr>
            <w:r w:rsidRPr="008D06EC">
              <w:rPr>
                <w:rFonts w:ascii="Times New Roman" w:hAnsi="Times New Roman"/>
                <w:sz w:val="28"/>
                <w:szCs w:val="28"/>
                <w:lang w:val="uk-UA"/>
              </w:rPr>
              <w:t>Бета</w:t>
            </w:r>
          </w:p>
        </w:tc>
        <w:tc>
          <w:tcPr>
            <w:tcW w:w="1558" w:type="dxa"/>
            <w:vMerge/>
            <w:vAlign w:val="center"/>
          </w:tcPr>
          <w:p w:rsidR="00EC1B3C" w:rsidRPr="008D06EC" w:rsidRDefault="00EC1B3C" w:rsidP="008D06EC">
            <w:pPr>
              <w:spacing w:after="0" w:line="360" w:lineRule="auto"/>
              <w:jc w:val="center"/>
              <w:rPr>
                <w:rFonts w:ascii="Times New Roman" w:hAnsi="Times New Roman"/>
                <w:sz w:val="28"/>
                <w:szCs w:val="28"/>
                <w:lang w:val="uk-UA"/>
              </w:rPr>
            </w:pPr>
          </w:p>
        </w:tc>
        <w:tc>
          <w:tcPr>
            <w:tcW w:w="1558" w:type="dxa"/>
            <w:vMerge/>
            <w:vAlign w:val="center"/>
          </w:tcPr>
          <w:p w:rsidR="00EC1B3C" w:rsidRPr="008D06EC" w:rsidRDefault="00EC1B3C" w:rsidP="008D06EC">
            <w:pPr>
              <w:spacing w:after="0" w:line="360" w:lineRule="auto"/>
              <w:jc w:val="center"/>
              <w:rPr>
                <w:rFonts w:ascii="Times New Roman" w:hAnsi="Times New Roman"/>
                <w:sz w:val="28"/>
                <w:szCs w:val="28"/>
                <w:lang w:val="uk-UA"/>
              </w:rPr>
            </w:pPr>
          </w:p>
        </w:tc>
      </w:tr>
      <w:tr w:rsidR="00EC1B3C" w:rsidRPr="008D06EC" w:rsidTr="008D06EC">
        <w:trPr>
          <w:jc w:val="center"/>
        </w:trPr>
        <w:tc>
          <w:tcPr>
            <w:tcW w:w="1557" w:type="dxa"/>
            <w:vAlign w:val="center"/>
          </w:tcPr>
          <w:p w:rsidR="00EC1B3C" w:rsidRPr="008D06EC" w:rsidRDefault="00EC1B3C" w:rsidP="008D06EC">
            <w:pPr>
              <w:spacing w:after="0" w:line="360" w:lineRule="auto"/>
              <w:jc w:val="center"/>
              <w:rPr>
                <w:rFonts w:ascii="Times New Roman" w:hAnsi="Times New Roman"/>
                <w:sz w:val="28"/>
                <w:szCs w:val="28"/>
                <w:lang w:val="uk-UA"/>
              </w:rPr>
            </w:pPr>
            <w:r w:rsidRPr="008D06EC">
              <w:rPr>
                <w:rFonts w:ascii="Times New Roman" w:hAnsi="Times New Roman"/>
                <w:sz w:val="28"/>
                <w:szCs w:val="28"/>
                <w:lang w:val="uk-UA"/>
              </w:rPr>
              <w:t>Константа</w:t>
            </w:r>
          </w:p>
        </w:tc>
        <w:tc>
          <w:tcPr>
            <w:tcW w:w="1557" w:type="dxa"/>
            <w:vAlign w:val="center"/>
          </w:tcPr>
          <w:p w:rsidR="00EC1B3C" w:rsidRPr="008D06EC" w:rsidRDefault="00EC1B3C" w:rsidP="008D06EC">
            <w:pPr>
              <w:spacing w:after="0" w:line="360" w:lineRule="auto"/>
              <w:jc w:val="center"/>
              <w:rPr>
                <w:rFonts w:ascii="Times New Roman" w:hAnsi="Times New Roman"/>
                <w:sz w:val="28"/>
                <w:szCs w:val="28"/>
                <w:lang w:val="uk-UA"/>
              </w:rPr>
            </w:pPr>
            <w:r w:rsidRPr="008D06EC">
              <w:rPr>
                <w:rFonts w:ascii="Times New Roman" w:hAnsi="Times New Roman"/>
                <w:sz w:val="28"/>
                <w:szCs w:val="28"/>
                <w:lang w:val="uk-UA"/>
              </w:rPr>
              <w:t>7270,153</w:t>
            </w:r>
          </w:p>
        </w:tc>
        <w:tc>
          <w:tcPr>
            <w:tcW w:w="1557" w:type="dxa"/>
            <w:vAlign w:val="center"/>
          </w:tcPr>
          <w:p w:rsidR="00EC1B3C" w:rsidRPr="008D06EC" w:rsidRDefault="00EC1B3C" w:rsidP="008D06EC">
            <w:pPr>
              <w:spacing w:after="0" w:line="360" w:lineRule="auto"/>
              <w:jc w:val="center"/>
              <w:rPr>
                <w:rFonts w:ascii="Times New Roman" w:hAnsi="Times New Roman"/>
                <w:sz w:val="28"/>
                <w:szCs w:val="28"/>
                <w:lang w:val="uk-UA"/>
              </w:rPr>
            </w:pPr>
            <w:r w:rsidRPr="008D06EC">
              <w:rPr>
                <w:rFonts w:ascii="Times New Roman" w:hAnsi="Times New Roman"/>
                <w:sz w:val="28"/>
                <w:szCs w:val="28"/>
                <w:lang w:val="uk-UA"/>
              </w:rPr>
              <w:t>5250,556</w:t>
            </w:r>
          </w:p>
        </w:tc>
        <w:tc>
          <w:tcPr>
            <w:tcW w:w="1558" w:type="dxa"/>
            <w:vAlign w:val="center"/>
          </w:tcPr>
          <w:p w:rsidR="00EC1B3C" w:rsidRPr="008D06EC" w:rsidRDefault="00EC1B3C" w:rsidP="008D06EC">
            <w:pPr>
              <w:spacing w:after="0" w:line="360" w:lineRule="auto"/>
              <w:jc w:val="center"/>
              <w:rPr>
                <w:rFonts w:ascii="Times New Roman" w:hAnsi="Times New Roman"/>
                <w:sz w:val="28"/>
                <w:szCs w:val="28"/>
                <w:lang w:val="uk-UA"/>
              </w:rPr>
            </w:pPr>
          </w:p>
        </w:tc>
        <w:tc>
          <w:tcPr>
            <w:tcW w:w="1558" w:type="dxa"/>
            <w:vAlign w:val="center"/>
          </w:tcPr>
          <w:p w:rsidR="00EC1B3C" w:rsidRPr="008D06EC" w:rsidRDefault="00EC1B3C" w:rsidP="008D06EC">
            <w:pPr>
              <w:spacing w:after="0" w:line="360" w:lineRule="auto"/>
              <w:jc w:val="center"/>
              <w:rPr>
                <w:rFonts w:ascii="Times New Roman" w:hAnsi="Times New Roman"/>
                <w:sz w:val="28"/>
                <w:szCs w:val="28"/>
                <w:lang w:val="uk-UA"/>
              </w:rPr>
            </w:pPr>
            <w:r w:rsidRPr="008D06EC">
              <w:rPr>
                <w:rFonts w:ascii="Times New Roman" w:hAnsi="Times New Roman"/>
                <w:sz w:val="28"/>
                <w:szCs w:val="28"/>
                <w:lang w:val="uk-UA"/>
              </w:rPr>
              <w:t>1,385</w:t>
            </w:r>
          </w:p>
        </w:tc>
        <w:tc>
          <w:tcPr>
            <w:tcW w:w="1558" w:type="dxa"/>
            <w:vAlign w:val="center"/>
          </w:tcPr>
          <w:p w:rsidR="00EC1B3C" w:rsidRPr="008D06EC" w:rsidRDefault="00EC1B3C" w:rsidP="008D06EC">
            <w:pPr>
              <w:spacing w:after="0" w:line="360" w:lineRule="auto"/>
              <w:jc w:val="center"/>
              <w:rPr>
                <w:rFonts w:ascii="Times New Roman" w:hAnsi="Times New Roman"/>
                <w:sz w:val="28"/>
                <w:szCs w:val="28"/>
                <w:lang w:val="uk-UA"/>
              </w:rPr>
            </w:pPr>
            <w:r w:rsidRPr="008D06EC">
              <w:rPr>
                <w:rFonts w:ascii="Times New Roman" w:hAnsi="Times New Roman"/>
                <w:sz w:val="28"/>
                <w:szCs w:val="28"/>
                <w:lang w:val="uk-UA"/>
              </w:rPr>
              <w:t>0,179</w:t>
            </w:r>
          </w:p>
        </w:tc>
      </w:tr>
      <w:tr w:rsidR="00EC1B3C" w:rsidRPr="008D06EC" w:rsidTr="008D06EC">
        <w:trPr>
          <w:jc w:val="center"/>
        </w:trPr>
        <w:tc>
          <w:tcPr>
            <w:tcW w:w="1557" w:type="dxa"/>
            <w:vAlign w:val="center"/>
          </w:tcPr>
          <w:p w:rsidR="00EC1B3C" w:rsidRPr="008D06EC" w:rsidRDefault="00EC1B3C" w:rsidP="008D06EC">
            <w:pPr>
              <w:spacing w:after="0" w:line="360" w:lineRule="auto"/>
              <w:jc w:val="center"/>
              <w:rPr>
                <w:rFonts w:ascii="Times New Roman" w:hAnsi="Times New Roman"/>
                <w:sz w:val="28"/>
                <w:szCs w:val="28"/>
                <w:lang w:val="uk-UA"/>
              </w:rPr>
            </w:pPr>
            <w:r w:rsidRPr="008D06EC">
              <w:rPr>
                <w:rFonts w:ascii="Times New Roman" w:hAnsi="Times New Roman"/>
                <w:sz w:val="28"/>
                <w:szCs w:val="28"/>
                <w:lang w:val="uk-UA"/>
              </w:rPr>
              <w:t>d</w:t>
            </w:r>
          </w:p>
        </w:tc>
        <w:tc>
          <w:tcPr>
            <w:tcW w:w="1557" w:type="dxa"/>
            <w:vAlign w:val="center"/>
          </w:tcPr>
          <w:p w:rsidR="00EC1B3C" w:rsidRPr="008D06EC" w:rsidRDefault="00EC1B3C" w:rsidP="008D06EC">
            <w:pPr>
              <w:spacing w:after="0" w:line="360" w:lineRule="auto"/>
              <w:jc w:val="center"/>
              <w:rPr>
                <w:rFonts w:ascii="Times New Roman" w:hAnsi="Times New Roman"/>
                <w:sz w:val="28"/>
                <w:szCs w:val="28"/>
                <w:lang w:val="uk-UA"/>
              </w:rPr>
            </w:pPr>
            <w:r w:rsidRPr="008D06EC">
              <w:rPr>
                <w:rFonts w:ascii="Times New Roman" w:hAnsi="Times New Roman"/>
                <w:sz w:val="28"/>
                <w:szCs w:val="28"/>
                <w:lang w:val="uk-UA"/>
              </w:rPr>
              <w:t>-0,235</w:t>
            </w:r>
          </w:p>
        </w:tc>
        <w:tc>
          <w:tcPr>
            <w:tcW w:w="1557" w:type="dxa"/>
            <w:vAlign w:val="center"/>
          </w:tcPr>
          <w:p w:rsidR="00EC1B3C" w:rsidRPr="008D06EC" w:rsidRDefault="00EC1B3C" w:rsidP="008D06EC">
            <w:pPr>
              <w:spacing w:after="0" w:line="360" w:lineRule="auto"/>
              <w:jc w:val="center"/>
              <w:rPr>
                <w:rFonts w:ascii="Times New Roman" w:hAnsi="Times New Roman"/>
                <w:sz w:val="28"/>
                <w:szCs w:val="28"/>
                <w:lang w:val="uk-UA"/>
              </w:rPr>
            </w:pPr>
            <w:r w:rsidRPr="008D06EC">
              <w:rPr>
                <w:rFonts w:ascii="Times New Roman" w:hAnsi="Times New Roman"/>
                <w:sz w:val="28"/>
                <w:szCs w:val="28"/>
                <w:lang w:val="uk-UA"/>
              </w:rPr>
              <w:t>0,190</w:t>
            </w:r>
          </w:p>
        </w:tc>
        <w:tc>
          <w:tcPr>
            <w:tcW w:w="1558" w:type="dxa"/>
            <w:vAlign w:val="center"/>
          </w:tcPr>
          <w:p w:rsidR="00EC1B3C" w:rsidRPr="008D06EC" w:rsidRDefault="00EC1B3C" w:rsidP="008D06EC">
            <w:pPr>
              <w:spacing w:after="0" w:line="360" w:lineRule="auto"/>
              <w:jc w:val="center"/>
              <w:rPr>
                <w:rFonts w:ascii="Times New Roman" w:hAnsi="Times New Roman"/>
                <w:sz w:val="28"/>
                <w:szCs w:val="28"/>
                <w:lang w:val="uk-UA"/>
              </w:rPr>
            </w:pPr>
            <w:r w:rsidRPr="008D06EC">
              <w:rPr>
                <w:rFonts w:ascii="Times New Roman" w:hAnsi="Times New Roman"/>
                <w:sz w:val="28"/>
                <w:szCs w:val="28"/>
                <w:lang w:val="uk-UA"/>
              </w:rPr>
              <w:t>-0,365</w:t>
            </w:r>
          </w:p>
        </w:tc>
        <w:tc>
          <w:tcPr>
            <w:tcW w:w="1558" w:type="dxa"/>
            <w:vAlign w:val="center"/>
          </w:tcPr>
          <w:p w:rsidR="00EC1B3C" w:rsidRPr="008D06EC" w:rsidRDefault="00EC1B3C" w:rsidP="008D06EC">
            <w:pPr>
              <w:spacing w:after="0" w:line="360" w:lineRule="auto"/>
              <w:jc w:val="center"/>
              <w:rPr>
                <w:rFonts w:ascii="Times New Roman" w:hAnsi="Times New Roman"/>
                <w:sz w:val="28"/>
                <w:szCs w:val="28"/>
                <w:lang w:val="uk-UA"/>
              </w:rPr>
            </w:pPr>
            <w:r w:rsidRPr="008D06EC">
              <w:rPr>
                <w:rFonts w:ascii="Times New Roman" w:hAnsi="Times New Roman"/>
                <w:sz w:val="28"/>
                <w:szCs w:val="28"/>
                <w:lang w:val="uk-UA"/>
              </w:rPr>
              <w:t>-1,236</w:t>
            </w:r>
          </w:p>
        </w:tc>
        <w:tc>
          <w:tcPr>
            <w:tcW w:w="1558" w:type="dxa"/>
            <w:vAlign w:val="center"/>
          </w:tcPr>
          <w:p w:rsidR="00EC1B3C" w:rsidRPr="008D06EC" w:rsidRDefault="00EC1B3C" w:rsidP="008D06EC">
            <w:pPr>
              <w:spacing w:after="0" w:line="360" w:lineRule="auto"/>
              <w:jc w:val="center"/>
              <w:rPr>
                <w:rFonts w:ascii="Times New Roman" w:hAnsi="Times New Roman"/>
                <w:sz w:val="28"/>
                <w:szCs w:val="28"/>
                <w:lang w:val="uk-UA"/>
              </w:rPr>
            </w:pPr>
            <w:r w:rsidRPr="008D06EC">
              <w:rPr>
                <w:rFonts w:ascii="Times New Roman" w:hAnsi="Times New Roman"/>
                <w:sz w:val="28"/>
                <w:szCs w:val="28"/>
                <w:lang w:val="uk-UA"/>
              </w:rPr>
              <w:t>0,229</w:t>
            </w:r>
          </w:p>
        </w:tc>
      </w:tr>
      <w:tr w:rsidR="00EC1B3C" w:rsidRPr="008D06EC" w:rsidTr="008D06EC">
        <w:trPr>
          <w:jc w:val="center"/>
        </w:trPr>
        <w:tc>
          <w:tcPr>
            <w:tcW w:w="1557" w:type="dxa"/>
            <w:vAlign w:val="center"/>
          </w:tcPr>
          <w:p w:rsidR="00EC1B3C" w:rsidRPr="008D06EC" w:rsidRDefault="00EC1B3C" w:rsidP="008D06EC">
            <w:pPr>
              <w:spacing w:after="0" w:line="360" w:lineRule="auto"/>
              <w:jc w:val="center"/>
              <w:rPr>
                <w:rFonts w:ascii="Times New Roman" w:hAnsi="Times New Roman"/>
                <w:sz w:val="28"/>
                <w:szCs w:val="28"/>
                <w:lang w:val="uk-UA"/>
              </w:rPr>
            </w:pPr>
            <w:r w:rsidRPr="008D06EC">
              <w:rPr>
                <w:rFonts w:ascii="Times New Roman" w:hAnsi="Times New Roman"/>
                <w:sz w:val="28"/>
                <w:szCs w:val="28"/>
                <w:lang w:val="uk-UA"/>
              </w:rPr>
              <w:t>e</w:t>
            </w:r>
          </w:p>
        </w:tc>
        <w:tc>
          <w:tcPr>
            <w:tcW w:w="1557" w:type="dxa"/>
            <w:vAlign w:val="center"/>
          </w:tcPr>
          <w:p w:rsidR="00EC1B3C" w:rsidRPr="008D06EC" w:rsidRDefault="00EC1B3C" w:rsidP="008D06EC">
            <w:pPr>
              <w:spacing w:after="0" w:line="360" w:lineRule="auto"/>
              <w:jc w:val="center"/>
              <w:rPr>
                <w:rFonts w:ascii="Times New Roman" w:hAnsi="Times New Roman"/>
                <w:sz w:val="28"/>
                <w:szCs w:val="28"/>
                <w:lang w:val="uk-UA"/>
              </w:rPr>
            </w:pPr>
            <w:r w:rsidRPr="008D06EC">
              <w:rPr>
                <w:rFonts w:ascii="Times New Roman" w:hAnsi="Times New Roman"/>
                <w:sz w:val="28"/>
                <w:szCs w:val="28"/>
                <w:lang w:val="uk-UA"/>
              </w:rPr>
              <w:t>-1644,877</w:t>
            </w:r>
          </w:p>
        </w:tc>
        <w:tc>
          <w:tcPr>
            <w:tcW w:w="1557" w:type="dxa"/>
            <w:vAlign w:val="center"/>
          </w:tcPr>
          <w:p w:rsidR="00EC1B3C" w:rsidRPr="008D06EC" w:rsidRDefault="00EC1B3C" w:rsidP="008D06EC">
            <w:pPr>
              <w:spacing w:after="0" w:line="360" w:lineRule="auto"/>
              <w:jc w:val="center"/>
              <w:rPr>
                <w:rFonts w:ascii="Times New Roman" w:hAnsi="Times New Roman"/>
                <w:sz w:val="28"/>
                <w:szCs w:val="28"/>
                <w:lang w:val="uk-UA"/>
              </w:rPr>
            </w:pPr>
            <w:r w:rsidRPr="008D06EC">
              <w:rPr>
                <w:rFonts w:ascii="Times New Roman" w:hAnsi="Times New Roman"/>
                <w:sz w:val="28"/>
                <w:szCs w:val="28"/>
                <w:lang w:val="uk-UA"/>
              </w:rPr>
              <w:t>1036,719</w:t>
            </w:r>
          </w:p>
        </w:tc>
        <w:tc>
          <w:tcPr>
            <w:tcW w:w="1558" w:type="dxa"/>
            <w:vAlign w:val="center"/>
          </w:tcPr>
          <w:p w:rsidR="00EC1B3C" w:rsidRPr="008D06EC" w:rsidRDefault="00EC1B3C" w:rsidP="008D06EC">
            <w:pPr>
              <w:spacing w:after="0" w:line="360" w:lineRule="auto"/>
              <w:jc w:val="center"/>
              <w:rPr>
                <w:rFonts w:ascii="Times New Roman" w:hAnsi="Times New Roman"/>
                <w:sz w:val="28"/>
                <w:szCs w:val="28"/>
                <w:lang w:val="uk-UA"/>
              </w:rPr>
            </w:pPr>
            <w:r w:rsidRPr="008D06EC">
              <w:rPr>
                <w:rFonts w:ascii="Times New Roman" w:hAnsi="Times New Roman"/>
                <w:sz w:val="28"/>
                <w:szCs w:val="28"/>
                <w:lang w:val="uk-UA"/>
              </w:rPr>
              <w:t>-0,335</w:t>
            </w:r>
          </w:p>
        </w:tc>
        <w:tc>
          <w:tcPr>
            <w:tcW w:w="1558" w:type="dxa"/>
            <w:vAlign w:val="center"/>
          </w:tcPr>
          <w:p w:rsidR="00EC1B3C" w:rsidRPr="008D06EC" w:rsidRDefault="00EC1B3C" w:rsidP="008D06EC">
            <w:pPr>
              <w:spacing w:after="0" w:line="360" w:lineRule="auto"/>
              <w:jc w:val="center"/>
              <w:rPr>
                <w:rFonts w:ascii="Times New Roman" w:hAnsi="Times New Roman"/>
                <w:sz w:val="28"/>
                <w:szCs w:val="28"/>
                <w:lang w:val="uk-UA"/>
              </w:rPr>
            </w:pPr>
            <w:r w:rsidRPr="008D06EC">
              <w:rPr>
                <w:rFonts w:ascii="Times New Roman" w:hAnsi="Times New Roman"/>
                <w:sz w:val="28"/>
                <w:szCs w:val="28"/>
                <w:lang w:val="uk-UA"/>
              </w:rPr>
              <w:t>-1,587</w:t>
            </w:r>
          </w:p>
        </w:tc>
        <w:tc>
          <w:tcPr>
            <w:tcW w:w="1558" w:type="dxa"/>
            <w:vAlign w:val="center"/>
          </w:tcPr>
          <w:p w:rsidR="00EC1B3C" w:rsidRPr="008D06EC" w:rsidRDefault="00EC1B3C" w:rsidP="008D06EC">
            <w:pPr>
              <w:spacing w:after="0" w:line="360" w:lineRule="auto"/>
              <w:jc w:val="center"/>
              <w:rPr>
                <w:rFonts w:ascii="Times New Roman" w:hAnsi="Times New Roman"/>
                <w:sz w:val="28"/>
                <w:szCs w:val="28"/>
                <w:lang w:val="uk-UA"/>
              </w:rPr>
            </w:pPr>
            <w:r w:rsidRPr="008D06EC">
              <w:rPr>
                <w:rFonts w:ascii="Times New Roman" w:hAnsi="Times New Roman"/>
                <w:sz w:val="28"/>
                <w:szCs w:val="28"/>
                <w:lang w:val="uk-UA"/>
              </w:rPr>
              <w:t>0,126</w:t>
            </w:r>
          </w:p>
        </w:tc>
      </w:tr>
      <w:tr w:rsidR="00EC1B3C" w:rsidRPr="008D06EC" w:rsidTr="008D06EC">
        <w:trPr>
          <w:jc w:val="center"/>
        </w:trPr>
        <w:tc>
          <w:tcPr>
            <w:tcW w:w="1557" w:type="dxa"/>
            <w:vAlign w:val="center"/>
          </w:tcPr>
          <w:p w:rsidR="00EC1B3C" w:rsidRPr="008D06EC" w:rsidRDefault="00EC1B3C" w:rsidP="008D06EC">
            <w:pPr>
              <w:spacing w:after="0" w:line="360" w:lineRule="auto"/>
              <w:jc w:val="center"/>
              <w:rPr>
                <w:rFonts w:ascii="Times New Roman" w:hAnsi="Times New Roman"/>
                <w:sz w:val="28"/>
                <w:szCs w:val="28"/>
                <w:lang w:val="uk-UA"/>
              </w:rPr>
            </w:pPr>
            <w:r w:rsidRPr="008D06EC">
              <w:rPr>
                <w:rFonts w:ascii="Times New Roman" w:hAnsi="Times New Roman"/>
                <w:sz w:val="28"/>
                <w:szCs w:val="28"/>
                <w:lang w:val="uk-UA"/>
              </w:rPr>
              <w:t>r</w:t>
            </w:r>
          </w:p>
        </w:tc>
        <w:tc>
          <w:tcPr>
            <w:tcW w:w="1557" w:type="dxa"/>
            <w:vAlign w:val="center"/>
          </w:tcPr>
          <w:p w:rsidR="00EC1B3C" w:rsidRPr="008D06EC" w:rsidRDefault="00EC1B3C" w:rsidP="008D06EC">
            <w:pPr>
              <w:spacing w:after="0" w:line="360" w:lineRule="auto"/>
              <w:jc w:val="center"/>
              <w:rPr>
                <w:rFonts w:ascii="Times New Roman" w:hAnsi="Times New Roman"/>
                <w:sz w:val="28"/>
                <w:szCs w:val="28"/>
                <w:lang w:val="uk-UA"/>
              </w:rPr>
            </w:pPr>
            <w:r w:rsidRPr="008D06EC">
              <w:rPr>
                <w:rFonts w:ascii="Times New Roman" w:hAnsi="Times New Roman"/>
                <w:sz w:val="28"/>
                <w:szCs w:val="28"/>
                <w:lang w:val="uk-UA"/>
              </w:rPr>
              <w:t>-311,092</w:t>
            </w:r>
          </w:p>
        </w:tc>
        <w:tc>
          <w:tcPr>
            <w:tcW w:w="1557" w:type="dxa"/>
            <w:vAlign w:val="center"/>
          </w:tcPr>
          <w:p w:rsidR="00EC1B3C" w:rsidRPr="008D06EC" w:rsidRDefault="00EC1B3C" w:rsidP="008D06EC">
            <w:pPr>
              <w:spacing w:after="0" w:line="360" w:lineRule="auto"/>
              <w:jc w:val="center"/>
              <w:rPr>
                <w:rFonts w:ascii="Times New Roman" w:hAnsi="Times New Roman"/>
                <w:sz w:val="28"/>
                <w:szCs w:val="28"/>
                <w:lang w:val="uk-UA"/>
              </w:rPr>
            </w:pPr>
            <w:r w:rsidRPr="008D06EC">
              <w:rPr>
                <w:rFonts w:ascii="Times New Roman" w:hAnsi="Times New Roman"/>
                <w:sz w:val="28"/>
                <w:szCs w:val="28"/>
                <w:lang w:val="uk-UA"/>
              </w:rPr>
              <w:t>113,119</w:t>
            </w:r>
          </w:p>
        </w:tc>
        <w:tc>
          <w:tcPr>
            <w:tcW w:w="1558" w:type="dxa"/>
            <w:vAlign w:val="center"/>
          </w:tcPr>
          <w:p w:rsidR="00EC1B3C" w:rsidRPr="008D06EC" w:rsidRDefault="00EC1B3C" w:rsidP="008D06EC">
            <w:pPr>
              <w:spacing w:after="0" w:line="360" w:lineRule="auto"/>
              <w:jc w:val="center"/>
              <w:rPr>
                <w:rFonts w:ascii="Times New Roman" w:hAnsi="Times New Roman"/>
                <w:sz w:val="28"/>
                <w:szCs w:val="28"/>
                <w:lang w:val="uk-UA"/>
              </w:rPr>
            </w:pPr>
            <w:r w:rsidRPr="008D06EC">
              <w:rPr>
                <w:rFonts w:ascii="Times New Roman" w:hAnsi="Times New Roman"/>
                <w:sz w:val="28"/>
                <w:szCs w:val="28"/>
                <w:lang w:val="uk-UA"/>
              </w:rPr>
              <w:t>-0,747</w:t>
            </w:r>
          </w:p>
        </w:tc>
        <w:tc>
          <w:tcPr>
            <w:tcW w:w="1558" w:type="dxa"/>
            <w:vAlign w:val="center"/>
          </w:tcPr>
          <w:p w:rsidR="00EC1B3C" w:rsidRPr="008D06EC" w:rsidRDefault="00EC1B3C" w:rsidP="008D06EC">
            <w:pPr>
              <w:spacing w:after="0" w:line="360" w:lineRule="auto"/>
              <w:jc w:val="center"/>
              <w:rPr>
                <w:rFonts w:ascii="Times New Roman" w:hAnsi="Times New Roman"/>
                <w:sz w:val="28"/>
                <w:szCs w:val="28"/>
                <w:lang w:val="uk-UA"/>
              </w:rPr>
            </w:pPr>
            <w:r w:rsidRPr="008D06EC">
              <w:rPr>
                <w:rFonts w:ascii="Times New Roman" w:hAnsi="Times New Roman"/>
                <w:sz w:val="28"/>
                <w:szCs w:val="28"/>
                <w:lang w:val="uk-UA"/>
              </w:rPr>
              <w:t>-2,750</w:t>
            </w:r>
          </w:p>
        </w:tc>
        <w:tc>
          <w:tcPr>
            <w:tcW w:w="1558" w:type="dxa"/>
            <w:vAlign w:val="center"/>
          </w:tcPr>
          <w:p w:rsidR="00EC1B3C" w:rsidRPr="008D06EC" w:rsidRDefault="00EC1B3C" w:rsidP="008D06EC">
            <w:pPr>
              <w:spacing w:after="0" w:line="360" w:lineRule="auto"/>
              <w:jc w:val="center"/>
              <w:rPr>
                <w:rFonts w:ascii="Times New Roman" w:hAnsi="Times New Roman"/>
                <w:sz w:val="28"/>
                <w:szCs w:val="28"/>
                <w:lang w:val="uk-UA"/>
              </w:rPr>
            </w:pPr>
            <w:r w:rsidRPr="008D06EC">
              <w:rPr>
                <w:rFonts w:ascii="Times New Roman" w:hAnsi="Times New Roman"/>
                <w:sz w:val="28"/>
                <w:szCs w:val="28"/>
                <w:lang w:val="uk-UA"/>
              </w:rPr>
              <w:t>0,011</w:t>
            </w:r>
          </w:p>
        </w:tc>
      </w:tr>
      <w:tr w:rsidR="00EC1B3C" w:rsidRPr="008D06EC" w:rsidTr="008D06EC">
        <w:trPr>
          <w:jc w:val="center"/>
        </w:trPr>
        <w:tc>
          <w:tcPr>
            <w:tcW w:w="1557" w:type="dxa"/>
            <w:vAlign w:val="center"/>
          </w:tcPr>
          <w:p w:rsidR="00EC1B3C" w:rsidRPr="008D06EC" w:rsidRDefault="00EC1B3C" w:rsidP="008D06EC">
            <w:pPr>
              <w:spacing w:after="0" w:line="360" w:lineRule="auto"/>
              <w:jc w:val="center"/>
              <w:rPr>
                <w:rFonts w:ascii="Times New Roman" w:hAnsi="Times New Roman"/>
                <w:sz w:val="28"/>
                <w:szCs w:val="28"/>
                <w:lang w:val="uk-UA"/>
              </w:rPr>
            </w:pPr>
            <w:r w:rsidRPr="008D06EC">
              <w:rPr>
                <w:rFonts w:ascii="Times New Roman" w:hAnsi="Times New Roman"/>
                <w:sz w:val="28"/>
                <w:szCs w:val="28"/>
                <w:lang w:val="uk-UA"/>
              </w:rPr>
              <w:t>exp</w:t>
            </w:r>
          </w:p>
        </w:tc>
        <w:tc>
          <w:tcPr>
            <w:tcW w:w="1557" w:type="dxa"/>
            <w:vAlign w:val="center"/>
          </w:tcPr>
          <w:p w:rsidR="00EC1B3C" w:rsidRPr="008D06EC" w:rsidRDefault="00EC1B3C" w:rsidP="008D06EC">
            <w:pPr>
              <w:spacing w:after="0" w:line="360" w:lineRule="auto"/>
              <w:jc w:val="center"/>
              <w:rPr>
                <w:rFonts w:ascii="Times New Roman" w:hAnsi="Times New Roman"/>
                <w:sz w:val="28"/>
                <w:szCs w:val="28"/>
                <w:lang w:val="uk-UA"/>
              </w:rPr>
            </w:pPr>
            <w:r w:rsidRPr="008D06EC">
              <w:rPr>
                <w:rFonts w:ascii="Times New Roman" w:hAnsi="Times New Roman"/>
                <w:sz w:val="28"/>
                <w:szCs w:val="28"/>
                <w:lang w:val="uk-UA"/>
              </w:rPr>
              <w:t>207,244</w:t>
            </w:r>
          </w:p>
        </w:tc>
        <w:tc>
          <w:tcPr>
            <w:tcW w:w="1557" w:type="dxa"/>
            <w:vAlign w:val="center"/>
          </w:tcPr>
          <w:p w:rsidR="00EC1B3C" w:rsidRPr="008D06EC" w:rsidRDefault="00EC1B3C" w:rsidP="008D06EC">
            <w:pPr>
              <w:spacing w:after="0" w:line="360" w:lineRule="auto"/>
              <w:jc w:val="center"/>
              <w:rPr>
                <w:rFonts w:ascii="Times New Roman" w:hAnsi="Times New Roman"/>
                <w:sz w:val="28"/>
                <w:szCs w:val="28"/>
                <w:lang w:val="uk-UA"/>
              </w:rPr>
            </w:pPr>
            <w:r w:rsidRPr="008D06EC">
              <w:rPr>
                <w:rFonts w:ascii="Times New Roman" w:hAnsi="Times New Roman"/>
                <w:sz w:val="28"/>
                <w:szCs w:val="28"/>
                <w:lang w:val="uk-UA"/>
              </w:rPr>
              <w:t>495,754</w:t>
            </w:r>
          </w:p>
        </w:tc>
        <w:tc>
          <w:tcPr>
            <w:tcW w:w="1558" w:type="dxa"/>
            <w:vAlign w:val="center"/>
          </w:tcPr>
          <w:p w:rsidR="00EC1B3C" w:rsidRPr="008D06EC" w:rsidRDefault="00EC1B3C" w:rsidP="008D06EC">
            <w:pPr>
              <w:spacing w:after="0" w:line="360" w:lineRule="auto"/>
              <w:jc w:val="center"/>
              <w:rPr>
                <w:rFonts w:ascii="Times New Roman" w:hAnsi="Times New Roman"/>
                <w:sz w:val="28"/>
                <w:szCs w:val="28"/>
                <w:lang w:val="uk-UA"/>
              </w:rPr>
            </w:pPr>
            <w:r w:rsidRPr="008D06EC">
              <w:rPr>
                <w:rFonts w:ascii="Times New Roman" w:hAnsi="Times New Roman"/>
                <w:sz w:val="28"/>
                <w:szCs w:val="28"/>
                <w:lang w:val="uk-UA"/>
              </w:rPr>
              <w:t>0,093</w:t>
            </w:r>
          </w:p>
        </w:tc>
        <w:tc>
          <w:tcPr>
            <w:tcW w:w="1558" w:type="dxa"/>
            <w:vAlign w:val="center"/>
          </w:tcPr>
          <w:p w:rsidR="00EC1B3C" w:rsidRPr="008D06EC" w:rsidRDefault="00EC1B3C" w:rsidP="008D06EC">
            <w:pPr>
              <w:spacing w:after="0" w:line="360" w:lineRule="auto"/>
              <w:jc w:val="center"/>
              <w:rPr>
                <w:rFonts w:ascii="Times New Roman" w:hAnsi="Times New Roman"/>
                <w:sz w:val="28"/>
                <w:szCs w:val="28"/>
                <w:lang w:val="uk-UA"/>
              </w:rPr>
            </w:pPr>
            <w:r w:rsidRPr="008D06EC">
              <w:rPr>
                <w:rFonts w:ascii="Times New Roman" w:hAnsi="Times New Roman"/>
                <w:sz w:val="28"/>
                <w:szCs w:val="28"/>
                <w:lang w:val="uk-UA"/>
              </w:rPr>
              <w:t>0,418</w:t>
            </w:r>
          </w:p>
        </w:tc>
        <w:tc>
          <w:tcPr>
            <w:tcW w:w="1558" w:type="dxa"/>
            <w:vAlign w:val="center"/>
          </w:tcPr>
          <w:p w:rsidR="00EC1B3C" w:rsidRPr="008D06EC" w:rsidRDefault="00EC1B3C" w:rsidP="008D06EC">
            <w:pPr>
              <w:spacing w:after="0" w:line="360" w:lineRule="auto"/>
              <w:jc w:val="center"/>
              <w:rPr>
                <w:rFonts w:ascii="Times New Roman" w:hAnsi="Times New Roman"/>
                <w:sz w:val="28"/>
                <w:szCs w:val="28"/>
                <w:lang w:val="uk-UA"/>
              </w:rPr>
            </w:pPr>
            <w:r w:rsidRPr="008D06EC">
              <w:rPr>
                <w:rFonts w:ascii="Times New Roman" w:hAnsi="Times New Roman"/>
                <w:sz w:val="28"/>
                <w:szCs w:val="28"/>
                <w:lang w:val="uk-UA"/>
              </w:rPr>
              <w:t>0,680</w:t>
            </w:r>
          </w:p>
        </w:tc>
      </w:tr>
    </w:tbl>
    <w:p w:rsidR="00EC1B3C" w:rsidRPr="0094392D" w:rsidRDefault="00EC1B3C" w:rsidP="00252077">
      <w:pPr>
        <w:spacing w:after="0" w:line="360" w:lineRule="auto"/>
        <w:ind w:firstLine="708"/>
        <w:jc w:val="both"/>
        <w:rPr>
          <w:rFonts w:ascii="Times New Roman" w:hAnsi="Times New Roman"/>
          <w:sz w:val="28"/>
          <w:szCs w:val="28"/>
          <w:lang w:val="uk-UA"/>
        </w:rPr>
      </w:pPr>
      <w:r w:rsidRPr="0094392D">
        <w:rPr>
          <w:rFonts w:ascii="Times New Roman" w:hAnsi="Times New Roman"/>
          <w:sz w:val="28"/>
          <w:szCs w:val="28"/>
          <w:lang w:val="uk-UA"/>
        </w:rPr>
        <w:t>Залежна змінна: inv</w:t>
      </w:r>
    </w:p>
    <w:p w:rsidR="00EC1B3C" w:rsidRPr="0094392D" w:rsidRDefault="00EC1B3C" w:rsidP="00252077">
      <w:pPr>
        <w:spacing w:after="0" w:line="360" w:lineRule="auto"/>
        <w:ind w:firstLine="709"/>
        <w:jc w:val="both"/>
        <w:rPr>
          <w:rFonts w:ascii="Times New Roman" w:hAnsi="Times New Roman"/>
          <w:sz w:val="28"/>
          <w:szCs w:val="28"/>
          <w:lang w:val="uk-UA"/>
        </w:rPr>
      </w:pPr>
      <w:r w:rsidRPr="0094392D">
        <w:rPr>
          <w:rFonts w:ascii="Times New Roman" w:hAnsi="Times New Roman"/>
          <w:sz w:val="28"/>
          <w:szCs w:val="28"/>
          <w:lang w:val="uk-UA"/>
        </w:rPr>
        <w:t>Джерело: складено автором на основі даних [7], [11], [15], див. Додаток А, Таблиця А.1</w:t>
      </w:r>
    </w:p>
    <w:p w:rsidR="00EC1B3C" w:rsidRPr="0094392D" w:rsidRDefault="00EC1B3C" w:rsidP="00252077">
      <w:pPr>
        <w:spacing w:after="0" w:line="360" w:lineRule="auto"/>
        <w:ind w:firstLine="708"/>
        <w:jc w:val="both"/>
        <w:rPr>
          <w:rFonts w:ascii="Times New Roman" w:hAnsi="Times New Roman"/>
          <w:sz w:val="28"/>
          <w:szCs w:val="28"/>
          <w:lang w:val="uk-UA"/>
        </w:rPr>
      </w:pPr>
      <w:r w:rsidRPr="0094392D">
        <w:rPr>
          <w:rFonts w:ascii="Times New Roman" w:hAnsi="Times New Roman"/>
          <w:sz w:val="28"/>
          <w:szCs w:val="28"/>
          <w:lang w:val="uk-UA"/>
        </w:rPr>
        <w:t xml:space="preserve">З Таблиці 2.1 можна зробити наступні висновки. Розглянувши стандартизовані коефіцієнти виявилось, що найбільший вплив на залежну зміну має відсоткова ставка (r) та прямі інвестиції(активи) (d).Це означає те, що, якщо дані показники зростуть на одне стандартне відхилення, баланс доходів від інвестицій Ізраїлю зменшиться на 0,747та 0,365 стандартних відхилень. З усіх незалежних змінних значущою є виключно відсоткова ставка. Цей показник має рівень значущості 5%. Інші коефіцієнти моделі, а саме прямі інвестиції (активи) (d), валютний курс Ізраїлю (е) та видатки державного бюджету у % від ВВП (exp)виявилися абсолютно незначущими та не впливають на залежну зміну «inv», на відміну від показників Об’єднаних Арабських Еміратів. </w:t>
      </w:r>
    </w:p>
    <w:p w:rsidR="00EC1B3C" w:rsidRPr="0094392D" w:rsidRDefault="00EC1B3C" w:rsidP="007A1C9B">
      <w:pPr>
        <w:spacing w:after="0" w:line="360" w:lineRule="auto"/>
        <w:ind w:firstLine="709"/>
        <w:jc w:val="both"/>
        <w:rPr>
          <w:rFonts w:ascii="Times New Roman" w:hAnsi="Times New Roman"/>
          <w:sz w:val="28"/>
          <w:szCs w:val="28"/>
          <w:lang w:val="uk-UA"/>
        </w:rPr>
      </w:pPr>
      <w:r w:rsidRPr="0094392D">
        <w:rPr>
          <w:rFonts w:ascii="Times New Roman" w:hAnsi="Times New Roman"/>
          <w:sz w:val="28"/>
          <w:szCs w:val="28"/>
          <w:lang w:val="uk-UA"/>
        </w:rPr>
        <w:t>Отже, проаналізувавши отримані результати, складаємо таку емпіричну модель:</w:t>
      </w:r>
    </w:p>
    <w:p w:rsidR="00EC1B3C" w:rsidRPr="0094392D" w:rsidRDefault="00EC1B3C" w:rsidP="007A1C9B">
      <w:pPr>
        <w:spacing w:after="0" w:line="360" w:lineRule="auto"/>
        <w:ind w:firstLine="709"/>
        <w:jc w:val="both"/>
        <w:rPr>
          <w:rFonts w:ascii="Times New Roman" w:hAnsi="Times New Roman"/>
          <w:sz w:val="28"/>
          <w:szCs w:val="28"/>
          <w:lang w:val="uk-UA"/>
        </w:rPr>
      </w:pPr>
      <w:r w:rsidRPr="0094392D">
        <w:rPr>
          <w:rFonts w:ascii="Times New Roman" w:hAnsi="Times New Roman"/>
          <w:sz w:val="28"/>
          <w:szCs w:val="28"/>
          <w:lang w:val="uk-UA"/>
        </w:rPr>
        <w:t>inv = -0,365·d – 0,335·e – 0,747·r +0,093·exp</w:t>
      </w:r>
    </w:p>
    <w:p w:rsidR="00EC1B3C" w:rsidRPr="0094392D" w:rsidRDefault="00EC1B3C" w:rsidP="007A1C9B">
      <w:pPr>
        <w:spacing w:after="0" w:line="360" w:lineRule="auto"/>
        <w:ind w:firstLine="709"/>
        <w:jc w:val="both"/>
        <w:rPr>
          <w:rFonts w:ascii="Times New Roman" w:hAnsi="Times New Roman"/>
          <w:sz w:val="28"/>
          <w:szCs w:val="28"/>
          <w:lang w:val="uk-UA"/>
        </w:rPr>
      </w:pPr>
      <w:r w:rsidRPr="0094392D">
        <w:rPr>
          <w:rFonts w:ascii="Times New Roman" w:hAnsi="Times New Roman"/>
          <w:sz w:val="28"/>
          <w:szCs w:val="28"/>
          <w:lang w:val="uk-UA"/>
        </w:rPr>
        <w:t xml:space="preserve">(-1,236) (-1,587) (-2,750**) (0,418) </w:t>
      </w:r>
    </w:p>
    <w:p w:rsidR="00EC1B3C" w:rsidRPr="0094392D" w:rsidRDefault="00EC1B3C" w:rsidP="007A1C9B">
      <w:pPr>
        <w:spacing w:after="0" w:line="360" w:lineRule="auto"/>
        <w:ind w:firstLine="709"/>
        <w:jc w:val="both"/>
        <w:rPr>
          <w:rFonts w:ascii="Times New Roman" w:hAnsi="Times New Roman"/>
          <w:sz w:val="28"/>
          <w:szCs w:val="28"/>
          <w:lang w:val="uk-UA"/>
        </w:rPr>
      </w:pPr>
      <w:r w:rsidRPr="0094392D">
        <w:rPr>
          <w:rFonts w:ascii="Times New Roman" w:hAnsi="Times New Roman"/>
          <w:sz w:val="28"/>
          <w:szCs w:val="28"/>
          <w:lang w:val="uk-UA"/>
        </w:rPr>
        <w:t xml:space="preserve">Адекватність моделі показана: </w:t>
      </w:r>
    </w:p>
    <w:p w:rsidR="00EC1B3C" w:rsidRPr="0094392D" w:rsidRDefault="00EC1B3C" w:rsidP="007A1C9B">
      <w:pPr>
        <w:spacing w:after="0" w:line="360" w:lineRule="auto"/>
        <w:ind w:firstLine="709"/>
        <w:jc w:val="both"/>
        <w:rPr>
          <w:rFonts w:ascii="Times New Roman" w:hAnsi="Times New Roman"/>
          <w:sz w:val="28"/>
          <w:szCs w:val="28"/>
          <w:lang w:val="uk-UA"/>
        </w:rPr>
      </w:pPr>
      <w:r w:rsidRPr="0094392D">
        <w:rPr>
          <w:rFonts w:ascii="Times New Roman" w:hAnsi="Times New Roman"/>
          <w:sz w:val="28"/>
          <w:szCs w:val="28"/>
          <w:lang w:val="uk-UA"/>
        </w:rPr>
        <w:t xml:space="preserve">- один коефіцієнт з 5% значимості (**) та три коефіцієнти незначимі; </w:t>
      </w:r>
    </w:p>
    <w:p w:rsidR="00EC1B3C" w:rsidRPr="0094392D" w:rsidRDefault="00EC1B3C" w:rsidP="007A1C9B">
      <w:pPr>
        <w:spacing w:after="0" w:line="360" w:lineRule="auto"/>
        <w:ind w:firstLine="709"/>
        <w:jc w:val="both"/>
        <w:rPr>
          <w:rFonts w:ascii="Times New Roman" w:hAnsi="Times New Roman"/>
          <w:sz w:val="28"/>
          <w:szCs w:val="28"/>
          <w:lang w:val="uk-UA"/>
        </w:rPr>
      </w:pPr>
      <w:r w:rsidRPr="0094392D">
        <w:rPr>
          <w:rFonts w:ascii="Times New Roman" w:hAnsi="Times New Roman"/>
          <w:sz w:val="28"/>
          <w:szCs w:val="28"/>
          <w:lang w:val="uk-UA"/>
        </w:rPr>
        <w:t>- R</w:t>
      </w:r>
      <w:r w:rsidRPr="0094392D">
        <w:rPr>
          <w:rFonts w:ascii="Times New Roman" w:hAnsi="Times New Roman"/>
          <w:sz w:val="28"/>
          <w:szCs w:val="28"/>
          <w:vertAlign w:val="superscript"/>
          <w:lang w:val="uk-UA"/>
        </w:rPr>
        <w:t>2</w:t>
      </w:r>
      <w:r w:rsidRPr="0094392D">
        <w:rPr>
          <w:rFonts w:ascii="Times New Roman" w:hAnsi="Times New Roman"/>
          <w:sz w:val="28"/>
          <w:szCs w:val="28"/>
          <w:lang w:val="uk-UA"/>
        </w:rPr>
        <w:t xml:space="preserve"> = 0,30 (30%).</w:t>
      </w:r>
    </w:p>
    <w:p w:rsidR="00EC1B3C" w:rsidRPr="0094392D" w:rsidRDefault="00EC1B3C" w:rsidP="00D8084D">
      <w:pPr>
        <w:spacing w:after="0" w:line="360" w:lineRule="auto"/>
        <w:ind w:firstLine="708"/>
        <w:jc w:val="both"/>
        <w:rPr>
          <w:rFonts w:ascii="Times New Roman" w:hAnsi="Times New Roman"/>
          <w:sz w:val="28"/>
          <w:lang w:val="uk-UA"/>
        </w:rPr>
      </w:pPr>
      <w:r w:rsidRPr="0094392D">
        <w:rPr>
          <w:rFonts w:ascii="Times New Roman" w:hAnsi="Times New Roman"/>
          <w:sz w:val="28"/>
          <w:szCs w:val="28"/>
          <w:lang w:val="uk-UA"/>
        </w:rPr>
        <w:t xml:space="preserve">Далі для порівняння проаналізуємо </w:t>
      </w:r>
      <w:r w:rsidRPr="0094392D">
        <w:rPr>
          <w:rFonts w:ascii="Times New Roman" w:hAnsi="Times New Roman"/>
          <w:sz w:val="28"/>
          <w:lang w:val="uk-UA"/>
        </w:rPr>
        <w:t>вплив прямих інвестицій(активів), валютного курсу, відсоткової ставки, а також видатків державного бюджету у % від ВВП Об’єднаних Арабських Еміратів на його баланс інвестиційного доходу. Коефіцієнт детермінації R</w:t>
      </w:r>
      <w:r w:rsidRPr="0094392D">
        <w:rPr>
          <w:rFonts w:ascii="Times New Roman" w:hAnsi="Times New Roman"/>
          <w:sz w:val="28"/>
          <w:vertAlign w:val="superscript"/>
          <w:lang w:val="uk-UA"/>
        </w:rPr>
        <w:t>2</w:t>
      </w:r>
      <w:r w:rsidRPr="0094392D">
        <w:rPr>
          <w:rFonts w:ascii="Times New Roman" w:hAnsi="Times New Roman"/>
          <w:sz w:val="28"/>
          <w:lang w:val="uk-UA"/>
        </w:rPr>
        <w:t xml:space="preserve"> становить 0,432, тобто обрані фактори пояснюють залежну змінну майже на 43%. Розглянемо таблицю 2.2, у якій наведені результати регресійного аналізу.</w:t>
      </w:r>
    </w:p>
    <w:p w:rsidR="00EC1B3C" w:rsidRPr="0094392D" w:rsidRDefault="00EC1B3C" w:rsidP="00DD502A">
      <w:pPr>
        <w:spacing w:after="0" w:line="360" w:lineRule="auto"/>
        <w:ind w:firstLine="708"/>
        <w:jc w:val="right"/>
        <w:rPr>
          <w:rFonts w:ascii="Times New Roman" w:hAnsi="Times New Roman"/>
          <w:sz w:val="28"/>
          <w:lang w:val="uk-UA"/>
        </w:rPr>
      </w:pPr>
      <w:r w:rsidRPr="0094392D">
        <w:rPr>
          <w:rFonts w:ascii="Times New Roman" w:hAnsi="Times New Roman"/>
          <w:sz w:val="28"/>
          <w:lang w:val="uk-UA"/>
        </w:rPr>
        <w:t>Таблиця 2.2</w:t>
      </w:r>
    </w:p>
    <w:p w:rsidR="00EC1B3C" w:rsidRPr="0094392D" w:rsidRDefault="00EC1B3C" w:rsidP="00A34CE2">
      <w:pPr>
        <w:spacing w:after="0" w:line="360" w:lineRule="auto"/>
        <w:ind w:firstLine="708"/>
        <w:jc w:val="center"/>
        <w:rPr>
          <w:rFonts w:ascii="Times New Roman" w:hAnsi="Times New Roman"/>
          <w:sz w:val="28"/>
          <w:lang w:val="uk-UA"/>
        </w:rPr>
      </w:pPr>
      <w:r w:rsidRPr="0094392D">
        <w:rPr>
          <w:rFonts w:ascii="Times New Roman" w:hAnsi="Times New Roman"/>
          <w:sz w:val="28"/>
          <w:lang w:val="uk-UA"/>
        </w:rPr>
        <w:t>Регресійна модель факторів впливу на дохід від інвестицій Об’єднаних Арабських Еміратів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523"/>
        <w:gridCol w:w="1350"/>
        <w:gridCol w:w="1603"/>
        <w:gridCol w:w="2213"/>
        <w:gridCol w:w="1101"/>
        <w:gridCol w:w="1555"/>
      </w:tblGrid>
      <w:tr w:rsidR="00EC1B3C" w:rsidRPr="008D06EC" w:rsidTr="008D06EC">
        <w:tc>
          <w:tcPr>
            <w:tcW w:w="1523" w:type="dxa"/>
            <w:vMerge w:val="restart"/>
          </w:tcPr>
          <w:p w:rsidR="00EC1B3C" w:rsidRPr="008D06EC" w:rsidRDefault="00EC1B3C" w:rsidP="008D06EC">
            <w:pPr>
              <w:spacing w:after="0" w:line="360" w:lineRule="auto"/>
              <w:jc w:val="both"/>
              <w:rPr>
                <w:rFonts w:ascii="Times New Roman" w:hAnsi="Times New Roman"/>
                <w:sz w:val="28"/>
                <w:lang w:val="uk-UA"/>
              </w:rPr>
            </w:pPr>
            <w:r w:rsidRPr="008D06EC">
              <w:rPr>
                <w:rFonts w:ascii="Times New Roman" w:hAnsi="Times New Roman"/>
                <w:sz w:val="28"/>
                <w:lang w:val="uk-UA"/>
              </w:rPr>
              <w:t>Модель</w:t>
            </w:r>
          </w:p>
        </w:tc>
        <w:tc>
          <w:tcPr>
            <w:tcW w:w="2953" w:type="dxa"/>
            <w:gridSpan w:val="2"/>
          </w:tcPr>
          <w:p w:rsidR="00EC1B3C" w:rsidRPr="008D06EC" w:rsidRDefault="00EC1B3C" w:rsidP="008D06EC">
            <w:pPr>
              <w:spacing w:after="0" w:line="360" w:lineRule="auto"/>
              <w:jc w:val="both"/>
              <w:rPr>
                <w:rFonts w:ascii="Times New Roman" w:hAnsi="Times New Roman"/>
                <w:sz w:val="28"/>
                <w:lang w:val="uk-UA"/>
              </w:rPr>
            </w:pPr>
            <w:r w:rsidRPr="008D06EC">
              <w:rPr>
                <w:rFonts w:ascii="Times New Roman" w:hAnsi="Times New Roman"/>
                <w:sz w:val="28"/>
                <w:lang w:val="uk-UA"/>
              </w:rPr>
              <w:t>Нестандартизовані коефіцієнти</w:t>
            </w:r>
          </w:p>
        </w:tc>
        <w:tc>
          <w:tcPr>
            <w:tcW w:w="2213" w:type="dxa"/>
          </w:tcPr>
          <w:p w:rsidR="00EC1B3C" w:rsidRPr="008D06EC" w:rsidRDefault="00EC1B3C" w:rsidP="008D06EC">
            <w:pPr>
              <w:spacing w:after="0" w:line="360" w:lineRule="auto"/>
              <w:jc w:val="both"/>
              <w:rPr>
                <w:rFonts w:ascii="Times New Roman" w:hAnsi="Times New Roman"/>
                <w:sz w:val="28"/>
                <w:lang w:val="uk-UA"/>
              </w:rPr>
            </w:pPr>
            <w:r w:rsidRPr="008D06EC">
              <w:rPr>
                <w:rFonts w:ascii="Times New Roman" w:hAnsi="Times New Roman"/>
                <w:sz w:val="28"/>
                <w:lang w:val="uk-UA"/>
              </w:rPr>
              <w:t>Стандартизовані коефіцієнти</w:t>
            </w:r>
          </w:p>
        </w:tc>
        <w:tc>
          <w:tcPr>
            <w:tcW w:w="1101" w:type="dxa"/>
            <w:vMerge w:val="restart"/>
          </w:tcPr>
          <w:p w:rsidR="00EC1B3C" w:rsidRPr="008D06EC" w:rsidRDefault="00EC1B3C" w:rsidP="008D06EC">
            <w:pPr>
              <w:spacing w:after="0" w:line="360" w:lineRule="auto"/>
              <w:jc w:val="both"/>
              <w:rPr>
                <w:rFonts w:ascii="Times New Roman" w:hAnsi="Times New Roman"/>
                <w:sz w:val="28"/>
                <w:lang w:val="uk-UA"/>
              </w:rPr>
            </w:pPr>
            <w:r w:rsidRPr="008D06EC">
              <w:rPr>
                <w:rFonts w:ascii="Times New Roman" w:hAnsi="Times New Roman"/>
                <w:sz w:val="28"/>
                <w:lang w:val="uk-UA"/>
              </w:rPr>
              <w:t>t</w:t>
            </w:r>
          </w:p>
        </w:tc>
        <w:tc>
          <w:tcPr>
            <w:tcW w:w="1555" w:type="dxa"/>
            <w:vMerge w:val="restart"/>
          </w:tcPr>
          <w:p w:rsidR="00EC1B3C" w:rsidRPr="008D06EC" w:rsidRDefault="00EC1B3C" w:rsidP="008D06EC">
            <w:pPr>
              <w:spacing w:after="0" w:line="360" w:lineRule="auto"/>
              <w:jc w:val="both"/>
              <w:rPr>
                <w:rFonts w:ascii="Times New Roman" w:hAnsi="Times New Roman"/>
                <w:sz w:val="28"/>
                <w:lang w:val="uk-UA"/>
              </w:rPr>
            </w:pPr>
            <w:r w:rsidRPr="008D06EC">
              <w:rPr>
                <w:rFonts w:ascii="Times New Roman" w:hAnsi="Times New Roman"/>
                <w:sz w:val="28"/>
                <w:lang w:val="uk-UA"/>
              </w:rPr>
              <w:t>Значимість</w:t>
            </w:r>
          </w:p>
        </w:tc>
      </w:tr>
      <w:tr w:rsidR="00EC1B3C" w:rsidRPr="008D06EC" w:rsidTr="008D06EC">
        <w:tc>
          <w:tcPr>
            <w:tcW w:w="1523" w:type="dxa"/>
            <w:vMerge/>
          </w:tcPr>
          <w:p w:rsidR="00EC1B3C" w:rsidRPr="008D06EC" w:rsidRDefault="00EC1B3C" w:rsidP="008D06EC">
            <w:pPr>
              <w:spacing w:after="0" w:line="360" w:lineRule="auto"/>
              <w:jc w:val="both"/>
              <w:rPr>
                <w:rFonts w:ascii="Times New Roman" w:hAnsi="Times New Roman"/>
                <w:sz w:val="28"/>
                <w:lang w:val="uk-UA"/>
              </w:rPr>
            </w:pPr>
          </w:p>
        </w:tc>
        <w:tc>
          <w:tcPr>
            <w:tcW w:w="1350" w:type="dxa"/>
          </w:tcPr>
          <w:p w:rsidR="00EC1B3C" w:rsidRPr="008D06EC" w:rsidRDefault="00EC1B3C" w:rsidP="008D06EC">
            <w:pPr>
              <w:spacing w:after="0" w:line="360" w:lineRule="auto"/>
              <w:jc w:val="both"/>
              <w:rPr>
                <w:rFonts w:ascii="Times New Roman" w:hAnsi="Times New Roman"/>
                <w:sz w:val="28"/>
                <w:lang w:val="uk-UA"/>
              </w:rPr>
            </w:pPr>
            <w:r w:rsidRPr="008D06EC">
              <w:rPr>
                <w:rFonts w:ascii="Times New Roman" w:hAnsi="Times New Roman"/>
                <w:sz w:val="28"/>
                <w:lang w:val="uk-UA"/>
              </w:rPr>
              <w:t>В</w:t>
            </w:r>
          </w:p>
        </w:tc>
        <w:tc>
          <w:tcPr>
            <w:tcW w:w="1603" w:type="dxa"/>
          </w:tcPr>
          <w:p w:rsidR="00EC1B3C" w:rsidRPr="008D06EC" w:rsidRDefault="00EC1B3C" w:rsidP="008D06EC">
            <w:pPr>
              <w:spacing w:after="0" w:line="360" w:lineRule="auto"/>
              <w:jc w:val="both"/>
              <w:rPr>
                <w:rFonts w:ascii="Times New Roman" w:hAnsi="Times New Roman"/>
                <w:sz w:val="28"/>
                <w:lang w:val="uk-UA"/>
              </w:rPr>
            </w:pPr>
            <w:r w:rsidRPr="008D06EC">
              <w:rPr>
                <w:rFonts w:ascii="Times New Roman" w:hAnsi="Times New Roman"/>
                <w:sz w:val="28"/>
                <w:lang w:val="uk-UA"/>
              </w:rPr>
              <w:t>Стандартна похибка</w:t>
            </w:r>
          </w:p>
        </w:tc>
        <w:tc>
          <w:tcPr>
            <w:tcW w:w="2213" w:type="dxa"/>
          </w:tcPr>
          <w:p w:rsidR="00EC1B3C" w:rsidRPr="008D06EC" w:rsidRDefault="00EC1B3C" w:rsidP="008D06EC">
            <w:pPr>
              <w:spacing w:after="0" w:line="360" w:lineRule="auto"/>
              <w:jc w:val="both"/>
              <w:rPr>
                <w:rFonts w:ascii="Times New Roman" w:hAnsi="Times New Roman"/>
                <w:sz w:val="28"/>
                <w:lang w:val="uk-UA"/>
              </w:rPr>
            </w:pPr>
            <w:r w:rsidRPr="008D06EC">
              <w:rPr>
                <w:rFonts w:ascii="Times New Roman" w:hAnsi="Times New Roman"/>
                <w:sz w:val="28"/>
                <w:lang w:val="uk-UA"/>
              </w:rPr>
              <w:t>Бета</w:t>
            </w:r>
          </w:p>
        </w:tc>
        <w:tc>
          <w:tcPr>
            <w:tcW w:w="1101" w:type="dxa"/>
            <w:vMerge/>
          </w:tcPr>
          <w:p w:rsidR="00EC1B3C" w:rsidRPr="008D06EC" w:rsidRDefault="00EC1B3C" w:rsidP="008D06EC">
            <w:pPr>
              <w:spacing w:after="0" w:line="360" w:lineRule="auto"/>
              <w:jc w:val="both"/>
              <w:rPr>
                <w:rFonts w:ascii="Times New Roman" w:hAnsi="Times New Roman"/>
                <w:sz w:val="28"/>
                <w:lang w:val="uk-UA"/>
              </w:rPr>
            </w:pPr>
          </w:p>
        </w:tc>
        <w:tc>
          <w:tcPr>
            <w:tcW w:w="1555" w:type="dxa"/>
            <w:vMerge/>
          </w:tcPr>
          <w:p w:rsidR="00EC1B3C" w:rsidRPr="008D06EC" w:rsidRDefault="00EC1B3C" w:rsidP="008D06EC">
            <w:pPr>
              <w:spacing w:after="0" w:line="360" w:lineRule="auto"/>
              <w:jc w:val="both"/>
              <w:rPr>
                <w:rFonts w:ascii="Times New Roman" w:hAnsi="Times New Roman"/>
                <w:sz w:val="28"/>
                <w:lang w:val="uk-UA"/>
              </w:rPr>
            </w:pPr>
          </w:p>
        </w:tc>
      </w:tr>
      <w:tr w:rsidR="00EC1B3C" w:rsidRPr="008D06EC" w:rsidTr="008D06EC">
        <w:tc>
          <w:tcPr>
            <w:tcW w:w="1523" w:type="dxa"/>
          </w:tcPr>
          <w:p w:rsidR="00EC1B3C" w:rsidRPr="008D06EC" w:rsidRDefault="00EC1B3C" w:rsidP="008D06EC">
            <w:pPr>
              <w:spacing w:after="0" w:line="360" w:lineRule="auto"/>
              <w:jc w:val="both"/>
              <w:rPr>
                <w:rFonts w:ascii="Times New Roman" w:hAnsi="Times New Roman"/>
                <w:sz w:val="28"/>
                <w:lang w:val="uk-UA"/>
              </w:rPr>
            </w:pPr>
            <w:r w:rsidRPr="008D06EC">
              <w:rPr>
                <w:rFonts w:ascii="Times New Roman" w:hAnsi="Times New Roman"/>
                <w:sz w:val="28"/>
                <w:lang w:val="uk-UA"/>
              </w:rPr>
              <w:t>Константа</w:t>
            </w:r>
          </w:p>
        </w:tc>
        <w:tc>
          <w:tcPr>
            <w:tcW w:w="1350" w:type="dxa"/>
          </w:tcPr>
          <w:p w:rsidR="00EC1B3C" w:rsidRPr="008D06EC" w:rsidRDefault="00EC1B3C" w:rsidP="008D06EC">
            <w:pPr>
              <w:spacing w:after="0" w:line="360" w:lineRule="auto"/>
              <w:jc w:val="both"/>
              <w:rPr>
                <w:rFonts w:ascii="Times New Roman" w:hAnsi="Times New Roman"/>
                <w:sz w:val="28"/>
                <w:lang w:val="uk-UA"/>
              </w:rPr>
            </w:pPr>
            <w:r w:rsidRPr="008D06EC">
              <w:rPr>
                <w:rFonts w:ascii="Times New Roman" w:hAnsi="Times New Roman"/>
                <w:sz w:val="28"/>
                <w:lang w:val="uk-UA"/>
              </w:rPr>
              <w:t>50,055</w:t>
            </w:r>
          </w:p>
        </w:tc>
        <w:tc>
          <w:tcPr>
            <w:tcW w:w="1603" w:type="dxa"/>
          </w:tcPr>
          <w:p w:rsidR="00EC1B3C" w:rsidRPr="008D06EC" w:rsidRDefault="00EC1B3C" w:rsidP="008D06EC">
            <w:pPr>
              <w:spacing w:after="0" w:line="360" w:lineRule="auto"/>
              <w:jc w:val="both"/>
              <w:rPr>
                <w:rFonts w:ascii="Times New Roman" w:hAnsi="Times New Roman"/>
                <w:sz w:val="28"/>
                <w:lang w:val="uk-UA"/>
              </w:rPr>
            </w:pPr>
            <w:r w:rsidRPr="008D06EC">
              <w:rPr>
                <w:rFonts w:ascii="Times New Roman" w:hAnsi="Times New Roman"/>
                <w:sz w:val="28"/>
                <w:lang w:val="uk-UA"/>
              </w:rPr>
              <w:t>11,866</w:t>
            </w:r>
          </w:p>
        </w:tc>
        <w:tc>
          <w:tcPr>
            <w:tcW w:w="2213" w:type="dxa"/>
          </w:tcPr>
          <w:p w:rsidR="00EC1B3C" w:rsidRPr="008D06EC" w:rsidRDefault="00EC1B3C" w:rsidP="008D06EC">
            <w:pPr>
              <w:spacing w:after="0" w:line="360" w:lineRule="auto"/>
              <w:jc w:val="both"/>
              <w:rPr>
                <w:rFonts w:ascii="Times New Roman" w:hAnsi="Times New Roman"/>
                <w:sz w:val="28"/>
                <w:lang w:val="uk-UA"/>
              </w:rPr>
            </w:pPr>
          </w:p>
        </w:tc>
        <w:tc>
          <w:tcPr>
            <w:tcW w:w="1101" w:type="dxa"/>
          </w:tcPr>
          <w:p w:rsidR="00EC1B3C" w:rsidRPr="008D06EC" w:rsidRDefault="00EC1B3C" w:rsidP="008D06EC">
            <w:pPr>
              <w:spacing w:after="0" w:line="360" w:lineRule="auto"/>
              <w:jc w:val="both"/>
              <w:rPr>
                <w:rFonts w:ascii="Times New Roman" w:hAnsi="Times New Roman"/>
                <w:sz w:val="28"/>
                <w:lang w:val="uk-UA"/>
              </w:rPr>
            </w:pPr>
            <w:r w:rsidRPr="008D06EC">
              <w:rPr>
                <w:rFonts w:ascii="Times New Roman" w:hAnsi="Times New Roman"/>
                <w:sz w:val="28"/>
                <w:lang w:val="uk-UA"/>
              </w:rPr>
              <w:t>4,218</w:t>
            </w:r>
          </w:p>
        </w:tc>
        <w:tc>
          <w:tcPr>
            <w:tcW w:w="1555" w:type="dxa"/>
          </w:tcPr>
          <w:p w:rsidR="00EC1B3C" w:rsidRPr="008D06EC" w:rsidRDefault="00EC1B3C" w:rsidP="008D06EC">
            <w:pPr>
              <w:spacing w:after="0" w:line="360" w:lineRule="auto"/>
              <w:jc w:val="both"/>
              <w:rPr>
                <w:rFonts w:ascii="Times New Roman" w:hAnsi="Times New Roman"/>
                <w:sz w:val="28"/>
                <w:lang w:val="uk-UA"/>
              </w:rPr>
            </w:pPr>
            <w:r w:rsidRPr="008D06EC">
              <w:rPr>
                <w:rFonts w:ascii="Times New Roman" w:hAnsi="Times New Roman"/>
                <w:sz w:val="28"/>
                <w:lang w:val="uk-UA"/>
              </w:rPr>
              <w:t>0,001</w:t>
            </w:r>
          </w:p>
        </w:tc>
      </w:tr>
      <w:tr w:rsidR="00EC1B3C" w:rsidRPr="008D06EC" w:rsidTr="008D06EC">
        <w:tc>
          <w:tcPr>
            <w:tcW w:w="1523" w:type="dxa"/>
          </w:tcPr>
          <w:p w:rsidR="00EC1B3C" w:rsidRPr="008D06EC" w:rsidRDefault="00EC1B3C" w:rsidP="008D06EC">
            <w:pPr>
              <w:spacing w:after="0" w:line="360" w:lineRule="auto"/>
              <w:jc w:val="both"/>
              <w:rPr>
                <w:rFonts w:ascii="Times New Roman" w:hAnsi="Times New Roman"/>
                <w:sz w:val="28"/>
                <w:lang w:val="uk-UA"/>
              </w:rPr>
            </w:pPr>
            <w:r w:rsidRPr="008D06EC">
              <w:rPr>
                <w:rFonts w:ascii="Times New Roman" w:hAnsi="Times New Roman"/>
                <w:sz w:val="28"/>
                <w:lang w:val="uk-UA"/>
              </w:rPr>
              <w:t>d</w:t>
            </w:r>
          </w:p>
        </w:tc>
        <w:tc>
          <w:tcPr>
            <w:tcW w:w="1350" w:type="dxa"/>
          </w:tcPr>
          <w:p w:rsidR="00EC1B3C" w:rsidRPr="008D06EC" w:rsidRDefault="00EC1B3C" w:rsidP="008D06EC">
            <w:pPr>
              <w:spacing w:after="0" w:line="360" w:lineRule="auto"/>
              <w:jc w:val="both"/>
              <w:rPr>
                <w:rFonts w:ascii="Times New Roman" w:hAnsi="Times New Roman"/>
                <w:sz w:val="28"/>
                <w:lang w:val="uk-UA"/>
              </w:rPr>
            </w:pPr>
            <w:r w:rsidRPr="008D06EC">
              <w:rPr>
                <w:rFonts w:ascii="Times New Roman" w:hAnsi="Times New Roman"/>
                <w:sz w:val="28"/>
                <w:lang w:val="uk-UA"/>
              </w:rPr>
              <w:t>0,000</w:t>
            </w:r>
          </w:p>
        </w:tc>
        <w:tc>
          <w:tcPr>
            <w:tcW w:w="1603" w:type="dxa"/>
          </w:tcPr>
          <w:p w:rsidR="00EC1B3C" w:rsidRPr="008D06EC" w:rsidRDefault="00EC1B3C" w:rsidP="008D06EC">
            <w:pPr>
              <w:spacing w:after="0" w:line="360" w:lineRule="auto"/>
              <w:jc w:val="both"/>
              <w:rPr>
                <w:rFonts w:ascii="Times New Roman" w:hAnsi="Times New Roman"/>
                <w:sz w:val="28"/>
                <w:lang w:val="uk-UA"/>
              </w:rPr>
            </w:pPr>
            <w:r w:rsidRPr="008D06EC">
              <w:rPr>
                <w:rFonts w:ascii="Times New Roman" w:hAnsi="Times New Roman"/>
                <w:sz w:val="28"/>
                <w:lang w:val="uk-UA"/>
              </w:rPr>
              <w:t>0,000</w:t>
            </w:r>
          </w:p>
        </w:tc>
        <w:tc>
          <w:tcPr>
            <w:tcW w:w="2213" w:type="dxa"/>
          </w:tcPr>
          <w:p w:rsidR="00EC1B3C" w:rsidRPr="008D06EC" w:rsidRDefault="00EC1B3C" w:rsidP="008D06EC">
            <w:pPr>
              <w:spacing w:after="0" w:line="360" w:lineRule="auto"/>
              <w:jc w:val="both"/>
              <w:rPr>
                <w:rFonts w:ascii="Times New Roman" w:hAnsi="Times New Roman"/>
                <w:sz w:val="28"/>
                <w:lang w:val="uk-UA"/>
              </w:rPr>
            </w:pPr>
            <w:r w:rsidRPr="008D06EC">
              <w:rPr>
                <w:rFonts w:ascii="Times New Roman" w:hAnsi="Times New Roman"/>
                <w:sz w:val="28"/>
                <w:lang w:val="uk-UA"/>
              </w:rPr>
              <w:t>0,208</w:t>
            </w:r>
          </w:p>
        </w:tc>
        <w:tc>
          <w:tcPr>
            <w:tcW w:w="1101" w:type="dxa"/>
          </w:tcPr>
          <w:p w:rsidR="00EC1B3C" w:rsidRPr="008D06EC" w:rsidRDefault="00EC1B3C" w:rsidP="008D06EC">
            <w:pPr>
              <w:spacing w:after="0" w:line="360" w:lineRule="auto"/>
              <w:jc w:val="both"/>
              <w:rPr>
                <w:rFonts w:ascii="Times New Roman" w:hAnsi="Times New Roman"/>
                <w:sz w:val="28"/>
                <w:lang w:val="uk-UA"/>
              </w:rPr>
            </w:pPr>
            <w:r w:rsidRPr="008D06EC">
              <w:rPr>
                <w:rFonts w:ascii="Times New Roman" w:hAnsi="Times New Roman"/>
                <w:sz w:val="28"/>
                <w:lang w:val="uk-UA"/>
              </w:rPr>
              <w:t>0,887</w:t>
            </w:r>
          </w:p>
        </w:tc>
        <w:tc>
          <w:tcPr>
            <w:tcW w:w="1555" w:type="dxa"/>
          </w:tcPr>
          <w:p w:rsidR="00EC1B3C" w:rsidRPr="008D06EC" w:rsidRDefault="00EC1B3C" w:rsidP="008D06EC">
            <w:pPr>
              <w:spacing w:after="0" w:line="360" w:lineRule="auto"/>
              <w:jc w:val="both"/>
              <w:rPr>
                <w:rFonts w:ascii="Times New Roman" w:hAnsi="Times New Roman"/>
                <w:sz w:val="28"/>
                <w:lang w:val="uk-UA"/>
              </w:rPr>
            </w:pPr>
            <w:r w:rsidRPr="008D06EC">
              <w:rPr>
                <w:rFonts w:ascii="Times New Roman" w:hAnsi="Times New Roman"/>
                <w:sz w:val="28"/>
                <w:lang w:val="uk-UA"/>
              </w:rPr>
              <w:t>0,388</w:t>
            </w:r>
          </w:p>
        </w:tc>
      </w:tr>
      <w:tr w:rsidR="00EC1B3C" w:rsidRPr="008D06EC" w:rsidTr="008D06EC">
        <w:tc>
          <w:tcPr>
            <w:tcW w:w="1523" w:type="dxa"/>
          </w:tcPr>
          <w:p w:rsidR="00EC1B3C" w:rsidRPr="008D06EC" w:rsidRDefault="00EC1B3C" w:rsidP="008D06EC">
            <w:pPr>
              <w:spacing w:after="0" w:line="360" w:lineRule="auto"/>
              <w:jc w:val="both"/>
              <w:rPr>
                <w:rFonts w:ascii="Times New Roman" w:hAnsi="Times New Roman"/>
                <w:sz w:val="28"/>
                <w:lang w:val="uk-UA"/>
              </w:rPr>
            </w:pPr>
            <w:r w:rsidRPr="008D06EC">
              <w:rPr>
                <w:rFonts w:ascii="Times New Roman" w:hAnsi="Times New Roman"/>
                <w:sz w:val="28"/>
                <w:lang w:val="uk-UA"/>
              </w:rPr>
              <w:t>r</w:t>
            </w:r>
          </w:p>
        </w:tc>
        <w:tc>
          <w:tcPr>
            <w:tcW w:w="1350" w:type="dxa"/>
          </w:tcPr>
          <w:p w:rsidR="00EC1B3C" w:rsidRPr="008D06EC" w:rsidRDefault="00EC1B3C" w:rsidP="008D06EC">
            <w:pPr>
              <w:spacing w:after="0" w:line="360" w:lineRule="auto"/>
              <w:jc w:val="both"/>
              <w:rPr>
                <w:rFonts w:ascii="Times New Roman" w:hAnsi="Times New Roman"/>
                <w:sz w:val="28"/>
                <w:lang w:val="uk-UA"/>
              </w:rPr>
            </w:pPr>
            <w:r w:rsidRPr="008D06EC">
              <w:rPr>
                <w:rFonts w:ascii="Times New Roman" w:hAnsi="Times New Roman"/>
                <w:sz w:val="28"/>
                <w:lang w:val="uk-UA"/>
              </w:rPr>
              <w:t>-1,235</w:t>
            </w:r>
          </w:p>
        </w:tc>
        <w:tc>
          <w:tcPr>
            <w:tcW w:w="1603" w:type="dxa"/>
          </w:tcPr>
          <w:p w:rsidR="00EC1B3C" w:rsidRPr="008D06EC" w:rsidRDefault="00EC1B3C" w:rsidP="008D06EC">
            <w:pPr>
              <w:spacing w:after="0" w:line="360" w:lineRule="auto"/>
              <w:jc w:val="both"/>
              <w:rPr>
                <w:rFonts w:ascii="Times New Roman" w:hAnsi="Times New Roman"/>
                <w:sz w:val="28"/>
                <w:lang w:val="uk-UA"/>
              </w:rPr>
            </w:pPr>
            <w:r w:rsidRPr="008D06EC">
              <w:rPr>
                <w:rFonts w:ascii="Times New Roman" w:hAnsi="Times New Roman"/>
                <w:sz w:val="28"/>
                <w:lang w:val="uk-UA"/>
              </w:rPr>
              <w:t>1,975</w:t>
            </w:r>
          </w:p>
        </w:tc>
        <w:tc>
          <w:tcPr>
            <w:tcW w:w="2213" w:type="dxa"/>
          </w:tcPr>
          <w:p w:rsidR="00EC1B3C" w:rsidRPr="008D06EC" w:rsidRDefault="00EC1B3C" w:rsidP="008D06EC">
            <w:pPr>
              <w:spacing w:after="0" w:line="360" w:lineRule="auto"/>
              <w:jc w:val="both"/>
              <w:rPr>
                <w:rFonts w:ascii="Times New Roman" w:hAnsi="Times New Roman"/>
                <w:sz w:val="28"/>
                <w:lang w:val="uk-UA"/>
              </w:rPr>
            </w:pPr>
            <w:r w:rsidRPr="008D06EC">
              <w:rPr>
                <w:rFonts w:ascii="Times New Roman" w:hAnsi="Times New Roman"/>
                <w:sz w:val="28"/>
                <w:lang w:val="uk-UA"/>
              </w:rPr>
              <w:t>-0,126</w:t>
            </w:r>
          </w:p>
        </w:tc>
        <w:tc>
          <w:tcPr>
            <w:tcW w:w="1101" w:type="dxa"/>
          </w:tcPr>
          <w:p w:rsidR="00EC1B3C" w:rsidRPr="008D06EC" w:rsidRDefault="00EC1B3C" w:rsidP="008D06EC">
            <w:pPr>
              <w:spacing w:after="0" w:line="360" w:lineRule="auto"/>
              <w:jc w:val="both"/>
              <w:rPr>
                <w:rFonts w:ascii="Times New Roman" w:hAnsi="Times New Roman"/>
                <w:sz w:val="28"/>
                <w:lang w:val="uk-UA"/>
              </w:rPr>
            </w:pPr>
            <w:r w:rsidRPr="008D06EC">
              <w:rPr>
                <w:rFonts w:ascii="Times New Roman" w:hAnsi="Times New Roman"/>
                <w:sz w:val="28"/>
                <w:lang w:val="uk-UA"/>
              </w:rPr>
              <w:t>-0,626</w:t>
            </w:r>
          </w:p>
        </w:tc>
        <w:tc>
          <w:tcPr>
            <w:tcW w:w="1555" w:type="dxa"/>
          </w:tcPr>
          <w:p w:rsidR="00EC1B3C" w:rsidRPr="008D06EC" w:rsidRDefault="00EC1B3C" w:rsidP="008D06EC">
            <w:pPr>
              <w:spacing w:after="0" w:line="360" w:lineRule="auto"/>
              <w:jc w:val="both"/>
              <w:rPr>
                <w:rFonts w:ascii="Times New Roman" w:hAnsi="Times New Roman"/>
                <w:sz w:val="28"/>
                <w:lang w:val="uk-UA"/>
              </w:rPr>
            </w:pPr>
            <w:r w:rsidRPr="008D06EC">
              <w:rPr>
                <w:rFonts w:ascii="Times New Roman" w:hAnsi="Times New Roman"/>
                <w:sz w:val="28"/>
                <w:lang w:val="uk-UA"/>
              </w:rPr>
              <w:t>0,540</w:t>
            </w:r>
          </w:p>
        </w:tc>
      </w:tr>
      <w:tr w:rsidR="00EC1B3C" w:rsidRPr="008D06EC" w:rsidTr="008D06EC">
        <w:tc>
          <w:tcPr>
            <w:tcW w:w="1523" w:type="dxa"/>
          </w:tcPr>
          <w:p w:rsidR="00EC1B3C" w:rsidRPr="008D06EC" w:rsidRDefault="00EC1B3C" w:rsidP="008D06EC">
            <w:pPr>
              <w:spacing w:after="0" w:line="360" w:lineRule="auto"/>
              <w:jc w:val="both"/>
              <w:rPr>
                <w:rFonts w:ascii="Times New Roman" w:hAnsi="Times New Roman"/>
                <w:sz w:val="28"/>
                <w:lang w:val="uk-UA"/>
              </w:rPr>
            </w:pPr>
            <w:r w:rsidRPr="008D06EC">
              <w:rPr>
                <w:rFonts w:ascii="Times New Roman" w:hAnsi="Times New Roman"/>
                <w:sz w:val="28"/>
                <w:lang w:val="uk-UA"/>
              </w:rPr>
              <w:t>exp</w:t>
            </w:r>
          </w:p>
        </w:tc>
        <w:tc>
          <w:tcPr>
            <w:tcW w:w="1350" w:type="dxa"/>
          </w:tcPr>
          <w:p w:rsidR="00EC1B3C" w:rsidRPr="008D06EC" w:rsidRDefault="00EC1B3C" w:rsidP="008D06EC">
            <w:pPr>
              <w:spacing w:after="0" w:line="360" w:lineRule="auto"/>
              <w:jc w:val="both"/>
              <w:rPr>
                <w:rFonts w:ascii="Times New Roman" w:hAnsi="Times New Roman"/>
                <w:sz w:val="28"/>
                <w:lang w:val="uk-UA"/>
              </w:rPr>
            </w:pPr>
            <w:r w:rsidRPr="008D06EC">
              <w:rPr>
                <w:rFonts w:ascii="Times New Roman" w:hAnsi="Times New Roman"/>
                <w:sz w:val="28"/>
                <w:lang w:val="uk-UA"/>
              </w:rPr>
              <w:t>4,820</w:t>
            </w:r>
          </w:p>
        </w:tc>
        <w:tc>
          <w:tcPr>
            <w:tcW w:w="1603" w:type="dxa"/>
          </w:tcPr>
          <w:p w:rsidR="00EC1B3C" w:rsidRPr="008D06EC" w:rsidRDefault="00EC1B3C" w:rsidP="008D06EC">
            <w:pPr>
              <w:spacing w:after="0" w:line="360" w:lineRule="auto"/>
              <w:jc w:val="both"/>
              <w:rPr>
                <w:rFonts w:ascii="Times New Roman" w:hAnsi="Times New Roman"/>
                <w:sz w:val="28"/>
                <w:lang w:val="uk-UA"/>
              </w:rPr>
            </w:pPr>
            <w:r w:rsidRPr="008D06EC">
              <w:rPr>
                <w:rFonts w:ascii="Times New Roman" w:hAnsi="Times New Roman"/>
                <w:sz w:val="28"/>
                <w:lang w:val="uk-UA"/>
              </w:rPr>
              <w:t>1,980</w:t>
            </w:r>
          </w:p>
        </w:tc>
        <w:tc>
          <w:tcPr>
            <w:tcW w:w="2213" w:type="dxa"/>
          </w:tcPr>
          <w:p w:rsidR="00EC1B3C" w:rsidRPr="008D06EC" w:rsidRDefault="00EC1B3C" w:rsidP="008D06EC">
            <w:pPr>
              <w:spacing w:after="0" w:line="360" w:lineRule="auto"/>
              <w:jc w:val="both"/>
              <w:rPr>
                <w:rFonts w:ascii="Times New Roman" w:hAnsi="Times New Roman"/>
                <w:sz w:val="28"/>
                <w:lang w:val="uk-UA"/>
              </w:rPr>
            </w:pPr>
            <w:r w:rsidRPr="008D06EC">
              <w:rPr>
                <w:rFonts w:ascii="Times New Roman" w:hAnsi="Times New Roman"/>
                <w:sz w:val="28"/>
                <w:lang w:val="uk-UA"/>
              </w:rPr>
              <w:t>0,540</w:t>
            </w:r>
          </w:p>
        </w:tc>
        <w:tc>
          <w:tcPr>
            <w:tcW w:w="1101" w:type="dxa"/>
          </w:tcPr>
          <w:p w:rsidR="00EC1B3C" w:rsidRPr="008D06EC" w:rsidRDefault="00EC1B3C" w:rsidP="008D06EC">
            <w:pPr>
              <w:spacing w:after="0" w:line="360" w:lineRule="auto"/>
              <w:jc w:val="both"/>
              <w:rPr>
                <w:rFonts w:ascii="Times New Roman" w:hAnsi="Times New Roman"/>
                <w:sz w:val="28"/>
                <w:lang w:val="uk-UA"/>
              </w:rPr>
            </w:pPr>
            <w:r w:rsidRPr="008D06EC">
              <w:rPr>
                <w:rFonts w:ascii="Times New Roman" w:hAnsi="Times New Roman"/>
                <w:sz w:val="28"/>
                <w:lang w:val="uk-UA"/>
              </w:rPr>
              <w:t>2,434</w:t>
            </w:r>
          </w:p>
        </w:tc>
        <w:tc>
          <w:tcPr>
            <w:tcW w:w="1555" w:type="dxa"/>
          </w:tcPr>
          <w:p w:rsidR="00EC1B3C" w:rsidRPr="008D06EC" w:rsidRDefault="00EC1B3C" w:rsidP="008D06EC">
            <w:pPr>
              <w:spacing w:after="0" w:line="360" w:lineRule="auto"/>
              <w:jc w:val="both"/>
              <w:rPr>
                <w:rFonts w:ascii="Times New Roman" w:hAnsi="Times New Roman"/>
                <w:sz w:val="28"/>
                <w:lang w:val="uk-UA"/>
              </w:rPr>
            </w:pPr>
            <w:r w:rsidRPr="008D06EC">
              <w:rPr>
                <w:rFonts w:ascii="Times New Roman" w:hAnsi="Times New Roman"/>
                <w:sz w:val="28"/>
                <w:lang w:val="uk-UA"/>
              </w:rPr>
              <w:t>0,027</w:t>
            </w:r>
          </w:p>
        </w:tc>
      </w:tr>
    </w:tbl>
    <w:p w:rsidR="00EC1B3C" w:rsidRPr="0094392D" w:rsidRDefault="00EC1B3C" w:rsidP="005C3E59">
      <w:pPr>
        <w:spacing w:after="0" w:line="360" w:lineRule="auto"/>
        <w:ind w:firstLine="708"/>
        <w:jc w:val="both"/>
        <w:rPr>
          <w:rFonts w:ascii="Times New Roman" w:hAnsi="Times New Roman"/>
          <w:sz w:val="28"/>
          <w:szCs w:val="28"/>
          <w:lang w:val="uk-UA"/>
        </w:rPr>
      </w:pPr>
      <w:r w:rsidRPr="0094392D">
        <w:rPr>
          <w:rFonts w:ascii="Times New Roman" w:hAnsi="Times New Roman"/>
          <w:sz w:val="28"/>
          <w:szCs w:val="28"/>
          <w:lang w:val="uk-UA"/>
        </w:rPr>
        <w:t>Залежна змінна: inv</w:t>
      </w:r>
    </w:p>
    <w:p w:rsidR="00EC1B3C" w:rsidRPr="0094392D" w:rsidRDefault="00EC1B3C" w:rsidP="005C3E59">
      <w:pPr>
        <w:spacing w:after="0" w:line="360" w:lineRule="auto"/>
        <w:ind w:firstLine="709"/>
        <w:jc w:val="both"/>
        <w:rPr>
          <w:rFonts w:ascii="Times New Roman" w:hAnsi="Times New Roman"/>
          <w:sz w:val="28"/>
          <w:lang w:val="uk-UA"/>
        </w:rPr>
      </w:pPr>
      <w:r w:rsidRPr="0094392D">
        <w:rPr>
          <w:rFonts w:ascii="Times New Roman" w:hAnsi="Times New Roman"/>
          <w:sz w:val="28"/>
          <w:lang w:val="uk-UA"/>
        </w:rPr>
        <w:t>Джерело: складено автором на основі даних [7], [15],див. Додаток Б, Таблиця Б.2</w:t>
      </w:r>
    </w:p>
    <w:p w:rsidR="00EC1B3C" w:rsidRPr="0094392D" w:rsidRDefault="00EC1B3C" w:rsidP="009C56A0">
      <w:pPr>
        <w:spacing w:after="0" w:line="360" w:lineRule="auto"/>
        <w:ind w:firstLine="708"/>
        <w:jc w:val="both"/>
        <w:rPr>
          <w:rFonts w:ascii="Times New Roman" w:hAnsi="Times New Roman"/>
          <w:sz w:val="28"/>
          <w:szCs w:val="28"/>
          <w:lang w:val="uk-UA"/>
        </w:rPr>
      </w:pPr>
      <w:r w:rsidRPr="0094392D">
        <w:rPr>
          <w:rFonts w:ascii="Times New Roman" w:hAnsi="Times New Roman"/>
          <w:sz w:val="28"/>
          <w:szCs w:val="28"/>
          <w:lang w:val="uk-UA"/>
        </w:rPr>
        <w:t>З Таблиці 2.2 можна зробити наступні висновки. Розглянувши стандартизовані коефіцієнти виявилось, що найбільший вплив на залежну зміну мають видатки державного бюджету у % від ВВП (exp) та прямі інвестиції (активи) (d). Це означає те, що, якщо дані показники зростуть на одне стандартне відхилення, баланс доходів від інвестицій ОАЕ зменшиться на 0,540 та 0,280стандартних відхилень відповідно. Єдиним значущим коефіцієнтом з усіх незалежних змінних є виключно видатки державного бюджету ОАЕ у % від ВВП. Цей показник має рівень значущості 5%. Інші коефіцієнти моделі, а саме прямі інвестиції (активи) (d) та відсоткова ставка (r) виявилися абсолютно не значущими та не впливають на залежну зміну «inv».</w:t>
      </w:r>
    </w:p>
    <w:p w:rsidR="00EC1B3C" w:rsidRPr="0094392D" w:rsidRDefault="00EC1B3C" w:rsidP="007F6AC7">
      <w:pPr>
        <w:spacing w:after="0" w:line="360" w:lineRule="auto"/>
        <w:ind w:firstLine="709"/>
        <w:jc w:val="both"/>
        <w:rPr>
          <w:rFonts w:ascii="Times New Roman" w:hAnsi="Times New Roman"/>
          <w:sz w:val="28"/>
          <w:lang w:val="uk-UA"/>
        </w:rPr>
      </w:pPr>
      <w:r w:rsidRPr="0094392D">
        <w:rPr>
          <w:rFonts w:ascii="Times New Roman" w:hAnsi="Times New Roman"/>
          <w:sz w:val="28"/>
          <w:lang w:val="uk-UA"/>
        </w:rPr>
        <w:t>Значення коефіцієнту валютного курсу ОАЕ не корелює ні з однією змінною регресійної моделі.</w:t>
      </w:r>
    </w:p>
    <w:p w:rsidR="00EC1B3C" w:rsidRPr="0094392D" w:rsidRDefault="00EC1B3C" w:rsidP="00FC709F">
      <w:pPr>
        <w:spacing w:after="0" w:line="360" w:lineRule="auto"/>
        <w:ind w:firstLine="709"/>
        <w:jc w:val="both"/>
        <w:rPr>
          <w:rFonts w:ascii="Times New Roman" w:hAnsi="Times New Roman"/>
          <w:sz w:val="28"/>
          <w:szCs w:val="28"/>
          <w:lang w:val="uk-UA"/>
        </w:rPr>
      </w:pPr>
      <w:r w:rsidRPr="0094392D">
        <w:rPr>
          <w:rFonts w:ascii="Times New Roman" w:hAnsi="Times New Roman"/>
          <w:sz w:val="28"/>
          <w:szCs w:val="28"/>
          <w:lang w:val="uk-UA"/>
        </w:rPr>
        <w:t>Отже, проаналізувавши отримані результати, складаємо таку емпіричну модель:</w:t>
      </w:r>
    </w:p>
    <w:p w:rsidR="00EC1B3C" w:rsidRPr="0094392D" w:rsidRDefault="00EC1B3C" w:rsidP="00FC709F">
      <w:pPr>
        <w:spacing w:after="0" w:line="360" w:lineRule="auto"/>
        <w:ind w:firstLine="709"/>
        <w:jc w:val="both"/>
        <w:rPr>
          <w:rFonts w:ascii="Times New Roman" w:hAnsi="Times New Roman"/>
          <w:sz w:val="28"/>
          <w:szCs w:val="28"/>
          <w:lang w:val="uk-UA"/>
        </w:rPr>
      </w:pPr>
      <w:r w:rsidRPr="0094392D">
        <w:rPr>
          <w:rFonts w:ascii="Times New Roman" w:hAnsi="Times New Roman"/>
          <w:sz w:val="28"/>
          <w:szCs w:val="28"/>
          <w:lang w:val="uk-UA"/>
        </w:rPr>
        <w:t>inv = 0,208·d – 0,126·r +0,540·exp</w:t>
      </w:r>
    </w:p>
    <w:p w:rsidR="00EC1B3C" w:rsidRPr="0094392D" w:rsidRDefault="00EC1B3C" w:rsidP="00FC709F">
      <w:pPr>
        <w:spacing w:after="0" w:line="360" w:lineRule="auto"/>
        <w:ind w:firstLine="709"/>
        <w:jc w:val="both"/>
        <w:rPr>
          <w:rFonts w:ascii="Times New Roman" w:hAnsi="Times New Roman"/>
          <w:sz w:val="28"/>
          <w:szCs w:val="28"/>
          <w:lang w:val="uk-UA"/>
        </w:rPr>
      </w:pPr>
      <w:r w:rsidRPr="0094392D">
        <w:rPr>
          <w:rFonts w:ascii="Times New Roman" w:hAnsi="Times New Roman"/>
          <w:sz w:val="28"/>
          <w:szCs w:val="28"/>
          <w:lang w:val="uk-UA"/>
        </w:rPr>
        <w:t xml:space="preserve">         (0,887)    (-0,626) (2,434**)  </w:t>
      </w:r>
    </w:p>
    <w:p w:rsidR="00EC1B3C" w:rsidRPr="0094392D" w:rsidRDefault="00EC1B3C" w:rsidP="00FC709F">
      <w:pPr>
        <w:spacing w:after="0" w:line="360" w:lineRule="auto"/>
        <w:ind w:firstLine="709"/>
        <w:jc w:val="both"/>
        <w:rPr>
          <w:rFonts w:ascii="Times New Roman" w:hAnsi="Times New Roman"/>
          <w:sz w:val="28"/>
          <w:szCs w:val="28"/>
          <w:lang w:val="uk-UA"/>
        </w:rPr>
      </w:pPr>
      <w:r w:rsidRPr="0094392D">
        <w:rPr>
          <w:rFonts w:ascii="Times New Roman" w:hAnsi="Times New Roman"/>
          <w:sz w:val="28"/>
          <w:szCs w:val="28"/>
          <w:lang w:val="uk-UA"/>
        </w:rPr>
        <w:t xml:space="preserve">Адекватність моделі показана: </w:t>
      </w:r>
    </w:p>
    <w:p w:rsidR="00EC1B3C" w:rsidRPr="0094392D" w:rsidRDefault="00EC1B3C" w:rsidP="00FC709F">
      <w:pPr>
        <w:spacing w:after="0" w:line="360" w:lineRule="auto"/>
        <w:ind w:firstLine="709"/>
        <w:jc w:val="both"/>
        <w:rPr>
          <w:rFonts w:ascii="Times New Roman" w:hAnsi="Times New Roman"/>
          <w:sz w:val="28"/>
          <w:szCs w:val="28"/>
          <w:lang w:val="uk-UA"/>
        </w:rPr>
      </w:pPr>
      <w:r w:rsidRPr="0094392D">
        <w:rPr>
          <w:rFonts w:ascii="Times New Roman" w:hAnsi="Times New Roman"/>
          <w:sz w:val="28"/>
          <w:szCs w:val="28"/>
          <w:lang w:val="uk-UA"/>
        </w:rPr>
        <w:t xml:space="preserve">- один коефіцієнт з 5% значимості (**) та два коефіцієнти незначимі; </w:t>
      </w:r>
    </w:p>
    <w:p w:rsidR="00EC1B3C" w:rsidRPr="0094392D" w:rsidRDefault="00EC1B3C" w:rsidP="00505548">
      <w:pPr>
        <w:spacing w:after="0" w:line="360" w:lineRule="auto"/>
        <w:ind w:firstLine="709"/>
        <w:jc w:val="both"/>
        <w:rPr>
          <w:rFonts w:ascii="Times New Roman" w:hAnsi="Times New Roman"/>
          <w:sz w:val="28"/>
          <w:szCs w:val="28"/>
          <w:lang w:val="uk-UA"/>
        </w:rPr>
      </w:pPr>
      <w:r w:rsidRPr="0094392D">
        <w:rPr>
          <w:rFonts w:ascii="Times New Roman" w:hAnsi="Times New Roman"/>
          <w:sz w:val="28"/>
          <w:szCs w:val="28"/>
          <w:lang w:val="uk-UA"/>
        </w:rPr>
        <w:t>- R</w:t>
      </w:r>
      <w:r w:rsidRPr="0094392D">
        <w:rPr>
          <w:rFonts w:ascii="Times New Roman" w:hAnsi="Times New Roman"/>
          <w:sz w:val="28"/>
          <w:szCs w:val="28"/>
          <w:vertAlign w:val="superscript"/>
          <w:lang w:val="uk-UA"/>
        </w:rPr>
        <w:t>2</w:t>
      </w:r>
      <w:r w:rsidRPr="0094392D">
        <w:rPr>
          <w:rFonts w:ascii="Times New Roman" w:hAnsi="Times New Roman"/>
          <w:sz w:val="28"/>
          <w:szCs w:val="28"/>
          <w:lang w:val="uk-UA"/>
        </w:rPr>
        <w:t xml:space="preserve"> = 0,43 (43%).</w:t>
      </w:r>
    </w:p>
    <w:p w:rsidR="00EC1B3C" w:rsidRPr="0094392D" w:rsidRDefault="00EC1B3C" w:rsidP="00505548">
      <w:pPr>
        <w:spacing w:after="0" w:line="360" w:lineRule="auto"/>
        <w:ind w:firstLine="709"/>
        <w:jc w:val="both"/>
        <w:rPr>
          <w:rFonts w:ascii="Times New Roman" w:hAnsi="Times New Roman"/>
          <w:sz w:val="28"/>
          <w:szCs w:val="28"/>
          <w:lang w:val="uk-UA"/>
        </w:rPr>
      </w:pPr>
    </w:p>
    <w:p w:rsidR="00EC1B3C" w:rsidRPr="0094392D" w:rsidRDefault="00EC1B3C" w:rsidP="00282F75">
      <w:pPr>
        <w:spacing w:after="0" w:line="360" w:lineRule="auto"/>
        <w:ind w:firstLine="709"/>
        <w:jc w:val="both"/>
        <w:rPr>
          <w:rFonts w:ascii="Times New Roman" w:hAnsi="Times New Roman"/>
          <w:sz w:val="28"/>
          <w:szCs w:val="28"/>
          <w:lang w:val="uk-UA"/>
        </w:rPr>
      </w:pPr>
      <w:r w:rsidRPr="0094392D">
        <w:rPr>
          <w:rFonts w:ascii="Times New Roman" w:hAnsi="Times New Roman"/>
          <w:sz w:val="28"/>
          <w:szCs w:val="28"/>
          <w:lang w:val="uk-UA"/>
        </w:rPr>
        <w:t>Даний підрозділ</w:t>
      </w:r>
      <w:r>
        <w:rPr>
          <w:rFonts w:ascii="Times New Roman" w:hAnsi="Times New Roman"/>
          <w:sz w:val="28"/>
          <w:szCs w:val="28"/>
          <w:lang w:val="uk-UA"/>
        </w:rPr>
        <w:t xml:space="preserve">також </w:t>
      </w:r>
      <w:r w:rsidRPr="0094392D">
        <w:rPr>
          <w:rFonts w:ascii="Times New Roman" w:hAnsi="Times New Roman"/>
          <w:sz w:val="28"/>
          <w:szCs w:val="28"/>
          <w:lang w:val="uk-UA"/>
        </w:rPr>
        <w:t>присвяченийаналізу операцій CarryTradeз державними облігаціями Ізраїлю, ОАЕ та України. У якості валюти фондування обираємо данську крону (DKK), яка на квітень 2023 року має ставку кредитування2,75% на рік.</w:t>
      </w:r>
    </w:p>
    <w:p w:rsidR="00EC1B3C" w:rsidRPr="0094392D" w:rsidRDefault="00EC1B3C" w:rsidP="00282F75">
      <w:pPr>
        <w:spacing w:after="0" w:line="360" w:lineRule="auto"/>
        <w:ind w:firstLine="709"/>
        <w:jc w:val="both"/>
        <w:rPr>
          <w:rFonts w:ascii="Times New Roman" w:hAnsi="Times New Roman"/>
          <w:sz w:val="28"/>
          <w:szCs w:val="28"/>
          <w:lang w:val="uk-UA"/>
        </w:rPr>
      </w:pPr>
      <w:r w:rsidRPr="0094392D">
        <w:rPr>
          <w:rFonts w:ascii="Times New Roman" w:hAnsi="Times New Roman"/>
          <w:sz w:val="28"/>
          <w:szCs w:val="28"/>
          <w:lang w:val="uk-UA"/>
        </w:rPr>
        <w:t>На 5 квітня 2023 року 1 данська крона (DKK) = 0,525 ізраїльських шекелів (ILS).</w:t>
      </w:r>
    </w:p>
    <w:p w:rsidR="00EC1B3C" w:rsidRPr="0094392D" w:rsidRDefault="00EC1B3C" w:rsidP="00282F75">
      <w:pPr>
        <w:spacing w:after="0" w:line="360" w:lineRule="auto"/>
        <w:ind w:firstLine="709"/>
        <w:jc w:val="both"/>
        <w:rPr>
          <w:rFonts w:ascii="Times New Roman" w:hAnsi="Times New Roman"/>
          <w:sz w:val="28"/>
          <w:szCs w:val="28"/>
          <w:lang w:val="uk-UA"/>
        </w:rPr>
      </w:pPr>
      <w:r w:rsidRPr="0094392D">
        <w:rPr>
          <w:rFonts w:ascii="Times New Roman" w:hAnsi="Times New Roman"/>
          <w:sz w:val="28"/>
          <w:szCs w:val="28"/>
          <w:lang w:val="uk-UA"/>
        </w:rPr>
        <w:t>На 5 квітня 2024 року 1 данська крона (DKK) = 0,530 ізраїльських шекелів (ILS) –за умови 1% девальвації валютного курсу Ізраїлю за рік.</w:t>
      </w:r>
    </w:p>
    <w:p w:rsidR="00EC1B3C" w:rsidRPr="0094392D" w:rsidRDefault="00EC1B3C" w:rsidP="00282F75">
      <w:pPr>
        <w:spacing w:after="0" w:line="360" w:lineRule="auto"/>
        <w:ind w:firstLine="709"/>
        <w:jc w:val="both"/>
        <w:rPr>
          <w:rFonts w:ascii="Times New Roman" w:hAnsi="Times New Roman"/>
          <w:sz w:val="28"/>
          <w:szCs w:val="28"/>
          <w:lang w:val="uk-UA"/>
        </w:rPr>
      </w:pPr>
      <w:r w:rsidRPr="0094392D">
        <w:rPr>
          <w:rFonts w:ascii="Times New Roman" w:hAnsi="Times New Roman"/>
          <w:sz w:val="28"/>
          <w:szCs w:val="28"/>
          <w:lang w:val="uk-UA"/>
        </w:rPr>
        <w:t>Дохідність облігацій Ізраїлю на 05.04.2023 складає 0,46%. У такому разі, ми беремо 1 млн данських крон під відсоткову ставку 2,75% річних. За курсом 0,525 ILS/ DKKобмінюємо 1 млн данських крон і отримуємо 525000 ізраїльських шекелів. Купляємо на них ізраїльські облігації під 0,46% річних. За рік, після погашення облігацій, інвестор отримує відсотковий прибуток:</w:t>
      </w:r>
    </w:p>
    <w:p w:rsidR="00EC1B3C" w:rsidRPr="0094392D" w:rsidRDefault="00EC1B3C" w:rsidP="00282F75">
      <w:pPr>
        <w:spacing w:after="0" w:line="360" w:lineRule="auto"/>
        <w:ind w:firstLine="709"/>
        <w:jc w:val="both"/>
        <w:rPr>
          <w:rFonts w:ascii="Times New Roman" w:hAnsi="Times New Roman"/>
          <w:sz w:val="28"/>
          <w:szCs w:val="28"/>
          <w:lang w:val="uk-UA"/>
        </w:rPr>
      </w:pPr>
      <w:r w:rsidRPr="0094392D">
        <w:rPr>
          <w:rFonts w:ascii="Times New Roman" w:hAnsi="Times New Roman"/>
          <w:sz w:val="28"/>
          <w:szCs w:val="28"/>
          <w:lang w:val="uk-UA"/>
        </w:rPr>
        <w:t>525000 ILS + (0,0046*525000 ILS) = 525000 ILS + 2415 = 527415 ILS</w:t>
      </w:r>
    </w:p>
    <w:p w:rsidR="00EC1B3C" w:rsidRPr="0094392D" w:rsidRDefault="00EC1B3C" w:rsidP="00282F75">
      <w:pPr>
        <w:spacing w:after="0" w:line="360" w:lineRule="auto"/>
        <w:ind w:firstLine="709"/>
        <w:jc w:val="both"/>
        <w:rPr>
          <w:rFonts w:ascii="Times New Roman" w:hAnsi="Times New Roman"/>
          <w:sz w:val="28"/>
          <w:szCs w:val="28"/>
          <w:lang w:val="uk-UA"/>
        </w:rPr>
      </w:pPr>
      <w:r w:rsidRPr="0094392D">
        <w:rPr>
          <w:rFonts w:ascii="Times New Roman" w:hAnsi="Times New Roman"/>
          <w:sz w:val="28"/>
          <w:szCs w:val="28"/>
          <w:lang w:val="uk-UA"/>
        </w:rPr>
        <w:t>Ділимо дану суму: 527415 ILS, на 0,530ILS/ DKKдля розуміння відсоткового прибутку:</w:t>
      </w:r>
    </w:p>
    <w:p w:rsidR="00EC1B3C" w:rsidRPr="0094392D" w:rsidRDefault="00EC1B3C" w:rsidP="00282F75">
      <w:pPr>
        <w:spacing w:after="0" w:line="360" w:lineRule="auto"/>
        <w:ind w:firstLine="709"/>
        <w:jc w:val="both"/>
        <w:rPr>
          <w:rFonts w:ascii="Times New Roman" w:hAnsi="Times New Roman"/>
          <w:sz w:val="28"/>
          <w:szCs w:val="28"/>
          <w:lang w:val="uk-UA"/>
        </w:rPr>
      </w:pPr>
      <w:r w:rsidRPr="0094392D">
        <w:rPr>
          <w:rFonts w:ascii="Times New Roman" w:hAnsi="Times New Roman"/>
          <w:sz w:val="28"/>
          <w:szCs w:val="28"/>
          <w:lang w:val="uk-UA"/>
        </w:rPr>
        <w:t>527415 ILS/0,530 ILS/ DKK = 995122,6DKK.</w:t>
      </w:r>
    </w:p>
    <w:p w:rsidR="00EC1B3C" w:rsidRPr="0094392D" w:rsidRDefault="00EC1B3C" w:rsidP="00282F75">
      <w:pPr>
        <w:spacing w:after="0" w:line="360" w:lineRule="auto"/>
        <w:ind w:firstLine="709"/>
        <w:jc w:val="both"/>
        <w:rPr>
          <w:rFonts w:ascii="Times New Roman" w:hAnsi="Times New Roman"/>
          <w:sz w:val="28"/>
          <w:szCs w:val="28"/>
          <w:lang w:val="uk-UA"/>
        </w:rPr>
      </w:pPr>
      <w:r w:rsidRPr="0094392D">
        <w:rPr>
          <w:rFonts w:ascii="Times New Roman" w:hAnsi="Times New Roman"/>
          <w:sz w:val="28"/>
          <w:szCs w:val="28"/>
          <w:lang w:val="uk-UA"/>
        </w:rPr>
        <w:t>Наступним кроком є віддання кредиту з відсотком 2,75%.</w:t>
      </w:r>
    </w:p>
    <w:p w:rsidR="00EC1B3C" w:rsidRPr="0094392D" w:rsidRDefault="00EC1B3C" w:rsidP="00282F75">
      <w:pPr>
        <w:spacing w:after="0" w:line="360" w:lineRule="auto"/>
        <w:ind w:firstLine="709"/>
        <w:jc w:val="both"/>
        <w:rPr>
          <w:rFonts w:ascii="Times New Roman" w:hAnsi="Times New Roman"/>
          <w:sz w:val="28"/>
          <w:szCs w:val="28"/>
          <w:lang w:val="uk-UA"/>
        </w:rPr>
      </w:pPr>
      <w:r w:rsidRPr="0094392D">
        <w:rPr>
          <w:rFonts w:ascii="Times New Roman" w:hAnsi="Times New Roman"/>
          <w:sz w:val="28"/>
          <w:szCs w:val="28"/>
          <w:lang w:val="uk-UA"/>
        </w:rPr>
        <w:t>995 122,6 DKK– 1000000 DKK – (0,0275*1000000 DKK) = -32 377,4DKK – чисті збитки.</w:t>
      </w:r>
    </w:p>
    <w:p w:rsidR="00EC1B3C" w:rsidRPr="0094392D" w:rsidRDefault="00EC1B3C" w:rsidP="00CB1FBD">
      <w:pPr>
        <w:spacing w:after="0" w:line="360" w:lineRule="auto"/>
        <w:ind w:firstLine="709"/>
        <w:jc w:val="both"/>
        <w:rPr>
          <w:rFonts w:ascii="Times New Roman" w:hAnsi="Times New Roman"/>
          <w:sz w:val="28"/>
          <w:szCs w:val="28"/>
          <w:lang w:val="uk-UA"/>
        </w:rPr>
      </w:pPr>
      <w:r w:rsidRPr="0094392D">
        <w:rPr>
          <w:rFonts w:ascii="Times New Roman" w:hAnsi="Times New Roman"/>
          <w:sz w:val="28"/>
          <w:szCs w:val="28"/>
          <w:lang w:val="uk-UA"/>
        </w:rPr>
        <w:t xml:space="preserve">Дохідність операції під час використання позикових ресурсів склала </w:t>
      </w:r>
    </w:p>
    <w:p w:rsidR="00EC1B3C" w:rsidRPr="0094392D" w:rsidRDefault="00EC1B3C" w:rsidP="00CB1FBD">
      <w:pPr>
        <w:spacing w:after="0" w:line="360" w:lineRule="auto"/>
        <w:jc w:val="both"/>
        <w:rPr>
          <w:rFonts w:ascii="Times New Roman" w:hAnsi="Times New Roman"/>
          <w:sz w:val="28"/>
          <w:szCs w:val="28"/>
          <w:lang w:val="uk-UA"/>
        </w:rPr>
      </w:pPr>
      <w:r w:rsidRPr="0094392D">
        <w:rPr>
          <w:rFonts w:ascii="Times New Roman" w:hAnsi="Times New Roman"/>
          <w:sz w:val="28"/>
          <w:szCs w:val="28"/>
          <w:lang w:val="uk-UA"/>
        </w:rPr>
        <w:t>-3,24%.</w:t>
      </w:r>
    </w:p>
    <w:p w:rsidR="00EC1B3C" w:rsidRPr="0094392D" w:rsidRDefault="00EC1B3C" w:rsidP="00282F75">
      <w:pPr>
        <w:spacing w:after="0" w:line="360" w:lineRule="auto"/>
        <w:ind w:firstLine="709"/>
        <w:jc w:val="both"/>
        <w:rPr>
          <w:rFonts w:ascii="Times New Roman" w:hAnsi="Times New Roman"/>
          <w:sz w:val="28"/>
          <w:szCs w:val="28"/>
          <w:lang w:val="uk-UA"/>
        </w:rPr>
      </w:pPr>
      <w:r w:rsidRPr="0094392D">
        <w:rPr>
          <w:rFonts w:ascii="Times New Roman" w:hAnsi="Times New Roman"/>
          <w:sz w:val="28"/>
          <w:szCs w:val="28"/>
          <w:lang w:val="uk-UA"/>
        </w:rPr>
        <w:t>Таким самим чином проводимо розрахування з облігаціями ОАЕ та України.</w:t>
      </w:r>
    </w:p>
    <w:p w:rsidR="00EC1B3C" w:rsidRPr="0094392D" w:rsidRDefault="00EC1B3C" w:rsidP="00282F75">
      <w:pPr>
        <w:spacing w:after="0" w:line="360" w:lineRule="auto"/>
        <w:ind w:firstLine="709"/>
        <w:jc w:val="both"/>
        <w:rPr>
          <w:rFonts w:ascii="Times New Roman" w:hAnsi="Times New Roman"/>
          <w:sz w:val="28"/>
          <w:szCs w:val="28"/>
          <w:lang w:val="uk-UA"/>
        </w:rPr>
      </w:pPr>
      <w:r w:rsidRPr="0094392D">
        <w:rPr>
          <w:rFonts w:ascii="Times New Roman" w:hAnsi="Times New Roman"/>
          <w:sz w:val="28"/>
          <w:szCs w:val="28"/>
          <w:lang w:val="uk-UA"/>
        </w:rPr>
        <w:t>На 5 квітня 2023 року 1 данська крона (DKK) = 0,538 еміратськихдірхама(AED)</w:t>
      </w:r>
    </w:p>
    <w:p w:rsidR="00EC1B3C" w:rsidRPr="0094392D" w:rsidRDefault="00EC1B3C" w:rsidP="00282F75">
      <w:pPr>
        <w:spacing w:after="0" w:line="360" w:lineRule="auto"/>
        <w:ind w:firstLine="709"/>
        <w:jc w:val="both"/>
        <w:rPr>
          <w:rFonts w:ascii="Times New Roman" w:hAnsi="Times New Roman"/>
          <w:sz w:val="28"/>
          <w:szCs w:val="28"/>
          <w:lang w:val="uk-UA"/>
        </w:rPr>
      </w:pPr>
      <w:r w:rsidRPr="0094392D">
        <w:rPr>
          <w:rFonts w:ascii="Times New Roman" w:hAnsi="Times New Roman"/>
          <w:sz w:val="28"/>
          <w:szCs w:val="28"/>
          <w:lang w:val="uk-UA"/>
        </w:rPr>
        <w:t>На 5 квітня 2024 року 1 данська крона (DKK) = 0,543еміратськихдірхама (AED) – за умови 1% девальвації валютного курсу ОАЕ за рік.</w:t>
      </w:r>
    </w:p>
    <w:p w:rsidR="00EC1B3C" w:rsidRPr="0094392D" w:rsidRDefault="00EC1B3C" w:rsidP="00282F75">
      <w:pPr>
        <w:spacing w:after="0" w:line="360" w:lineRule="auto"/>
        <w:ind w:firstLine="709"/>
        <w:jc w:val="both"/>
        <w:rPr>
          <w:rFonts w:ascii="Times New Roman" w:hAnsi="Times New Roman"/>
          <w:sz w:val="28"/>
          <w:szCs w:val="28"/>
          <w:lang w:val="uk-UA"/>
        </w:rPr>
      </w:pPr>
      <w:r w:rsidRPr="0094392D">
        <w:rPr>
          <w:rFonts w:ascii="Times New Roman" w:hAnsi="Times New Roman"/>
          <w:sz w:val="28"/>
          <w:szCs w:val="28"/>
          <w:lang w:val="uk-UA"/>
        </w:rPr>
        <w:t>Дохідність облігацій ОАЕ на 05.04.2023 складає4,32%. У такому разі, ми беремо 1 млн данських крон під відсоткову ставку 2,75% річних.За курсом 0,538AED/DKKобмінюємо 1 млн данських крон і отримуємо 538000дірхамів. Купляємо на них еміратські облігації під 4,32% річних. За рік, після погашення облігацій, інвестор отримує відсотковий прибуток:</w:t>
      </w:r>
    </w:p>
    <w:p w:rsidR="00EC1B3C" w:rsidRPr="0094392D" w:rsidRDefault="00EC1B3C" w:rsidP="00282F75">
      <w:pPr>
        <w:spacing w:after="0" w:line="360" w:lineRule="auto"/>
        <w:ind w:firstLine="709"/>
        <w:jc w:val="both"/>
        <w:rPr>
          <w:rFonts w:ascii="Times New Roman" w:hAnsi="Times New Roman"/>
          <w:sz w:val="28"/>
          <w:szCs w:val="28"/>
          <w:lang w:val="uk-UA"/>
        </w:rPr>
      </w:pPr>
      <w:r w:rsidRPr="0094392D">
        <w:rPr>
          <w:rFonts w:ascii="Times New Roman" w:hAnsi="Times New Roman"/>
          <w:sz w:val="28"/>
          <w:szCs w:val="28"/>
          <w:lang w:val="uk-UA"/>
        </w:rPr>
        <w:t>538000AED + (0,0432*538000 AED) = 538000 AED + 23 241,6 AED = 561 241,6 AED.</w:t>
      </w:r>
    </w:p>
    <w:p w:rsidR="00EC1B3C" w:rsidRPr="0094392D" w:rsidRDefault="00EC1B3C" w:rsidP="00282F75">
      <w:pPr>
        <w:spacing w:after="0" w:line="360" w:lineRule="auto"/>
        <w:ind w:firstLine="709"/>
        <w:jc w:val="both"/>
        <w:rPr>
          <w:rFonts w:ascii="Times New Roman" w:hAnsi="Times New Roman"/>
          <w:sz w:val="28"/>
          <w:szCs w:val="28"/>
          <w:lang w:val="uk-UA"/>
        </w:rPr>
      </w:pPr>
      <w:r w:rsidRPr="0094392D">
        <w:rPr>
          <w:rFonts w:ascii="Times New Roman" w:hAnsi="Times New Roman"/>
          <w:sz w:val="28"/>
          <w:szCs w:val="28"/>
          <w:lang w:val="uk-UA"/>
        </w:rPr>
        <w:t>Ділимо отриману суму: 561 241,6 AED, на 0,543 AED/DKKдля розуміння відсоткового прибутку: 561 241,6 AED/ 0,543 AED/DKK= 1 033 594,1DKK.</w:t>
      </w:r>
    </w:p>
    <w:p w:rsidR="00EC1B3C" w:rsidRPr="0094392D" w:rsidRDefault="00EC1B3C" w:rsidP="00282F75">
      <w:pPr>
        <w:spacing w:after="0" w:line="360" w:lineRule="auto"/>
        <w:ind w:firstLine="709"/>
        <w:jc w:val="both"/>
        <w:rPr>
          <w:rFonts w:ascii="Times New Roman" w:hAnsi="Times New Roman"/>
          <w:sz w:val="28"/>
          <w:szCs w:val="28"/>
          <w:lang w:val="uk-UA"/>
        </w:rPr>
      </w:pPr>
      <w:r w:rsidRPr="0094392D">
        <w:rPr>
          <w:rFonts w:ascii="Times New Roman" w:hAnsi="Times New Roman"/>
          <w:sz w:val="28"/>
          <w:szCs w:val="28"/>
          <w:lang w:val="uk-UA"/>
        </w:rPr>
        <w:t>Наступним кроком є віддання кредиту з відсотком 2,75%.</w:t>
      </w:r>
    </w:p>
    <w:p w:rsidR="00EC1B3C" w:rsidRPr="0094392D" w:rsidRDefault="00EC1B3C" w:rsidP="00282F75">
      <w:pPr>
        <w:spacing w:after="0" w:line="360" w:lineRule="auto"/>
        <w:ind w:firstLine="709"/>
        <w:jc w:val="both"/>
        <w:rPr>
          <w:rFonts w:ascii="Times New Roman" w:hAnsi="Times New Roman"/>
          <w:sz w:val="28"/>
          <w:szCs w:val="28"/>
          <w:lang w:val="uk-UA"/>
        </w:rPr>
      </w:pPr>
      <w:r w:rsidRPr="0094392D">
        <w:rPr>
          <w:rFonts w:ascii="Times New Roman" w:hAnsi="Times New Roman"/>
          <w:sz w:val="28"/>
          <w:szCs w:val="28"/>
          <w:lang w:val="uk-UA"/>
        </w:rPr>
        <w:t>1 033 594,1 DKK–1000000 DKK – (0,0275*1000000 DKK) = 9 094,1 DKK – чистий прибуток.</w:t>
      </w:r>
    </w:p>
    <w:p w:rsidR="00EC1B3C" w:rsidRPr="0094392D" w:rsidRDefault="00EC1B3C" w:rsidP="00282F75">
      <w:pPr>
        <w:spacing w:after="0" w:line="360" w:lineRule="auto"/>
        <w:ind w:firstLine="709"/>
        <w:jc w:val="both"/>
        <w:rPr>
          <w:rFonts w:ascii="Times New Roman" w:hAnsi="Times New Roman"/>
          <w:sz w:val="28"/>
          <w:szCs w:val="28"/>
          <w:lang w:val="uk-UA"/>
        </w:rPr>
      </w:pPr>
      <w:r w:rsidRPr="0094392D">
        <w:rPr>
          <w:rFonts w:ascii="Times New Roman" w:hAnsi="Times New Roman"/>
          <w:sz w:val="28"/>
          <w:szCs w:val="28"/>
          <w:lang w:val="uk-UA"/>
        </w:rPr>
        <w:t>Дохідність операції під час використання позикових ресурсів склала 0,909%.</w:t>
      </w:r>
    </w:p>
    <w:p w:rsidR="00EC1B3C" w:rsidRPr="0094392D" w:rsidRDefault="00EC1B3C" w:rsidP="00282F75">
      <w:pPr>
        <w:spacing w:after="0" w:line="360" w:lineRule="auto"/>
        <w:ind w:firstLine="709"/>
        <w:jc w:val="both"/>
        <w:rPr>
          <w:rFonts w:ascii="Times New Roman" w:hAnsi="Times New Roman"/>
          <w:sz w:val="28"/>
          <w:szCs w:val="28"/>
          <w:lang w:val="uk-UA"/>
        </w:rPr>
      </w:pPr>
      <w:r w:rsidRPr="0094392D">
        <w:rPr>
          <w:rFonts w:ascii="Times New Roman" w:hAnsi="Times New Roman"/>
          <w:sz w:val="28"/>
          <w:szCs w:val="28"/>
          <w:lang w:val="uk-UA"/>
        </w:rPr>
        <w:t>Далі обчислюємо прибутковість державних облігацій України.</w:t>
      </w:r>
    </w:p>
    <w:p w:rsidR="00EC1B3C" w:rsidRPr="0094392D" w:rsidRDefault="00EC1B3C" w:rsidP="00282F75">
      <w:pPr>
        <w:spacing w:after="0" w:line="360" w:lineRule="auto"/>
        <w:ind w:firstLine="709"/>
        <w:jc w:val="both"/>
        <w:rPr>
          <w:rFonts w:ascii="Times New Roman" w:hAnsi="Times New Roman"/>
          <w:sz w:val="28"/>
          <w:szCs w:val="28"/>
          <w:lang w:val="uk-UA"/>
        </w:rPr>
      </w:pPr>
      <w:r w:rsidRPr="0094392D">
        <w:rPr>
          <w:rFonts w:ascii="Times New Roman" w:hAnsi="Times New Roman"/>
          <w:sz w:val="28"/>
          <w:szCs w:val="28"/>
          <w:lang w:val="uk-UA"/>
        </w:rPr>
        <w:t>На 5 квітня 2023 року 1 данська крона (DKK) = 5,406 українських гривень (UAH)</w:t>
      </w:r>
    </w:p>
    <w:p w:rsidR="00EC1B3C" w:rsidRPr="0094392D" w:rsidRDefault="00EC1B3C" w:rsidP="00282F75">
      <w:pPr>
        <w:spacing w:after="0" w:line="360" w:lineRule="auto"/>
        <w:ind w:firstLine="709"/>
        <w:jc w:val="both"/>
        <w:rPr>
          <w:rFonts w:ascii="Times New Roman" w:hAnsi="Times New Roman"/>
          <w:sz w:val="28"/>
          <w:szCs w:val="28"/>
          <w:lang w:val="uk-UA"/>
        </w:rPr>
      </w:pPr>
      <w:r w:rsidRPr="0094392D">
        <w:rPr>
          <w:rFonts w:ascii="Times New Roman" w:hAnsi="Times New Roman"/>
          <w:sz w:val="28"/>
          <w:szCs w:val="28"/>
          <w:lang w:val="uk-UA"/>
        </w:rPr>
        <w:t>На 5 квітня 2024 року 1 данська крона (DKK) = 5,460 українських гривень (UAH) – за умови 1% девальвації валютного курсу України за рік.</w:t>
      </w:r>
    </w:p>
    <w:p w:rsidR="00EC1B3C" w:rsidRPr="0094392D" w:rsidRDefault="00EC1B3C" w:rsidP="00282F75">
      <w:pPr>
        <w:spacing w:after="0" w:line="360" w:lineRule="auto"/>
        <w:ind w:firstLine="709"/>
        <w:jc w:val="both"/>
        <w:rPr>
          <w:rFonts w:ascii="Times New Roman" w:hAnsi="Times New Roman"/>
          <w:sz w:val="28"/>
          <w:szCs w:val="28"/>
          <w:lang w:val="uk-UA"/>
        </w:rPr>
      </w:pPr>
      <w:r w:rsidRPr="0094392D">
        <w:rPr>
          <w:rFonts w:ascii="Times New Roman" w:hAnsi="Times New Roman"/>
          <w:sz w:val="28"/>
          <w:szCs w:val="28"/>
          <w:lang w:val="uk-UA"/>
        </w:rPr>
        <w:t>Дохідність облігацій України на 05.04.2023 складає 60,9%. Беремо 1 млн данських крон під відсоткову ставку 2,75% річних. За курсом 5,406 UAH/DKK обмінюємо 1 млн данських крон і отримуємо 5406000гривень. Купляємо на них українські облігації під 60,9% річних. За рік, після погашення облігацій, інвестор отримує відсотковий прибуток:</w:t>
      </w:r>
    </w:p>
    <w:p w:rsidR="00EC1B3C" w:rsidRPr="0094392D" w:rsidRDefault="00EC1B3C" w:rsidP="00282F75">
      <w:pPr>
        <w:spacing w:after="0" w:line="360" w:lineRule="auto"/>
        <w:ind w:firstLine="709"/>
        <w:jc w:val="both"/>
        <w:rPr>
          <w:rFonts w:ascii="Times New Roman" w:hAnsi="Times New Roman"/>
          <w:sz w:val="28"/>
          <w:szCs w:val="28"/>
          <w:lang w:val="uk-UA"/>
        </w:rPr>
      </w:pPr>
      <w:r w:rsidRPr="0094392D">
        <w:rPr>
          <w:rFonts w:ascii="Times New Roman" w:hAnsi="Times New Roman"/>
          <w:sz w:val="28"/>
          <w:szCs w:val="28"/>
          <w:lang w:val="uk-UA"/>
        </w:rPr>
        <w:t>5406000 UAH + (0,609*5406000 UAH) = 5406000 UAH + 3 292 254 UAH = 8 698 254UAH.</w:t>
      </w:r>
    </w:p>
    <w:p w:rsidR="00EC1B3C" w:rsidRPr="0094392D" w:rsidRDefault="00EC1B3C" w:rsidP="00282F75">
      <w:pPr>
        <w:spacing w:after="0" w:line="360" w:lineRule="auto"/>
        <w:ind w:firstLine="709"/>
        <w:jc w:val="both"/>
        <w:rPr>
          <w:rFonts w:ascii="Times New Roman" w:hAnsi="Times New Roman"/>
          <w:sz w:val="28"/>
          <w:szCs w:val="28"/>
          <w:lang w:val="uk-UA"/>
        </w:rPr>
      </w:pPr>
      <w:r w:rsidRPr="0094392D">
        <w:rPr>
          <w:rFonts w:ascii="Times New Roman" w:hAnsi="Times New Roman"/>
          <w:sz w:val="28"/>
          <w:szCs w:val="28"/>
          <w:lang w:val="uk-UA"/>
        </w:rPr>
        <w:t>Ділимо отриману суму: 8 698 254 UAH, на 5,460UAH/DKK для розуміння відсоткового прибутку: 8 698 254 UAH/ 5,460 UAH/DKK = 1 593 086,8 DKK.</w:t>
      </w:r>
    </w:p>
    <w:p w:rsidR="00EC1B3C" w:rsidRPr="0094392D" w:rsidRDefault="00EC1B3C" w:rsidP="00282F75">
      <w:pPr>
        <w:spacing w:after="0" w:line="360" w:lineRule="auto"/>
        <w:ind w:firstLine="709"/>
        <w:jc w:val="both"/>
        <w:rPr>
          <w:rFonts w:ascii="Times New Roman" w:hAnsi="Times New Roman"/>
          <w:sz w:val="28"/>
          <w:szCs w:val="28"/>
          <w:lang w:val="uk-UA"/>
        </w:rPr>
      </w:pPr>
      <w:r w:rsidRPr="0094392D">
        <w:rPr>
          <w:rFonts w:ascii="Times New Roman" w:hAnsi="Times New Roman"/>
          <w:sz w:val="28"/>
          <w:szCs w:val="28"/>
          <w:lang w:val="uk-UA"/>
        </w:rPr>
        <w:t>Наступним кроком є віддання кредиту з відсотком 2,75%.</w:t>
      </w:r>
    </w:p>
    <w:p w:rsidR="00EC1B3C" w:rsidRPr="0094392D" w:rsidRDefault="00EC1B3C" w:rsidP="00282F75">
      <w:pPr>
        <w:spacing w:after="0" w:line="360" w:lineRule="auto"/>
        <w:ind w:firstLine="709"/>
        <w:jc w:val="both"/>
        <w:rPr>
          <w:rFonts w:ascii="Times New Roman" w:hAnsi="Times New Roman"/>
          <w:sz w:val="28"/>
          <w:szCs w:val="28"/>
          <w:lang w:val="uk-UA"/>
        </w:rPr>
      </w:pPr>
      <w:r w:rsidRPr="0094392D">
        <w:rPr>
          <w:rFonts w:ascii="Times New Roman" w:hAnsi="Times New Roman"/>
          <w:sz w:val="28"/>
          <w:szCs w:val="28"/>
          <w:lang w:val="uk-UA"/>
        </w:rPr>
        <w:t>1 593 086,8 DKK– 1000000DKK – (0,0275*1000000 DKK) = 565 586,8 DKK–чистий прибуток.</w:t>
      </w:r>
    </w:p>
    <w:p w:rsidR="00EC1B3C" w:rsidRPr="0094392D" w:rsidRDefault="00EC1B3C" w:rsidP="00282F75">
      <w:pPr>
        <w:spacing w:after="0" w:line="360" w:lineRule="auto"/>
        <w:ind w:firstLine="709"/>
        <w:jc w:val="both"/>
        <w:rPr>
          <w:rFonts w:ascii="Times New Roman" w:hAnsi="Times New Roman"/>
          <w:sz w:val="28"/>
          <w:szCs w:val="28"/>
          <w:lang w:val="uk-UA"/>
        </w:rPr>
      </w:pPr>
      <w:r w:rsidRPr="0094392D">
        <w:rPr>
          <w:rFonts w:ascii="Times New Roman" w:hAnsi="Times New Roman"/>
          <w:sz w:val="28"/>
          <w:szCs w:val="28"/>
          <w:lang w:val="uk-UA"/>
        </w:rPr>
        <w:t>Дохідність операції під час використання позикових ресурсів склала56,559%.</w:t>
      </w:r>
    </w:p>
    <w:p w:rsidR="00EC1B3C" w:rsidRPr="0094392D" w:rsidRDefault="00EC1B3C" w:rsidP="00282F75">
      <w:pPr>
        <w:spacing w:after="0" w:line="360" w:lineRule="auto"/>
        <w:ind w:firstLine="709"/>
        <w:jc w:val="both"/>
        <w:rPr>
          <w:rFonts w:ascii="Times New Roman" w:hAnsi="Times New Roman"/>
          <w:sz w:val="28"/>
          <w:szCs w:val="28"/>
          <w:lang w:val="uk-UA"/>
        </w:rPr>
      </w:pPr>
      <w:r w:rsidRPr="0094392D">
        <w:rPr>
          <w:rFonts w:ascii="Times New Roman" w:hAnsi="Times New Roman"/>
          <w:sz w:val="28"/>
          <w:szCs w:val="28"/>
          <w:lang w:val="uk-UA"/>
        </w:rPr>
        <w:t>Отже,проаналізувавши рахунки поточних операцій ОАЕ та Ізраїлю, я дійшла наступних висновків. Рахунок поточних операцій ОАЕ значно перевищував значення рахунку Ізраїлю протягом 2018-2022 років. Об’єднані Арабські Емірати є країною-експортером товарів, а Ізраїль в свою чергу більше імпортує товарів, ніж експортує. Ізраїль більше експортує послуг, ніж імпортує, на відміну від ОАЕ.В Об’єднаних Арабських Еміратах та Ізраїлізначення первинних доходів були негативними переважну кількість часу, що свідчить про переважання витрат над надходженнями. В порівнянні з показниками ОАЕ, баланс вторинних доходів Ізраїлю був вищим та мав позитивні значення, тобто надходження до країни з-за кордону були вищими за виплати.</w:t>
      </w:r>
    </w:p>
    <w:p w:rsidR="00EC1B3C" w:rsidRPr="0094392D" w:rsidRDefault="00EC1B3C" w:rsidP="00282F75">
      <w:pPr>
        <w:spacing w:after="0" w:line="360" w:lineRule="auto"/>
        <w:ind w:firstLine="709"/>
        <w:jc w:val="both"/>
        <w:rPr>
          <w:rFonts w:ascii="Times New Roman" w:hAnsi="Times New Roman"/>
          <w:sz w:val="28"/>
          <w:szCs w:val="28"/>
          <w:lang w:val="uk-UA"/>
        </w:rPr>
      </w:pPr>
      <w:r w:rsidRPr="0094392D">
        <w:rPr>
          <w:rFonts w:ascii="Times New Roman" w:hAnsi="Times New Roman"/>
          <w:sz w:val="28"/>
          <w:szCs w:val="28"/>
          <w:lang w:val="uk-UA"/>
        </w:rPr>
        <w:t xml:space="preserve">Після проведення порівняльного аналізу фінансових рахунків Ізраїлю та ОАЕ можна зазначити, що Об’єднані Арабські Емірати мали значно вищі показники прямих іноземних інвестицій та портфельних інвестицій, ніж Ізраїль, що свідчить про те, що країна є активним інвестором у світову економіку. На відміну від показників прямих та портфельних інвестицій, значення балансу інших інвестицій Ізраїлю перевищували сальдо ОАЕ впродовж останніх п’яти років. Значення резервних активів Ізраїлю були також вищими за показники Об’єднаних Арабських Еміратів протягом 2018-2022 років. </w:t>
      </w:r>
    </w:p>
    <w:p w:rsidR="00EC1B3C" w:rsidRPr="0094392D" w:rsidRDefault="00EC1B3C" w:rsidP="00282F75">
      <w:pPr>
        <w:spacing w:after="0" w:line="360" w:lineRule="auto"/>
        <w:ind w:firstLine="709"/>
        <w:jc w:val="both"/>
        <w:rPr>
          <w:rFonts w:ascii="Times New Roman" w:hAnsi="Times New Roman"/>
          <w:sz w:val="28"/>
          <w:szCs w:val="28"/>
          <w:lang w:val="uk-UA"/>
        </w:rPr>
      </w:pPr>
      <w:r w:rsidRPr="0094392D">
        <w:rPr>
          <w:rFonts w:ascii="Times New Roman" w:hAnsi="Times New Roman"/>
          <w:sz w:val="28"/>
          <w:szCs w:val="28"/>
          <w:lang w:val="uk-UA"/>
        </w:rPr>
        <w:t>Наступним кроком аналізу була побудова порівняльного регресійного аналізу Ізраїлю та ОАЕ. Згідно змоделями, значення відсоткової ставки та активів прямих інвестицій Ізраїлю мають найбільший вплив на динаміку доходів від інвестицій країни. В той самий час, незалежні змінні валютного курсу та видатків державного бюджету виявилися не значущими. На відміну від Ізраїлю, значення видатків державного бюджету ОАЕ мають найбільший вплив на зміни доходів від інвестицій.</w:t>
      </w:r>
    </w:p>
    <w:p w:rsidR="00EC1B3C" w:rsidRPr="0094392D" w:rsidRDefault="00EC1B3C" w:rsidP="00282F75">
      <w:pPr>
        <w:spacing w:after="0" w:line="360" w:lineRule="auto"/>
        <w:ind w:firstLine="709"/>
        <w:jc w:val="both"/>
        <w:rPr>
          <w:rFonts w:ascii="Times New Roman" w:hAnsi="Times New Roman"/>
          <w:sz w:val="28"/>
          <w:szCs w:val="28"/>
          <w:lang w:val="uk-UA"/>
        </w:rPr>
      </w:pPr>
      <w:r w:rsidRPr="0094392D">
        <w:rPr>
          <w:rFonts w:ascii="Times New Roman" w:hAnsi="Times New Roman"/>
          <w:sz w:val="28"/>
          <w:szCs w:val="28"/>
          <w:lang w:val="uk-UA"/>
        </w:rPr>
        <w:t>Проаналізувавши операції CarryTradeз державними облігаціями Ізраїлю та Об’єднаних Арабських Еміратів та облігаціями України, можна зробити наступні висновки. Після погашення ізраїльських облігацій та віддання кредиту зі ставкою кредитування 2,75% валюти фондування – данської крони–дохідність операції показала чисті збитки. На відміну від операцій з державними облігаціями Ізраїлю, отримані показники дохідності операції з еміратськими облігаціями продемонстрували чистий прибуток, що свідчить про більшу вигідність вкладання в облігації ОАЕ.В порівнянні з даними Ізраїлю та ОАЕ, операції з облігаціями України показали найбільший рівень прибутковості.</w:t>
      </w:r>
    </w:p>
    <w:p w:rsidR="00EC1B3C" w:rsidRPr="0094392D" w:rsidRDefault="00EC1B3C" w:rsidP="00282F75">
      <w:pPr>
        <w:spacing w:after="0" w:line="360" w:lineRule="auto"/>
        <w:ind w:firstLine="709"/>
        <w:jc w:val="both"/>
        <w:rPr>
          <w:rFonts w:ascii="Times New Roman" w:hAnsi="Times New Roman"/>
          <w:sz w:val="28"/>
          <w:szCs w:val="28"/>
          <w:lang w:val="uk-UA"/>
        </w:rPr>
      </w:pPr>
    </w:p>
    <w:p w:rsidR="00EC1B3C" w:rsidRPr="0094392D" w:rsidRDefault="00EC1B3C" w:rsidP="00282F75">
      <w:pPr>
        <w:spacing w:after="0" w:line="360" w:lineRule="auto"/>
        <w:ind w:firstLine="709"/>
        <w:jc w:val="both"/>
        <w:rPr>
          <w:rFonts w:ascii="Times New Roman" w:hAnsi="Times New Roman"/>
          <w:sz w:val="28"/>
          <w:szCs w:val="28"/>
          <w:lang w:val="uk-UA"/>
        </w:rPr>
      </w:pPr>
    </w:p>
    <w:p w:rsidR="00EC1B3C" w:rsidRPr="0094392D" w:rsidRDefault="00EC1B3C" w:rsidP="00282F75">
      <w:pPr>
        <w:spacing w:after="0" w:line="360" w:lineRule="auto"/>
        <w:ind w:firstLine="709"/>
        <w:jc w:val="both"/>
        <w:rPr>
          <w:rFonts w:ascii="Times New Roman" w:hAnsi="Times New Roman"/>
          <w:sz w:val="28"/>
          <w:szCs w:val="28"/>
          <w:lang w:val="uk-UA"/>
        </w:rPr>
      </w:pPr>
    </w:p>
    <w:p w:rsidR="00EC1B3C" w:rsidRDefault="00EC1B3C" w:rsidP="00C57FAA">
      <w:pPr>
        <w:spacing w:after="0" w:line="360" w:lineRule="auto"/>
        <w:jc w:val="both"/>
        <w:rPr>
          <w:rFonts w:ascii="Times New Roman" w:hAnsi="Times New Roman"/>
          <w:sz w:val="28"/>
          <w:szCs w:val="28"/>
          <w:lang w:val="uk-UA"/>
        </w:rPr>
      </w:pPr>
    </w:p>
    <w:p w:rsidR="00EC1B3C" w:rsidRDefault="00EC1B3C" w:rsidP="00C57FAA">
      <w:pPr>
        <w:spacing w:after="0" w:line="360" w:lineRule="auto"/>
        <w:jc w:val="both"/>
        <w:rPr>
          <w:rFonts w:ascii="Times New Roman" w:hAnsi="Times New Roman"/>
          <w:sz w:val="28"/>
          <w:szCs w:val="28"/>
          <w:lang w:val="uk-UA"/>
        </w:rPr>
      </w:pPr>
    </w:p>
    <w:p w:rsidR="00EC1B3C" w:rsidRPr="0094392D" w:rsidRDefault="00EC1B3C" w:rsidP="00C57FAA">
      <w:pPr>
        <w:spacing w:after="0" w:line="360" w:lineRule="auto"/>
        <w:jc w:val="both"/>
        <w:rPr>
          <w:rFonts w:ascii="Times New Roman" w:hAnsi="Times New Roman"/>
          <w:sz w:val="28"/>
          <w:szCs w:val="28"/>
          <w:lang w:val="uk-UA"/>
        </w:rPr>
      </w:pPr>
    </w:p>
    <w:p w:rsidR="00EC1B3C" w:rsidRPr="0094392D" w:rsidRDefault="00EC1B3C" w:rsidP="00544F0E">
      <w:pPr>
        <w:spacing w:after="0" w:line="360" w:lineRule="auto"/>
        <w:ind w:firstLine="709"/>
        <w:jc w:val="center"/>
        <w:rPr>
          <w:rFonts w:ascii="Times New Roman" w:hAnsi="Times New Roman"/>
          <w:b/>
          <w:sz w:val="28"/>
          <w:szCs w:val="32"/>
          <w:lang w:val="uk-UA"/>
        </w:rPr>
      </w:pPr>
      <w:r w:rsidRPr="0094392D">
        <w:rPr>
          <w:rFonts w:ascii="Times New Roman" w:hAnsi="Times New Roman"/>
          <w:b/>
          <w:sz w:val="28"/>
          <w:szCs w:val="32"/>
          <w:lang w:val="uk-UA"/>
        </w:rPr>
        <w:t>РОЗДІЛ 3</w:t>
      </w:r>
    </w:p>
    <w:p w:rsidR="00EC1B3C" w:rsidRPr="0094392D" w:rsidRDefault="00EC1B3C" w:rsidP="00544F0E">
      <w:pPr>
        <w:spacing w:after="0" w:line="360" w:lineRule="auto"/>
        <w:ind w:firstLine="709"/>
        <w:jc w:val="center"/>
        <w:rPr>
          <w:rFonts w:ascii="Times New Roman" w:hAnsi="Times New Roman"/>
          <w:b/>
          <w:sz w:val="32"/>
          <w:szCs w:val="28"/>
          <w:lang w:val="uk-UA"/>
        </w:rPr>
      </w:pPr>
      <w:r w:rsidRPr="0094392D">
        <w:rPr>
          <w:rFonts w:ascii="Times New Roman" w:hAnsi="Times New Roman"/>
          <w:b/>
          <w:sz w:val="28"/>
          <w:szCs w:val="32"/>
          <w:lang w:val="uk-UA"/>
        </w:rPr>
        <w:t>ОСОБЛИВОСТІ ЗОВНІШНЬОЕКОНОМІЧНИХ ОПЕРАЦІЙ ІЗРАЇЛЮ ТА ОБ’ЄДНАНИХ АРАБСЬКИХ ЕМІРАТІВ З УКРАЇНОЮ</w:t>
      </w:r>
    </w:p>
    <w:p w:rsidR="00EC1B3C" w:rsidRPr="0094392D" w:rsidRDefault="00EC1B3C" w:rsidP="00282F75">
      <w:pPr>
        <w:spacing w:after="0" w:line="360" w:lineRule="auto"/>
        <w:ind w:firstLine="709"/>
        <w:jc w:val="both"/>
        <w:rPr>
          <w:rFonts w:ascii="Times New Roman" w:hAnsi="Times New Roman"/>
          <w:sz w:val="28"/>
          <w:lang w:val="uk-UA"/>
        </w:rPr>
      </w:pPr>
    </w:p>
    <w:p w:rsidR="00EC1B3C" w:rsidRPr="0094392D" w:rsidRDefault="00EC1B3C" w:rsidP="00282F75">
      <w:pPr>
        <w:spacing w:after="0" w:line="360" w:lineRule="auto"/>
        <w:ind w:firstLine="709"/>
        <w:jc w:val="both"/>
        <w:rPr>
          <w:rFonts w:ascii="Times New Roman" w:hAnsi="Times New Roman"/>
          <w:sz w:val="28"/>
          <w:lang w:val="uk-UA"/>
        </w:rPr>
      </w:pPr>
      <w:r w:rsidRPr="0094392D">
        <w:rPr>
          <w:rFonts w:ascii="Times New Roman" w:hAnsi="Times New Roman"/>
          <w:sz w:val="28"/>
          <w:lang w:val="uk-UA"/>
        </w:rPr>
        <w:t xml:space="preserve">Для дослідження зовнішньоекономічних операцій Ізраїлю та Об’єднаних Арабських Еміратів з Україною, проведемо аналіз взаємних торгових та інвестиційних потоків цих країн, а саме динаміку торгівлі товарами, послугами та потоки прямих інвестицій з Ізраїлюта Об’єднаних Арабських Еміратів в Україну і навпаки протягом 2018-2022 років. </w:t>
      </w:r>
    </w:p>
    <w:p w:rsidR="00EC1B3C" w:rsidRPr="0094392D" w:rsidRDefault="00EC1B3C" w:rsidP="00282F75">
      <w:pPr>
        <w:spacing w:after="0" w:line="360" w:lineRule="auto"/>
        <w:ind w:firstLine="709"/>
        <w:jc w:val="both"/>
        <w:rPr>
          <w:rFonts w:ascii="Times New Roman" w:hAnsi="Times New Roman"/>
          <w:sz w:val="28"/>
          <w:lang w:val="uk-UA"/>
        </w:rPr>
      </w:pPr>
      <w:r w:rsidRPr="0094392D">
        <w:rPr>
          <w:rFonts w:ascii="Times New Roman" w:hAnsi="Times New Roman"/>
          <w:sz w:val="28"/>
          <w:lang w:val="uk-UA"/>
        </w:rPr>
        <w:t>Розглянемо Рис. 3.1, на якому представлені дані стосовно торгівлі товарами між цими країнами за останні п’ять років.</w:t>
      </w:r>
    </w:p>
    <w:p w:rsidR="00EC1B3C" w:rsidRPr="0094392D" w:rsidRDefault="00567DCA" w:rsidP="00282F75">
      <w:pPr>
        <w:spacing w:after="0" w:line="360" w:lineRule="auto"/>
        <w:ind w:firstLine="709"/>
        <w:jc w:val="both"/>
        <w:rPr>
          <w:rFonts w:ascii="Times New Roman" w:hAnsi="Times New Roman"/>
          <w:sz w:val="36"/>
          <w:szCs w:val="28"/>
          <w:lang w:val="uk-UA"/>
        </w:rPr>
      </w:pPr>
      <w:r>
        <w:rPr>
          <w:noProof/>
          <w:lang w:eastAsia="ru-RU"/>
        </w:rPr>
        <w:pict>
          <v:shape id="Диаграмма 19" o:spid="_x0000_i1034" type="#_x0000_t75" style="width:443.25pt;height:246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">
            <v:imagedata r:id="rId16" o:title=""/>
            <o:lock v:ext="edit" aspectratio="f"/>
          </v:shape>
        </w:pict>
      </w:r>
    </w:p>
    <w:p w:rsidR="00EC1B3C" w:rsidRPr="0094392D" w:rsidRDefault="00EC1B3C" w:rsidP="00282F75">
      <w:pPr>
        <w:spacing w:after="0" w:line="360" w:lineRule="auto"/>
        <w:ind w:firstLine="709"/>
        <w:jc w:val="both"/>
        <w:rPr>
          <w:rFonts w:ascii="Times New Roman" w:hAnsi="Times New Roman"/>
          <w:sz w:val="28"/>
          <w:szCs w:val="28"/>
          <w:lang w:val="uk-UA"/>
        </w:rPr>
      </w:pPr>
      <w:r w:rsidRPr="0094392D">
        <w:rPr>
          <w:rFonts w:ascii="Times New Roman" w:hAnsi="Times New Roman"/>
          <w:sz w:val="28"/>
          <w:szCs w:val="28"/>
          <w:lang w:val="uk-UA"/>
        </w:rPr>
        <w:t>Рис. 3.1 Динаміка торгівлі товарами Ізраїлю та Об’єднаних Арабських Еміратів з Україною протягом 2018-2022 років, у тис. дол. США</w:t>
      </w:r>
    </w:p>
    <w:p w:rsidR="00EC1B3C" w:rsidRPr="0094392D" w:rsidRDefault="00EC1B3C" w:rsidP="00995088">
      <w:pPr>
        <w:spacing w:after="0" w:line="360" w:lineRule="auto"/>
        <w:ind w:firstLine="709"/>
        <w:jc w:val="both"/>
        <w:rPr>
          <w:rFonts w:ascii="Times New Roman" w:hAnsi="Times New Roman"/>
          <w:sz w:val="28"/>
          <w:szCs w:val="28"/>
          <w:lang w:val="uk-UA"/>
        </w:rPr>
      </w:pPr>
      <w:r w:rsidRPr="0094392D">
        <w:rPr>
          <w:rFonts w:ascii="Times New Roman" w:hAnsi="Times New Roman"/>
          <w:sz w:val="28"/>
          <w:szCs w:val="28"/>
          <w:lang w:val="uk-UA"/>
        </w:rPr>
        <w:t>Джерело: складено на основі даних [2]</w:t>
      </w:r>
    </w:p>
    <w:p w:rsidR="00EC1B3C" w:rsidRPr="0094392D" w:rsidRDefault="00EC1B3C" w:rsidP="00BA4CDD">
      <w:pPr>
        <w:spacing w:after="0" w:line="360" w:lineRule="auto"/>
        <w:ind w:firstLine="709"/>
        <w:jc w:val="both"/>
        <w:rPr>
          <w:rFonts w:ascii="Times New Roman" w:hAnsi="Times New Roman"/>
          <w:sz w:val="28"/>
          <w:szCs w:val="28"/>
          <w:lang w:val="uk-UA"/>
        </w:rPr>
      </w:pPr>
      <w:r w:rsidRPr="0094392D">
        <w:rPr>
          <w:rFonts w:ascii="Times New Roman" w:hAnsi="Times New Roman"/>
          <w:sz w:val="28"/>
          <w:szCs w:val="28"/>
          <w:lang w:val="uk-UA"/>
        </w:rPr>
        <w:t>Згідно з Рис. 3.1, сальдо торгівлі товарами Ізраїлю та ОАЕ з Україною протягом 2018-2022 років мало від’ємні значення, що свідчить про те, що Україна впродовж цього періоду часу експортувала більше товарів в обидві країни, ніж імпортувала з них. З 2018 по 2022 рік Ізраїль експортував та імпортував більше товарів з України, ніж ОАЕ. На Рис. 3.1 можна побачити, що динаміка зміни торгівлі товарами Ізраїлю та ОАЕ з Україною мала однакові тенденції зросту на падіння протягом 2018-2022 років. У 2018-2019 роках спостерігалося поступове зниження показників балансу торгівлі Ізраїлю та ОАЕ з Україною. З 2019 по 2020 рік був зафіксований значний зріст, але вже у 2020-2021 роках спостерігалося падіння показників, в тому числі максимальне зниження значень сальдо торгівлі Ізраїлю з Україною, яке досягнуло -505 847 дол. США у 2021 році. В цей рік Ізраїль імпортував більше за все товарів з України за увесь п’ятирічний період. У 2022 році значення балансу торгівлі обох країн з Україною різко зросли і досягнули максимально високих значень за 2018-2022 роки. У 2022 році в Ізраїлю значення сальдо торгівлі досягнуло -53 610,5 дол. США, а в ОАЕ: -37 302,5 дол. США.</w:t>
      </w:r>
    </w:p>
    <w:p w:rsidR="00EC1B3C" w:rsidRPr="0094392D" w:rsidRDefault="00EC1B3C" w:rsidP="00BA4CDD">
      <w:pPr>
        <w:spacing w:after="0" w:line="360" w:lineRule="auto"/>
        <w:ind w:firstLine="709"/>
        <w:jc w:val="both"/>
        <w:rPr>
          <w:rFonts w:ascii="Times New Roman" w:hAnsi="Times New Roman"/>
          <w:sz w:val="28"/>
          <w:szCs w:val="28"/>
          <w:lang w:val="uk-UA"/>
        </w:rPr>
      </w:pPr>
      <w:r w:rsidRPr="0094392D">
        <w:rPr>
          <w:rFonts w:ascii="Times New Roman" w:hAnsi="Times New Roman"/>
          <w:sz w:val="28"/>
          <w:szCs w:val="28"/>
          <w:lang w:val="uk-UA"/>
        </w:rPr>
        <w:t>До основних товарів імпорту Ізраїлю з України відносяться: зернові культури, жири та олії рослинного або тваринного походження, продукція борошномельно-круп’яної промисловості та молоко та молочна продукція.</w:t>
      </w:r>
    </w:p>
    <w:p w:rsidR="00EC1B3C" w:rsidRPr="0094392D" w:rsidRDefault="00EC1B3C" w:rsidP="00BA4CDD">
      <w:pPr>
        <w:spacing w:after="0" w:line="360" w:lineRule="auto"/>
        <w:ind w:firstLine="709"/>
        <w:jc w:val="both"/>
        <w:rPr>
          <w:rFonts w:ascii="Times New Roman" w:hAnsi="Times New Roman"/>
          <w:sz w:val="28"/>
          <w:szCs w:val="28"/>
          <w:lang w:val="uk-UA"/>
        </w:rPr>
      </w:pPr>
      <w:r w:rsidRPr="0094392D">
        <w:rPr>
          <w:rFonts w:ascii="Times New Roman" w:hAnsi="Times New Roman"/>
          <w:sz w:val="28"/>
          <w:szCs w:val="28"/>
          <w:lang w:val="uk-UA"/>
        </w:rPr>
        <w:t xml:space="preserve">До основних товарів імпорту ОАЕ з України відносяться: м’ясо та їстівні субпродукти, молоко та молочна продукція, жири та олії рослинного або тваринного походження та чорні метали. </w:t>
      </w:r>
    </w:p>
    <w:p w:rsidR="00EC1B3C" w:rsidRPr="0094392D" w:rsidRDefault="00EC1B3C" w:rsidP="004A05C9">
      <w:pPr>
        <w:spacing w:after="0" w:line="360" w:lineRule="auto"/>
        <w:ind w:firstLine="709"/>
        <w:jc w:val="both"/>
        <w:rPr>
          <w:rFonts w:ascii="Times New Roman" w:hAnsi="Times New Roman"/>
          <w:sz w:val="28"/>
          <w:szCs w:val="28"/>
          <w:lang w:val="uk-UA"/>
        </w:rPr>
      </w:pPr>
      <w:r w:rsidRPr="0094392D">
        <w:rPr>
          <w:rFonts w:ascii="Times New Roman" w:hAnsi="Times New Roman"/>
          <w:sz w:val="28"/>
          <w:szCs w:val="28"/>
          <w:lang w:val="uk-UA"/>
        </w:rPr>
        <w:t xml:space="preserve">Далі розглянемо динаміку торгівлі послугами Ізраїлю та ОАЕ з Україною протягом 2018-2021 років. </w:t>
      </w:r>
    </w:p>
    <w:p w:rsidR="00EC1B3C" w:rsidRPr="0094392D" w:rsidRDefault="00EC1B3C" w:rsidP="004A05C9">
      <w:pPr>
        <w:spacing w:after="0" w:line="360" w:lineRule="auto"/>
        <w:ind w:firstLine="709"/>
        <w:jc w:val="both"/>
        <w:rPr>
          <w:rFonts w:ascii="Times New Roman" w:hAnsi="Times New Roman"/>
          <w:sz w:val="28"/>
          <w:szCs w:val="28"/>
          <w:lang w:val="uk-UA"/>
        </w:rPr>
      </w:pPr>
    </w:p>
    <w:p w:rsidR="00EC1B3C" w:rsidRPr="0094392D" w:rsidRDefault="00EC1B3C" w:rsidP="004A05C9">
      <w:pPr>
        <w:spacing w:after="0" w:line="360" w:lineRule="auto"/>
        <w:ind w:firstLine="709"/>
        <w:jc w:val="both"/>
        <w:rPr>
          <w:rFonts w:ascii="Times New Roman" w:hAnsi="Times New Roman"/>
          <w:sz w:val="28"/>
          <w:szCs w:val="28"/>
          <w:lang w:val="uk-UA"/>
        </w:rPr>
      </w:pPr>
    </w:p>
    <w:p w:rsidR="00EC1B3C" w:rsidRPr="0094392D" w:rsidRDefault="00567DCA" w:rsidP="00282F75">
      <w:pPr>
        <w:spacing w:after="0" w:line="360" w:lineRule="auto"/>
        <w:ind w:firstLine="709"/>
        <w:jc w:val="both"/>
        <w:rPr>
          <w:rFonts w:ascii="Times New Roman" w:hAnsi="Times New Roman"/>
          <w:sz w:val="28"/>
          <w:szCs w:val="28"/>
          <w:lang w:val="uk-UA"/>
        </w:rPr>
      </w:pPr>
      <w:r>
        <w:rPr>
          <w:noProof/>
          <w:lang w:eastAsia="ru-RU"/>
        </w:rPr>
        <w:pict>
          <v:shape id="Диаграмма 10" o:spid="_x0000_i1035" type="#_x0000_t75" style="width:360.75pt;height:218.25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">
            <v:imagedata r:id="rId17" o:title="" cropbottom="-45f"/>
            <o:lock v:ext="edit" aspectratio="f"/>
          </v:shape>
        </w:pict>
      </w:r>
    </w:p>
    <w:p w:rsidR="00EC1B3C" w:rsidRPr="0094392D" w:rsidRDefault="00EC1B3C" w:rsidP="004857D7">
      <w:pPr>
        <w:spacing w:after="0" w:line="360" w:lineRule="auto"/>
        <w:ind w:firstLine="709"/>
        <w:jc w:val="both"/>
        <w:rPr>
          <w:rFonts w:ascii="Times New Roman" w:hAnsi="Times New Roman"/>
          <w:sz w:val="28"/>
          <w:szCs w:val="28"/>
          <w:lang w:val="uk-UA"/>
        </w:rPr>
      </w:pPr>
      <w:r w:rsidRPr="0094392D">
        <w:rPr>
          <w:rFonts w:ascii="Times New Roman" w:hAnsi="Times New Roman"/>
          <w:sz w:val="28"/>
          <w:szCs w:val="28"/>
          <w:lang w:val="uk-UA"/>
        </w:rPr>
        <w:t>Рис. 3.2 Динаміка торгівлі послугами Ізраїлю та Об’єднаних Арабських Еміратів з Україною протягом 2018-2021 років, у тис. дол. США</w:t>
      </w:r>
    </w:p>
    <w:p w:rsidR="00EC1B3C" w:rsidRPr="0094392D" w:rsidRDefault="00EC1B3C" w:rsidP="004857D7">
      <w:pPr>
        <w:spacing w:after="0" w:line="360" w:lineRule="auto"/>
        <w:ind w:firstLine="709"/>
        <w:jc w:val="both"/>
        <w:rPr>
          <w:rFonts w:ascii="Times New Roman" w:hAnsi="Times New Roman"/>
          <w:sz w:val="28"/>
          <w:szCs w:val="28"/>
          <w:lang w:val="uk-UA"/>
        </w:rPr>
      </w:pPr>
      <w:r w:rsidRPr="0094392D">
        <w:rPr>
          <w:rFonts w:ascii="Times New Roman" w:hAnsi="Times New Roman"/>
          <w:sz w:val="28"/>
          <w:szCs w:val="28"/>
          <w:lang w:val="uk-UA"/>
        </w:rPr>
        <w:t>Джерело: складено на основі даних [1]</w:t>
      </w:r>
    </w:p>
    <w:p w:rsidR="00EC1B3C" w:rsidRPr="0094392D" w:rsidRDefault="00EC1B3C" w:rsidP="00112D68">
      <w:pPr>
        <w:spacing w:after="0" w:line="360" w:lineRule="auto"/>
        <w:ind w:firstLine="709"/>
        <w:jc w:val="both"/>
        <w:rPr>
          <w:rFonts w:ascii="Times New Roman" w:hAnsi="Times New Roman"/>
          <w:sz w:val="28"/>
          <w:szCs w:val="28"/>
          <w:lang w:val="uk-UA"/>
        </w:rPr>
      </w:pPr>
      <w:r w:rsidRPr="0094392D">
        <w:rPr>
          <w:rFonts w:ascii="Times New Roman" w:hAnsi="Times New Roman"/>
          <w:sz w:val="28"/>
          <w:szCs w:val="28"/>
          <w:lang w:val="uk-UA"/>
        </w:rPr>
        <w:t>На Рис. 3.2 можна побачити, що, на відміну від динаміки торгівлі товарами, Об’єднані Арабські Емірати експортують та імпортують набагато більше послуг з України, ніж Ізраїль. Протягом 2018-2022 років простежується перевага рівня імпорту послуг з України в обидві країни над експортом в Україну, що підтверджується від’ємними значеннями балансу послуг обох країн протягом зазначеного періоду часу. З початку до середини 2018 року було зафіксоване переважання значень сальдо торгівлі послугами ОАЕ над балансом Ізраїлю. У 2019-2021 роках показники сальдо торгівлі послугами Ізраїлю з Україною були вищими за значення ОАЕ, що свідчить про більшу кількість імпортних операцій ОАЕ в той період. У 2019-2020 роках показники сальдо Ізраїлю поступово зростали, але у 2021 році відбувся спад значень, який призвів до максимального зниження показників за увесь п’ятирічний період. Сальдо торгівлі послугами Ізраїлю в 2021 році склали -252 244,4 дол. США. В ОАЕ, на відміну від Ізраїлю, значення балансу торгівлі послугами поступово знижувалися впродовж 2018-2021 років. У 2021 році показники сальдо торгівлі послугами ОАЕ з Україною набули мінімального значення у -270 999,4 дол. США.</w:t>
      </w:r>
    </w:p>
    <w:p w:rsidR="00EC1B3C" w:rsidRPr="0094392D" w:rsidRDefault="00EC1B3C" w:rsidP="00681DCF">
      <w:pPr>
        <w:spacing w:after="0" w:line="360" w:lineRule="auto"/>
        <w:ind w:firstLine="709"/>
        <w:jc w:val="both"/>
        <w:rPr>
          <w:rFonts w:ascii="Times New Roman" w:hAnsi="Times New Roman"/>
          <w:sz w:val="28"/>
          <w:szCs w:val="28"/>
          <w:lang w:val="uk-UA"/>
        </w:rPr>
      </w:pPr>
      <w:r w:rsidRPr="0094392D">
        <w:rPr>
          <w:rFonts w:ascii="Times New Roman" w:hAnsi="Times New Roman"/>
          <w:sz w:val="28"/>
          <w:szCs w:val="28"/>
          <w:lang w:val="uk-UA"/>
        </w:rPr>
        <w:t>Далі наведено таблицю даних, в якій представлено основні види послуг, якими торгували Ізраїль та ОАЕ з Україною впродовж 2018-2021 років.</w:t>
      </w:r>
    </w:p>
    <w:p w:rsidR="00EC1B3C" w:rsidRPr="0094392D" w:rsidRDefault="00EC1B3C" w:rsidP="00417965">
      <w:pPr>
        <w:spacing w:after="0" w:line="360" w:lineRule="auto"/>
        <w:ind w:firstLine="709"/>
        <w:jc w:val="right"/>
        <w:rPr>
          <w:rFonts w:ascii="Times New Roman" w:hAnsi="Times New Roman"/>
          <w:sz w:val="28"/>
          <w:szCs w:val="28"/>
          <w:lang w:val="uk-UA"/>
        </w:rPr>
      </w:pPr>
      <w:r w:rsidRPr="0094392D">
        <w:rPr>
          <w:rFonts w:ascii="Times New Roman" w:hAnsi="Times New Roman"/>
          <w:sz w:val="28"/>
          <w:szCs w:val="28"/>
          <w:lang w:val="uk-UA"/>
        </w:rPr>
        <w:t>Таблиця 3.1</w:t>
      </w:r>
    </w:p>
    <w:p w:rsidR="00EC1B3C" w:rsidRPr="0094392D" w:rsidRDefault="00EC1B3C" w:rsidP="00D4426B">
      <w:pPr>
        <w:spacing w:after="0" w:line="360" w:lineRule="auto"/>
        <w:ind w:firstLine="709"/>
        <w:jc w:val="center"/>
        <w:rPr>
          <w:rFonts w:ascii="Times New Roman" w:hAnsi="Times New Roman"/>
          <w:sz w:val="28"/>
          <w:szCs w:val="28"/>
          <w:lang w:val="uk-UA"/>
        </w:rPr>
      </w:pPr>
      <w:r w:rsidRPr="0094392D">
        <w:rPr>
          <w:rFonts w:ascii="Times New Roman" w:hAnsi="Times New Roman"/>
          <w:sz w:val="28"/>
          <w:szCs w:val="28"/>
          <w:lang w:val="uk-UA"/>
        </w:rPr>
        <w:t>Основні види послуг, якими торгували Ізраїль та ОАЕ з Україною протягом 2018-2021 років</w:t>
      </w:r>
    </w:p>
    <w:tbl>
      <w:tblPr>
        <w:tblW w:w="8706" w:type="dxa"/>
        <w:jc w:val="center"/>
        <w:tblLook w:val="00A0" w:firstRow="1" w:lastRow="0" w:firstColumn="1" w:lastColumn="0" w:noHBand="0" w:noVBand="0"/>
      </w:tblPr>
      <w:tblGrid>
        <w:gridCol w:w="2268"/>
        <w:gridCol w:w="2157"/>
        <w:gridCol w:w="2096"/>
        <w:gridCol w:w="2185"/>
      </w:tblGrid>
      <w:tr w:rsidR="00EC1B3C" w:rsidRPr="008D06EC" w:rsidTr="00E068B2">
        <w:trPr>
          <w:trHeight w:val="960"/>
          <w:jc w:val="center"/>
        </w:trPr>
        <w:tc>
          <w:tcPr>
            <w:tcW w:w="2268" w:type="dxa"/>
            <w:tcBorders>
              <w:top w:val="single" w:sz="4" w:space="0" w:color="auto"/>
              <w:left w:val="single" w:sz="4" w:space="0" w:color="auto"/>
              <w:bottom w:val="single" w:sz="4" w:space="0" w:color="auto"/>
              <w:right w:val="single" w:sz="4" w:space="0" w:color="auto"/>
            </w:tcBorders>
            <w:noWrap/>
            <w:vAlign w:val="center"/>
          </w:tcPr>
          <w:p w:rsidR="00EC1B3C" w:rsidRPr="0094392D" w:rsidRDefault="00EC1B3C" w:rsidP="00BB6BD8">
            <w:pPr>
              <w:spacing w:after="0" w:line="240" w:lineRule="auto"/>
              <w:jc w:val="center"/>
              <w:rPr>
                <w:rFonts w:ascii="Times New Roman" w:hAnsi="Times New Roman"/>
                <w:color w:val="000000"/>
                <w:sz w:val="24"/>
                <w:szCs w:val="28"/>
                <w:lang w:val="uk-UA" w:eastAsia="ru-RU"/>
              </w:rPr>
            </w:pPr>
            <w:r w:rsidRPr="0094392D">
              <w:rPr>
                <w:rFonts w:ascii="Times New Roman" w:hAnsi="Times New Roman"/>
                <w:color w:val="000000"/>
                <w:sz w:val="24"/>
                <w:szCs w:val="28"/>
                <w:lang w:val="uk-UA" w:eastAsia="ru-RU"/>
              </w:rPr>
              <w:t xml:space="preserve">Основні види послуг, які експортує Ізраїль в Україну </w:t>
            </w:r>
          </w:p>
        </w:tc>
        <w:tc>
          <w:tcPr>
            <w:tcW w:w="2157" w:type="dxa"/>
            <w:tcBorders>
              <w:top w:val="single" w:sz="4" w:space="0" w:color="auto"/>
              <w:left w:val="nil"/>
              <w:bottom w:val="single" w:sz="4" w:space="0" w:color="auto"/>
              <w:right w:val="single" w:sz="4" w:space="0" w:color="auto"/>
            </w:tcBorders>
            <w:noWrap/>
            <w:vAlign w:val="center"/>
          </w:tcPr>
          <w:p w:rsidR="00EC1B3C" w:rsidRPr="0094392D" w:rsidRDefault="00EC1B3C" w:rsidP="00BB6BD8">
            <w:pPr>
              <w:spacing w:after="0" w:line="240" w:lineRule="auto"/>
              <w:jc w:val="center"/>
              <w:rPr>
                <w:rFonts w:ascii="Times New Roman" w:hAnsi="Times New Roman"/>
                <w:color w:val="000000"/>
                <w:sz w:val="24"/>
                <w:szCs w:val="28"/>
                <w:lang w:val="uk-UA" w:eastAsia="ru-RU"/>
              </w:rPr>
            </w:pPr>
            <w:r w:rsidRPr="0094392D">
              <w:rPr>
                <w:rFonts w:ascii="Times New Roman" w:hAnsi="Times New Roman"/>
                <w:color w:val="000000"/>
                <w:sz w:val="24"/>
                <w:szCs w:val="28"/>
                <w:lang w:val="uk-UA" w:eastAsia="ru-RU"/>
              </w:rPr>
              <w:t>Основні види послуг, які імпортує Ізраїль з України</w:t>
            </w:r>
          </w:p>
        </w:tc>
        <w:tc>
          <w:tcPr>
            <w:tcW w:w="2096" w:type="dxa"/>
            <w:tcBorders>
              <w:top w:val="single" w:sz="4" w:space="0" w:color="auto"/>
              <w:left w:val="nil"/>
              <w:bottom w:val="single" w:sz="4" w:space="0" w:color="auto"/>
              <w:right w:val="single" w:sz="4" w:space="0" w:color="auto"/>
            </w:tcBorders>
            <w:noWrap/>
            <w:vAlign w:val="center"/>
          </w:tcPr>
          <w:p w:rsidR="00EC1B3C" w:rsidRPr="0094392D" w:rsidRDefault="00EC1B3C" w:rsidP="00BB6BD8">
            <w:pPr>
              <w:spacing w:after="0" w:line="240" w:lineRule="auto"/>
              <w:jc w:val="center"/>
              <w:rPr>
                <w:rFonts w:ascii="Times New Roman" w:hAnsi="Times New Roman"/>
                <w:color w:val="000000"/>
                <w:sz w:val="24"/>
                <w:szCs w:val="28"/>
                <w:lang w:val="uk-UA" w:eastAsia="ru-RU"/>
              </w:rPr>
            </w:pPr>
            <w:r w:rsidRPr="0094392D">
              <w:rPr>
                <w:rFonts w:ascii="Times New Roman" w:hAnsi="Times New Roman"/>
                <w:color w:val="000000"/>
                <w:sz w:val="24"/>
                <w:szCs w:val="28"/>
                <w:lang w:val="uk-UA" w:eastAsia="ru-RU"/>
              </w:rPr>
              <w:t>Основні види послуг, які експортує ОАЕ в Україну</w:t>
            </w:r>
          </w:p>
        </w:tc>
        <w:tc>
          <w:tcPr>
            <w:tcW w:w="2185" w:type="dxa"/>
            <w:tcBorders>
              <w:top w:val="single" w:sz="4" w:space="0" w:color="auto"/>
              <w:left w:val="nil"/>
              <w:bottom w:val="single" w:sz="4" w:space="0" w:color="auto"/>
              <w:right w:val="single" w:sz="4" w:space="0" w:color="auto"/>
            </w:tcBorders>
            <w:noWrap/>
            <w:vAlign w:val="center"/>
          </w:tcPr>
          <w:p w:rsidR="00EC1B3C" w:rsidRPr="0094392D" w:rsidRDefault="00EC1B3C" w:rsidP="00BB6BD8">
            <w:pPr>
              <w:spacing w:after="0" w:line="240" w:lineRule="auto"/>
              <w:jc w:val="center"/>
              <w:rPr>
                <w:rFonts w:ascii="Times New Roman" w:hAnsi="Times New Roman"/>
                <w:color w:val="000000"/>
                <w:sz w:val="24"/>
                <w:szCs w:val="28"/>
                <w:lang w:val="uk-UA" w:eastAsia="ru-RU"/>
              </w:rPr>
            </w:pPr>
            <w:r w:rsidRPr="0094392D">
              <w:rPr>
                <w:rFonts w:ascii="Times New Roman" w:hAnsi="Times New Roman"/>
                <w:color w:val="000000"/>
                <w:sz w:val="24"/>
                <w:szCs w:val="28"/>
                <w:lang w:val="uk-UA" w:eastAsia="ru-RU"/>
              </w:rPr>
              <w:t>Основні види послуг, які імпортує ОАЕ з України</w:t>
            </w:r>
          </w:p>
        </w:tc>
      </w:tr>
      <w:tr w:rsidR="00EC1B3C" w:rsidRPr="008D06EC" w:rsidTr="00E068B2">
        <w:trPr>
          <w:trHeight w:val="750"/>
          <w:jc w:val="center"/>
        </w:trPr>
        <w:tc>
          <w:tcPr>
            <w:tcW w:w="2268" w:type="dxa"/>
            <w:tcBorders>
              <w:top w:val="nil"/>
              <w:left w:val="single" w:sz="4" w:space="0" w:color="auto"/>
              <w:bottom w:val="single" w:sz="4" w:space="0" w:color="auto"/>
              <w:right w:val="single" w:sz="4" w:space="0" w:color="auto"/>
            </w:tcBorders>
            <w:shd w:val="clear" w:color="000000" w:fill="FFFFFF"/>
            <w:vAlign w:val="center"/>
          </w:tcPr>
          <w:p w:rsidR="00EC1B3C" w:rsidRPr="0094392D" w:rsidRDefault="00EC1B3C" w:rsidP="00BB6BD8">
            <w:pPr>
              <w:spacing w:after="0" w:line="240" w:lineRule="auto"/>
              <w:jc w:val="center"/>
              <w:rPr>
                <w:rFonts w:ascii="Times New Roman" w:hAnsi="Times New Roman"/>
                <w:color w:val="000000"/>
                <w:sz w:val="24"/>
                <w:szCs w:val="28"/>
                <w:lang w:val="uk-UA" w:eastAsia="ru-RU"/>
              </w:rPr>
            </w:pPr>
            <w:r w:rsidRPr="0094392D">
              <w:rPr>
                <w:rFonts w:ascii="Times New Roman" w:hAnsi="Times New Roman"/>
                <w:color w:val="000000"/>
                <w:sz w:val="24"/>
                <w:szCs w:val="28"/>
                <w:lang w:val="uk-UA" w:eastAsia="ru-RU"/>
              </w:rPr>
              <w:t>Послуги зі страхування</w:t>
            </w:r>
          </w:p>
        </w:tc>
        <w:tc>
          <w:tcPr>
            <w:tcW w:w="2157" w:type="dxa"/>
            <w:tcBorders>
              <w:top w:val="nil"/>
              <w:left w:val="nil"/>
              <w:bottom w:val="single" w:sz="4" w:space="0" w:color="auto"/>
              <w:right w:val="single" w:sz="4" w:space="0" w:color="auto"/>
            </w:tcBorders>
            <w:shd w:val="clear" w:color="000000" w:fill="FFFFFF"/>
            <w:vAlign w:val="center"/>
          </w:tcPr>
          <w:p w:rsidR="00EC1B3C" w:rsidRPr="0094392D" w:rsidRDefault="00EC1B3C" w:rsidP="00BB6BD8">
            <w:pPr>
              <w:spacing w:after="0" w:line="240" w:lineRule="auto"/>
              <w:jc w:val="center"/>
              <w:rPr>
                <w:rFonts w:ascii="Times New Roman" w:hAnsi="Times New Roman"/>
                <w:color w:val="000000"/>
                <w:sz w:val="24"/>
                <w:szCs w:val="28"/>
                <w:lang w:val="uk-UA" w:eastAsia="ru-RU"/>
              </w:rPr>
            </w:pPr>
            <w:r w:rsidRPr="0094392D">
              <w:rPr>
                <w:rFonts w:ascii="Times New Roman" w:hAnsi="Times New Roman"/>
                <w:color w:val="000000"/>
                <w:sz w:val="24"/>
                <w:szCs w:val="28"/>
                <w:lang w:val="uk-UA" w:eastAsia="ru-RU"/>
              </w:rPr>
              <w:t>Транспортні послуги</w:t>
            </w:r>
          </w:p>
        </w:tc>
        <w:tc>
          <w:tcPr>
            <w:tcW w:w="2096" w:type="dxa"/>
            <w:tcBorders>
              <w:top w:val="nil"/>
              <w:left w:val="nil"/>
              <w:bottom w:val="single" w:sz="4" w:space="0" w:color="auto"/>
              <w:right w:val="single" w:sz="4" w:space="0" w:color="auto"/>
            </w:tcBorders>
            <w:shd w:val="clear" w:color="000000" w:fill="FFFFFF"/>
            <w:vAlign w:val="center"/>
          </w:tcPr>
          <w:p w:rsidR="00EC1B3C" w:rsidRPr="0094392D" w:rsidRDefault="00EC1B3C" w:rsidP="00BB6BD8">
            <w:pPr>
              <w:spacing w:after="0" w:line="240" w:lineRule="auto"/>
              <w:jc w:val="center"/>
              <w:rPr>
                <w:rFonts w:ascii="Times New Roman" w:hAnsi="Times New Roman"/>
                <w:color w:val="000000"/>
                <w:sz w:val="24"/>
                <w:szCs w:val="28"/>
                <w:lang w:val="uk-UA" w:eastAsia="ru-RU"/>
              </w:rPr>
            </w:pPr>
            <w:r w:rsidRPr="0094392D">
              <w:rPr>
                <w:rFonts w:ascii="Times New Roman" w:hAnsi="Times New Roman"/>
                <w:color w:val="000000"/>
                <w:sz w:val="24"/>
                <w:szCs w:val="28"/>
                <w:lang w:val="uk-UA" w:eastAsia="ru-RU"/>
              </w:rPr>
              <w:t>Послуги, пов'язані з подорожами</w:t>
            </w:r>
          </w:p>
        </w:tc>
        <w:tc>
          <w:tcPr>
            <w:tcW w:w="2185" w:type="dxa"/>
            <w:tcBorders>
              <w:top w:val="nil"/>
              <w:left w:val="nil"/>
              <w:bottom w:val="single" w:sz="4" w:space="0" w:color="auto"/>
              <w:right w:val="single" w:sz="4" w:space="0" w:color="auto"/>
            </w:tcBorders>
            <w:shd w:val="clear" w:color="000000" w:fill="FFFFFF"/>
            <w:vAlign w:val="center"/>
          </w:tcPr>
          <w:p w:rsidR="00EC1B3C" w:rsidRPr="0094392D" w:rsidRDefault="00EC1B3C" w:rsidP="00BB6BD8">
            <w:pPr>
              <w:spacing w:after="0" w:line="240" w:lineRule="auto"/>
              <w:jc w:val="center"/>
              <w:rPr>
                <w:rFonts w:ascii="Times New Roman" w:hAnsi="Times New Roman"/>
                <w:color w:val="000000"/>
                <w:sz w:val="24"/>
                <w:szCs w:val="28"/>
                <w:lang w:val="uk-UA" w:eastAsia="ru-RU"/>
              </w:rPr>
            </w:pPr>
            <w:r w:rsidRPr="0094392D">
              <w:rPr>
                <w:rFonts w:ascii="Times New Roman" w:hAnsi="Times New Roman"/>
                <w:color w:val="000000"/>
                <w:sz w:val="24"/>
                <w:szCs w:val="28"/>
                <w:lang w:val="uk-UA" w:eastAsia="ru-RU"/>
              </w:rPr>
              <w:t>Послуги з переробки матеріальних ресурсів</w:t>
            </w:r>
          </w:p>
        </w:tc>
      </w:tr>
      <w:tr w:rsidR="00EC1B3C" w:rsidRPr="008D06EC" w:rsidTr="00EC6592">
        <w:trPr>
          <w:trHeight w:val="1939"/>
          <w:jc w:val="center"/>
        </w:trPr>
        <w:tc>
          <w:tcPr>
            <w:tcW w:w="2268" w:type="dxa"/>
            <w:tcBorders>
              <w:top w:val="nil"/>
              <w:left w:val="single" w:sz="4" w:space="0" w:color="auto"/>
              <w:bottom w:val="single" w:sz="4" w:space="0" w:color="auto"/>
              <w:right w:val="single" w:sz="4" w:space="0" w:color="auto"/>
            </w:tcBorders>
            <w:shd w:val="clear" w:color="000000" w:fill="FFFFFF"/>
            <w:vAlign w:val="center"/>
          </w:tcPr>
          <w:p w:rsidR="00EC1B3C" w:rsidRPr="0094392D" w:rsidRDefault="00EC1B3C" w:rsidP="00BB6BD8">
            <w:pPr>
              <w:spacing w:after="0" w:line="240" w:lineRule="auto"/>
              <w:jc w:val="center"/>
              <w:rPr>
                <w:rFonts w:ascii="Times New Roman" w:hAnsi="Times New Roman"/>
                <w:color w:val="000000"/>
                <w:sz w:val="24"/>
                <w:szCs w:val="28"/>
                <w:lang w:val="uk-UA" w:eastAsia="ru-RU"/>
              </w:rPr>
            </w:pPr>
            <w:r w:rsidRPr="0094392D">
              <w:rPr>
                <w:rFonts w:ascii="Times New Roman" w:hAnsi="Times New Roman"/>
                <w:color w:val="000000"/>
                <w:sz w:val="24"/>
                <w:szCs w:val="28"/>
                <w:lang w:val="uk-UA" w:eastAsia="ru-RU"/>
              </w:rPr>
              <w:t>Роялті та інші послуги, пов'язані з використанням інтелектуальної власності</w:t>
            </w:r>
          </w:p>
        </w:tc>
        <w:tc>
          <w:tcPr>
            <w:tcW w:w="2157" w:type="dxa"/>
            <w:tcBorders>
              <w:top w:val="nil"/>
              <w:left w:val="nil"/>
              <w:bottom w:val="single" w:sz="4" w:space="0" w:color="auto"/>
              <w:right w:val="single" w:sz="4" w:space="0" w:color="auto"/>
            </w:tcBorders>
            <w:shd w:val="clear" w:color="000000" w:fill="FFFFFF"/>
            <w:vAlign w:val="center"/>
          </w:tcPr>
          <w:p w:rsidR="00EC1B3C" w:rsidRPr="0094392D" w:rsidRDefault="00EC1B3C" w:rsidP="00BB6BD8">
            <w:pPr>
              <w:spacing w:after="0" w:line="240" w:lineRule="auto"/>
              <w:jc w:val="center"/>
              <w:rPr>
                <w:rFonts w:ascii="Times New Roman" w:hAnsi="Times New Roman"/>
                <w:color w:val="000000"/>
                <w:sz w:val="24"/>
                <w:szCs w:val="28"/>
                <w:lang w:val="uk-UA" w:eastAsia="ru-RU"/>
              </w:rPr>
            </w:pPr>
            <w:r w:rsidRPr="0094392D">
              <w:rPr>
                <w:rFonts w:ascii="Times New Roman" w:hAnsi="Times New Roman"/>
                <w:color w:val="000000"/>
                <w:sz w:val="24"/>
                <w:szCs w:val="28"/>
                <w:lang w:val="uk-UA" w:eastAsia="ru-RU"/>
              </w:rPr>
              <w:t>Послуги, пов'язані з подорожами</w:t>
            </w:r>
          </w:p>
        </w:tc>
        <w:tc>
          <w:tcPr>
            <w:tcW w:w="2096" w:type="dxa"/>
            <w:tcBorders>
              <w:top w:val="nil"/>
              <w:left w:val="nil"/>
              <w:bottom w:val="single" w:sz="4" w:space="0" w:color="auto"/>
              <w:right w:val="single" w:sz="4" w:space="0" w:color="auto"/>
            </w:tcBorders>
            <w:shd w:val="clear" w:color="000000" w:fill="FFFFFF"/>
            <w:vAlign w:val="center"/>
          </w:tcPr>
          <w:p w:rsidR="00EC1B3C" w:rsidRPr="0094392D" w:rsidRDefault="00EC1B3C" w:rsidP="00BB6BD8">
            <w:pPr>
              <w:spacing w:after="0" w:line="240" w:lineRule="auto"/>
              <w:jc w:val="center"/>
              <w:rPr>
                <w:rFonts w:ascii="Times New Roman" w:hAnsi="Times New Roman"/>
                <w:color w:val="000000"/>
                <w:sz w:val="24"/>
                <w:szCs w:val="28"/>
                <w:lang w:val="uk-UA" w:eastAsia="ru-RU"/>
              </w:rPr>
            </w:pPr>
            <w:r w:rsidRPr="0094392D">
              <w:rPr>
                <w:rFonts w:ascii="Times New Roman" w:hAnsi="Times New Roman"/>
                <w:color w:val="000000"/>
                <w:sz w:val="24"/>
                <w:szCs w:val="28"/>
                <w:lang w:val="uk-UA" w:eastAsia="ru-RU"/>
              </w:rPr>
              <w:t>Послуги, пов'язані з фінансовою діяльністю</w:t>
            </w:r>
          </w:p>
        </w:tc>
        <w:tc>
          <w:tcPr>
            <w:tcW w:w="2185" w:type="dxa"/>
            <w:tcBorders>
              <w:top w:val="nil"/>
              <w:left w:val="nil"/>
              <w:bottom w:val="single" w:sz="4" w:space="0" w:color="auto"/>
              <w:right w:val="single" w:sz="4" w:space="0" w:color="auto"/>
            </w:tcBorders>
            <w:shd w:val="clear" w:color="000000" w:fill="FFFFFF"/>
            <w:vAlign w:val="center"/>
          </w:tcPr>
          <w:p w:rsidR="00EC1B3C" w:rsidRPr="0094392D" w:rsidRDefault="00EC1B3C" w:rsidP="00BB6BD8">
            <w:pPr>
              <w:spacing w:after="0" w:line="240" w:lineRule="auto"/>
              <w:jc w:val="center"/>
              <w:rPr>
                <w:rFonts w:ascii="Times New Roman" w:hAnsi="Times New Roman"/>
                <w:color w:val="000000"/>
                <w:sz w:val="24"/>
                <w:szCs w:val="28"/>
                <w:lang w:val="uk-UA" w:eastAsia="ru-RU"/>
              </w:rPr>
            </w:pPr>
            <w:r w:rsidRPr="0094392D">
              <w:rPr>
                <w:rFonts w:ascii="Times New Roman" w:hAnsi="Times New Roman"/>
                <w:color w:val="000000"/>
                <w:sz w:val="24"/>
                <w:szCs w:val="28"/>
                <w:lang w:val="uk-UA" w:eastAsia="ru-RU"/>
              </w:rPr>
              <w:t>Послуги з ремонту та технічного обслуговування, що не віднесені до інших категорій</w:t>
            </w:r>
          </w:p>
        </w:tc>
      </w:tr>
      <w:tr w:rsidR="00EC1B3C" w:rsidRPr="008D06EC" w:rsidTr="00E068B2">
        <w:trPr>
          <w:trHeight w:val="750"/>
          <w:jc w:val="center"/>
        </w:trPr>
        <w:tc>
          <w:tcPr>
            <w:tcW w:w="2268" w:type="dxa"/>
            <w:tcBorders>
              <w:top w:val="nil"/>
              <w:left w:val="single" w:sz="4" w:space="0" w:color="auto"/>
              <w:bottom w:val="single" w:sz="4" w:space="0" w:color="auto"/>
              <w:right w:val="single" w:sz="4" w:space="0" w:color="auto"/>
            </w:tcBorders>
            <w:shd w:val="clear" w:color="000000" w:fill="FFFFFF"/>
            <w:vAlign w:val="center"/>
          </w:tcPr>
          <w:p w:rsidR="00EC1B3C" w:rsidRPr="0094392D" w:rsidRDefault="00EC1B3C" w:rsidP="00BB6BD8">
            <w:pPr>
              <w:spacing w:after="0" w:line="240" w:lineRule="auto"/>
              <w:jc w:val="center"/>
              <w:rPr>
                <w:rFonts w:ascii="Times New Roman" w:hAnsi="Times New Roman"/>
                <w:color w:val="000000"/>
                <w:sz w:val="24"/>
                <w:szCs w:val="28"/>
                <w:lang w:val="uk-UA" w:eastAsia="ru-RU"/>
              </w:rPr>
            </w:pPr>
            <w:r w:rsidRPr="0094392D">
              <w:rPr>
                <w:rFonts w:ascii="Times New Roman" w:hAnsi="Times New Roman"/>
                <w:color w:val="000000"/>
                <w:sz w:val="24"/>
                <w:szCs w:val="28"/>
                <w:lang w:val="uk-UA" w:eastAsia="ru-RU"/>
              </w:rPr>
              <w:t>Державні та урядові послуги</w:t>
            </w:r>
          </w:p>
        </w:tc>
        <w:tc>
          <w:tcPr>
            <w:tcW w:w="2157" w:type="dxa"/>
            <w:tcBorders>
              <w:top w:val="nil"/>
              <w:left w:val="nil"/>
              <w:bottom w:val="single" w:sz="4" w:space="0" w:color="auto"/>
              <w:right w:val="single" w:sz="4" w:space="0" w:color="auto"/>
            </w:tcBorders>
            <w:shd w:val="clear" w:color="000000" w:fill="FFFFFF"/>
            <w:vAlign w:val="center"/>
          </w:tcPr>
          <w:p w:rsidR="00EC1B3C" w:rsidRPr="0094392D" w:rsidRDefault="00EC1B3C" w:rsidP="00BB6BD8">
            <w:pPr>
              <w:spacing w:after="0" w:line="240" w:lineRule="auto"/>
              <w:jc w:val="center"/>
              <w:rPr>
                <w:rFonts w:ascii="Times New Roman" w:hAnsi="Times New Roman"/>
                <w:color w:val="000000"/>
                <w:sz w:val="24"/>
                <w:szCs w:val="28"/>
                <w:lang w:val="uk-UA" w:eastAsia="ru-RU"/>
              </w:rPr>
            </w:pPr>
            <w:r w:rsidRPr="0094392D">
              <w:rPr>
                <w:rFonts w:ascii="Times New Roman" w:hAnsi="Times New Roman"/>
                <w:color w:val="000000"/>
                <w:sz w:val="24"/>
                <w:szCs w:val="28"/>
                <w:lang w:val="uk-UA" w:eastAsia="ru-RU"/>
              </w:rPr>
              <w:t>Послуги, пов'язані з фінансовою діяльністю</w:t>
            </w:r>
          </w:p>
        </w:tc>
        <w:tc>
          <w:tcPr>
            <w:tcW w:w="2096" w:type="dxa"/>
            <w:tcBorders>
              <w:top w:val="nil"/>
              <w:left w:val="nil"/>
              <w:bottom w:val="single" w:sz="4" w:space="0" w:color="auto"/>
              <w:right w:val="single" w:sz="4" w:space="0" w:color="auto"/>
            </w:tcBorders>
            <w:shd w:val="clear" w:color="000000" w:fill="FFFFFF"/>
            <w:vAlign w:val="center"/>
          </w:tcPr>
          <w:p w:rsidR="00EC1B3C" w:rsidRPr="0094392D" w:rsidRDefault="00EC1B3C" w:rsidP="00BB6BD8">
            <w:pPr>
              <w:spacing w:after="0" w:line="240" w:lineRule="auto"/>
              <w:jc w:val="center"/>
              <w:rPr>
                <w:rFonts w:ascii="Times New Roman" w:hAnsi="Times New Roman"/>
                <w:color w:val="000000"/>
                <w:sz w:val="24"/>
                <w:szCs w:val="28"/>
                <w:lang w:val="uk-UA" w:eastAsia="ru-RU"/>
              </w:rPr>
            </w:pPr>
            <w:r w:rsidRPr="0094392D">
              <w:rPr>
                <w:rFonts w:ascii="Times New Roman" w:hAnsi="Times New Roman"/>
                <w:color w:val="000000"/>
                <w:sz w:val="24"/>
                <w:szCs w:val="28"/>
                <w:lang w:val="uk-UA" w:eastAsia="ru-RU"/>
              </w:rPr>
              <w:t>Ділові послуги</w:t>
            </w:r>
          </w:p>
        </w:tc>
        <w:tc>
          <w:tcPr>
            <w:tcW w:w="2185" w:type="dxa"/>
            <w:tcBorders>
              <w:top w:val="nil"/>
              <w:left w:val="nil"/>
              <w:bottom w:val="single" w:sz="4" w:space="0" w:color="auto"/>
              <w:right w:val="single" w:sz="4" w:space="0" w:color="auto"/>
            </w:tcBorders>
            <w:shd w:val="clear" w:color="000000" w:fill="FFFFFF"/>
            <w:vAlign w:val="center"/>
          </w:tcPr>
          <w:p w:rsidR="00EC1B3C" w:rsidRPr="0094392D" w:rsidRDefault="00EC1B3C" w:rsidP="00BB6BD8">
            <w:pPr>
              <w:spacing w:after="0" w:line="240" w:lineRule="auto"/>
              <w:jc w:val="center"/>
              <w:rPr>
                <w:rFonts w:ascii="Times New Roman" w:hAnsi="Times New Roman"/>
                <w:color w:val="000000"/>
                <w:sz w:val="24"/>
                <w:szCs w:val="28"/>
                <w:lang w:val="uk-UA" w:eastAsia="ru-RU"/>
              </w:rPr>
            </w:pPr>
            <w:r w:rsidRPr="0094392D">
              <w:rPr>
                <w:rFonts w:ascii="Times New Roman" w:hAnsi="Times New Roman"/>
                <w:color w:val="000000"/>
                <w:sz w:val="24"/>
                <w:szCs w:val="28"/>
                <w:lang w:val="uk-UA" w:eastAsia="ru-RU"/>
              </w:rPr>
              <w:t>Транспортні послуги</w:t>
            </w:r>
          </w:p>
        </w:tc>
      </w:tr>
      <w:tr w:rsidR="00EC1B3C" w:rsidRPr="008D06EC" w:rsidTr="00E068B2">
        <w:trPr>
          <w:trHeight w:val="750"/>
          <w:jc w:val="center"/>
        </w:trPr>
        <w:tc>
          <w:tcPr>
            <w:tcW w:w="2268" w:type="dxa"/>
            <w:tcBorders>
              <w:top w:val="nil"/>
              <w:left w:val="single" w:sz="4" w:space="0" w:color="auto"/>
              <w:bottom w:val="single" w:sz="4" w:space="0" w:color="auto"/>
              <w:right w:val="single" w:sz="4" w:space="0" w:color="auto"/>
            </w:tcBorders>
            <w:noWrap/>
            <w:vAlign w:val="center"/>
          </w:tcPr>
          <w:p w:rsidR="00EC1B3C" w:rsidRPr="0094392D" w:rsidRDefault="00EC1B3C" w:rsidP="00BB6BD8">
            <w:pPr>
              <w:spacing w:after="0" w:line="240" w:lineRule="auto"/>
              <w:jc w:val="center"/>
              <w:rPr>
                <w:rFonts w:ascii="Times New Roman" w:hAnsi="Times New Roman"/>
                <w:color w:val="000000"/>
                <w:sz w:val="24"/>
                <w:szCs w:val="28"/>
                <w:lang w:val="uk-UA" w:eastAsia="ru-RU"/>
              </w:rPr>
            </w:pPr>
            <w:r w:rsidRPr="0094392D">
              <w:rPr>
                <w:rFonts w:ascii="Times New Roman" w:hAnsi="Times New Roman"/>
                <w:color w:val="000000"/>
                <w:sz w:val="24"/>
                <w:szCs w:val="28"/>
                <w:lang w:val="uk-UA" w:eastAsia="ru-RU"/>
              </w:rPr>
              <w:t> </w:t>
            </w:r>
          </w:p>
        </w:tc>
        <w:tc>
          <w:tcPr>
            <w:tcW w:w="2157" w:type="dxa"/>
            <w:tcBorders>
              <w:top w:val="nil"/>
              <w:left w:val="nil"/>
              <w:bottom w:val="single" w:sz="4" w:space="0" w:color="auto"/>
              <w:right w:val="single" w:sz="4" w:space="0" w:color="auto"/>
            </w:tcBorders>
            <w:shd w:val="clear" w:color="000000" w:fill="FFFFFF"/>
            <w:vAlign w:val="center"/>
          </w:tcPr>
          <w:p w:rsidR="00EC1B3C" w:rsidRPr="0094392D" w:rsidRDefault="00EC1B3C" w:rsidP="00BB6BD8">
            <w:pPr>
              <w:spacing w:after="0" w:line="240" w:lineRule="auto"/>
              <w:jc w:val="center"/>
              <w:rPr>
                <w:rFonts w:ascii="Times New Roman" w:hAnsi="Times New Roman"/>
                <w:color w:val="000000"/>
                <w:sz w:val="24"/>
                <w:szCs w:val="28"/>
                <w:lang w:val="uk-UA" w:eastAsia="ru-RU"/>
              </w:rPr>
            </w:pPr>
            <w:r w:rsidRPr="0094392D">
              <w:rPr>
                <w:rFonts w:ascii="Times New Roman" w:hAnsi="Times New Roman"/>
                <w:color w:val="000000"/>
                <w:sz w:val="24"/>
                <w:szCs w:val="28"/>
                <w:lang w:val="uk-UA" w:eastAsia="ru-RU"/>
              </w:rPr>
              <w:t>Послуги у сфері телекомунікації, комп'ютерні та інформаційні послуги</w:t>
            </w:r>
          </w:p>
        </w:tc>
        <w:tc>
          <w:tcPr>
            <w:tcW w:w="2096" w:type="dxa"/>
            <w:tcBorders>
              <w:top w:val="nil"/>
              <w:left w:val="nil"/>
              <w:bottom w:val="single" w:sz="4" w:space="0" w:color="auto"/>
              <w:right w:val="single" w:sz="4" w:space="0" w:color="auto"/>
            </w:tcBorders>
            <w:shd w:val="clear" w:color="000000" w:fill="FFFFFF"/>
            <w:vAlign w:val="center"/>
          </w:tcPr>
          <w:p w:rsidR="00EC1B3C" w:rsidRPr="0094392D" w:rsidRDefault="00EC1B3C" w:rsidP="00BB6BD8">
            <w:pPr>
              <w:spacing w:after="0" w:line="240" w:lineRule="auto"/>
              <w:jc w:val="center"/>
              <w:rPr>
                <w:rFonts w:ascii="Times New Roman" w:hAnsi="Times New Roman"/>
                <w:color w:val="000000"/>
                <w:sz w:val="24"/>
                <w:szCs w:val="28"/>
                <w:lang w:val="uk-UA" w:eastAsia="ru-RU"/>
              </w:rPr>
            </w:pPr>
            <w:r w:rsidRPr="0094392D">
              <w:rPr>
                <w:rFonts w:ascii="Times New Roman" w:hAnsi="Times New Roman"/>
                <w:color w:val="000000"/>
                <w:sz w:val="24"/>
                <w:szCs w:val="28"/>
                <w:lang w:val="uk-UA" w:eastAsia="ru-RU"/>
              </w:rPr>
              <w:t>Державні та урядові послуги</w:t>
            </w:r>
          </w:p>
        </w:tc>
        <w:tc>
          <w:tcPr>
            <w:tcW w:w="2185" w:type="dxa"/>
            <w:tcBorders>
              <w:top w:val="nil"/>
              <w:left w:val="nil"/>
              <w:bottom w:val="single" w:sz="4" w:space="0" w:color="auto"/>
              <w:right w:val="single" w:sz="4" w:space="0" w:color="auto"/>
            </w:tcBorders>
            <w:shd w:val="clear" w:color="000000" w:fill="FFFFFF"/>
            <w:vAlign w:val="center"/>
          </w:tcPr>
          <w:p w:rsidR="00EC1B3C" w:rsidRPr="0094392D" w:rsidRDefault="00EC1B3C" w:rsidP="00BB6BD8">
            <w:pPr>
              <w:spacing w:after="0" w:line="240" w:lineRule="auto"/>
              <w:jc w:val="center"/>
              <w:rPr>
                <w:rFonts w:ascii="Times New Roman" w:hAnsi="Times New Roman"/>
                <w:color w:val="000000"/>
                <w:sz w:val="24"/>
                <w:szCs w:val="28"/>
                <w:lang w:val="uk-UA" w:eastAsia="ru-RU"/>
              </w:rPr>
            </w:pPr>
            <w:r w:rsidRPr="0094392D">
              <w:rPr>
                <w:rFonts w:ascii="Times New Roman" w:hAnsi="Times New Roman"/>
                <w:color w:val="000000"/>
                <w:sz w:val="24"/>
                <w:szCs w:val="28"/>
                <w:lang w:val="uk-UA" w:eastAsia="ru-RU"/>
              </w:rPr>
              <w:t>Послуги зі страхування</w:t>
            </w:r>
          </w:p>
        </w:tc>
      </w:tr>
      <w:tr w:rsidR="00EC1B3C" w:rsidRPr="008D06EC" w:rsidTr="00EC6592">
        <w:trPr>
          <w:trHeight w:val="1573"/>
          <w:jc w:val="center"/>
        </w:trPr>
        <w:tc>
          <w:tcPr>
            <w:tcW w:w="2268" w:type="dxa"/>
            <w:tcBorders>
              <w:top w:val="nil"/>
              <w:left w:val="single" w:sz="4" w:space="0" w:color="auto"/>
              <w:bottom w:val="single" w:sz="4" w:space="0" w:color="auto"/>
              <w:right w:val="single" w:sz="4" w:space="0" w:color="auto"/>
            </w:tcBorders>
            <w:noWrap/>
            <w:vAlign w:val="center"/>
          </w:tcPr>
          <w:p w:rsidR="00EC1B3C" w:rsidRPr="0094392D" w:rsidRDefault="00EC1B3C" w:rsidP="00BB6BD8">
            <w:pPr>
              <w:spacing w:after="0" w:line="240" w:lineRule="auto"/>
              <w:jc w:val="center"/>
              <w:rPr>
                <w:rFonts w:ascii="Times New Roman" w:hAnsi="Times New Roman"/>
                <w:color w:val="000000"/>
                <w:sz w:val="24"/>
                <w:szCs w:val="28"/>
                <w:lang w:val="uk-UA" w:eastAsia="ru-RU"/>
              </w:rPr>
            </w:pPr>
            <w:r w:rsidRPr="0094392D">
              <w:rPr>
                <w:rFonts w:ascii="Times New Roman" w:hAnsi="Times New Roman"/>
                <w:color w:val="000000"/>
                <w:sz w:val="24"/>
                <w:szCs w:val="28"/>
                <w:lang w:val="uk-UA" w:eastAsia="ru-RU"/>
              </w:rPr>
              <w:t> </w:t>
            </w:r>
          </w:p>
        </w:tc>
        <w:tc>
          <w:tcPr>
            <w:tcW w:w="2157" w:type="dxa"/>
            <w:tcBorders>
              <w:top w:val="nil"/>
              <w:left w:val="nil"/>
              <w:bottom w:val="single" w:sz="4" w:space="0" w:color="auto"/>
              <w:right w:val="single" w:sz="4" w:space="0" w:color="auto"/>
            </w:tcBorders>
            <w:shd w:val="clear" w:color="000000" w:fill="FFFFFF"/>
            <w:vAlign w:val="center"/>
          </w:tcPr>
          <w:p w:rsidR="00EC1B3C" w:rsidRPr="0094392D" w:rsidRDefault="00EC1B3C" w:rsidP="00BB6BD8">
            <w:pPr>
              <w:spacing w:after="0" w:line="240" w:lineRule="auto"/>
              <w:jc w:val="center"/>
              <w:rPr>
                <w:rFonts w:ascii="Times New Roman" w:hAnsi="Times New Roman"/>
                <w:color w:val="000000"/>
                <w:sz w:val="24"/>
                <w:szCs w:val="28"/>
                <w:lang w:val="uk-UA" w:eastAsia="ru-RU"/>
              </w:rPr>
            </w:pPr>
            <w:r w:rsidRPr="0094392D">
              <w:rPr>
                <w:rFonts w:ascii="Times New Roman" w:hAnsi="Times New Roman"/>
                <w:color w:val="000000"/>
                <w:sz w:val="24"/>
                <w:szCs w:val="28"/>
                <w:lang w:val="uk-UA" w:eastAsia="ru-RU"/>
              </w:rPr>
              <w:t>Ділові послуги</w:t>
            </w:r>
          </w:p>
        </w:tc>
        <w:tc>
          <w:tcPr>
            <w:tcW w:w="2096" w:type="dxa"/>
            <w:tcBorders>
              <w:top w:val="nil"/>
              <w:left w:val="nil"/>
              <w:bottom w:val="single" w:sz="4" w:space="0" w:color="auto"/>
              <w:right w:val="single" w:sz="4" w:space="0" w:color="auto"/>
            </w:tcBorders>
            <w:noWrap/>
            <w:vAlign w:val="center"/>
          </w:tcPr>
          <w:p w:rsidR="00EC1B3C" w:rsidRPr="0094392D" w:rsidRDefault="00EC1B3C" w:rsidP="00BB6BD8">
            <w:pPr>
              <w:spacing w:after="0" w:line="240" w:lineRule="auto"/>
              <w:jc w:val="center"/>
              <w:rPr>
                <w:rFonts w:ascii="Times New Roman" w:hAnsi="Times New Roman"/>
                <w:color w:val="000000"/>
                <w:sz w:val="24"/>
                <w:szCs w:val="28"/>
                <w:lang w:val="uk-UA" w:eastAsia="ru-RU"/>
              </w:rPr>
            </w:pPr>
            <w:r w:rsidRPr="0094392D">
              <w:rPr>
                <w:rFonts w:ascii="Times New Roman" w:hAnsi="Times New Roman"/>
                <w:color w:val="000000"/>
                <w:sz w:val="24"/>
                <w:szCs w:val="28"/>
                <w:lang w:val="uk-UA" w:eastAsia="ru-RU"/>
              </w:rPr>
              <w:t> </w:t>
            </w:r>
          </w:p>
        </w:tc>
        <w:tc>
          <w:tcPr>
            <w:tcW w:w="2185" w:type="dxa"/>
            <w:tcBorders>
              <w:top w:val="nil"/>
              <w:left w:val="nil"/>
              <w:bottom w:val="single" w:sz="4" w:space="0" w:color="auto"/>
              <w:right w:val="single" w:sz="4" w:space="0" w:color="auto"/>
            </w:tcBorders>
            <w:shd w:val="clear" w:color="000000" w:fill="FFFFFF"/>
            <w:vAlign w:val="center"/>
          </w:tcPr>
          <w:p w:rsidR="00EC1B3C" w:rsidRPr="0094392D" w:rsidRDefault="00EC1B3C" w:rsidP="00BB6BD8">
            <w:pPr>
              <w:spacing w:after="0" w:line="240" w:lineRule="auto"/>
              <w:jc w:val="center"/>
              <w:rPr>
                <w:rFonts w:ascii="Times New Roman" w:hAnsi="Times New Roman"/>
                <w:color w:val="000000"/>
                <w:sz w:val="24"/>
                <w:szCs w:val="28"/>
                <w:lang w:val="uk-UA" w:eastAsia="ru-RU"/>
              </w:rPr>
            </w:pPr>
            <w:r w:rsidRPr="0094392D">
              <w:rPr>
                <w:rFonts w:ascii="Times New Roman" w:hAnsi="Times New Roman"/>
                <w:color w:val="000000"/>
                <w:sz w:val="24"/>
                <w:szCs w:val="28"/>
                <w:lang w:val="uk-UA" w:eastAsia="ru-RU"/>
              </w:rPr>
              <w:t>Роялті та інші послуги, пов'язані з використанням інтелектуальної власності</w:t>
            </w:r>
          </w:p>
        </w:tc>
      </w:tr>
      <w:tr w:rsidR="00EC1B3C" w:rsidRPr="008D06EC" w:rsidTr="00E068B2">
        <w:trPr>
          <w:trHeight w:val="750"/>
          <w:jc w:val="center"/>
        </w:trPr>
        <w:tc>
          <w:tcPr>
            <w:tcW w:w="2268" w:type="dxa"/>
            <w:tcBorders>
              <w:top w:val="nil"/>
              <w:left w:val="single" w:sz="4" w:space="0" w:color="auto"/>
              <w:bottom w:val="single" w:sz="4" w:space="0" w:color="auto"/>
              <w:right w:val="single" w:sz="4" w:space="0" w:color="auto"/>
            </w:tcBorders>
            <w:noWrap/>
            <w:vAlign w:val="center"/>
          </w:tcPr>
          <w:p w:rsidR="00EC1B3C" w:rsidRPr="0094392D" w:rsidRDefault="00EC1B3C" w:rsidP="00BB6BD8">
            <w:pPr>
              <w:spacing w:after="0" w:line="240" w:lineRule="auto"/>
              <w:jc w:val="center"/>
              <w:rPr>
                <w:rFonts w:ascii="Times New Roman" w:hAnsi="Times New Roman"/>
                <w:color w:val="000000"/>
                <w:sz w:val="24"/>
                <w:szCs w:val="28"/>
                <w:lang w:val="uk-UA" w:eastAsia="ru-RU"/>
              </w:rPr>
            </w:pPr>
            <w:r w:rsidRPr="0094392D">
              <w:rPr>
                <w:rFonts w:ascii="Times New Roman" w:hAnsi="Times New Roman"/>
                <w:color w:val="000000"/>
                <w:sz w:val="24"/>
                <w:szCs w:val="28"/>
                <w:lang w:val="uk-UA" w:eastAsia="ru-RU"/>
              </w:rPr>
              <w:t> </w:t>
            </w:r>
          </w:p>
        </w:tc>
        <w:tc>
          <w:tcPr>
            <w:tcW w:w="2157" w:type="dxa"/>
            <w:tcBorders>
              <w:top w:val="nil"/>
              <w:left w:val="nil"/>
              <w:bottom w:val="single" w:sz="4" w:space="0" w:color="auto"/>
              <w:right w:val="single" w:sz="4" w:space="0" w:color="auto"/>
            </w:tcBorders>
            <w:shd w:val="clear" w:color="000000" w:fill="FFFFFF"/>
            <w:vAlign w:val="center"/>
          </w:tcPr>
          <w:p w:rsidR="00EC1B3C" w:rsidRPr="0094392D" w:rsidRDefault="00EC1B3C" w:rsidP="00BB6BD8">
            <w:pPr>
              <w:spacing w:after="0" w:line="240" w:lineRule="auto"/>
              <w:jc w:val="center"/>
              <w:rPr>
                <w:rFonts w:ascii="Times New Roman" w:hAnsi="Times New Roman"/>
                <w:color w:val="000000"/>
                <w:sz w:val="24"/>
                <w:szCs w:val="28"/>
                <w:lang w:val="uk-UA" w:eastAsia="ru-RU"/>
              </w:rPr>
            </w:pPr>
            <w:r w:rsidRPr="0094392D">
              <w:rPr>
                <w:rFonts w:ascii="Times New Roman" w:hAnsi="Times New Roman"/>
                <w:color w:val="000000"/>
                <w:sz w:val="24"/>
                <w:szCs w:val="28"/>
                <w:lang w:val="uk-UA" w:eastAsia="ru-RU"/>
              </w:rPr>
              <w:t>Послуги приватним особам, культурні та рекреаційні послуги</w:t>
            </w:r>
          </w:p>
        </w:tc>
        <w:tc>
          <w:tcPr>
            <w:tcW w:w="2096" w:type="dxa"/>
            <w:tcBorders>
              <w:top w:val="nil"/>
              <w:left w:val="nil"/>
              <w:bottom w:val="single" w:sz="4" w:space="0" w:color="auto"/>
              <w:right w:val="single" w:sz="4" w:space="0" w:color="auto"/>
            </w:tcBorders>
            <w:noWrap/>
            <w:vAlign w:val="center"/>
          </w:tcPr>
          <w:p w:rsidR="00EC1B3C" w:rsidRPr="0094392D" w:rsidRDefault="00EC1B3C" w:rsidP="00BB6BD8">
            <w:pPr>
              <w:spacing w:after="0" w:line="240" w:lineRule="auto"/>
              <w:jc w:val="center"/>
              <w:rPr>
                <w:rFonts w:ascii="Times New Roman" w:hAnsi="Times New Roman"/>
                <w:color w:val="000000"/>
                <w:sz w:val="24"/>
                <w:szCs w:val="28"/>
                <w:lang w:val="uk-UA" w:eastAsia="ru-RU"/>
              </w:rPr>
            </w:pPr>
            <w:r w:rsidRPr="0094392D">
              <w:rPr>
                <w:rFonts w:ascii="Times New Roman" w:hAnsi="Times New Roman"/>
                <w:color w:val="000000"/>
                <w:sz w:val="24"/>
                <w:szCs w:val="28"/>
                <w:lang w:val="uk-UA" w:eastAsia="ru-RU"/>
              </w:rPr>
              <w:t> </w:t>
            </w:r>
          </w:p>
        </w:tc>
        <w:tc>
          <w:tcPr>
            <w:tcW w:w="2185" w:type="dxa"/>
            <w:tcBorders>
              <w:top w:val="nil"/>
              <w:left w:val="nil"/>
              <w:bottom w:val="single" w:sz="4" w:space="0" w:color="auto"/>
              <w:right w:val="single" w:sz="4" w:space="0" w:color="auto"/>
            </w:tcBorders>
            <w:shd w:val="clear" w:color="000000" w:fill="FFFFFF"/>
            <w:vAlign w:val="center"/>
          </w:tcPr>
          <w:p w:rsidR="00EC1B3C" w:rsidRPr="0094392D" w:rsidRDefault="00EC1B3C" w:rsidP="00BB6BD8">
            <w:pPr>
              <w:spacing w:after="0" w:line="240" w:lineRule="auto"/>
              <w:jc w:val="center"/>
              <w:rPr>
                <w:rFonts w:ascii="Times New Roman" w:hAnsi="Times New Roman"/>
                <w:color w:val="000000"/>
                <w:sz w:val="24"/>
                <w:szCs w:val="28"/>
                <w:lang w:val="uk-UA" w:eastAsia="ru-RU"/>
              </w:rPr>
            </w:pPr>
            <w:r w:rsidRPr="0094392D">
              <w:rPr>
                <w:rFonts w:ascii="Times New Roman" w:hAnsi="Times New Roman"/>
                <w:color w:val="000000"/>
                <w:sz w:val="24"/>
                <w:szCs w:val="28"/>
                <w:lang w:val="uk-UA" w:eastAsia="ru-RU"/>
              </w:rPr>
              <w:t>Послуги у сфері телекомунікації, комп'ютерні та інформаційні послуги</w:t>
            </w:r>
          </w:p>
        </w:tc>
      </w:tr>
    </w:tbl>
    <w:p w:rsidR="00EC1B3C" w:rsidRPr="0094392D" w:rsidRDefault="00EC1B3C" w:rsidP="00800053">
      <w:pPr>
        <w:spacing w:after="0" w:line="360" w:lineRule="auto"/>
        <w:ind w:firstLine="709"/>
        <w:jc w:val="both"/>
        <w:rPr>
          <w:rFonts w:ascii="Times New Roman" w:hAnsi="Times New Roman"/>
          <w:sz w:val="28"/>
          <w:szCs w:val="28"/>
          <w:lang w:val="uk-UA"/>
        </w:rPr>
      </w:pPr>
      <w:r w:rsidRPr="0094392D">
        <w:rPr>
          <w:rFonts w:ascii="Times New Roman" w:hAnsi="Times New Roman"/>
          <w:sz w:val="28"/>
          <w:szCs w:val="28"/>
          <w:lang w:val="uk-UA"/>
        </w:rPr>
        <w:t>Джерело: складено на основі даних [1]</w:t>
      </w:r>
    </w:p>
    <w:p w:rsidR="00EC1B3C" w:rsidRPr="0094392D" w:rsidRDefault="00EC1B3C" w:rsidP="00800053">
      <w:pPr>
        <w:spacing w:after="0" w:line="360" w:lineRule="auto"/>
        <w:ind w:firstLine="709"/>
        <w:jc w:val="both"/>
        <w:rPr>
          <w:rFonts w:ascii="Times New Roman" w:hAnsi="Times New Roman"/>
          <w:sz w:val="28"/>
          <w:szCs w:val="28"/>
          <w:lang w:val="uk-UA"/>
        </w:rPr>
      </w:pPr>
      <w:r w:rsidRPr="0094392D">
        <w:rPr>
          <w:rFonts w:ascii="Times New Roman" w:hAnsi="Times New Roman"/>
          <w:sz w:val="28"/>
          <w:szCs w:val="28"/>
          <w:lang w:val="uk-UA"/>
        </w:rPr>
        <w:t xml:space="preserve">Згідно з Таблицею 3.1, у 2018-2021 роках Ізраїль та ОАЕ експортували з України державні та урядові послуги. На відміну від ОАЕ, Ізраїль також експортував послуги зі страхування та роялті та інші послуги, пов’язані з використанням інтелектуальної власності. Натомість, ОАЕ в цей час експортували послуги, пов’язані з подорожами, послуги, пов’язані з фінансовою діяльністю </w:t>
      </w:r>
      <w:r>
        <w:rPr>
          <w:rFonts w:ascii="Times New Roman" w:hAnsi="Times New Roman"/>
          <w:sz w:val="28"/>
          <w:szCs w:val="28"/>
          <w:lang w:val="en-US"/>
        </w:rPr>
        <w:t>n</w:t>
      </w:r>
      <w:r w:rsidRPr="0094392D">
        <w:rPr>
          <w:rFonts w:ascii="Times New Roman" w:hAnsi="Times New Roman"/>
          <w:sz w:val="28"/>
          <w:szCs w:val="28"/>
          <w:lang w:val="uk-UA"/>
        </w:rPr>
        <w:t>а ділові послуги. Ізраїль та ОАЕ імпортували з України транспортні послуги та послуги у сфері телекомунікації, комп’ютерні та інформаційні послуги. Ізраїль, на відміну від Еміратів, імпортував також послуги, пов’язані з подорожами, послуги, пов’язані з фінансовою діяльністю, ділові послуги та послуги приватним особам, культурні та рекреаційні послуги. Об’єднані Арабські Емірати імпортували з України послуги з переробки матеріальних ресурсів, послуги з ремонту та технічного обслуговування, послуги зі страхування та роялті та інші послуги, пов’язані з використанням інтелектуальної власності.</w:t>
      </w:r>
    </w:p>
    <w:p w:rsidR="00EC1B3C" w:rsidRPr="0094392D" w:rsidRDefault="00EC1B3C" w:rsidP="00340836">
      <w:pPr>
        <w:spacing w:after="0" w:line="360" w:lineRule="auto"/>
        <w:jc w:val="both"/>
        <w:rPr>
          <w:rFonts w:ascii="Times New Roman" w:hAnsi="Times New Roman"/>
          <w:sz w:val="28"/>
          <w:szCs w:val="28"/>
          <w:lang w:val="uk-UA"/>
        </w:rPr>
      </w:pPr>
      <w:r w:rsidRPr="0094392D">
        <w:rPr>
          <w:rFonts w:ascii="Times New Roman" w:hAnsi="Times New Roman"/>
          <w:sz w:val="28"/>
          <w:szCs w:val="28"/>
          <w:lang w:val="uk-UA"/>
        </w:rPr>
        <w:tab/>
        <w:t xml:space="preserve">Далі проаналізуємо динаміку постачання прямих іноземних інвестицій з Ізраїлю та ОАЕ в економіку України протягом 2018-2022 років. </w:t>
      </w:r>
    </w:p>
    <w:p w:rsidR="00EC1B3C" w:rsidRPr="0094392D" w:rsidRDefault="00EC1B3C" w:rsidP="00F91CB5">
      <w:pPr>
        <w:spacing w:after="0" w:line="360" w:lineRule="auto"/>
        <w:ind w:firstLine="709"/>
        <w:jc w:val="right"/>
        <w:rPr>
          <w:rFonts w:ascii="Times New Roman" w:hAnsi="Times New Roman"/>
          <w:sz w:val="28"/>
          <w:szCs w:val="28"/>
          <w:lang w:val="uk-UA"/>
        </w:rPr>
      </w:pPr>
      <w:r w:rsidRPr="0094392D">
        <w:rPr>
          <w:rFonts w:ascii="Times New Roman" w:hAnsi="Times New Roman"/>
          <w:sz w:val="28"/>
          <w:szCs w:val="28"/>
          <w:lang w:val="uk-UA"/>
        </w:rPr>
        <w:t>Таблиця 3.2</w:t>
      </w:r>
    </w:p>
    <w:p w:rsidR="00EC1B3C" w:rsidRPr="0094392D" w:rsidRDefault="00EC1B3C" w:rsidP="008477AF">
      <w:pPr>
        <w:spacing w:after="0" w:line="360" w:lineRule="auto"/>
        <w:ind w:firstLine="709"/>
        <w:jc w:val="center"/>
        <w:rPr>
          <w:rFonts w:ascii="Times New Roman" w:hAnsi="Times New Roman"/>
          <w:sz w:val="28"/>
          <w:szCs w:val="28"/>
          <w:lang w:val="uk-UA"/>
        </w:rPr>
      </w:pPr>
      <w:r w:rsidRPr="0094392D">
        <w:rPr>
          <w:rFonts w:ascii="Times New Roman" w:hAnsi="Times New Roman"/>
          <w:sz w:val="28"/>
          <w:szCs w:val="28"/>
          <w:lang w:val="uk-UA"/>
        </w:rPr>
        <w:t>Динаміка Прямих іноземних інвестицій з Ізраїлю та ОАЕ в Україну протягом 2018-2022 рр., млн. дол. США</w:t>
      </w:r>
    </w:p>
    <w:tbl>
      <w:tblPr>
        <w:tblW w:w="9480" w:type="dxa"/>
        <w:tblInd w:w="-5" w:type="dxa"/>
        <w:tblLook w:val="00A0" w:firstRow="1" w:lastRow="0" w:firstColumn="1" w:lastColumn="0" w:noHBand="0" w:noVBand="0"/>
      </w:tblPr>
      <w:tblGrid>
        <w:gridCol w:w="2440"/>
        <w:gridCol w:w="1420"/>
        <w:gridCol w:w="1360"/>
        <w:gridCol w:w="1400"/>
        <w:gridCol w:w="1520"/>
        <w:gridCol w:w="1340"/>
      </w:tblGrid>
      <w:tr w:rsidR="00EC1B3C" w:rsidRPr="008D06EC" w:rsidTr="00F91CB5">
        <w:trPr>
          <w:trHeight w:val="300"/>
        </w:trPr>
        <w:tc>
          <w:tcPr>
            <w:tcW w:w="2440" w:type="dxa"/>
            <w:tcBorders>
              <w:top w:val="single" w:sz="4" w:space="0" w:color="auto"/>
              <w:left w:val="single" w:sz="4" w:space="0" w:color="auto"/>
              <w:bottom w:val="single" w:sz="4" w:space="0" w:color="auto"/>
              <w:right w:val="single" w:sz="4" w:space="0" w:color="auto"/>
            </w:tcBorders>
            <w:noWrap/>
            <w:vAlign w:val="bottom"/>
          </w:tcPr>
          <w:p w:rsidR="00EC1B3C" w:rsidRPr="0094392D" w:rsidRDefault="00EC1B3C" w:rsidP="00F91CB5">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 </w:t>
            </w:r>
          </w:p>
        </w:tc>
        <w:tc>
          <w:tcPr>
            <w:tcW w:w="1420" w:type="dxa"/>
            <w:tcBorders>
              <w:top w:val="single" w:sz="4" w:space="0" w:color="auto"/>
              <w:left w:val="nil"/>
              <w:bottom w:val="single" w:sz="4" w:space="0" w:color="auto"/>
              <w:right w:val="single" w:sz="4" w:space="0" w:color="auto"/>
            </w:tcBorders>
            <w:noWrap/>
            <w:vAlign w:val="bottom"/>
          </w:tcPr>
          <w:p w:rsidR="00EC1B3C" w:rsidRPr="0094392D" w:rsidRDefault="00EC1B3C" w:rsidP="00F91CB5">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2018</w:t>
            </w:r>
          </w:p>
        </w:tc>
        <w:tc>
          <w:tcPr>
            <w:tcW w:w="1360" w:type="dxa"/>
            <w:tcBorders>
              <w:top w:val="single" w:sz="4" w:space="0" w:color="auto"/>
              <w:left w:val="nil"/>
              <w:bottom w:val="single" w:sz="4" w:space="0" w:color="auto"/>
              <w:right w:val="single" w:sz="4" w:space="0" w:color="auto"/>
            </w:tcBorders>
            <w:noWrap/>
            <w:vAlign w:val="bottom"/>
          </w:tcPr>
          <w:p w:rsidR="00EC1B3C" w:rsidRPr="0094392D" w:rsidRDefault="00EC1B3C" w:rsidP="00F91CB5">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2019</w:t>
            </w:r>
          </w:p>
        </w:tc>
        <w:tc>
          <w:tcPr>
            <w:tcW w:w="1400" w:type="dxa"/>
            <w:tcBorders>
              <w:top w:val="single" w:sz="4" w:space="0" w:color="auto"/>
              <w:left w:val="nil"/>
              <w:bottom w:val="single" w:sz="4" w:space="0" w:color="auto"/>
              <w:right w:val="single" w:sz="4" w:space="0" w:color="auto"/>
            </w:tcBorders>
            <w:noWrap/>
            <w:vAlign w:val="bottom"/>
          </w:tcPr>
          <w:p w:rsidR="00EC1B3C" w:rsidRPr="0094392D" w:rsidRDefault="00EC1B3C" w:rsidP="00F91CB5">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2020</w:t>
            </w:r>
          </w:p>
        </w:tc>
        <w:tc>
          <w:tcPr>
            <w:tcW w:w="1520" w:type="dxa"/>
            <w:tcBorders>
              <w:top w:val="single" w:sz="4" w:space="0" w:color="auto"/>
              <w:left w:val="nil"/>
              <w:bottom w:val="single" w:sz="4" w:space="0" w:color="auto"/>
              <w:right w:val="single" w:sz="4" w:space="0" w:color="auto"/>
            </w:tcBorders>
            <w:noWrap/>
            <w:vAlign w:val="bottom"/>
          </w:tcPr>
          <w:p w:rsidR="00EC1B3C" w:rsidRPr="0094392D" w:rsidRDefault="00EC1B3C" w:rsidP="00F91CB5">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2021</w:t>
            </w:r>
          </w:p>
        </w:tc>
        <w:tc>
          <w:tcPr>
            <w:tcW w:w="1340" w:type="dxa"/>
            <w:tcBorders>
              <w:top w:val="single" w:sz="4" w:space="0" w:color="auto"/>
              <w:left w:val="nil"/>
              <w:bottom w:val="single" w:sz="4" w:space="0" w:color="auto"/>
              <w:right w:val="single" w:sz="4" w:space="0" w:color="auto"/>
            </w:tcBorders>
            <w:noWrap/>
            <w:vAlign w:val="bottom"/>
          </w:tcPr>
          <w:p w:rsidR="00EC1B3C" w:rsidRPr="0094392D" w:rsidRDefault="00EC1B3C" w:rsidP="00F91CB5">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2022</w:t>
            </w:r>
          </w:p>
        </w:tc>
      </w:tr>
      <w:tr w:rsidR="00EC1B3C" w:rsidRPr="008D06EC" w:rsidTr="00F91CB5">
        <w:trPr>
          <w:trHeight w:val="300"/>
        </w:trPr>
        <w:tc>
          <w:tcPr>
            <w:tcW w:w="2440" w:type="dxa"/>
            <w:tcBorders>
              <w:top w:val="nil"/>
              <w:left w:val="single" w:sz="4" w:space="0" w:color="auto"/>
              <w:bottom w:val="single" w:sz="4" w:space="0" w:color="auto"/>
              <w:right w:val="single" w:sz="4" w:space="0" w:color="auto"/>
            </w:tcBorders>
            <w:noWrap/>
            <w:vAlign w:val="bottom"/>
          </w:tcPr>
          <w:p w:rsidR="00EC1B3C" w:rsidRPr="0094392D" w:rsidRDefault="00EC1B3C" w:rsidP="00F91CB5">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ПІІ з Ізраїлю в Україну</w:t>
            </w:r>
          </w:p>
        </w:tc>
        <w:tc>
          <w:tcPr>
            <w:tcW w:w="1420" w:type="dxa"/>
            <w:tcBorders>
              <w:top w:val="nil"/>
              <w:left w:val="nil"/>
              <w:bottom w:val="single" w:sz="4" w:space="0" w:color="auto"/>
              <w:right w:val="single" w:sz="4" w:space="0" w:color="auto"/>
            </w:tcBorders>
            <w:vAlign w:val="bottom"/>
          </w:tcPr>
          <w:p w:rsidR="00EC1B3C" w:rsidRPr="0094392D" w:rsidRDefault="00EC1B3C" w:rsidP="00F91CB5">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33,6</w:t>
            </w:r>
          </w:p>
        </w:tc>
        <w:tc>
          <w:tcPr>
            <w:tcW w:w="1360" w:type="dxa"/>
            <w:tcBorders>
              <w:top w:val="nil"/>
              <w:left w:val="nil"/>
              <w:bottom w:val="single" w:sz="4" w:space="0" w:color="auto"/>
              <w:right w:val="single" w:sz="4" w:space="0" w:color="auto"/>
            </w:tcBorders>
            <w:vAlign w:val="bottom"/>
          </w:tcPr>
          <w:p w:rsidR="00EC1B3C" w:rsidRPr="0094392D" w:rsidRDefault="00EC1B3C" w:rsidP="00F91CB5">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46,8</w:t>
            </w:r>
          </w:p>
        </w:tc>
        <w:tc>
          <w:tcPr>
            <w:tcW w:w="1400" w:type="dxa"/>
            <w:tcBorders>
              <w:top w:val="nil"/>
              <w:left w:val="nil"/>
              <w:bottom w:val="single" w:sz="4" w:space="0" w:color="auto"/>
              <w:right w:val="single" w:sz="4" w:space="0" w:color="auto"/>
            </w:tcBorders>
            <w:vAlign w:val="bottom"/>
          </w:tcPr>
          <w:p w:rsidR="00EC1B3C" w:rsidRPr="0094392D" w:rsidRDefault="00EC1B3C" w:rsidP="00F91CB5">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52,2</w:t>
            </w:r>
          </w:p>
        </w:tc>
        <w:tc>
          <w:tcPr>
            <w:tcW w:w="1520" w:type="dxa"/>
            <w:tcBorders>
              <w:top w:val="nil"/>
              <w:left w:val="nil"/>
              <w:bottom w:val="single" w:sz="4" w:space="0" w:color="auto"/>
              <w:right w:val="single" w:sz="4" w:space="0" w:color="auto"/>
            </w:tcBorders>
            <w:vAlign w:val="bottom"/>
          </w:tcPr>
          <w:p w:rsidR="00EC1B3C" w:rsidRPr="0094392D" w:rsidRDefault="00EC1B3C" w:rsidP="00F91CB5">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53,2</w:t>
            </w:r>
          </w:p>
        </w:tc>
        <w:tc>
          <w:tcPr>
            <w:tcW w:w="1340" w:type="dxa"/>
            <w:tcBorders>
              <w:top w:val="nil"/>
              <w:left w:val="nil"/>
              <w:bottom w:val="single" w:sz="4" w:space="0" w:color="auto"/>
              <w:right w:val="single" w:sz="4" w:space="0" w:color="auto"/>
            </w:tcBorders>
            <w:vAlign w:val="bottom"/>
          </w:tcPr>
          <w:p w:rsidR="00EC1B3C" w:rsidRPr="0094392D" w:rsidRDefault="00EC1B3C" w:rsidP="00F91CB5">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39,3</w:t>
            </w:r>
          </w:p>
        </w:tc>
      </w:tr>
      <w:tr w:rsidR="00EC1B3C" w:rsidRPr="008D06EC" w:rsidTr="00F91CB5">
        <w:trPr>
          <w:trHeight w:val="300"/>
        </w:trPr>
        <w:tc>
          <w:tcPr>
            <w:tcW w:w="2440" w:type="dxa"/>
            <w:tcBorders>
              <w:top w:val="nil"/>
              <w:left w:val="single" w:sz="4" w:space="0" w:color="auto"/>
              <w:bottom w:val="single" w:sz="4" w:space="0" w:color="auto"/>
              <w:right w:val="single" w:sz="4" w:space="0" w:color="auto"/>
            </w:tcBorders>
            <w:noWrap/>
            <w:vAlign w:val="bottom"/>
          </w:tcPr>
          <w:p w:rsidR="00EC1B3C" w:rsidRPr="0094392D" w:rsidRDefault="00EC1B3C" w:rsidP="00F91CB5">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ПІІ з ОАЕ в Україну</w:t>
            </w:r>
          </w:p>
        </w:tc>
        <w:tc>
          <w:tcPr>
            <w:tcW w:w="1420" w:type="dxa"/>
            <w:tcBorders>
              <w:top w:val="nil"/>
              <w:left w:val="nil"/>
              <w:bottom w:val="single" w:sz="4" w:space="0" w:color="auto"/>
              <w:right w:val="single" w:sz="4" w:space="0" w:color="auto"/>
            </w:tcBorders>
            <w:vAlign w:val="bottom"/>
          </w:tcPr>
          <w:p w:rsidR="00EC1B3C" w:rsidRPr="0094392D" w:rsidRDefault="00EC1B3C" w:rsidP="00F91CB5">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41,1</w:t>
            </w:r>
          </w:p>
        </w:tc>
        <w:tc>
          <w:tcPr>
            <w:tcW w:w="1360" w:type="dxa"/>
            <w:tcBorders>
              <w:top w:val="nil"/>
              <w:left w:val="nil"/>
              <w:bottom w:val="single" w:sz="4" w:space="0" w:color="auto"/>
              <w:right w:val="single" w:sz="4" w:space="0" w:color="auto"/>
            </w:tcBorders>
            <w:vAlign w:val="bottom"/>
          </w:tcPr>
          <w:p w:rsidR="00EC1B3C" w:rsidRPr="0094392D" w:rsidRDefault="00EC1B3C" w:rsidP="00F91CB5">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35,5</w:t>
            </w:r>
          </w:p>
        </w:tc>
        <w:tc>
          <w:tcPr>
            <w:tcW w:w="1400" w:type="dxa"/>
            <w:tcBorders>
              <w:top w:val="nil"/>
              <w:left w:val="nil"/>
              <w:bottom w:val="single" w:sz="4" w:space="0" w:color="auto"/>
              <w:right w:val="single" w:sz="4" w:space="0" w:color="auto"/>
            </w:tcBorders>
            <w:vAlign w:val="bottom"/>
          </w:tcPr>
          <w:p w:rsidR="00EC1B3C" w:rsidRPr="0094392D" w:rsidRDefault="00EC1B3C" w:rsidP="00F91CB5">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42,0</w:t>
            </w:r>
          </w:p>
        </w:tc>
        <w:tc>
          <w:tcPr>
            <w:tcW w:w="1520" w:type="dxa"/>
            <w:tcBorders>
              <w:top w:val="nil"/>
              <w:left w:val="nil"/>
              <w:bottom w:val="single" w:sz="4" w:space="0" w:color="auto"/>
              <w:right w:val="single" w:sz="4" w:space="0" w:color="auto"/>
            </w:tcBorders>
            <w:vAlign w:val="bottom"/>
          </w:tcPr>
          <w:p w:rsidR="00EC1B3C" w:rsidRPr="0094392D" w:rsidRDefault="00EC1B3C" w:rsidP="00F91CB5">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44,3</w:t>
            </w:r>
          </w:p>
        </w:tc>
        <w:tc>
          <w:tcPr>
            <w:tcW w:w="1340" w:type="dxa"/>
            <w:tcBorders>
              <w:top w:val="nil"/>
              <w:left w:val="nil"/>
              <w:bottom w:val="single" w:sz="4" w:space="0" w:color="auto"/>
              <w:right w:val="single" w:sz="4" w:space="0" w:color="auto"/>
            </w:tcBorders>
            <w:vAlign w:val="bottom"/>
          </w:tcPr>
          <w:p w:rsidR="00EC1B3C" w:rsidRPr="0094392D" w:rsidRDefault="00EC1B3C" w:rsidP="00F91CB5">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46,3</w:t>
            </w:r>
          </w:p>
        </w:tc>
      </w:tr>
      <w:tr w:rsidR="00EC1B3C" w:rsidRPr="008D06EC" w:rsidTr="00F91CB5">
        <w:trPr>
          <w:trHeight w:val="300"/>
        </w:trPr>
        <w:tc>
          <w:tcPr>
            <w:tcW w:w="2440" w:type="dxa"/>
            <w:tcBorders>
              <w:top w:val="nil"/>
              <w:left w:val="single" w:sz="4" w:space="0" w:color="auto"/>
              <w:bottom w:val="single" w:sz="4" w:space="0" w:color="auto"/>
              <w:right w:val="single" w:sz="4" w:space="0" w:color="auto"/>
            </w:tcBorders>
            <w:noWrap/>
            <w:vAlign w:val="bottom"/>
          </w:tcPr>
          <w:p w:rsidR="00EC1B3C" w:rsidRPr="0094392D" w:rsidRDefault="00EC1B3C" w:rsidP="00F91CB5">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ПІІ з України в Ізраїль</w:t>
            </w:r>
          </w:p>
        </w:tc>
        <w:tc>
          <w:tcPr>
            <w:tcW w:w="1420" w:type="dxa"/>
            <w:tcBorders>
              <w:top w:val="nil"/>
              <w:left w:val="nil"/>
              <w:bottom w:val="single" w:sz="4" w:space="0" w:color="auto"/>
              <w:right w:val="single" w:sz="4" w:space="0" w:color="auto"/>
            </w:tcBorders>
            <w:noWrap/>
            <w:vAlign w:val="bottom"/>
          </w:tcPr>
          <w:p w:rsidR="00EC1B3C" w:rsidRPr="0094392D" w:rsidRDefault="00EC1B3C" w:rsidP="00F91CB5">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0</w:t>
            </w:r>
          </w:p>
        </w:tc>
        <w:tc>
          <w:tcPr>
            <w:tcW w:w="1360" w:type="dxa"/>
            <w:tcBorders>
              <w:top w:val="nil"/>
              <w:left w:val="nil"/>
              <w:bottom w:val="single" w:sz="4" w:space="0" w:color="auto"/>
              <w:right w:val="single" w:sz="4" w:space="0" w:color="auto"/>
            </w:tcBorders>
            <w:noWrap/>
            <w:vAlign w:val="bottom"/>
          </w:tcPr>
          <w:p w:rsidR="00EC1B3C" w:rsidRPr="0094392D" w:rsidRDefault="00EC1B3C" w:rsidP="00F91CB5">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0</w:t>
            </w:r>
          </w:p>
        </w:tc>
        <w:tc>
          <w:tcPr>
            <w:tcW w:w="1400" w:type="dxa"/>
            <w:tcBorders>
              <w:top w:val="nil"/>
              <w:left w:val="nil"/>
              <w:bottom w:val="single" w:sz="4" w:space="0" w:color="auto"/>
              <w:right w:val="single" w:sz="4" w:space="0" w:color="auto"/>
            </w:tcBorders>
            <w:noWrap/>
            <w:vAlign w:val="bottom"/>
          </w:tcPr>
          <w:p w:rsidR="00EC1B3C" w:rsidRPr="0094392D" w:rsidRDefault="00EC1B3C" w:rsidP="00F91CB5">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0</w:t>
            </w:r>
          </w:p>
        </w:tc>
        <w:tc>
          <w:tcPr>
            <w:tcW w:w="1520" w:type="dxa"/>
            <w:tcBorders>
              <w:top w:val="nil"/>
              <w:left w:val="nil"/>
              <w:bottom w:val="single" w:sz="4" w:space="0" w:color="auto"/>
              <w:right w:val="single" w:sz="4" w:space="0" w:color="auto"/>
            </w:tcBorders>
            <w:noWrap/>
            <w:vAlign w:val="bottom"/>
          </w:tcPr>
          <w:p w:rsidR="00EC1B3C" w:rsidRPr="0094392D" w:rsidRDefault="00EC1B3C" w:rsidP="00F91CB5">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0</w:t>
            </w:r>
          </w:p>
        </w:tc>
        <w:tc>
          <w:tcPr>
            <w:tcW w:w="1340" w:type="dxa"/>
            <w:tcBorders>
              <w:top w:val="nil"/>
              <w:left w:val="nil"/>
              <w:bottom w:val="single" w:sz="4" w:space="0" w:color="auto"/>
              <w:right w:val="single" w:sz="4" w:space="0" w:color="auto"/>
            </w:tcBorders>
            <w:noWrap/>
            <w:vAlign w:val="bottom"/>
          </w:tcPr>
          <w:p w:rsidR="00EC1B3C" w:rsidRPr="0094392D" w:rsidRDefault="00EC1B3C" w:rsidP="00F91CB5">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0</w:t>
            </w:r>
          </w:p>
        </w:tc>
      </w:tr>
      <w:tr w:rsidR="00EC1B3C" w:rsidRPr="008D06EC" w:rsidTr="00F91CB5">
        <w:trPr>
          <w:trHeight w:val="300"/>
        </w:trPr>
        <w:tc>
          <w:tcPr>
            <w:tcW w:w="2440" w:type="dxa"/>
            <w:tcBorders>
              <w:top w:val="nil"/>
              <w:left w:val="single" w:sz="4" w:space="0" w:color="auto"/>
              <w:bottom w:val="single" w:sz="4" w:space="0" w:color="auto"/>
              <w:right w:val="single" w:sz="4" w:space="0" w:color="auto"/>
            </w:tcBorders>
            <w:noWrap/>
            <w:vAlign w:val="bottom"/>
          </w:tcPr>
          <w:p w:rsidR="00EC1B3C" w:rsidRPr="0094392D" w:rsidRDefault="00EC1B3C" w:rsidP="00F91CB5">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ПІІ з України в ОАЕ</w:t>
            </w:r>
          </w:p>
        </w:tc>
        <w:tc>
          <w:tcPr>
            <w:tcW w:w="1420" w:type="dxa"/>
            <w:tcBorders>
              <w:top w:val="nil"/>
              <w:left w:val="nil"/>
              <w:bottom w:val="single" w:sz="4" w:space="0" w:color="auto"/>
              <w:right w:val="single" w:sz="4" w:space="0" w:color="auto"/>
            </w:tcBorders>
            <w:noWrap/>
            <w:vAlign w:val="bottom"/>
          </w:tcPr>
          <w:p w:rsidR="00EC1B3C" w:rsidRPr="0094392D" w:rsidRDefault="00EC1B3C" w:rsidP="00F91CB5">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0</w:t>
            </w:r>
          </w:p>
        </w:tc>
        <w:tc>
          <w:tcPr>
            <w:tcW w:w="1360" w:type="dxa"/>
            <w:tcBorders>
              <w:top w:val="nil"/>
              <w:left w:val="nil"/>
              <w:bottom w:val="single" w:sz="4" w:space="0" w:color="auto"/>
              <w:right w:val="single" w:sz="4" w:space="0" w:color="auto"/>
            </w:tcBorders>
            <w:noWrap/>
            <w:vAlign w:val="bottom"/>
          </w:tcPr>
          <w:p w:rsidR="00EC1B3C" w:rsidRPr="0094392D" w:rsidRDefault="00EC1B3C" w:rsidP="00F91CB5">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0</w:t>
            </w:r>
          </w:p>
        </w:tc>
        <w:tc>
          <w:tcPr>
            <w:tcW w:w="1400" w:type="dxa"/>
            <w:tcBorders>
              <w:top w:val="nil"/>
              <w:left w:val="nil"/>
              <w:bottom w:val="single" w:sz="4" w:space="0" w:color="auto"/>
              <w:right w:val="single" w:sz="4" w:space="0" w:color="auto"/>
            </w:tcBorders>
            <w:noWrap/>
            <w:vAlign w:val="bottom"/>
          </w:tcPr>
          <w:p w:rsidR="00EC1B3C" w:rsidRPr="0094392D" w:rsidRDefault="00EC1B3C" w:rsidP="00F91CB5">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0</w:t>
            </w:r>
          </w:p>
        </w:tc>
        <w:tc>
          <w:tcPr>
            <w:tcW w:w="1520" w:type="dxa"/>
            <w:tcBorders>
              <w:top w:val="nil"/>
              <w:left w:val="nil"/>
              <w:bottom w:val="single" w:sz="4" w:space="0" w:color="auto"/>
              <w:right w:val="single" w:sz="4" w:space="0" w:color="auto"/>
            </w:tcBorders>
            <w:noWrap/>
            <w:vAlign w:val="bottom"/>
          </w:tcPr>
          <w:p w:rsidR="00EC1B3C" w:rsidRPr="0094392D" w:rsidRDefault="00EC1B3C" w:rsidP="00F91CB5">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0</w:t>
            </w:r>
          </w:p>
        </w:tc>
        <w:tc>
          <w:tcPr>
            <w:tcW w:w="1340" w:type="dxa"/>
            <w:tcBorders>
              <w:top w:val="nil"/>
              <w:left w:val="nil"/>
              <w:bottom w:val="single" w:sz="4" w:space="0" w:color="auto"/>
              <w:right w:val="single" w:sz="4" w:space="0" w:color="auto"/>
            </w:tcBorders>
            <w:noWrap/>
            <w:vAlign w:val="bottom"/>
          </w:tcPr>
          <w:p w:rsidR="00EC1B3C" w:rsidRPr="0094392D" w:rsidRDefault="00EC1B3C" w:rsidP="00F91CB5">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0</w:t>
            </w:r>
          </w:p>
        </w:tc>
      </w:tr>
    </w:tbl>
    <w:p w:rsidR="00EC1B3C" w:rsidRPr="0094392D" w:rsidRDefault="00EC1B3C" w:rsidP="00711841">
      <w:pPr>
        <w:spacing w:after="0" w:line="360" w:lineRule="auto"/>
        <w:ind w:firstLine="708"/>
        <w:jc w:val="both"/>
        <w:rPr>
          <w:rFonts w:ascii="Times New Roman" w:hAnsi="Times New Roman"/>
          <w:sz w:val="28"/>
          <w:szCs w:val="28"/>
          <w:lang w:val="uk-UA"/>
        </w:rPr>
      </w:pPr>
      <w:r w:rsidRPr="0094392D">
        <w:rPr>
          <w:rFonts w:ascii="Times New Roman" w:hAnsi="Times New Roman"/>
          <w:sz w:val="28"/>
          <w:szCs w:val="28"/>
          <w:lang w:val="uk-UA"/>
        </w:rPr>
        <w:t>Джерело: складено на основі даних [3]</w:t>
      </w:r>
    </w:p>
    <w:p w:rsidR="00EC1B3C" w:rsidRPr="0094392D" w:rsidRDefault="00EC1B3C" w:rsidP="004857D7">
      <w:pPr>
        <w:spacing w:after="0" w:line="360" w:lineRule="auto"/>
        <w:ind w:firstLine="709"/>
        <w:jc w:val="both"/>
        <w:rPr>
          <w:rFonts w:ascii="Times New Roman" w:hAnsi="Times New Roman"/>
          <w:sz w:val="28"/>
          <w:szCs w:val="28"/>
          <w:lang w:val="uk-UA"/>
        </w:rPr>
      </w:pPr>
      <w:r w:rsidRPr="0094392D">
        <w:rPr>
          <w:rFonts w:ascii="Times New Roman" w:hAnsi="Times New Roman"/>
          <w:sz w:val="28"/>
          <w:szCs w:val="28"/>
          <w:lang w:val="uk-UA"/>
        </w:rPr>
        <w:t xml:space="preserve">Згідно з Таблицею 3.2, Ізраїль та ОАЕ постачали прямі іноземні інвестиції в Україну впродовж 2018-2022 років, але не отримували інвестиції з України. Це означає, що країни є інвесторами в українську економіку. </w:t>
      </w:r>
    </w:p>
    <w:p w:rsidR="00EC1B3C" w:rsidRPr="0094392D" w:rsidRDefault="00EC1B3C" w:rsidP="00956F9F">
      <w:pPr>
        <w:spacing w:after="0" w:line="360" w:lineRule="auto"/>
        <w:ind w:firstLine="708"/>
        <w:jc w:val="both"/>
        <w:rPr>
          <w:rFonts w:ascii="Times New Roman" w:hAnsi="Times New Roman"/>
          <w:sz w:val="28"/>
          <w:szCs w:val="28"/>
          <w:lang w:val="uk-UA"/>
        </w:rPr>
      </w:pPr>
      <w:r w:rsidRPr="0094392D">
        <w:rPr>
          <w:rFonts w:ascii="Times New Roman" w:hAnsi="Times New Roman"/>
          <w:sz w:val="28"/>
          <w:szCs w:val="28"/>
          <w:lang w:val="uk-UA"/>
        </w:rPr>
        <w:t>У 2018-2021 роках значення прямих інвестицій Ізраїлю поступово зростали і досягнули максимального значення у 2021 році: 53,2 млн. дол. США. У 2022 році показники Ізраїлю різко впали до 39,3 млн. дол. США. У 2018-2019 роках показники постачання прямих інвестицій ОАЕ в Україну знизилися з 41,1 млн. дол. США до 35,5 млн. дол. США. У 2020-2022 роках відбувався поступовий зріст прямих інвестицій ОАЕ, в результаті якого показники досягнули максимальних значень у 2022 році і склали 46,3 млн. дол. США.</w:t>
      </w:r>
    </w:p>
    <w:p w:rsidR="00EC1B3C" w:rsidRPr="0094392D" w:rsidRDefault="00EC1B3C" w:rsidP="00956F9F">
      <w:pPr>
        <w:spacing w:after="0" w:line="360" w:lineRule="auto"/>
        <w:ind w:firstLine="708"/>
        <w:jc w:val="both"/>
        <w:rPr>
          <w:rFonts w:ascii="Times New Roman" w:hAnsi="Times New Roman"/>
          <w:sz w:val="28"/>
          <w:szCs w:val="28"/>
          <w:lang w:val="uk-UA"/>
        </w:rPr>
      </w:pPr>
      <w:r w:rsidRPr="0094392D">
        <w:rPr>
          <w:rFonts w:ascii="Times New Roman" w:hAnsi="Times New Roman"/>
          <w:sz w:val="28"/>
          <w:szCs w:val="28"/>
          <w:lang w:val="uk-UA"/>
        </w:rPr>
        <w:t>Отже, після проведеного аналізу зовнішньоекономічних операцій Ізраїлю та Об’єднаних Арабських Еміратів з Україною, можна дійти наступних висновків. Україна є важливим експортером товарів та послуг в економіки Ізраїлю та ОАЕ. Ізраїль імпортує та експортує значно більше товарів з України, ніж ОАЕ. В той самий час, Об’єднані Арабські Емірати мають вищі показники торгівлі послугами з Україною, ніж Ізраїль. Україна не інвестує в Ізраїль та ОАЕ. При цьому, обидві країни є значними інвесторами в українську економіку.</w:t>
      </w:r>
    </w:p>
    <w:p w:rsidR="00EC1B3C" w:rsidRPr="0094392D" w:rsidRDefault="00EC1B3C" w:rsidP="00282F75">
      <w:pPr>
        <w:spacing w:after="0" w:line="360" w:lineRule="auto"/>
        <w:ind w:firstLine="709"/>
        <w:jc w:val="both"/>
        <w:rPr>
          <w:rFonts w:ascii="Times New Roman" w:hAnsi="Times New Roman"/>
          <w:sz w:val="28"/>
          <w:szCs w:val="28"/>
          <w:lang w:val="uk-UA"/>
        </w:rPr>
      </w:pPr>
    </w:p>
    <w:p w:rsidR="00EC1B3C" w:rsidRPr="0094392D" w:rsidRDefault="00EC1B3C" w:rsidP="00282F75">
      <w:pPr>
        <w:spacing w:after="0" w:line="360" w:lineRule="auto"/>
        <w:ind w:firstLine="709"/>
        <w:jc w:val="both"/>
        <w:rPr>
          <w:rFonts w:ascii="Times New Roman" w:hAnsi="Times New Roman"/>
          <w:sz w:val="28"/>
          <w:szCs w:val="28"/>
          <w:lang w:val="uk-UA"/>
        </w:rPr>
      </w:pPr>
    </w:p>
    <w:p w:rsidR="00EC1B3C" w:rsidRPr="0094392D" w:rsidRDefault="00EC1B3C" w:rsidP="00282F75">
      <w:pPr>
        <w:spacing w:after="0" w:line="360" w:lineRule="auto"/>
        <w:ind w:firstLine="709"/>
        <w:jc w:val="both"/>
        <w:rPr>
          <w:rFonts w:ascii="Times New Roman" w:hAnsi="Times New Roman"/>
          <w:sz w:val="28"/>
          <w:szCs w:val="28"/>
          <w:lang w:val="uk-UA"/>
        </w:rPr>
      </w:pPr>
    </w:p>
    <w:p w:rsidR="00EC1B3C" w:rsidRPr="0094392D" w:rsidRDefault="00EC1B3C" w:rsidP="00282F75">
      <w:pPr>
        <w:spacing w:after="0" w:line="360" w:lineRule="auto"/>
        <w:ind w:firstLine="709"/>
        <w:jc w:val="both"/>
        <w:rPr>
          <w:rFonts w:ascii="Times New Roman" w:hAnsi="Times New Roman"/>
          <w:sz w:val="28"/>
          <w:szCs w:val="28"/>
          <w:lang w:val="uk-UA"/>
        </w:rPr>
      </w:pPr>
    </w:p>
    <w:p w:rsidR="00EC1B3C" w:rsidRPr="0094392D" w:rsidRDefault="00EC1B3C" w:rsidP="00282F75">
      <w:pPr>
        <w:spacing w:after="0" w:line="360" w:lineRule="auto"/>
        <w:ind w:firstLine="709"/>
        <w:jc w:val="both"/>
        <w:rPr>
          <w:rFonts w:ascii="Times New Roman" w:hAnsi="Times New Roman"/>
          <w:sz w:val="28"/>
          <w:szCs w:val="28"/>
          <w:lang w:val="uk-UA"/>
        </w:rPr>
      </w:pPr>
    </w:p>
    <w:p w:rsidR="00EC1B3C" w:rsidRPr="0094392D" w:rsidRDefault="00EC1B3C" w:rsidP="00282F75">
      <w:pPr>
        <w:spacing w:after="0" w:line="360" w:lineRule="auto"/>
        <w:ind w:firstLine="709"/>
        <w:jc w:val="both"/>
        <w:rPr>
          <w:rFonts w:ascii="Times New Roman" w:hAnsi="Times New Roman"/>
          <w:sz w:val="28"/>
          <w:szCs w:val="28"/>
          <w:lang w:val="uk-UA"/>
        </w:rPr>
      </w:pPr>
    </w:p>
    <w:p w:rsidR="00EC1B3C" w:rsidRPr="0094392D" w:rsidRDefault="00EC1B3C" w:rsidP="00282F75">
      <w:pPr>
        <w:spacing w:after="0" w:line="360" w:lineRule="auto"/>
        <w:ind w:firstLine="709"/>
        <w:jc w:val="both"/>
        <w:rPr>
          <w:rFonts w:ascii="Times New Roman" w:hAnsi="Times New Roman"/>
          <w:sz w:val="28"/>
          <w:szCs w:val="28"/>
          <w:lang w:val="uk-UA"/>
        </w:rPr>
      </w:pPr>
    </w:p>
    <w:p w:rsidR="00EC1B3C" w:rsidRPr="0094392D" w:rsidRDefault="00EC1B3C" w:rsidP="00282F75">
      <w:pPr>
        <w:spacing w:after="0" w:line="360" w:lineRule="auto"/>
        <w:ind w:firstLine="709"/>
        <w:jc w:val="both"/>
        <w:rPr>
          <w:rFonts w:ascii="Times New Roman" w:hAnsi="Times New Roman"/>
          <w:sz w:val="28"/>
          <w:szCs w:val="28"/>
          <w:lang w:val="uk-UA"/>
        </w:rPr>
      </w:pPr>
    </w:p>
    <w:p w:rsidR="00EC1B3C" w:rsidRPr="0094392D" w:rsidRDefault="00EC1B3C" w:rsidP="00282F75">
      <w:pPr>
        <w:spacing w:after="0" w:line="360" w:lineRule="auto"/>
        <w:ind w:firstLine="709"/>
        <w:jc w:val="both"/>
        <w:rPr>
          <w:rFonts w:ascii="Times New Roman" w:hAnsi="Times New Roman"/>
          <w:sz w:val="28"/>
          <w:szCs w:val="28"/>
          <w:lang w:val="uk-UA"/>
        </w:rPr>
      </w:pPr>
    </w:p>
    <w:p w:rsidR="00EC1B3C" w:rsidRPr="0094392D" w:rsidRDefault="00EC1B3C" w:rsidP="00282F75">
      <w:pPr>
        <w:spacing w:after="0" w:line="360" w:lineRule="auto"/>
        <w:ind w:firstLine="709"/>
        <w:jc w:val="both"/>
        <w:rPr>
          <w:rFonts w:ascii="Times New Roman" w:hAnsi="Times New Roman"/>
          <w:sz w:val="28"/>
          <w:szCs w:val="28"/>
          <w:lang w:val="uk-UA"/>
        </w:rPr>
      </w:pPr>
    </w:p>
    <w:p w:rsidR="00EC1B3C" w:rsidRPr="0094392D" w:rsidRDefault="00EC1B3C" w:rsidP="00071816">
      <w:pPr>
        <w:spacing w:after="0" w:line="360" w:lineRule="auto"/>
        <w:jc w:val="both"/>
        <w:rPr>
          <w:rFonts w:ascii="Times New Roman" w:hAnsi="Times New Roman"/>
          <w:sz w:val="28"/>
          <w:szCs w:val="28"/>
          <w:lang w:val="uk-UA"/>
        </w:rPr>
      </w:pPr>
    </w:p>
    <w:p w:rsidR="00EC1B3C" w:rsidRPr="0094392D" w:rsidRDefault="00EC1B3C" w:rsidP="00071816">
      <w:pPr>
        <w:spacing w:after="0" w:line="360" w:lineRule="auto"/>
        <w:jc w:val="both"/>
        <w:rPr>
          <w:rFonts w:ascii="Times New Roman" w:hAnsi="Times New Roman"/>
          <w:sz w:val="28"/>
          <w:szCs w:val="28"/>
          <w:lang w:val="uk-UA"/>
        </w:rPr>
      </w:pPr>
    </w:p>
    <w:p w:rsidR="00EC1B3C" w:rsidRPr="0094392D" w:rsidRDefault="00EC1B3C" w:rsidP="00071816">
      <w:pPr>
        <w:spacing w:after="0" w:line="360" w:lineRule="auto"/>
        <w:jc w:val="both"/>
        <w:rPr>
          <w:rFonts w:ascii="Times New Roman" w:hAnsi="Times New Roman"/>
          <w:sz w:val="28"/>
          <w:szCs w:val="28"/>
          <w:lang w:val="uk-UA"/>
        </w:rPr>
      </w:pPr>
    </w:p>
    <w:p w:rsidR="00EC1B3C" w:rsidRPr="0094392D" w:rsidRDefault="00EC1B3C" w:rsidP="00071816">
      <w:pPr>
        <w:spacing w:after="0" w:line="360" w:lineRule="auto"/>
        <w:jc w:val="both"/>
        <w:rPr>
          <w:rFonts w:ascii="Times New Roman" w:hAnsi="Times New Roman"/>
          <w:sz w:val="28"/>
          <w:szCs w:val="28"/>
          <w:lang w:val="uk-UA"/>
        </w:rPr>
      </w:pPr>
    </w:p>
    <w:p w:rsidR="00EC1B3C" w:rsidRPr="0094392D" w:rsidRDefault="00EC1B3C" w:rsidP="00071816">
      <w:pPr>
        <w:spacing w:after="0" w:line="360" w:lineRule="auto"/>
        <w:jc w:val="both"/>
        <w:rPr>
          <w:rFonts w:ascii="Times New Roman" w:hAnsi="Times New Roman"/>
          <w:sz w:val="28"/>
          <w:szCs w:val="28"/>
          <w:lang w:val="uk-UA"/>
        </w:rPr>
      </w:pPr>
    </w:p>
    <w:p w:rsidR="00EC1B3C" w:rsidRPr="0094392D" w:rsidRDefault="00EC1B3C" w:rsidP="00071816">
      <w:pPr>
        <w:spacing w:after="0" w:line="360" w:lineRule="auto"/>
        <w:jc w:val="both"/>
        <w:rPr>
          <w:rFonts w:ascii="Times New Roman" w:hAnsi="Times New Roman"/>
          <w:sz w:val="28"/>
          <w:szCs w:val="28"/>
          <w:lang w:val="uk-UA"/>
        </w:rPr>
      </w:pPr>
    </w:p>
    <w:p w:rsidR="00EC1B3C" w:rsidRPr="0094392D" w:rsidRDefault="00EC1B3C" w:rsidP="00071816">
      <w:pPr>
        <w:spacing w:after="0" w:line="360" w:lineRule="auto"/>
        <w:jc w:val="both"/>
        <w:rPr>
          <w:rFonts w:ascii="Times New Roman" w:hAnsi="Times New Roman"/>
          <w:sz w:val="28"/>
          <w:szCs w:val="28"/>
          <w:lang w:val="uk-UA"/>
        </w:rPr>
      </w:pPr>
    </w:p>
    <w:p w:rsidR="00EC1B3C" w:rsidRPr="0094392D" w:rsidRDefault="00EC1B3C" w:rsidP="00071816">
      <w:pPr>
        <w:spacing w:after="0" w:line="360" w:lineRule="auto"/>
        <w:jc w:val="both"/>
        <w:rPr>
          <w:rFonts w:ascii="Times New Roman" w:hAnsi="Times New Roman"/>
          <w:sz w:val="28"/>
          <w:szCs w:val="28"/>
          <w:lang w:val="uk-UA"/>
        </w:rPr>
      </w:pPr>
    </w:p>
    <w:p w:rsidR="00EC1B3C" w:rsidRPr="0094392D" w:rsidRDefault="00EC1B3C" w:rsidP="00071816">
      <w:pPr>
        <w:spacing w:after="0" w:line="360" w:lineRule="auto"/>
        <w:jc w:val="both"/>
        <w:rPr>
          <w:rFonts w:ascii="Times New Roman" w:hAnsi="Times New Roman"/>
          <w:sz w:val="28"/>
          <w:szCs w:val="28"/>
          <w:lang w:val="uk-UA"/>
        </w:rPr>
      </w:pPr>
    </w:p>
    <w:p w:rsidR="00EC1B3C" w:rsidRPr="0094392D" w:rsidRDefault="00EC1B3C" w:rsidP="00071816">
      <w:pPr>
        <w:spacing w:after="0" w:line="360" w:lineRule="auto"/>
        <w:jc w:val="both"/>
        <w:rPr>
          <w:rFonts w:ascii="Times New Roman" w:hAnsi="Times New Roman"/>
          <w:sz w:val="28"/>
          <w:szCs w:val="28"/>
          <w:lang w:val="uk-UA"/>
        </w:rPr>
      </w:pPr>
    </w:p>
    <w:p w:rsidR="00EC1B3C" w:rsidRPr="0094392D" w:rsidRDefault="00EC1B3C" w:rsidP="00F93BF1">
      <w:pPr>
        <w:spacing w:after="0" w:line="360" w:lineRule="auto"/>
        <w:jc w:val="center"/>
        <w:rPr>
          <w:rFonts w:ascii="Times New Roman" w:hAnsi="Times New Roman"/>
          <w:b/>
          <w:sz w:val="28"/>
          <w:szCs w:val="28"/>
          <w:lang w:val="uk-UA"/>
        </w:rPr>
      </w:pPr>
      <w:r w:rsidRPr="0094392D">
        <w:rPr>
          <w:rFonts w:ascii="Times New Roman" w:hAnsi="Times New Roman"/>
          <w:b/>
          <w:sz w:val="28"/>
          <w:szCs w:val="28"/>
          <w:lang w:val="uk-UA"/>
        </w:rPr>
        <w:t>ВИСНОВКИ</w:t>
      </w:r>
    </w:p>
    <w:p w:rsidR="00EC1B3C" w:rsidRPr="0094392D" w:rsidRDefault="00EC1B3C" w:rsidP="0020273B">
      <w:pPr>
        <w:spacing w:after="0" w:line="360" w:lineRule="auto"/>
        <w:rPr>
          <w:rFonts w:ascii="Times New Roman" w:hAnsi="Times New Roman"/>
          <w:sz w:val="28"/>
          <w:szCs w:val="28"/>
          <w:lang w:val="uk-UA"/>
        </w:rPr>
      </w:pPr>
    </w:p>
    <w:p w:rsidR="00EC1B3C" w:rsidRPr="0094392D" w:rsidRDefault="00EC1B3C" w:rsidP="00EE3524">
      <w:pPr>
        <w:spacing w:after="0" w:line="360" w:lineRule="auto"/>
        <w:ind w:firstLine="709"/>
        <w:jc w:val="both"/>
        <w:rPr>
          <w:rFonts w:ascii="Times New Roman" w:hAnsi="Times New Roman"/>
          <w:sz w:val="28"/>
          <w:lang w:val="uk-UA"/>
        </w:rPr>
      </w:pPr>
      <w:r w:rsidRPr="0094392D">
        <w:rPr>
          <w:rFonts w:ascii="Times New Roman" w:hAnsi="Times New Roman"/>
          <w:sz w:val="28"/>
          <w:szCs w:val="28"/>
          <w:lang w:val="uk-UA"/>
        </w:rPr>
        <w:t xml:space="preserve">На основі отриманих у </w:t>
      </w:r>
      <w:r>
        <w:rPr>
          <w:rFonts w:ascii="Times New Roman" w:hAnsi="Times New Roman"/>
          <w:sz w:val="28"/>
          <w:szCs w:val="28"/>
          <w:lang w:val="uk-UA"/>
        </w:rPr>
        <w:t>дипломній</w:t>
      </w:r>
      <w:r w:rsidRPr="0094392D">
        <w:rPr>
          <w:rFonts w:ascii="Times New Roman" w:hAnsi="Times New Roman"/>
          <w:sz w:val="28"/>
          <w:szCs w:val="28"/>
          <w:lang w:val="uk-UA"/>
        </w:rPr>
        <w:t xml:space="preserve"> роботі даних можна зробити наступні висновки. У першому розділі було проаналізовано низку наукових досліджень, пов’язаних із зовнішньоекономічними операціями Ізраїлю та ОАЕ. Проаналізувавшидані статті, можна зазначити, що</w:t>
      </w:r>
      <w:r w:rsidRPr="0094392D">
        <w:rPr>
          <w:rFonts w:ascii="Times New Roman" w:hAnsi="Times New Roman"/>
          <w:sz w:val="28"/>
          <w:lang w:val="uk-UA"/>
        </w:rPr>
        <w:t>зовнішня торгівля Об’єднаних Арабських Еміратів продемонструвала стрімкий зріст у 2022 році, в порівняні з 2021 роком. Така динаміка обумовлена розвитком секторів туризму та нерухомості, в наслідок чого уряд Об’єднаних Арабських Еміратів продовжить забезпечувати найкраще бізнес-середовище для іноземних інвесторів та резидентів країни.</w:t>
      </w:r>
    </w:p>
    <w:p w:rsidR="00EC1B3C" w:rsidRPr="0094392D" w:rsidRDefault="00EC1B3C" w:rsidP="00EE3524">
      <w:pPr>
        <w:spacing w:after="0" w:line="360" w:lineRule="auto"/>
        <w:ind w:firstLine="709"/>
        <w:jc w:val="both"/>
        <w:rPr>
          <w:rFonts w:ascii="Times New Roman" w:hAnsi="Times New Roman"/>
          <w:sz w:val="28"/>
          <w:lang w:val="uk-UA"/>
        </w:rPr>
      </w:pPr>
      <w:r w:rsidRPr="0094392D">
        <w:rPr>
          <w:rFonts w:ascii="Times New Roman" w:hAnsi="Times New Roman"/>
          <w:sz w:val="28"/>
          <w:lang w:val="uk-UA"/>
        </w:rPr>
        <w:t xml:space="preserve">Об’єднані Арабські Емірати стали лідером у світі за річним експортом нафти у 2019 році, випередивши Саудівську Аравію. Наступного року ситуація змінилася, і ОАЕ опустилися на шосте місце за рівнем експорту нафтової продукції. Згідно з дослідженнями 2022-го року, Об’єднані Арабські Емірати мають сьомі за величиною запаси нафти у світі, що означає, що на даний момент економіка країни найменше залежить від видобутку нафти, ніж колись. </w:t>
      </w:r>
    </w:p>
    <w:p w:rsidR="00EC1B3C" w:rsidRPr="0094392D" w:rsidRDefault="00EC1B3C" w:rsidP="00EE3524">
      <w:pPr>
        <w:spacing w:after="0" w:line="360" w:lineRule="auto"/>
        <w:ind w:firstLine="709"/>
        <w:jc w:val="both"/>
        <w:rPr>
          <w:rFonts w:ascii="Times New Roman" w:hAnsi="Times New Roman"/>
          <w:sz w:val="28"/>
          <w:lang w:val="uk-UA"/>
        </w:rPr>
      </w:pPr>
      <w:r w:rsidRPr="0094392D">
        <w:rPr>
          <w:rFonts w:ascii="Times New Roman" w:hAnsi="Times New Roman"/>
          <w:sz w:val="28"/>
          <w:lang w:val="uk-UA"/>
        </w:rPr>
        <w:t xml:space="preserve">ОАЕ прагнуть нормалізувати та розвинути економічні та торгівельні відносини з Ізраїлем, не зважаючи на ризики для Еміратів, для залучення та утримання висококваліфікованих працівників з Ізраїлю. Заради досягнення даної мети, у 2021 році ОАЕ провели ряд реформ, в тому числі реформу візового режиму та іноземної власності. Дані дії позитивно вплинуть на економіку Ізраїлю завдяки залученню інвестицій ОАЕ до ізраїльських компаній, що розташовані на території Об’єднаних Арабських Еміратів.  </w:t>
      </w:r>
    </w:p>
    <w:p w:rsidR="00EC1B3C" w:rsidRPr="0094392D" w:rsidRDefault="00EC1B3C" w:rsidP="00EE3524">
      <w:pPr>
        <w:spacing w:after="0" w:line="360" w:lineRule="auto"/>
        <w:ind w:firstLine="709"/>
        <w:jc w:val="both"/>
        <w:rPr>
          <w:rFonts w:ascii="Times New Roman" w:hAnsi="Times New Roman"/>
          <w:sz w:val="28"/>
          <w:lang w:val="uk-UA"/>
        </w:rPr>
      </w:pPr>
      <w:r w:rsidRPr="0094392D">
        <w:rPr>
          <w:rFonts w:ascii="Times New Roman" w:hAnsi="Times New Roman"/>
          <w:sz w:val="28"/>
          <w:lang w:val="uk-UA"/>
        </w:rPr>
        <w:t xml:space="preserve">Ізраїль має міцні економічні та торгівельні відносини з США, що базуються на щорічній двосторонній торгівлі, а також на угоді про вільну торгівлю, підписаній у 1985 році. У майбутньому Сполучені Штати та Ізраїль планують розвивати партнерство щодо нових технологій для вирішення глобальних проблем. ОАЕ також мають стабільні  економічні відносини з США, являючись найбільшим експортним ринком Сполучених Штатів. Багато американських компаній використовують ОАЕ як регіональну штаб-квартиру, з якої ведуть бізнес на Близькому Сході, у Північній Африці та деяких частинах Азії. </w:t>
      </w:r>
    </w:p>
    <w:p w:rsidR="00EC1B3C" w:rsidRPr="0094392D" w:rsidRDefault="00EC1B3C" w:rsidP="00EE3524">
      <w:pPr>
        <w:spacing w:after="0" w:line="360" w:lineRule="auto"/>
        <w:ind w:firstLine="709"/>
        <w:jc w:val="both"/>
        <w:rPr>
          <w:rFonts w:ascii="Times New Roman" w:hAnsi="Times New Roman"/>
          <w:sz w:val="28"/>
          <w:lang w:val="uk-UA"/>
        </w:rPr>
      </w:pPr>
      <w:r w:rsidRPr="0094392D">
        <w:rPr>
          <w:rFonts w:ascii="Times New Roman" w:hAnsi="Times New Roman"/>
          <w:sz w:val="28"/>
          <w:lang w:val="uk-UA"/>
        </w:rPr>
        <w:t xml:space="preserve">Згідно з дослідженнями, у 2021 році ОАЕ були найбільшим експортером органічних хімікатів, солі, сірки, каменю, цементу, алюмінію, електричних машин та обладнання у всьому світі. </w:t>
      </w:r>
    </w:p>
    <w:p w:rsidR="00EC1B3C" w:rsidRPr="0094392D" w:rsidRDefault="00EC1B3C" w:rsidP="00EE3524">
      <w:pPr>
        <w:spacing w:after="0" w:line="360" w:lineRule="auto"/>
        <w:ind w:firstLine="709"/>
        <w:jc w:val="both"/>
        <w:rPr>
          <w:rFonts w:ascii="Times New Roman" w:hAnsi="Times New Roman"/>
          <w:sz w:val="28"/>
          <w:lang w:val="uk-UA"/>
        </w:rPr>
      </w:pPr>
      <w:r w:rsidRPr="0094392D">
        <w:rPr>
          <w:rFonts w:ascii="Times New Roman" w:hAnsi="Times New Roman"/>
          <w:sz w:val="28"/>
          <w:lang w:val="uk-UA"/>
        </w:rPr>
        <w:t xml:space="preserve">ОАЕ планують активно розвивати економічні відносини з Україною у 2023 році шляхом розширення економічного та інвестиційного співробітництва, посилення товарообігу, запровадження санкцій проти рф. Спільною метою сторін є розширення взаємовигідної співпраці у багатьох галузях економіки, зокрема, шляхом укладання Угоди про всеосяжне економічне партнерство. </w:t>
      </w:r>
    </w:p>
    <w:p w:rsidR="00EC1B3C" w:rsidRPr="0094392D" w:rsidRDefault="00EC1B3C" w:rsidP="00EE3524">
      <w:pPr>
        <w:spacing w:after="0" w:line="360" w:lineRule="auto"/>
        <w:ind w:firstLine="709"/>
        <w:jc w:val="both"/>
        <w:rPr>
          <w:rFonts w:ascii="Times New Roman" w:hAnsi="Times New Roman"/>
          <w:sz w:val="28"/>
          <w:lang w:val="uk-UA"/>
        </w:rPr>
      </w:pPr>
      <w:r w:rsidRPr="0094392D">
        <w:rPr>
          <w:rFonts w:ascii="Times New Roman" w:hAnsi="Times New Roman"/>
          <w:sz w:val="28"/>
          <w:lang w:val="uk-UA"/>
        </w:rPr>
        <w:t xml:space="preserve">Ізраїль бере активну участь в економічному співробітництві з Європою, так як Європа є одним з найбільших та найважливіших ринків Ізраїлю для експорту та імпорту, не зважаючи на політичні розбіжності сторін. </w:t>
      </w:r>
    </w:p>
    <w:p w:rsidR="00EC1B3C" w:rsidRPr="0094392D" w:rsidRDefault="00EC1B3C" w:rsidP="00EE3524">
      <w:pPr>
        <w:spacing w:after="0" w:line="360" w:lineRule="auto"/>
        <w:jc w:val="both"/>
        <w:rPr>
          <w:rFonts w:ascii="Times New Roman" w:hAnsi="Times New Roman"/>
          <w:sz w:val="28"/>
          <w:lang w:val="uk-UA"/>
        </w:rPr>
      </w:pPr>
      <w:r w:rsidRPr="0094392D">
        <w:rPr>
          <w:rFonts w:ascii="Times New Roman" w:hAnsi="Times New Roman"/>
          <w:sz w:val="28"/>
          <w:lang w:val="uk-UA"/>
        </w:rPr>
        <w:tab/>
        <w:t xml:space="preserve">Серед торгівельних партнерів Ізраїлю, що спричиняють найбільший торгівельний дефіцит країні, ізраїльський дефіцит з В’єтнамом, Японією та Китаєм зростав найшвидшими темпами з 2020 по 2021 рік. Дані показники вказують на недоліки конкурентоспроможності Ізраїлю, але також представляють можливості для Ізраїлю розробити стратегії для зміцнення своєї позиції в міжнародній торгівлі. </w:t>
      </w:r>
    </w:p>
    <w:p w:rsidR="00EC1B3C" w:rsidRPr="0094392D" w:rsidRDefault="00EC1B3C" w:rsidP="00D14C82">
      <w:pPr>
        <w:spacing w:after="0" w:line="360" w:lineRule="auto"/>
        <w:ind w:firstLine="709"/>
        <w:jc w:val="both"/>
        <w:rPr>
          <w:rFonts w:ascii="Times New Roman" w:hAnsi="Times New Roman"/>
          <w:sz w:val="28"/>
          <w:szCs w:val="28"/>
          <w:lang w:val="uk-UA"/>
        </w:rPr>
      </w:pPr>
      <w:r w:rsidRPr="0094392D">
        <w:rPr>
          <w:rFonts w:ascii="Times New Roman" w:hAnsi="Times New Roman"/>
          <w:sz w:val="28"/>
          <w:lang w:val="uk-UA"/>
        </w:rPr>
        <w:t xml:space="preserve">У другому розділі було проведено порівняльний аналіз основних складових зовнішньоекономічних операцій Ізраїлю та ОАЕ. В першому підрозділі другого розділу було проаналізовано поточні рахунки Ізраїлю та ОАЕ. Спираючись на проведенні дослідження, можна зазначити, що </w:t>
      </w:r>
      <w:r w:rsidRPr="0094392D">
        <w:rPr>
          <w:rFonts w:ascii="Times New Roman" w:hAnsi="Times New Roman"/>
          <w:sz w:val="28"/>
          <w:szCs w:val="28"/>
          <w:lang w:val="uk-UA"/>
        </w:rPr>
        <w:t>рахунок поточних операцій ОАЕ значно перевищував значення рахунку Ізраїлю протягом 2018-2022 років. Об’єднані Арабські Емірати є країною-експортером товарів, а Ізраїль в свою чергу більше імпортує товарів, ніж експортує. Ізраїль більше експортує послуг, ніж імпортує, на відміну від ОАЕ. В Об’єднаних Арабських Еміратах та Ізраїлі значення первинних доходів були негативними переважну кількість часу, що свідчить про переважання витрат над надходженнями. В порівнянні з показниками ОАЕ, баланс вторинних доходів Ізраїлю був вищим та мав позитивні значення, тобто надходження до країни з-за кордону були вищими за виплати.</w:t>
      </w:r>
    </w:p>
    <w:p w:rsidR="00EC1B3C" w:rsidRPr="0094392D" w:rsidRDefault="00EC1B3C" w:rsidP="00D14C82">
      <w:pPr>
        <w:spacing w:after="0" w:line="360" w:lineRule="auto"/>
        <w:ind w:firstLine="709"/>
        <w:jc w:val="both"/>
        <w:rPr>
          <w:rFonts w:ascii="Times New Roman" w:hAnsi="Times New Roman"/>
          <w:sz w:val="28"/>
          <w:szCs w:val="28"/>
          <w:lang w:val="uk-UA"/>
        </w:rPr>
      </w:pPr>
      <w:r w:rsidRPr="0094392D">
        <w:rPr>
          <w:rFonts w:ascii="Times New Roman" w:hAnsi="Times New Roman"/>
          <w:sz w:val="28"/>
          <w:szCs w:val="28"/>
          <w:lang w:val="uk-UA"/>
        </w:rPr>
        <w:t xml:space="preserve">В наступному, другому підрозділі другого розділу було проведено порівняльний аналіз фінансових рахунків Ізраїлю та ОАЕ. За результатами аналізу можна зазначити, що Об’єднані Арабські Емірати мали значно вищі показники прямих іноземних інвестицій та портфельних інвестицій, ніж Ізраїль, що свідчить про те, що країна є активним інвестором у світову економіку. На відміну від показників прямих та портфельних інвестицій, значення балансу інших інвестицій Ізраїлю перевищували сальдо ОАЕ впродовж останніх п’яти років. Значення резервних активів Ізраїлю були також вищими за показники Об’єднаних Арабських Еміратів протягом 2018-2022 років. </w:t>
      </w:r>
    </w:p>
    <w:p w:rsidR="00EC1B3C" w:rsidRPr="0094392D" w:rsidRDefault="00EC1B3C" w:rsidP="00D14C82">
      <w:pPr>
        <w:spacing w:after="0" w:line="360" w:lineRule="auto"/>
        <w:ind w:firstLine="709"/>
        <w:jc w:val="both"/>
        <w:rPr>
          <w:rFonts w:ascii="Times New Roman" w:hAnsi="Times New Roman"/>
          <w:sz w:val="28"/>
          <w:szCs w:val="28"/>
          <w:lang w:val="uk-UA"/>
        </w:rPr>
      </w:pPr>
      <w:r w:rsidRPr="0094392D">
        <w:rPr>
          <w:rFonts w:ascii="Times New Roman" w:hAnsi="Times New Roman"/>
          <w:sz w:val="28"/>
          <w:szCs w:val="28"/>
          <w:lang w:val="uk-UA"/>
        </w:rPr>
        <w:t>Наступним кроком аналізу була побудова порівняльного регресійного аналізу Ізраїлю та ОАЕ. Згідно з моделями, значення відсоткової ставки та активів прямих інвестицій Ізраїлю мають найбільший вплив на динаміку доходів від інвестицій країни. В той самий час, незалежні змінні валютного курсу та видатків державного бюджету виявилися не значущими. На відміну від Ізраїлю, значення видатків державного бюджету ОАЕ мають найбільший вплив на зміни доходів від інвестицій.</w:t>
      </w:r>
    </w:p>
    <w:p w:rsidR="00EC1B3C" w:rsidRPr="0094392D" w:rsidRDefault="00EC1B3C" w:rsidP="00D14C82">
      <w:pPr>
        <w:spacing w:after="0" w:line="360" w:lineRule="auto"/>
        <w:ind w:firstLine="709"/>
        <w:jc w:val="both"/>
        <w:rPr>
          <w:rFonts w:ascii="Times New Roman" w:hAnsi="Times New Roman"/>
          <w:sz w:val="28"/>
          <w:szCs w:val="28"/>
          <w:lang w:val="uk-UA"/>
        </w:rPr>
      </w:pPr>
      <w:r w:rsidRPr="0094392D">
        <w:rPr>
          <w:rFonts w:ascii="Times New Roman" w:hAnsi="Times New Roman"/>
          <w:sz w:val="28"/>
          <w:szCs w:val="28"/>
          <w:lang w:val="uk-UA"/>
        </w:rPr>
        <w:t>Проаналізувавши операції CarryTrade з державними облігаціями Ізраїлю та Об’єднаних Арабських Еміратів та облігаціями України в четвертому підрозділі другого розділу, можна зробити наступні висновки. Після погашення ізраїльських облігацій та віддання кредиту зі ставкою кредитування 2,75% валюти фондування – данської крони – дохідність операції показала чисті збитки. На відміну від операцій з державними облігаціями Ізраїлю, отримані показники дохідності операції з облігаціями Еміратів продемонстрували чистий прибуток, що свідчить про більшу вигідність вкладання в облігації ОАЕ. В порівнянні з даними Ізраїлю та ОАЕ, операції з облігаціями України показали найбільший рівень прибутковості.</w:t>
      </w:r>
    </w:p>
    <w:p w:rsidR="00EC1B3C" w:rsidRPr="0094392D" w:rsidRDefault="00EC1B3C" w:rsidP="00670DEB">
      <w:pPr>
        <w:spacing w:after="0" w:line="360" w:lineRule="auto"/>
        <w:ind w:firstLine="708"/>
        <w:jc w:val="both"/>
        <w:rPr>
          <w:rFonts w:ascii="Times New Roman" w:hAnsi="Times New Roman"/>
          <w:sz w:val="28"/>
          <w:szCs w:val="28"/>
          <w:lang w:val="uk-UA"/>
        </w:rPr>
      </w:pPr>
      <w:r w:rsidRPr="0094392D">
        <w:rPr>
          <w:rFonts w:ascii="Times New Roman" w:hAnsi="Times New Roman"/>
          <w:sz w:val="28"/>
          <w:szCs w:val="28"/>
          <w:lang w:val="uk-UA"/>
        </w:rPr>
        <w:t xml:space="preserve">В третьому розділі </w:t>
      </w:r>
      <w:r>
        <w:rPr>
          <w:rFonts w:ascii="Times New Roman" w:hAnsi="Times New Roman"/>
          <w:sz w:val="28"/>
          <w:szCs w:val="28"/>
          <w:lang w:val="uk-UA"/>
        </w:rPr>
        <w:t>дипломної</w:t>
      </w:r>
      <w:r w:rsidRPr="0094392D">
        <w:rPr>
          <w:rFonts w:ascii="Times New Roman" w:hAnsi="Times New Roman"/>
          <w:sz w:val="28"/>
          <w:szCs w:val="28"/>
          <w:lang w:val="uk-UA"/>
        </w:rPr>
        <w:t xml:space="preserve"> роботи був проведений аналіз особливостей зовнішньоекономічних операцій Ізраїлю та Об’єднаних Арабських Еміратів з Україною. Після проведеного аналізу, можна дійти наступних висновків. Україна є важливим експортером товарів та послуг в економіки Ізраїлю та ОАЕ. Ізраїль імпортує та експортує значно більше товарів з України, ніж ОАЕ. В той самий час, Об’єднані Арабські Емірати мають вищі показники торгівлі послугами з Україною, ніж Ізраїль. Україна не інвестує в Ізраїль та ОАЕ. При цьому, обидві країни є значними інвесторами в українську економіку. </w:t>
      </w:r>
    </w:p>
    <w:p w:rsidR="00EC1B3C" w:rsidRPr="0094392D" w:rsidRDefault="00EC1B3C" w:rsidP="00D14C82">
      <w:pPr>
        <w:spacing w:after="0" w:line="360" w:lineRule="auto"/>
        <w:ind w:firstLine="709"/>
        <w:jc w:val="both"/>
        <w:rPr>
          <w:rFonts w:ascii="Times New Roman" w:hAnsi="Times New Roman"/>
          <w:sz w:val="28"/>
          <w:szCs w:val="28"/>
          <w:lang w:val="uk-UA"/>
        </w:rPr>
      </w:pPr>
    </w:p>
    <w:p w:rsidR="00EC1B3C" w:rsidRPr="0094392D" w:rsidRDefault="00EC1B3C" w:rsidP="00570424">
      <w:pPr>
        <w:spacing w:after="0" w:line="360" w:lineRule="auto"/>
        <w:rPr>
          <w:rFonts w:ascii="Times New Roman" w:hAnsi="Times New Roman"/>
          <w:b/>
          <w:sz w:val="28"/>
          <w:szCs w:val="28"/>
          <w:lang w:val="uk-UA"/>
        </w:rPr>
      </w:pPr>
    </w:p>
    <w:p w:rsidR="00EC1B3C" w:rsidRPr="0094392D" w:rsidRDefault="00EC1B3C" w:rsidP="00402189">
      <w:pPr>
        <w:spacing w:after="0" w:line="360" w:lineRule="auto"/>
        <w:rPr>
          <w:rFonts w:ascii="Times New Roman" w:hAnsi="Times New Roman"/>
          <w:b/>
          <w:sz w:val="28"/>
          <w:szCs w:val="28"/>
          <w:lang w:val="uk-UA"/>
        </w:rPr>
      </w:pPr>
    </w:p>
    <w:p w:rsidR="00EC1B3C" w:rsidRPr="0094392D" w:rsidRDefault="00EC1B3C" w:rsidP="00402189">
      <w:pPr>
        <w:spacing w:after="0" w:line="360" w:lineRule="auto"/>
        <w:rPr>
          <w:rFonts w:ascii="Times New Roman" w:hAnsi="Times New Roman"/>
          <w:b/>
          <w:sz w:val="28"/>
          <w:szCs w:val="28"/>
          <w:lang w:val="uk-UA"/>
        </w:rPr>
      </w:pPr>
    </w:p>
    <w:p w:rsidR="00EC1B3C" w:rsidRPr="0094392D" w:rsidRDefault="00EC1B3C" w:rsidP="00402189">
      <w:pPr>
        <w:spacing w:after="0" w:line="360" w:lineRule="auto"/>
        <w:rPr>
          <w:rFonts w:ascii="Times New Roman" w:hAnsi="Times New Roman"/>
          <w:b/>
          <w:sz w:val="28"/>
          <w:szCs w:val="28"/>
          <w:lang w:val="uk-UA"/>
        </w:rPr>
      </w:pPr>
    </w:p>
    <w:p w:rsidR="00EC1B3C" w:rsidRPr="0094392D" w:rsidRDefault="00EC1B3C" w:rsidP="00402189">
      <w:pPr>
        <w:spacing w:after="0" w:line="360" w:lineRule="auto"/>
        <w:rPr>
          <w:rFonts w:ascii="Times New Roman" w:hAnsi="Times New Roman"/>
          <w:b/>
          <w:sz w:val="28"/>
          <w:szCs w:val="28"/>
          <w:lang w:val="uk-UA"/>
        </w:rPr>
      </w:pPr>
    </w:p>
    <w:p w:rsidR="00EC1B3C" w:rsidRPr="0094392D" w:rsidRDefault="00EC1B3C" w:rsidP="00402189">
      <w:pPr>
        <w:spacing w:after="0" w:line="360" w:lineRule="auto"/>
        <w:rPr>
          <w:rFonts w:ascii="Times New Roman" w:hAnsi="Times New Roman"/>
          <w:b/>
          <w:sz w:val="28"/>
          <w:szCs w:val="28"/>
          <w:lang w:val="uk-UA"/>
        </w:rPr>
      </w:pPr>
    </w:p>
    <w:p w:rsidR="00EC1B3C" w:rsidRPr="0094392D" w:rsidRDefault="00EC1B3C" w:rsidP="00402189">
      <w:pPr>
        <w:spacing w:after="0" w:line="360" w:lineRule="auto"/>
        <w:rPr>
          <w:rFonts w:ascii="Times New Roman" w:hAnsi="Times New Roman"/>
          <w:b/>
          <w:sz w:val="28"/>
          <w:szCs w:val="28"/>
          <w:lang w:val="uk-UA"/>
        </w:rPr>
      </w:pPr>
    </w:p>
    <w:p w:rsidR="00EC1B3C" w:rsidRPr="0094392D" w:rsidRDefault="00EC1B3C" w:rsidP="00402189">
      <w:pPr>
        <w:spacing w:after="0" w:line="360" w:lineRule="auto"/>
        <w:rPr>
          <w:rFonts w:ascii="Times New Roman" w:hAnsi="Times New Roman"/>
          <w:b/>
          <w:sz w:val="28"/>
          <w:szCs w:val="28"/>
          <w:lang w:val="uk-UA"/>
        </w:rPr>
      </w:pPr>
    </w:p>
    <w:p w:rsidR="00EC1B3C" w:rsidRPr="0094392D" w:rsidRDefault="00EC1B3C" w:rsidP="00402189">
      <w:pPr>
        <w:spacing w:after="0" w:line="360" w:lineRule="auto"/>
        <w:rPr>
          <w:rFonts w:ascii="Times New Roman" w:hAnsi="Times New Roman"/>
          <w:b/>
          <w:sz w:val="28"/>
          <w:szCs w:val="28"/>
          <w:lang w:val="uk-UA"/>
        </w:rPr>
      </w:pPr>
    </w:p>
    <w:p w:rsidR="00EC1B3C" w:rsidRPr="0094392D" w:rsidRDefault="00EC1B3C" w:rsidP="00402189">
      <w:pPr>
        <w:spacing w:after="0" w:line="360" w:lineRule="auto"/>
        <w:rPr>
          <w:rFonts w:ascii="Times New Roman" w:hAnsi="Times New Roman"/>
          <w:b/>
          <w:sz w:val="28"/>
          <w:szCs w:val="28"/>
          <w:lang w:val="uk-UA"/>
        </w:rPr>
      </w:pPr>
    </w:p>
    <w:p w:rsidR="00EC1B3C" w:rsidRPr="0094392D" w:rsidRDefault="00EC1B3C" w:rsidP="00402189">
      <w:pPr>
        <w:spacing w:after="0" w:line="360" w:lineRule="auto"/>
        <w:rPr>
          <w:rFonts w:ascii="Times New Roman" w:hAnsi="Times New Roman"/>
          <w:b/>
          <w:sz w:val="28"/>
          <w:szCs w:val="28"/>
          <w:lang w:val="uk-UA"/>
        </w:rPr>
      </w:pPr>
    </w:p>
    <w:p w:rsidR="00EC1B3C" w:rsidRPr="0094392D" w:rsidRDefault="00EC1B3C" w:rsidP="00402189">
      <w:pPr>
        <w:spacing w:after="0" w:line="360" w:lineRule="auto"/>
        <w:rPr>
          <w:rFonts w:ascii="Times New Roman" w:hAnsi="Times New Roman"/>
          <w:b/>
          <w:sz w:val="28"/>
          <w:szCs w:val="28"/>
          <w:lang w:val="uk-UA"/>
        </w:rPr>
      </w:pPr>
    </w:p>
    <w:p w:rsidR="00EC1B3C" w:rsidRPr="0094392D" w:rsidRDefault="00EC1B3C" w:rsidP="00402189">
      <w:pPr>
        <w:spacing w:after="0" w:line="360" w:lineRule="auto"/>
        <w:rPr>
          <w:rFonts w:ascii="Times New Roman" w:hAnsi="Times New Roman"/>
          <w:b/>
          <w:sz w:val="28"/>
          <w:szCs w:val="28"/>
          <w:lang w:val="uk-UA"/>
        </w:rPr>
      </w:pPr>
    </w:p>
    <w:p w:rsidR="00EC1B3C" w:rsidRPr="0094392D" w:rsidRDefault="00EC1B3C" w:rsidP="00402189">
      <w:pPr>
        <w:spacing w:after="0" w:line="360" w:lineRule="auto"/>
        <w:rPr>
          <w:rFonts w:ascii="Times New Roman" w:hAnsi="Times New Roman"/>
          <w:b/>
          <w:sz w:val="28"/>
          <w:szCs w:val="28"/>
          <w:lang w:val="uk-UA"/>
        </w:rPr>
      </w:pPr>
    </w:p>
    <w:p w:rsidR="00EC1B3C" w:rsidRPr="0094392D" w:rsidRDefault="00EC1B3C" w:rsidP="00402189">
      <w:pPr>
        <w:spacing w:after="0" w:line="360" w:lineRule="auto"/>
        <w:rPr>
          <w:rFonts w:ascii="Times New Roman" w:hAnsi="Times New Roman"/>
          <w:b/>
          <w:sz w:val="28"/>
          <w:szCs w:val="28"/>
          <w:lang w:val="uk-UA"/>
        </w:rPr>
      </w:pPr>
    </w:p>
    <w:p w:rsidR="00EC1B3C" w:rsidRPr="0094392D" w:rsidRDefault="00EC1B3C" w:rsidP="00402189">
      <w:pPr>
        <w:spacing w:after="0" w:line="360" w:lineRule="auto"/>
        <w:rPr>
          <w:rFonts w:ascii="Times New Roman" w:hAnsi="Times New Roman"/>
          <w:b/>
          <w:sz w:val="28"/>
          <w:szCs w:val="28"/>
          <w:lang w:val="uk-UA"/>
        </w:rPr>
      </w:pPr>
    </w:p>
    <w:p w:rsidR="00EC1B3C" w:rsidRPr="0094392D" w:rsidRDefault="00EC1B3C" w:rsidP="00402189">
      <w:pPr>
        <w:spacing w:after="0" w:line="360" w:lineRule="auto"/>
        <w:rPr>
          <w:rFonts w:ascii="Times New Roman" w:hAnsi="Times New Roman"/>
          <w:b/>
          <w:sz w:val="28"/>
          <w:szCs w:val="28"/>
          <w:lang w:val="uk-UA"/>
        </w:rPr>
      </w:pPr>
    </w:p>
    <w:p w:rsidR="00EC1B3C" w:rsidRPr="0094392D" w:rsidRDefault="00EC1B3C" w:rsidP="00402189">
      <w:pPr>
        <w:spacing w:after="0" w:line="360" w:lineRule="auto"/>
        <w:rPr>
          <w:rFonts w:ascii="Times New Roman" w:hAnsi="Times New Roman"/>
          <w:b/>
          <w:sz w:val="28"/>
          <w:szCs w:val="28"/>
          <w:lang w:val="uk-UA"/>
        </w:rPr>
      </w:pPr>
    </w:p>
    <w:p w:rsidR="00EC1B3C" w:rsidRPr="0094392D" w:rsidRDefault="00EC1B3C" w:rsidP="00F93BF1">
      <w:pPr>
        <w:spacing w:after="0" w:line="360" w:lineRule="auto"/>
        <w:jc w:val="center"/>
        <w:rPr>
          <w:rFonts w:ascii="Times New Roman" w:hAnsi="Times New Roman"/>
          <w:b/>
          <w:sz w:val="28"/>
          <w:szCs w:val="28"/>
          <w:lang w:val="uk-UA"/>
        </w:rPr>
      </w:pPr>
      <w:r w:rsidRPr="0094392D">
        <w:rPr>
          <w:rFonts w:ascii="Times New Roman" w:hAnsi="Times New Roman"/>
          <w:b/>
          <w:sz w:val="28"/>
          <w:szCs w:val="28"/>
          <w:lang w:val="uk-UA"/>
        </w:rPr>
        <w:t>СПИСОК ВИКОРИСТАНИХ ДЖЕРЕЛ</w:t>
      </w:r>
    </w:p>
    <w:p w:rsidR="00EC1B3C" w:rsidRPr="0094392D" w:rsidRDefault="00EC1B3C" w:rsidP="001C01D8">
      <w:pPr>
        <w:spacing w:after="0" w:line="360" w:lineRule="auto"/>
        <w:ind w:firstLine="709"/>
        <w:jc w:val="center"/>
        <w:rPr>
          <w:rFonts w:ascii="Times New Roman" w:hAnsi="Times New Roman"/>
          <w:b/>
          <w:sz w:val="28"/>
          <w:szCs w:val="28"/>
          <w:lang w:val="uk-UA"/>
        </w:rPr>
      </w:pPr>
    </w:p>
    <w:p w:rsidR="00EC1B3C" w:rsidRPr="0094392D" w:rsidRDefault="00EC1B3C" w:rsidP="00807DBB">
      <w:pPr>
        <w:pStyle w:val="a9"/>
        <w:numPr>
          <w:ilvl w:val="0"/>
          <w:numId w:val="1"/>
        </w:numPr>
        <w:spacing w:after="0" w:line="360" w:lineRule="auto"/>
        <w:jc w:val="both"/>
        <w:rPr>
          <w:rFonts w:ascii="Times New Roman" w:hAnsi="Times New Roman"/>
          <w:sz w:val="28"/>
          <w:szCs w:val="28"/>
          <w:lang w:val="uk-UA"/>
        </w:rPr>
      </w:pPr>
      <w:r w:rsidRPr="0094392D">
        <w:rPr>
          <w:rFonts w:ascii="Times New Roman" w:hAnsi="Times New Roman"/>
          <w:sz w:val="28"/>
          <w:szCs w:val="28"/>
          <w:lang w:val="uk-UA"/>
        </w:rPr>
        <w:t xml:space="preserve">Державна служба статистики України, Географічна структура зовнішньої торгівлі України послугами. – URL: </w:t>
      </w:r>
      <w:hyperlink r:id="rId18" w:history="1">
        <w:r w:rsidRPr="0094392D">
          <w:rPr>
            <w:rStyle w:val="a3"/>
            <w:rFonts w:ascii="Times New Roman" w:hAnsi="Times New Roman"/>
            <w:sz w:val="28"/>
            <w:szCs w:val="28"/>
            <w:lang w:val="uk-UA"/>
          </w:rPr>
          <w:t>https://ukrstat.gov.ua/operativ/operativ2021/zd/ztpu_ks/ztpu_ks_u/arh_zt</w:t>
        </w:r>
      </w:hyperlink>
    </w:p>
    <w:p w:rsidR="00EC1B3C" w:rsidRPr="0094392D" w:rsidRDefault="00EC1B3C" w:rsidP="003C2901">
      <w:pPr>
        <w:pStyle w:val="a9"/>
        <w:numPr>
          <w:ilvl w:val="0"/>
          <w:numId w:val="1"/>
        </w:numPr>
        <w:spacing w:after="0" w:line="360" w:lineRule="auto"/>
        <w:rPr>
          <w:rStyle w:val="a3"/>
          <w:rFonts w:ascii="Times New Roman" w:hAnsi="Times New Roman"/>
          <w:color w:val="auto"/>
          <w:sz w:val="28"/>
          <w:szCs w:val="28"/>
          <w:u w:val="none"/>
          <w:lang w:val="uk-UA"/>
        </w:rPr>
      </w:pPr>
      <w:r w:rsidRPr="0094392D">
        <w:rPr>
          <w:rFonts w:ascii="Times New Roman" w:hAnsi="Times New Roman"/>
          <w:sz w:val="28"/>
          <w:szCs w:val="28"/>
          <w:lang w:val="uk-UA"/>
        </w:rPr>
        <w:t xml:space="preserve">Державна служба статистики України, Географічна структура зовнішньої торгівлі України товарами. – URL: </w:t>
      </w:r>
      <w:hyperlink r:id="rId19" w:history="1">
        <w:r w:rsidRPr="0094392D">
          <w:rPr>
            <w:rStyle w:val="a3"/>
            <w:rFonts w:ascii="Times New Roman" w:hAnsi="Times New Roman"/>
            <w:sz w:val="28"/>
            <w:szCs w:val="28"/>
            <w:lang w:val="uk-UA"/>
          </w:rPr>
          <w:t>https://ukrstat.gov.ua/operativ/operativ2019/zd/ztt/ztt_u/ztt1219_u.htm</w:t>
        </w:r>
      </w:hyperlink>
    </w:p>
    <w:p w:rsidR="00EC1B3C" w:rsidRPr="0094392D" w:rsidRDefault="00EC1B3C" w:rsidP="003C2901">
      <w:pPr>
        <w:pStyle w:val="a9"/>
        <w:numPr>
          <w:ilvl w:val="0"/>
          <w:numId w:val="1"/>
        </w:numPr>
        <w:spacing w:after="0" w:line="360" w:lineRule="auto"/>
        <w:rPr>
          <w:rFonts w:ascii="Times New Roman" w:hAnsi="Times New Roman"/>
          <w:sz w:val="28"/>
          <w:szCs w:val="28"/>
          <w:lang w:val="uk-UA"/>
        </w:rPr>
      </w:pPr>
      <w:r w:rsidRPr="0094392D">
        <w:rPr>
          <w:rFonts w:ascii="Times New Roman" w:hAnsi="Times New Roman"/>
          <w:sz w:val="28"/>
          <w:szCs w:val="28"/>
          <w:lang w:val="uk-UA"/>
        </w:rPr>
        <w:t xml:space="preserve">Державна служба статистики України, Прямі інвестиції (акціонерний капітал) з країн світу в економіці України. – URL: </w:t>
      </w:r>
      <w:hyperlink r:id="rId20" w:history="1">
        <w:r w:rsidRPr="0094392D">
          <w:rPr>
            <w:rStyle w:val="a3"/>
            <w:rFonts w:ascii="Times New Roman" w:hAnsi="Times New Roman"/>
            <w:sz w:val="28"/>
            <w:szCs w:val="28"/>
            <w:lang w:val="uk-UA"/>
          </w:rPr>
          <w:t>https://ukrstat.gov.ua/operativ/operativ2020/zd_inv_new/arh_inv_zd.htm</w:t>
        </w:r>
      </w:hyperlink>
    </w:p>
    <w:p w:rsidR="00EC1B3C" w:rsidRPr="0094392D" w:rsidRDefault="00EC1B3C" w:rsidP="003C2901">
      <w:pPr>
        <w:pStyle w:val="a9"/>
        <w:numPr>
          <w:ilvl w:val="0"/>
          <w:numId w:val="1"/>
        </w:numPr>
        <w:spacing w:after="0" w:line="360" w:lineRule="auto"/>
        <w:rPr>
          <w:rStyle w:val="a3"/>
          <w:rFonts w:ascii="Times New Roman" w:hAnsi="Times New Roman"/>
          <w:color w:val="auto"/>
          <w:sz w:val="28"/>
          <w:szCs w:val="28"/>
          <w:u w:val="none"/>
          <w:lang w:val="uk-UA"/>
        </w:rPr>
      </w:pPr>
      <w:r w:rsidRPr="0094392D">
        <w:rPr>
          <w:rFonts w:ascii="Times New Roman" w:hAnsi="Times New Roman"/>
          <w:color w:val="000000"/>
          <w:sz w:val="28"/>
          <w:szCs w:val="28"/>
          <w:shd w:val="clear" w:color="auto" w:fill="FFFFFF"/>
          <w:lang w:val="uk-UA"/>
        </w:rPr>
        <w:t xml:space="preserve">ArabianBusiness, StaffWriter, UAEforeigntradehits $600bn, 2023. – URL: </w:t>
      </w:r>
      <w:hyperlink r:id="rId21" w:history="1">
        <w:r w:rsidRPr="0094392D">
          <w:rPr>
            <w:rStyle w:val="a3"/>
            <w:rFonts w:ascii="Times New Roman" w:hAnsi="Times New Roman"/>
            <w:sz w:val="28"/>
            <w:szCs w:val="28"/>
            <w:shd w:val="clear" w:color="auto" w:fill="FFFFFF"/>
            <w:lang w:val="uk-UA"/>
          </w:rPr>
          <w:t>https://www.arabianbusiness.com/politics-economics/uae-foreign-</w:t>
        </w:r>
      </w:hyperlink>
    </w:p>
    <w:p w:rsidR="00EC1B3C" w:rsidRPr="0094392D" w:rsidRDefault="00EC1B3C" w:rsidP="003C2901">
      <w:pPr>
        <w:pStyle w:val="a9"/>
        <w:numPr>
          <w:ilvl w:val="0"/>
          <w:numId w:val="1"/>
        </w:numPr>
        <w:spacing w:after="0" w:line="360" w:lineRule="auto"/>
        <w:rPr>
          <w:rFonts w:ascii="Times New Roman" w:hAnsi="Times New Roman"/>
          <w:sz w:val="28"/>
          <w:szCs w:val="28"/>
          <w:lang w:val="uk-UA"/>
        </w:rPr>
      </w:pPr>
      <w:r w:rsidRPr="0094392D">
        <w:rPr>
          <w:rFonts w:ascii="Times New Roman" w:hAnsi="Times New Roman"/>
          <w:sz w:val="28"/>
          <w:lang w:val="uk-UA"/>
        </w:rPr>
        <w:t xml:space="preserve">DanielWorkman, Israel’sTopTradingPartners, 2021. – URL: </w:t>
      </w:r>
      <w:hyperlink r:id="rId22" w:history="1">
        <w:r w:rsidRPr="0094392D">
          <w:rPr>
            <w:rStyle w:val="a3"/>
            <w:rFonts w:ascii="Times New Roman" w:hAnsi="Times New Roman"/>
            <w:sz w:val="28"/>
            <w:lang w:val="uk-UA"/>
          </w:rPr>
          <w:t>https://www.worldstopexports.com/israels-top-trading-partners/</w:t>
        </w:r>
      </w:hyperlink>
    </w:p>
    <w:p w:rsidR="00EC1B3C" w:rsidRPr="0094392D" w:rsidRDefault="00EC1B3C" w:rsidP="003C2901">
      <w:pPr>
        <w:pStyle w:val="a9"/>
        <w:numPr>
          <w:ilvl w:val="0"/>
          <w:numId w:val="1"/>
        </w:numPr>
        <w:spacing w:after="0" w:line="360" w:lineRule="auto"/>
        <w:rPr>
          <w:rFonts w:ascii="Times New Roman" w:hAnsi="Times New Roman"/>
          <w:sz w:val="28"/>
          <w:szCs w:val="28"/>
          <w:lang w:val="uk-UA"/>
        </w:rPr>
      </w:pPr>
      <w:r w:rsidRPr="0094392D">
        <w:rPr>
          <w:rFonts w:ascii="Times New Roman" w:hAnsi="Times New Roman"/>
          <w:sz w:val="28"/>
          <w:lang w:val="uk-UA"/>
        </w:rPr>
        <w:t xml:space="preserve">DanielWorkman, UAE’sTop 10 Exports, 2021. – URL: </w:t>
      </w:r>
      <w:hyperlink r:id="rId23" w:history="1">
        <w:r w:rsidRPr="0094392D">
          <w:rPr>
            <w:rStyle w:val="a3"/>
            <w:rFonts w:ascii="Times New Roman" w:hAnsi="Times New Roman"/>
            <w:sz w:val="28"/>
            <w:lang w:val="uk-UA"/>
          </w:rPr>
          <w:t>https://www.worldstopexports.com/uaes-top-10-exports/</w:t>
        </w:r>
      </w:hyperlink>
    </w:p>
    <w:p w:rsidR="00EC1B3C" w:rsidRPr="0094392D" w:rsidRDefault="00EC1B3C" w:rsidP="003C2901">
      <w:pPr>
        <w:pStyle w:val="a9"/>
        <w:numPr>
          <w:ilvl w:val="0"/>
          <w:numId w:val="1"/>
        </w:numPr>
        <w:spacing w:after="0" w:line="360" w:lineRule="auto"/>
        <w:rPr>
          <w:rFonts w:ascii="Times New Roman" w:hAnsi="Times New Roman"/>
          <w:sz w:val="28"/>
          <w:szCs w:val="28"/>
          <w:lang w:val="uk-UA"/>
        </w:rPr>
      </w:pPr>
      <w:r w:rsidRPr="0094392D">
        <w:rPr>
          <w:rFonts w:ascii="Times New Roman" w:hAnsi="Times New Roman"/>
          <w:sz w:val="28"/>
          <w:lang w:val="uk-UA"/>
        </w:rPr>
        <w:t xml:space="preserve">EconomistIntelligenceUnitOfficialWebsite. – URL: </w:t>
      </w:r>
      <w:hyperlink r:id="rId24" w:history="1">
        <w:r w:rsidRPr="0094392D">
          <w:rPr>
            <w:rStyle w:val="a3"/>
            <w:rFonts w:ascii="Times New Roman" w:hAnsi="Times New Roman"/>
            <w:sz w:val="28"/>
            <w:lang w:val="uk-UA"/>
          </w:rPr>
          <w:t>https://www.eiu.com/n/solutions/viewpoint/?utm_source=google&amp;utm_</w:t>
        </w:r>
      </w:hyperlink>
    </w:p>
    <w:p w:rsidR="00EC1B3C" w:rsidRPr="0094392D" w:rsidRDefault="00EC1B3C" w:rsidP="003C2901">
      <w:pPr>
        <w:pStyle w:val="a9"/>
        <w:numPr>
          <w:ilvl w:val="0"/>
          <w:numId w:val="1"/>
        </w:numPr>
        <w:spacing w:after="0" w:line="360" w:lineRule="auto"/>
        <w:rPr>
          <w:rFonts w:ascii="Times New Roman" w:hAnsi="Times New Roman"/>
          <w:sz w:val="28"/>
          <w:szCs w:val="28"/>
          <w:lang w:val="uk-UA"/>
        </w:rPr>
      </w:pPr>
      <w:r w:rsidRPr="0094392D">
        <w:rPr>
          <w:rFonts w:ascii="Times New Roman" w:hAnsi="Times New Roman"/>
          <w:sz w:val="28"/>
          <w:lang w:val="uk-UA"/>
        </w:rPr>
        <w:t xml:space="preserve">GMKCenter, Галина Єрмоленко, Україна активізує торговельно-економічне партнерство з ОАЕ, 2023. – URL: </w:t>
      </w:r>
      <w:hyperlink r:id="rId25" w:history="1">
        <w:r w:rsidRPr="0094392D">
          <w:rPr>
            <w:rStyle w:val="a3"/>
            <w:rFonts w:ascii="Times New Roman" w:hAnsi="Times New Roman"/>
            <w:sz w:val="28"/>
            <w:lang w:val="uk-UA"/>
          </w:rPr>
          <w:t>https://gmk.center/ua/news/ukraina-aktivizuie-torgovelno-ekonomichne-</w:t>
        </w:r>
      </w:hyperlink>
    </w:p>
    <w:p w:rsidR="00EC1B3C" w:rsidRPr="0094392D" w:rsidRDefault="00EC1B3C" w:rsidP="003C2901">
      <w:pPr>
        <w:pStyle w:val="a9"/>
        <w:numPr>
          <w:ilvl w:val="0"/>
          <w:numId w:val="1"/>
        </w:numPr>
        <w:spacing w:after="0" w:line="360" w:lineRule="auto"/>
        <w:rPr>
          <w:rFonts w:ascii="Times New Roman" w:hAnsi="Times New Roman"/>
          <w:sz w:val="28"/>
          <w:szCs w:val="28"/>
          <w:lang w:val="uk-UA"/>
        </w:rPr>
      </w:pPr>
      <w:r w:rsidRPr="0094392D">
        <w:rPr>
          <w:rFonts w:ascii="Times New Roman" w:hAnsi="Times New Roman"/>
          <w:sz w:val="28"/>
          <w:lang w:val="uk-UA"/>
        </w:rPr>
        <w:t xml:space="preserve">INSSOfficialWebsite, ElaiRettig, OdedEran, EconomicRelationsbetweenIsraelandEurope, 2018. – URL: </w:t>
      </w:r>
      <w:hyperlink r:id="rId26" w:history="1">
        <w:r w:rsidRPr="0094392D">
          <w:rPr>
            <w:rStyle w:val="a3"/>
            <w:rFonts w:ascii="Times New Roman" w:hAnsi="Times New Roman"/>
            <w:sz w:val="28"/>
            <w:lang w:val="uk-UA"/>
          </w:rPr>
          <w:t>https://www.inss.org.il/publication/economic-relations-israel-europe-</w:t>
        </w:r>
      </w:hyperlink>
    </w:p>
    <w:p w:rsidR="00EC1B3C" w:rsidRPr="0094392D" w:rsidRDefault="00EC1B3C" w:rsidP="003C2901">
      <w:pPr>
        <w:pStyle w:val="a9"/>
        <w:numPr>
          <w:ilvl w:val="0"/>
          <w:numId w:val="1"/>
        </w:numPr>
        <w:spacing w:after="0" w:line="360" w:lineRule="auto"/>
        <w:rPr>
          <w:rStyle w:val="a3"/>
          <w:rFonts w:ascii="Times New Roman" w:hAnsi="Times New Roman"/>
          <w:color w:val="auto"/>
          <w:sz w:val="28"/>
          <w:szCs w:val="28"/>
          <w:u w:val="none"/>
          <w:lang w:val="uk-UA"/>
        </w:rPr>
      </w:pPr>
      <w:r w:rsidRPr="0094392D">
        <w:rPr>
          <w:rFonts w:ascii="Times New Roman" w:hAnsi="Times New Roman"/>
          <w:sz w:val="28"/>
          <w:lang w:val="uk-UA"/>
        </w:rPr>
        <w:t xml:space="preserve">InternationalMonetaryFund, BalanceofPaymentsAnalyticPresentationbyCountry. – URL: </w:t>
      </w:r>
      <w:hyperlink r:id="rId27" w:history="1">
        <w:r w:rsidRPr="0094392D">
          <w:rPr>
            <w:rStyle w:val="a3"/>
            <w:rFonts w:ascii="Times New Roman" w:hAnsi="Times New Roman"/>
            <w:sz w:val="28"/>
            <w:lang w:val="uk-UA"/>
          </w:rPr>
          <w:t>https://data.imf.org/regular.aspx?key=62805740</w:t>
        </w:r>
      </w:hyperlink>
    </w:p>
    <w:p w:rsidR="00EC1B3C" w:rsidRPr="0094392D" w:rsidRDefault="00EC1B3C" w:rsidP="001842D4">
      <w:pPr>
        <w:pStyle w:val="a9"/>
        <w:numPr>
          <w:ilvl w:val="0"/>
          <w:numId w:val="1"/>
        </w:numPr>
        <w:spacing w:after="0" w:line="360" w:lineRule="auto"/>
        <w:jc w:val="both"/>
        <w:rPr>
          <w:rFonts w:ascii="Times New Roman" w:hAnsi="Times New Roman"/>
          <w:color w:val="0563C1"/>
          <w:sz w:val="28"/>
          <w:u w:val="single"/>
          <w:lang w:val="uk-UA"/>
        </w:rPr>
      </w:pPr>
      <w:r w:rsidRPr="0094392D">
        <w:rPr>
          <w:rFonts w:ascii="Times New Roman" w:hAnsi="Times New Roman"/>
          <w:sz w:val="28"/>
          <w:lang w:val="uk-UA"/>
        </w:rPr>
        <w:t xml:space="preserve">InternationalMonetaryFund, FinancialStatisticsPresentationbyCountry. – URL: </w:t>
      </w:r>
      <w:hyperlink r:id="rId28" w:history="1">
        <w:r w:rsidRPr="0094392D">
          <w:rPr>
            <w:rStyle w:val="a3"/>
            <w:rFonts w:ascii="Times New Roman" w:hAnsi="Times New Roman"/>
            <w:sz w:val="28"/>
            <w:lang w:val="uk-UA"/>
          </w:rPr>
          <w:t>https://data.imf.org/regular.aspx?key=62805740</w:t>
        </w:r>
      </w:hyperlink>
    </w:p>
    <w:p w:rsidR="00EC1B3C" w:rsidRPr="0094392D" w:rsidRDefault="00EC1B3C" w:rsidP="003C2901">
      <w:pPr>
        <w:pStyle w:val="a9"/>
        <w:numPr>
          <w:ilvl w:val="0"/>
          <w:numId w:val="1"/>
        </w:numPr>
        <w:spacing w:after="0" w:line="360" w:lineRule="auto"/>
        <w:rPr>
          <w:rStyle w:val="a3"/>
          <w:rFonts w:ascii="Times New Roman" w:hAnsi="Times New Roman"/>
          <w:color w:val="auto"/>
          <w:sz w:val="28"/>
          <w:szCs w:val="28"/>
          <w:u w:val="none"/>
          <w:lang w:val="uk-UA"/>
        </w:rPr>
      </w:pPr>
      <w:r w:rsidRPr="0094392D">
        <w:rPr>
          <w:rFonts w:ascii="Times New Roman" w:hAnsi="Times New Roman"/>
          <w:color w:val="000000"/>
          <w:sz w:val="28"/>
          <w:szCs w:val="28"/>
          <w:shd w:val="clear" w:color="auto" w:fill="FFFFFF"/>
          <w:lang w:val="uk-UA"/>
        </w:rPr>
        <w:t xml:space="preserve">Investopedia, AlexandraTwin, TheWorld's 10 BiggestOilExporters, 2022. – URL: </w:t>
      </w:r>
      <w:hyperlink r:id="rId29" w:history="1">
        <w:r w:rsidRPr="0094392D">
          <w:rPr>
            <w:rStyle w:val="a3"/>
            <w:rFonts w:ascii="Times New Roman" w:hAnsi="Times New Roman"/>
            <w:sz w:val="28"/>
            <w:szCs w:val="28"/>
            <w:shd w:val="clear" w:color="auto" w:fill="FFFFFF"/>
            <w:lang w:val="uk-UA"/>
          </w:rPr>
          <w:t>https://www.investopedia.com/articles/company-</w:t>
        </w:r>
      </w:hyperlink>
    </w:p>
    <w:p w:rsidR="00EC1B3C" w:rsidRPr="0094392D" w:rsidRDefault="00EC1B3C" w:rsidP="0071798C">
      <w:pPr>
        <w:pStyle w:val="a9"/>
        <w:numPr>
          <w:ilvl w:val="0"/>
          <w:numId w:val="1"/>
        </w:numPr>
        <w:spacing w:after="0" w:line="360" w:lineRule="auto"/>
        <w:jc w:val="both"/>
        <w:rPr>
          <w:rFonts w:ascii="Times New Roman" w:hAnsi="Times New Roman"/>
          <w:sz w:val="28"/>
          <w:lang w:val="uk-UA"/>
        </w:rPr>
      </w:pPr>
      <w:r w:rsidRPr="0094392D">
        <w:rPr>
          <w:rFonts w:ascii="Times New Roman" w:hAnsi="Times New Roman"/>
          <w:sz w:val="28"/>
          <w:lang w:val="uk-UA"/>
        </w:rPr>
        <w:t xml:space="preserve">Statista, BalanceofPaymentsofUAE. – URL: </w:t>
      </w:r>
      <w:hyperlink r:id="rId30" w:history="1">
        <w:r w:rsidRPr="0094392D">
          <w:rPr>
            <w:rStyle w:val="a3"/>
            <w:rFonts w:ascii="Times New Roman" w:hAnsi="Times New Roman"/>
            <w:sz w:val="28"/>
            <w:lang w:val="uk-UA"/>
          </w:rPr>
          <w:t>https://www.statista.com/topics/2703/united-arab-emirates/</w:t>
        </w:r>
      </w:hyperlink>
    </w:p>
    <w:p w:rsidR="00EC1B3C" w:rsidRPr="0094392D" w:rsidRDefault="00EC1B3C" w:rsidP="003C2901">
      <w:pPr>
        <w:pStyle w:val="a9"/>
        <w:numPr>
          <w:ilvl w:val="0"/>
          <w:numId w:val="1"/>
        </w:numPr>
        <w:spacing w:after="0" w:line="360" w:lineRule="auto"/>
        <w:rPr>
          <w:rStyle w:val="a3"/>
          <w:rFonts w:ascii="Times New Roman" w:hAnsi="Times New Roman"/>
          <w:color w:val="auto"/>
          <w:sz w:val="28"/>
          <w:szCs w:val="28"/>
          <w:u w:val="none"/>
          <w:lang w:val="uk-UA"/>
        </w:rPr>
      </w:pPr>
      <w:r w:rsidRPr="0094392D">
        <w:rPr>
          <w:rFonts w:ascii="Times New Roman" w:hAnsi="Times New Roman"/>
          <w:sz w:val="28"/>
          <w:lang w:val="uk-UA"/>
        </w:rPr>
        <w:t xml:space="preserve">TheWashingtonInstituteOfficialWebsite, KatherineBauer, Israel-UAE EconomicCooperationHasDeepRootsandBroadDividends, 2022. – URL: </w:t>
      </w:r>
      <w:hyperlink r:id="rId31" w:history="1">
        <w:r w:rsidRPr="0094392D">
          <w:rPr>
            <w:rStyle w:val="a3"/>
            <w:rFonts w:ascii="Times New Roman" w:hAnsi="Times New Roman"/>
            <w:sz w:val="28"/>
            <w:lang w:val="uk-UA"/>
          </w:rPr>
          <w:t>https://www.washingtoninstitute.org/policy-analysis/israel-uae-</w:t>
        </w:r>
      </w:hyperlink>
    </w:p>
    <w:p w:rsidR="00EC1B3C" w:rsidRPr="0094392D" w:rsidRDefault="00EC1B3C" w:rsidP="000061BE">
      <w:pPr>
        <w:pStyle w:val="a9"/>
        <w:numPr>
          <w:ilvl w:val="0"/>
          <w:numId w:val="1"/>
        </w:numPr>
        <w:spacing w:after="0" w:line="360" w:lineRule="auto"/>
        <w:jc w:val="both"/>
        <w:rPr>
          <w:rFonts w:ascii="Times New Roman" w:hAnsi="Times New Roman"/>
          <w:sz w:val="28"/>
          <w:lang w:val="uk-UA"/>
        </w:rPr>
      </w:pPr>
      <w:r w:rsidRPr="0094392D">
        <w:rPr>
          <w:rFonts w:ascii="Times New Roman" w:hAnsi="Times New Roman"/>
          <w:sz w:val="28"/>
          <w:lang w:val="uk-UA"/>
        </w:rPr>
        <w:t xml:space="preserve">TheWorldBankDataOfficialWebsite. – URL: </w:t>
      </w:r>
      <w:hyperlink r:id="rId32" w:history="1">
        <w:r w:rsidRPr="0094392D">
          <w:rPr>
            <w:rStyle w:val="a3"/>
            <w:rFonts w:ascii="Times New Roman" w:hAnsi="Times New Roman"/>
            <w:sz w:val="28"/>
            <w:lang w:val="uk-UA"/>
          </w:rPr>
          <w:t>https://data.worldbank.org/indicator/BX.KLT.DINV.CD.WD?locations=</w:t>
        </w:r>
      </w:hyperlink>
    </w:p>
    <w:p w:rsidR="00EC1B3C" w:rsidRPr="0094392D" w:rsidRDefault="00EC1B3C" w:rsidP="003C2901">
      <w:pPr>
        <w:pStyle w:val="a9"/>
        <w:numPr>
          <w:ilvl w:val="0"/>
          <w:numId w:val="1"/>
        </w:numPr>
        <w:spacing w:after="0" w:line="360" w:lineRule="auto"/>
        <w:rPr>
          <w:rFonts w:ascii="Times New Roman" w:hAnsi="Times New Roman"/>
          <w:sz w:val="28"/>
          <w:szCs w:val="28"/>
          <w:lang w:val="uk-UA"/>
        </w:rPr>
      </w:pPr>
      <w:r w:rsidRPr="0094392D">
        <w:rPr>
          <w:rFonts w:ascii="Times New Roman" w:hAnsi="Times New Roman"/>
          <w:sz w:val="28"/>
          <w:lang w:val="uk-UA"/>
        </w:rPr>
        <w:t xml:space="preserve">U.S. DepartmentofStateOfficialWebsite, Barbara A. Leaf, U.S. RelationsWithUnitedArabEmirates, 2020. – URL: </w:t>
      </w:r>
      <w:hyperlink r:id="rId33" w:history="1">
        <w:r w:rsidRPr="0094392D">
          <w:rPr>
            <w:rStyle w:val="a3"/>
            <w:rFonts w:ascii="Times New Roman" w:hAnsi="Times New Roman"/>
            <w:sz w:val="28"/>
            <w:lang w:val="uk-UA"/>
          </w:rPr>
          <w:t>https://www.state.gov/u-s-relations-with-united-arab-emirates/</w:t>
        </w:r>
      </w:hyperlink>
    </w:p>
    <w:p w:rsidR="00EC1B3C" w:rsidRPr="0094392D" w:rsidRDefault="00EC1B3C" w:rsidP="003C2901">
      <w:pPr>
        <w:pStyle w:val="a9"/>
        <w:numPr>
          <w:ilvl w:val="0"/>
          <w:numId w:val="1"/>
        </w:numPr>
        <w:spacing w:after="0" w:line="360" w:lineRule="auto"/>
        <w:rPr>
          <w:rStyle w:val="a3"/>
          <w:rFonts w:ascii="Times New Roman" w:hAnsi="Times New Roman"/>
          <w:color w:val="auto"/>
          <w:sz w:val="28"/>
          <w:szCs w:val="28"/>
          <w:u w:val="none"/>
          <w:lang w:val="uk-UA"/>
        </w:rPr>
      </w:pPr>
      <w:r w:rsidRPr="0094392D">
        <w:rPr>
          <w:rFonts w:ascii="Times New Roman" w:hAnsi="Times New Roman"/>
          <w:sz w:val="28"/>
          <w:lang w:val="uk-UA"/>
        </w:rPr>
        <w:t xml:space="preserve">U.S. DepartmentofStateOfficialWebsite, NedPrice, U.S. RelationswithIsrael, 2023. – URL: </w:t>
      </w:r>
      <w:hyperlink r:id="rId34" w:history="1">
        <w:r w:rsidRPr="0094392D">
          <w:rPr>
            <w:rStyle w:val="a3"/>
            <w:rFonts w:ascii="Times New Roman" w:hAnsi="Times New Roman"/>
            <w:sz w:val="28"/>
            <w:lang w:val="uk-UA"/>
          </w:rPr>
          <w:t>https://www.state.gov/u-s-relations-with-israel-</w:t>
        </w:r>
      </w:hyperlink>
    </w:p>
    <w:p w:rsidR="00EC1B3C" w:rsidRDefault="00EC1B3C" w:rsidP="00B726D9">
      <w:pPr>
        <w:pStyle w:val="a9"/>
        <w:numPr>
          <w:ilvl w:val="0"/>
          <w:numId w:val="1"/>
        </w:numPr>
        <w:spacing w:after="0" w:line="360" w:lineRule="auto"/>
        <w:rPr>
          <w:rFonts w:ascii="Times New Roman" w:hAnsi="Times New Roman"/>
          <w:sz w:val="28"/>
          <w:szCs w:val="28"/>
          <w:lang w:val="en-US"/>
        </w:rPr>
      </w:pPr>
      <w:r w:rsidRPr="00B726D9">
        <w:rPr>
          <w:rFonts w:ascii="Times New Roman" w:hAnsi="Times New Roman"/>
          <w:sz w:val="28"/>
          <w:szCs w:val="28"/>
          <w:lang w:val="en-US"/>
        </w:rPr>
        <w:t>United Arab Emirates</w:t>
      </w:r>
      <w:r w:rsidRPr="00D41C10">
        <w:rPr>
          <w:rFonts w:ascii="Times New Roman" w:hAnsi="Times New Roman"/>
          <w:sz w:val="28"/>
          <w:szCs w:val="28"/>
          <w:lang w:val="en-US"/>
        </w:rPr>
        <w:t>, Current Account. International Monetary Fund.</w:t>
      </w:r>
      <w:r w:rsidRPr="00B726D9">
        <w:rPr>
          <w:rFonts w:ascii="Times New Roman" w:hAnsi="Times New Roman"/>
          <w:sz w:val="28"/>
          <w:szCs w:val="28"/>
          <w:lang w:val="en-US"/>
        </w:rPr>
        <w:t xml:space="preserve">– URL: </w:t>
      </w:r>
      <w:hyperlink r:id="rId35" w:history="1">
        <w:r w:rsidRPr="00465310">
          <w:rPr>
            <w:rStyle w:val="a3"/>
            <w:rFonts w:ascii="Times New Roman" w:hAnsi="Times New Roman"/>
            <w:sz w:val="28"/>
            <w:szCs w:val="28"/>
            <w:lang w:val="en-US"/>
          </w:rPr>
          <w:t>http://data.imf.org/?sk=7A51304B-6426-40C0-83DD-CA473CA1FD52&amp;sId=1542635306163</w:t>
        </w:r>
      </w:hyperlink>
    </w:p>
    <w:p w:rsidR="00EC1B3C" w:rsidRDefault="00EC1B3C" w:rsidP="00B726D9">
      <w:pPr>
        <w:pStyle w:val="a9"/>
        <w:numPr>
          <w:ilvl w:val="0"/>
          <w:numId w:val="1"/>
        </w:numPr>
        <w:spacing w:after="0" w:line="360" w:lineRule="auto"/>
        <w:rPr>
          <w:rFonts w:ascii="Times New Roman" w:hAnsi="Times New Roman"/>
          <w:sz w:val="28"/>
          <w:szCs w:val="28"/>
          <w:lang w:val="en-US"/>
        </w:rPr>
      </w:pPr>
      <w:r w:rsidRPr="00B726D9">
        <w:rPr>
          <w:rFonts w:ascii="Times New Roman" w:hAnsi="Times New Roman"/>
          <w:sz w:val="28"/>
          <w:szCs w:val="28"/>
          <w:lang w:val="en-US"/>
        </w:rPr>
        <w:t>United Arab Emirates</w:t>
      </w:r>
      <w:r w:rsidRPr="00D41C10">
        <w:rPr>
          <w:rFonts w:ascii="Times New Roman" w:hAnsi="Times New Roman"/>
          <w:sz w:val="28"/>
          <w:szCs w:val="28"/>
          <w:lang w:val="en-US"/>
        </w:rPr>
        <w:t>, Trade Balance. International Monetary Fund.</w:t>
      </w:r>
      <w:r w:rsidRPr="00B726D9">
        <w:rPr>
          <w:rFonts w:ascii="Times New Roman" w:hAnsi="Times New Roman"/>
          <w:sz w:val="28"/>
          <w:szCs w:val="28"/>
          <w:lang w:val="en-US"/>
        </w:rPr>
        <w:t xml:space="preserve">– URL: </w:t>
      </w:r>
      <w:hyperlink r:id="rId36" w:history="1">
        <w:r w:rsidRPr="00465310">
          <w:rPr>
            <w:rStyle w:val="a3"/>
            <w:rFonts w:ascii="Times New Roman" w:hAnsi="Times New Roman"/>
            <w:sz w:val="28"/>
            <w:szCs w:val="28"/>
            <w:lang w:val="en-US"/>
          </w:rPr>
          <w:t>http://data.imf.org/?sk=7A51304B-6426-40C0-83DD-CA473CA1FD52&amp;sId=1542635306163</w:t>
        </w:r>
      </w:hyperlink>
    </w:p>
    <w:p w:rsidR="00EC1B3C" w:rsidRDefault="00EC1B3C" w:rsidP="00B726D9">
      <w:pPr>
        <w:pStyle w:val="a9"/>
        <w:numPr>
          <w:ilvl w:val="0"/>
          <w:numId w:val="1"/>
        </w:numPr>
        <w:spacing w:after="0" w:line="360" w:lineRule="auto"/>
        <w:rPr>
          <w:rFonts w:ascii="Times New Roman" w:hAnsi="Times New Roman"/>
          <w:sz w:val="28"/>
          <w:szCs w:val="28"/>
          <w:lang w:val="en-US"/>
        </w:rPr>
      </w:pPr>
      <w:r w:rsidRPr="00B726D9">
        <w:rPr>
          <w:rFonts w:ascii="Times New Roman" w:hAnsi="Times New Roman"/>
          <w:sz w:val="28"/>
          <w:szCs w:val="28"/>
          <w:lang w:val="en-US"/>
        </w:rPr>
        <w:t>United Arab Emirates</w:t>
      </w:r>
      <w:r w:rsidRPr="00D41C10">
        <w:rPr>
          <w:rFonts w:ascii="Times New Roman" w:hAnsi="Times New Roman"/>
          <w:sz w:val="28"/>
          <w:szCs w:val="28"/>
          <w:lang w:val="en-US"/>
        </w:rPr>
        <w:t xml:space="preserve">, Balance of Service. International Monetary Fund. </w:t>
      </w:r>
      <w:r w:rsidRPr="00B726D9">
        <w:rPr>
          <w:rFonts w:ascii="Times New Roman" w:hAnsi="Times New Roman"/>
          <w:sz w:val="28"/>
          <w:szCs w:val="28"/>
          <w:lang w:val="en-US"/>
        </w:rPr>
        <w:t xml:space="preserve">– URL: </w:t>
      </w:r>
      <w:hyperlink r:id="rId37" w:history="1">
        <w:r w:rsidRPr="00465310">
          <w:rPr>
            <w:rStyle w:val="a3"/>
            <w:rFonts w:ascii="Times New Roman" w:hAnsi="Times New Roman"/>
            <w:sz w:val="28"/>
            <w:szCs w:val="28"/>
            <w:lang w:val="en-US"/>
          </w:rPr>
          <w:t>http://data.imf.org/?sk=7A51304B-6426-40C0-83DD-CA473CA1FD52&amp;sId=1542635306163</w:t>
        </w:r>
      </w:hyperlink>
    </w:p>
    <w:p w:rsidR="00EC1B3C" w:rsidRDefault="00EC1B3C" w:rsidP="00B726D9">
      <w:pPr>
        <w:pStyle w:val="a9"/>
        <w:numPr>
          <w:ilvl w:val="0"/>
          <w:numId w:val="1"/>
        </w:numPr>
        <w:spacing w:after="0" w:line="360" w:lineRule="auto"/>
        <w:rPr>
          <w:rFonts w:ascii="Times New Roman" w:hAnsi="Times New Roman"/>
          <w:sz w:val="28"/>
          <w:szCs w:val="28"/>
          <w:lang w:val="en-US"/>
        </w:rPr>
      </w:pPr>
      <w:r w:rsidRPr="00B726D9">
        <w:rPr>
          <w:rFonts w:ascii="Times New Roman" w:hAnsi="Times New Roman"/>
          <w:sz w:val="28"/>
          <w:szCs w:val="28"/>
          <w:lang w:val="en-US"/>
        </w:rPr>
        <w:t>United Arab Emirates</w:t>
      </w:r>
      <w:r w:rsidRPr="00D41C10">
        <w:rPr>
          <w:rFonts w:ascii="Times New Roman" w:hAnsi="Times New Roman"/>
          <w:sz w:val="28"/>
          <w:szCs w:val="28"/>
          <w:lang w:val="en-US"/>
        </w:rPr>
        <w:t xml:space="preserve">, Primary Income Balance. International Monetary Fund. </w:t>
      </w:r>
      <w:r w:rsidRPr="00B726D9">
        <w:rPr>
          <w:rFonts w:ascii="Times New Roman" w:hAnsi="Times New Roman"/>
          <w:sz w:val="28"/>
          <w:szCs w:val="28"/>
          <w:lang w:val="en-US"/>
        </w:rPr>
        <w:t xml:space="preserve">– URL: </w:t>
      </w:r>
      <w:hyperlink r:id="rId38" w:history="1">
        <w:r w:rsidRPr="00465310">
          <w:rPr>
            <w:rStyle w:val="a3"/>
            <w:rFonts w:ascii="Times New Roman" w:hAnsi="Times New Roman"/>
            <w:sz w:val="28"/>
            <w:szCs w:val="28"/>
            <w:lang w:val="en-US"/>
          </w:rPr>
          <w:t>http://data.imf.org/?sk=7A51304B-6426-40C0-83DD-CA473CA1FD52&amp;sId=1542635306163</w:t>
        </w:r>
      </w:hyperlink>
    </w:p>
    <w:p w:rsidR="00EC1B3C" w:rsidRDefault="00EC1B3C" w:rsidP="00B726D9">
      <w:pPr>
        <w:pStyle w:val="a9"/>
        <w:numPr>
          <w:ilvl w:val="0"/>
          <w:numId w:val="1"/>
        </w:numPr>
        <w:spacing w:after="0" w:line="360" w:lineRule="auto"/>
        <w:rPr>
          <w:rFonts w:ascii="Times New Roman" w:hAnsi="Times New Roman"/>
          <w:sz w:val="28"/>
          <w:szCs w:val="28"/>
          <w:lang w:val="en-US"/>
        </w:rPr>
      </w:pPr>
      <w:r w:rsidRPr="00B726D9">
        <w:rPr>
          <w:rFonts w:ascii="Times New Roman" w:hAnsi="Times New Roman"/>
          <w:sz w:val="28"/>
          <w:szCs w:val="28"/>
          <w:lang w:val="en-US"/>
        </w:rPr>
        <w:t>United Arab Emirates</w:t>
      </w:r>
      <w:r w:rsidRPr="00D41C10">
        <w:rPr>
          <w:rFonts w:ascii="Times New Roman" w:hAnsi="Times New Roman"/>
          <w:sz w:val="28"/>
          <w:szCs w:val="28"/>
          <w:lang w:val="en-US"/>
        </w:rPr>
        <w:t xml:space="preserve">, Secondary Income Balance. International Monetary Fund. </w:t>
      </w:r>
      <w:r w:rsidRPr="00B726D9">
        <w:rPr>
          <w:rFonts w:ascii="Times New Roman" w:hAnsi="Times New Roman"/>
          <w:sz w:val="28"/>
          <w:szCs w:val="28"/>
          <w:lang w:val="en-US"/>
        </w:rPr>
        <w:t xml:space="preserve">– URL: </w:t>
      </w:r>
      <w:hyperlink r:id="rId39" w:history="1">
        <w:r w:rsidRPr="00465310">
          <w:rPr>
            <w:rStyle w:val="a3"/>
            <w:rFonts w:ascii="Times New Roman" w:hAnsi="Times New Roman"/>
            <w:sz w:val="28"/>
            <w:szCs w:val="28"/>
            <w:lang w:val="en-US"/>
          </w:rPr>
          <w:t>http://data.imf.org/?sk=7A51304B-6426-40C0-83DD-CA473CA1FD52&amp;sId=1542635306163</w:t>
        </w:r>
      </w:hyperlink>
    </w:p>
    <w:p w:rsidR="00EC1B3C" w:rsidRDefault="00EC1B3C" w:rsidP="000A74E9">
      <w:pPr>
        <w:pStyle w:val="a9"/>
        <w:numPr>
          <w:ilvl w:val="0"/>
          <w:numId w:val="1"/>
        </w:numPr>
        <w:spacing w:after="0" w:line="360" w:lineRule="auto"/>
        <w:rPr>
          <w:rFonts w:ascii="Times New Roman" w:hAnsi="Times New Roman"/>
          <w:sz w:val="28"/>
          <w:szCs w:val="28"/>
          <w:lang w:val="en-US"/>
        </w:rPr>
      </w:pPr>
      <w:r>
        <w:rPr>
          <w:rFonts w:ascii="Times New Roman" w:hAnsi="Times New Roman"/>
          <w:sz w:val="28"/>
          <w:szCs w:val="28"/>
          <w:lang w:val="en-US"/>
        </w:rPr>
        <w:t xml:space="preserve">Bank of Israel. </w:t>
      </w:r>
      <w:r w:rsidRPr="00194EB7">
        <w:rPr>
          <w:rFonts w:ascii="Times New Roman" w:hAnsi="Times New Roman"/>
          <w:sz w:val="28"/>
          <w:szCs w:val="28"/>
          <w:lang w:val="en-US"/>
        </w:rPr>
        <w:t>Israel's Financial Account (Updated on: 30/05/2023)</w:t>
      </w:r>
      <w:r>
        <w:rPr>
          <w:rFonts w:ascii="Times New Roman" w:hAnsi="Times New Roman"/>
          <w:sz w:val="28"/>
          <w:szCs w:val="28"/>
          <w:lang w:val="en-US"/>
        </w:rPr>
        <w:t xml:space="preserve"> - </w:t>
      </w:r>
      <w:r w:rsidRPr="000A74E9">
        <w:rPr>
          <w:rFonts w:ascii="Times New Roman" w:hAnsi="Times New Roman"/>
          <w:sz w:val="28"/>
          <w:szCs w:val="28"/>
          <w:lang w:val="en-US"/>
        </w:rPr>
        <w:t>URL:</w:t>
      </w:r>
      <w:hyperlink r:id="rId40" w:history="1">
        <w:r w:rsidRPr="00465310">
          <w:rPr>
            <w:rStyle w:val="a3"/>
            <w:rFonts w:ascii="Times New Roman" w:hAnsi="Times New Roman"/>
            <w:sz w:val="28"/>
            <w:szCs w:val="28"/>
            <w:lang w:val="en-US"/>
          </w:rPr>
          <w:t>https://www.boi.org.il/boi_files/Statistics/y_indicators_e.xlsx</w:t>
        </w:r>
      </w:hyperlink>
    </w:p>
    <w:p w:rsidR="00EC1B3C" w:rsidRDefault="00EC1B3C" w:rsidP="000A74E9">
      <w:pPr>
        <w:pStyle w:val="a9"/>
        <w:numPr>
          <w:ilvl w:val="0"/>
          <w:numId w:val="1"/>
        </w:numPr>
        <w:spacing w:after="0" w:line="360" w:lineRule="auto"/>
        <w:rPr>
          <w:rFonts w:ascii="Times New Roman" w:hAnsi="Times New Roman"/>
          <w:sz w:val="28"/>
          <w:szCs w:val="28"/>
          <w:lang w:val="en-US"/>
        </w:rPr>
      </w:pPr>
      <w:r w:rsidRPr="000A74E9">
        <w:rPr>
          <w:rFonts w:ascii="Times New Roman" w:hAnsi="Times New Roman"/>
          <w:sz w:val="28"/>
          <w:szCs w:val="28"/>
          <w:lang w:val="en-US"/>
        </w:rPr>
        <w:t>Bank of Israel.</w:t>
      </w:r>
      <w:r w:rsidRPr="000A74E9">
        <w:rPr>
          <w:rFonts w:ascii="Times New Roman" w:hAnsi="Times New Roman"/>
          <w:sz w:val="28"/>
          <w:szCs w:val="28"/>
          <w:lang w:val="en-US"/>
        </w:rPr>
        <w:tab/>
        <w:t>Israel's Financial Account (Updated on: 30/05/2023)- URL:</w:t>
      </w:r>
      <w:hyperlink r:id="rId41" w:history="1">
        <w:r w:rsidRPr="00465310">
          <w:rPr>
            <w:rStyle w:val="a3"/>
            <w:rFonts w:ascii="Times New Roman" w:hAnsi="Times New Roman"/>
            <w:sz w:val="28"/>
            <w:szCs w:val="28"/>
            <w:lang w:val="en-US"/>
          </w:rPr>
          <w:t>https://www.boi.org.il/boi_files/Statistics/y_tab01e.xls</w:t>
        </w:r>
      </w:hyperlink>
    </w:p>
    <w:p w:rsidR="00EC1B3C" w:rsidRDefault="00EC1B3C" w:rsidP="00D41C10">
      <w:pPr>
        <w:pStyle w:val="a9"/>
        <w:numPr>
          <w:ilvl w:val="0"/>
          <w:numId w:val="1"/>
        </w:numPr>
        <w:spacing w:after="0" w:line="360" w:lineRule="auto"/>
        <w:rPr>
          <w:rFonts w:ascii="Times New Roman" w:hAnsi="Times New Roman"/>
          <w:sz w:val="28"/>
          <w:szCs w:val="28"/>
          <w:lang w:val="en-US"/>
        </w:rPr>
      </w:pPr>
      <w:r w:rsidRPr="000A74E9">
        <w:rPr>
          <w:rFonts w:ascii="Times New Roman" w:hAnsi="Times New Roman"/>
          <w:sz w:val="28"/>
          <w:szCs w:val="28"/>
          <w:lang w:val="en-US"/>
        </w:rPr>
        <w:tab/>
      </w:r>
      <w:r w:rsidRPr="00D41C10">
        <w:rPr>
          <w:rFonts w:ascii="Times New Roman" w:hAnsi="Times New Roman"/>
          <w:sz w:val="28"/>
          <w:szCs w:val="28"/>
          <w:lang w:val="en-US"/>
        </w:rPr>
        <w:t xml:space="preserve">Bank of Israel. </w:t>
      </w:r>
      <w:r w:rsidRPr="000A74E9">
        <w:rPr>
          <w:rFonts w:ascii="Times New Roman" w:hAnsi="Times New Roman"/>
          <w:sz w:val="28"/>
          <w:szCs w:val="28"/>
          <w:lang w:val="en-US"/>
        </w:rPr>
        <w:t>Nonresident Investment in Israel (Updated on: 30/05/2023)</w:t>
      </w:r>
      <w:r w:rsidRPr="0094392D">
        <w:rPr>
          <w:rFonts w:ascii="Times New Roman" w:hAnsi="Times New Roman"/>
          <w:sz w:val="28"/>
          <w:lang w:val="uk-UA"/>
        </w:rPr>
        <w:t xml:space="preserve">– URL: </w:t>
      </w:r>
      <w:hyperlink r:id="rId42" w:history="1">
        <w:r w:rsidRPr="00465310">
          <w:rPr>
            <w:rStyle w:val="a3"/>
            <w:rFonts w:ascii="Times New Roman" w:hAnsi="Times New Roman"/>
            <w:sz w:val="28"/>
            <w:szCs w:val="28"/>
            <w:lang w:val="en-US"/>
          </w:rPr>
          <w:t>https://www.boi.org.il/boi_files/Statistics/y_tab02e.xls</w:t>
        </w:r>
      </w:hyperlink>
    </w:p>
    <w:p w:rsidR="00EC1B3C" w:rsidRDefault="00EC1B3C" w:rsidP="00D41C10">
      <w:pPr>
        <w:pStyle w:val="a9"/>
        <w:numPr>
          <w:ilvl w:val="0"/>
          <w:numId w:val="1"/>
        </w:numPr>
        <w:spacing w:after="0" w:line="360" w:lineRule="auto"/>
        <w:rPr>
          <w:rFonts w:ascii="Times New Roman" w:hAnsi="Times New Roman"/>
          <w:sz w:val="28"/>
          <w:szCs w:val="28"/>
          <w:lang w:val="en-US"/>
        </w:rPr>
      </w:pPr>
      <w:r w:rsidRPr="00D41C10">
        <w:rPr>
          <w:rFonts w:ascii="Times New Roman" w:hAnsi="Times New Roman"/>
          <w:sz w:val="28"/>
          <w:szCs w:val="28"/>
          <w:lang w:val="en-US"/>
        </w:rPr>
        <w:t>Bank of Israel</w:t>
      </w:r>
      <w:r>
        <w:rPr>
          <w:rFonts w:ascii="Times New Roman" w:hAnsi="Times New Roman"/>
          <w:sz w:val="28"/>
          <w:szCs w:val="28"/>
          <w:lang w:val="en-US"/>
        </w:rPr>
        <w:t>.</w:t>
      </w:r>
      <w:r w:rsidRPr="00CC7401">
        <w:rPr>
          <w:rFonts w:ascii="Times New Roman" w:hAnsi="Times New Roman"/>
          <w:sz w:val="28"/>
          <w:szCs w:val="28"/>
          <w:lang w:val="en-US"/>
        </w:rPr>
        <w:t>Resident Investment Abroad (Updated on: 30/05/2023)</w:t>
      </w:r>
      <w:r w:rsidRPr="0094392D">
        <w:rPr>
          <w:rFonts w:ascii="Times New Roman" w:hAnsi="Times New Roman"/>
          <w:sz w:val="28"/>
          <w:lang w:val="uk-UA"/>
        </w:rPr>
        <w:t xml:space="preserve">– URL: </w:t>
      </w:r>
      <w:hyperlink r:id="rId43" w:history="1">
        <w:r w:rsidRPr="00465310">
          <w:rPr>
            <w:rStyle w:val="a3"/>
            <w:rFonts w:ascii="Times New Roman" w:hAnsi="Times New Roman"/>
            <w:sz w:val="28"/>
            <w:szCs w:val="28"/>
            <w:lang w:val="en-US"/>
          </w:rPr>
          <w:t>https://www.boi.org.il/boi_files/Statistics/y_tab03e.xls</w:t>
        </w:r>
      </w:hyperlink>
    </w:p>
    <w:p w:rsidR="00EC1B3C" w:rsidRDefault="00EC1B3C" w:rsidP="00D41C10">
      <w:pPr>
        <w:pStyle w:val="a9"/>
        <w:numPr>
          <w:ilvl w:val="0"/>
          <w:numId w:val="1"/>
        </w:numPr>
        <w:spacing w:after="0" w:line="360" w:lineRule="auto"/>
        <w:rPr>
          <w:rFonts w:ascii="Times New Roman" w:hAnsi="Times New Roman"/>
          <w:sz w:val="28"/>
          <w:szCs w:val="28"/>
          <w:lang w:val="en-US"/>
        </w:rPr>
      </w:pPr>
      <w:r w:rsidRPr="00D41C10">
        <w:rPr>
          <w:rFonts w:ascii="Times New Roman" w:hAnsi="Times New Roman"/>
          <w:sz w:val="28"/>
          <w:szCs w:val="28"/>
          <w:lang w:val="en-US"/>
        </w:rPr>
        <w:t xml:space="preserve">Bank of Israel. </w:t>
      </w:r>
      <w:r w:rsidRPr="00CC7401">
        <w:rPr>
          <w:rFonts w:ascii="Times New Roman" w:hAnsi="Times New Roman"/>
          <w:sz w:val="28"/>
          <w:szCs w:val="28"/>
          <w:lang w:val="en-US"/>
        </w:rPr>
        <w:t>Developments in the economy's basic account over the past two decades</w:t>
      </w:r>
      <w:r w:rsidRPr="0094392D">
        <w:rPr>
          <w:rFonts w:ascii="Times New Roman" w:hAnsi="Times New Roman"/>
          <w:sz w:val="28"/>
          <w:lang w:val="uk-UA"/>
        </w:rPr>
        <w:t xml:space="preserve">– URL: </w:t>
      </w:r>
      <w:hyperlink r:id="rId44" w:history="1">
        <w:r w:rsidRPr="00465310">
          <w:rPr>
            <w:rStyle w:val="a3"/>
            <w:rFonts w:ascii="Times New Roman" w:hAnsi="Times New Roman"/>
            <w:sz w:val="28"/>
            <w:szCs w:val="28"/>
            <w:lang w:val="en-US"/>
          </w:rPr>
          <w:t>https://www.boi.org.il/media/5ptamxt2/basic-account.pdf</w:t>
        </w:r>
      </w:hyperlink>
    </w:p>
    <w:p w:rsidR="00EC1B3C" w:rsidRDefault="00EC1B3C" w:rsidP="00D41C10">
      <w:pPr>
        <w:pStyle w:val="a9"/>
        <w:numPr>
          <w:ilvl w:val="0"/>
          <w:numId w:val="1"/>
        </w:numPr>
        <w:spacing w:after="0" w:line="360" w:lineRule="auto"/>
        <w:rPr>
          <w:rFonts w:ascii="Times New Roman" w:hAnsi="Times New Roman"/>
          <w:sz w:val="28"/>
          <w:szCs w:val="28"/>
          <w:lang w:val="en-US"/>
        </w:rPr>
      </w:pPr>
      <w:r w:rsidRPr="00D41C10">
        <w:rPr>
          <w:rFonts w:ascii="Times New Roman" w:hAnsi="Times New Roman"/>
          <w:sz w:val="28"/>
          <w:szCs w:val="28"/>
          <w:lang w:val="en-US"/>
        </w:rPr>
        <w:t xml:space="preserve">Bank of Israel. </w:t>
      </w:r>
      <w:r w:rsidRPr="00CC7401">
        <w:rPr>
          <w:rFonts w:ascii="Times New Roman" w:hAnsi="Times New Roman"/>
          <w:sz w:val="28"/>
          <w:szCs w:val="28"/>
          <w:lang w:val="en-US"/>
        </w:rPr>
        <w:t>Measuring direct investment as a part of the International Investment Position</w:t>
      </w:r>
      <w:r w:rsidRPr="0094392D">
        <w:rPr>
          <w:rFonts w:ascii="Times New Roman" w:hAnsi="Times New Roman"/>
          <w:sz w:val="28"/>
          <w:lang w:val="uk-UA"/>
        </w:rPr>
        <w:t xml:space="preserve">– URL: </w:t>
      </w:r>
      <w:hyperlink r:id="rId45" w:history="1">
        <w:r w:rsidRPr="00465310">
          <w:rPr>
            <w:rStyle w:val="a3"/>
            <w:rFonts w:ascii="Times New Roman" w:hAnsi="Times New Roman"/>
            <w:sz w:val="28"/>
            <w:szCs w:val="28"/>
            <w:lang w:val="en-US"/>
          </w:rPr>
          <w:t>https://www.boi.org.il/media/h5pjpirt/part-two-3.pdf</w:t>
        </w:r>
      </w:hyperlink>
    </w:p>
    <w:p w:rsidR="00EC1B3C" w:rsidRDefault="00EC1B3C" w:rsidP="00CC7401">
      <w:pPr>
        <w:pStyle w:val="a9"/>
        <w:numPr>
          <w:ilvl w:val="0"/>
          <w:numId w:val="1"/>
        </w:numPr>
        <w:spacing w:after="0" w:line="360" w:lineRule="auto"/>
        <w:rPr>
          <w:rFonts w:ascii="Times New Roman" w:hAnsi="Times New Roman"/>
          <w:sz w:val="28"/>
          <w:szCs w:val="28"/>
          <w:lang w:val="en-US"/>
        </w:rPr>
      </w:pPr>
      <w:r w:rsidRPr="00D41C10">
        <w:rPr>
          <w:rFonts w:ascii="Times New Roman" w:hAnsi="Times New Roman"/>
          <w:sz w:val="28"/>
          <w:szCs w:val="28"/>
          <w:lang w:val="en-US"/>
        </w:rPr>
        <w:t>Bank of Israel</w:t>
      </w:r>
      <w:r>
        <w:rPr>
          <w:rFonts w:ascii="Times New Roman" w:hAnsi="Times New Roman"/>
          <w:sz w:val="28"/>
          <w:szCs w:val="28"/>
          <w:lang w:val="en-US"/>
        </w:rPr>
        <w:t>.</w:t>
      </w:r>
      <w:r w:rsidRPr="00CC7401">
        <w:rPr>
          <w:rFonts w:ascii="Times New Roman" w:hAnsi="Times New Roman"/>
          <w:sz w:val="28"/>
          <w:szCs w:val="28"/>
          <w:lang w:val="en-US"/>
        </w:rPr>
        <w:t>Measuring the Country's External Debt</w:t>
      </w:r>
      <w:r w:rsidRPr="0094392D">
        <w:rPr>
          <w:rFonts w:ascii="Times New Roman" w:hAnsi="Times New Roman"/>
          <w:sz w:val="28"/>
          <w:lang w:val="uk-UA"/>
        </w:rPr>
        <w:t xml:space="preserve">– URL: </w:t>
      </w:r>
      <w:hyperlink r:id="rId46" w:history="1">
        <w:r w:rsidRPr="00465310">
          <w:rPr>
            <w:rStyle w:val="a3"/>
            <w:rFonts w:ascii="Times New Roman" w:hAnsi="Times New Roman"/>
            <w:sz w:val="28"/>
            <w:szCs w:val="28"/>
            <w:lang w:val="en-US"/>
          </w:rPr>
          <w:t>https://www.boi.org.il/media/5p2amf42/part-two-2.pdf</w:t>
        </w:r>
      </w:hyperlink>
    </w:p>
    <w:p w:rsidR="00EC1B3C" w:rsidRDefault="00EC1B3C" w:rsidP="00CC7401">
      <w:pPr>
        <w:pStyle w:val="a9"/>
        <w:numPr>
          <w:ilvl w:val="0"/>
          <w:numId w:val="1"/>
        </w:numPr>
        <w:spacing w:after="0" w:line="360" w:lineRule="auto"/>
        <w:rPr>
          <w:rFonts w:ascii="Times New Roman" w:hAnsi="Times New Roman"/>
          <w:sz w:val="28"/>
          <w:szCs w:val="28"/>
          <w:lang w:val="en-US"/>
        </w:rPr>
      </w:pPr>
      <w:r w:rsidRPr="00D41C10">
        <w:rPr>
          <w:rFonts w:ascii="Times New Roman" w:hAnsi="Times New Roman"/>
          <w:sz w:val="28"/>
          <w:szCs w:val="28"/>
          <w:lang w:val="en-US"/>
        </w:rPr>
        <w:t>Bank of Israel</w:t>
      </w:r>
      <w:r>
        <w:rPr>
          <w:rFonts w:ascii="Times New Roman" w:hAnsi="Times New Roman"/>
          <w:sz w:val="28"/>
          <w:szCs w:val="28"/>
          <w:lang w:val="en-US"/>
        </w:rPr>
        <w:t>.</w:t>
      </w:r>
      <w:r w:rsidRPr="00CC7401">
        <w:rPr>
          <w:rFonts w:ascii="Times New Roman" w:hAnsi="Times New Roman"/>
          <w:sz w:val="28"/>
          <w:szCs w:val="28"/>
          <w:lang w:val="en-US"/>
        </w:rPr>
        <w:t>Regular Reports By The Bank of Israel To International Institutions</w:t>
      </w:r>
      <w:r w:rsidRPr="0094392D">
        <w:rPr>
          <w:rFonts w:ascii="Times New Roman" w:hAnsi="Times New Roman"/>
          <w:sz w:val="28"/>
          <w:lang w:val="uk-UA"/>
        </w:rPr>
        <w:t xml:space="preserve">– URL: </w:t>
      </w:r>
      <w:hyperlink r:id="rId47" w:history="1">
        <w:r w:rsidRPr="00465310">
          <w:rPr>
            <w:rStyle w:val="a3"/>
            <w:rFonts w:ascii="Times New Roman" w:hAnsi="Times New Roman"/>
            <w:sz w:val="28"/>
            <w:szCs w:val="28"/>
            <w:lang w:val="en-US"/>
          </w:rPr>
          <w:t>https://www.boi.org.il/media/rlpepxk2/part-two-2.pdf</w:t>
        </w:r>
      </w:hyperlink>
    </w:p>
    <w:p w:rsidR="00EC1B3C" w:rsidRDefault="00EC1B3C" w:rsidP="00D41C10">
      <w:pPr>
        <w:pStyle w:val="a9"/>
        <w:numPr>
          <w:ilvl w:val="0"/>
          <w:numId w:val="1"/>
        </w:numPr>
        <w:spacing w:after="0" w:line="360" w:lineRule="auto"/>
        <w:rPr>
          <w:rFonts w:ascii="Times New Roman" w:hAnsi="Times New Roman"/>
          <w:sz w:val="28"/>
          <w:szCs w:val="28"/>
          <w:lang w:val="en-US"/>
        </w:rPr>
      </w:pPr>
      <w:r w:rsidRPr="00D41C10">
        <w:rPr>
          <w:rFonts w:ascii="Times New Roman" w:hAnsi="Times New Roman"/>
          <w:sz w:val="28"/>
          <w:szCs w:val="28"/>
          <w:lang w:val="en-US"/>
        </w:rPr>
        <w:t>Bank of Israel</w:t>
      </w:r>
      <w:r>
        <w:rPr>
          <w:rFonts w:ascii="Times New Roman" w:hAnsi="Times New Roman"/>
          <w:sz w:val="28"/>
          <w:szCs w:val="28"/>
          <w:lang w:val="en-US"/>
        </w:rPr>
        <w:t>.</w:t>
      </w:r>
      <w:r w:rsidRPr="00CC7401">
        <w:rPr>
          <w:rFonts w:ascii="Times New Roman" w:hAnsi="Times New Roman"/>
          <w:sz w:val="28"/>
          <w:szCs w:val="28"/>
          <w:lang w:val="en-US"/>
        </w:rPr>
        <w:t>International Investment Position (IIP) (Updated on: 21/03/2023)</w:t>
      </w:r>
      <w:r w:rsidRPr="00D41C10">
        <w:rPr>
          <w:rFonts w:ascii="Times New Roman" w:hAnsi="Times New Roman"/>
          <w:sz w:val="28"/>
          <w:szCs w:val="28"/>
          <w:lang w:val="en-US"/>
        </w:rPr>
        <w:t xml:space="preserve">– URL: </w:t>
      </w:r>
      <w:hyperlink r:id="rId48" w:history="1">
        <w:r w:rsidRPr="00465310">
          <w:rPr>
            <w:rStyle w:val="a3"/>
            <w:rFonts w:ascii="Times New Roman" w:hAnsi="Times New Roman"/>
            <w:sz w:val="28"/>
            <w:szCs w:val="28"/>
            <w:lang w:val="en-US"/>
          </w:rPr>
          <w:t>https://www.boi.org.il/boi_files/Statistics/iipsh_e.xls</w:t>
        </w:r>
      </w:hyperlink>
    </w:p>
    <w:p w:rsidR="00EC1B3C" w:rsidRDefault="00EC1B3C" w:rsidP="00D41C10">
      <w:pPr>
        <w:pStyle w:val="a9"/>
        <w:numPr>
          <w:ilvl w:val="0"/>
          <w:numId w:val="1"/>
        </w:numPr>
        <w:spacing w:after="0" w:line="360" w:lineRule="auto"/>
        <w:rPr>
          <w:rFonts w:ascii="Times New Roman" w:hAnsi="Times New Roman"/>
          <w:sz w:val="28"/>
          <w:szCs w:val="28"/>
          <w:lang w:val="en-US"/>
        </w:rPr>
      </w:pPr>
      <w:r w:rsidRPr="00D41C10">
        <w:rPr>
          <w:rFonts w:ascii="Times New Roman" w:hAnsi="Times New Roman"/>
          <w:sz w:val="28"/>
          <w:szCs w:val="28"/>
          <w:lang w:val="en-US"/>
        </w:rPr>
        <w:t>Bank of Israel</w:t>
      </w:r>
      <w:r>
        <w:rPr>
          <w:rFonts w:ascii="Times New Roman" w:hAnsi="Times New Roman"/>
          <w:sz w:val="28"/>
          <w:szCs w:val="28"/>
          <w:lang w:val="en-US"/>
        </w:rPr>
        <w:t>.</w:t>
      </w:r>
      <w:r w:rsidRPr="00CC7401">
        <w:rPr>
          <w:rFonts w:ascii="Times New Roman" w:hAnsi="Times New Roman"/>
          <w:sz w:val="28"/>
          <w:szCs w:val="28"/>
          <w:lang w:val="en-US"/>
        </w:rPr>
        <w:t>International Investment Position By Sector (Updated on: 21/03/2023)</w:t>
      </w:r>
      <w:r w:rsidRPr="00D41C10">
        <w:rPr>
          <w:rFonts w:ascii="Times New Roman" w:hAnsi="Times New Roman"/>
          <w:sz w:val="28"/>
          <w:szCs w:val="28"/>
          <w:lang w:val="en-US"/>
        </w:rPr>
        <w:t xml:space="preserve">– URL: </w:t>
      </w:r>
      <w:hyperlink r:id="rId49" w:history="1">
        <w:r w:rsidRPr="00465310">
          <w:rPr>
            <w:rStyle w:val="a3"/>
            <w:rFonts w:ascii="Times New Roman" w:hAnsi="Times New Roman"/>
            <w:sz w:val="28"/>
            <w:szCs w:val="28"/>
            <w:lang w:val="en-US"/>
          </w:rPr>
          <w:t>https://www.boi.org.il/boi_files/Statistics/q_sec01e.xls</w:t>
        </w:r>
      </w:hyperlink>
    </w:p>
    <w:p w:rsidR="00EC1B3C" w:rsidRDefault="00EC1B3C" w:rsidP="00D41C10">
      <w:pPr>
        <w:pStyle w:val="a9"/>
        <w:numPr>
          <w:ilvl w:val="0"/>
          <w:numId w:val="1"/>
        </w:numPr>
        <w:spacing w:after="0" w:line="360" w:lineRule="auto"/>
        <w:rPr>
          <w:rFonts w:ascii="Times New Roman" w:hAnsi="Times New Roman"/>
          <w:sz w:val="28"/>
          <w:szCs w:val="28"/>
          <w:lang w:val="en-US"/>
        </w:rPr>
      </w:pPr>
      <w:r w:rsidRPr="00D41C10">
        <w:rPr>
          <w:rFonts w:ascii="Times New Roman" w:hAnsi="Times New Roman"/>
          <w:sz w:val="28"/>
          <w:szCs w:val="28"/>
          <w:lang w:val="en-US"/>
        </w:rPr>
        <w:t>Bank of Israel</w:t>
      </w:r>
      <w:r>
        <w:rPr>
          <w:rFonts w:ascii="Times New Roman" w:hAnsi="Times New Roman"/>
          <w:sz w:val="28"/>
          <w:szCs w:val="28"/>
          <w:lang w:val="en-US"/>
        </w:rPr>
        <w:t>.</w:t>
      </w:r>
      <w:r w:rsidRPr="00D41C10">
        <w:rPr>
          <w:rFonts w:ascii="Times New Roman" w:hAnsi="Times New Roman"/>
          <w:sz w:val="28"/>
          <w:szCs w:val="28"/>
          <w:lang w:val="en-US"/>
        </w:rPr>
        <w:t xml:space="preserve"> International Investment Position (IIP) - Historical Data (Updated on: 08/01/2023)– URL: </w:t>
      </w:r>
      <w:hyperlink r:id="rId50" w:history="1">
        <w:r w:rsidRPr="00465310">
          <w:rPr>
            <w:rStyle w:val="a3"/>
            <w:rFonts w:ascii="Times New Roman" w:hAnsi="Times New Roman"/>
            <w:sz w:val="28"/>
            <w:szCs w:val="28"/>
            <w:lang w:val="en-US"/>
          </w:rPr>
          <w:t>https://www.boi.org.il/boi_files/Statistics/iipsh_past_e.xls</w:t>
        </w:r>
      </w:hyperlink>
    </w:p>
    <w:p w:rsidR="00EC1B3C" w:rsidRDefault="00EC1B3C" w:rsidP="00D41C10">
      <w:pPr>
        <w:pStyle w:val="a9"/>
        <w:numPr>
          <w:ilvl w:val="0"/>
          <w:numId w:val="1"/>
        </w:numPr>
        <w:spacing w:after="0" w:line="360" w:lineRule="auto"/>
        <w:rPr>
          <w:rFonts w:ascii="Times New Roman" w:hAnsi="Times New Roman"/>
          <w:sz w:val="28"/>
          <w:szCs w:val="28"/>
          <w:lang w:val="en-US"/>
        </w:rPr>
      </w:pPr>
      <w:r w:rsidRPr="00D41C10">
        <w:rPr>
          <w:rFonts w:ascii="Times New Roman" w:hAnsi="Times New Roman"/>
          <w:sz w:val="28"/>
          <w:szCs w:val="28"/>
          <w:lang w:val="en-US"/>
        </w:rPr>
        <w:t>Bank of Israel</w:t>
      </w:r>
      <w:r>
        <w:rPr>
          <w:rFonts w:ascii="Times New Roman" w:hAnsi="Times New Roman"/>
          <w:sz w:val="28"/>
          <w:szCs w:val="28"/>
          <w:lang w:val="en-US"/>
        </w:rPr>
        <w:t>.</w:t>
      </w:r>
      <w:r w:rsidRPr="00D41C10">
        <w:rPr>
          <w:rFonts w:ascii="Times New Roman" w:hAnsi="Times New Roman"/>
          <w:sz w:val="28"/>
          <w:szCs w:val="28"/>
          <w:lang w:val="en-US"/>
        </w:rPr>
        <w:t xml:space="preserve"> Statistical Bulletin - Economic Activity vis-à-vis Abroad– URL: </w:t>
      </w:r>
      <w:hyperlink r:id="rId51" w:history="1">
        <w:r w:rsidRPr="00465310">
          <w:rPr>
            <w:rStyle w:val="a3"/>
            <w:rFonts w:ascii="Times New Roman" w:hAnsi="Times New Roman"/>
            <w:sz w:val="28"/>
            <w:szCs w:val="28"/>
            <w:lang w:val="en-US"/>
          </w:rPr>
          <w:t>https://www.boi.org.il/en/communication-and-publications/regular-publications/statistical-publications/statistical-bulletin-2020/</w:t>
        </w:r>
      </w:hyperlink>
    </w:p>
    <w:p w:rsidR="00EC1B3C" w:rsidRDefault="00EC1B3C" w:rsidP="00D41C10">
      <w:pPr>
        <w:pStyle w:val="a9"/>
        <w:numPr>
          <w:ilvl w:val="0"/>
          <w:numId w:val="1"/>
        </w:numPr>
        <w:spacing w:after="0" w:line="360" w:lineRule="auto"/>
        <w:rPr>
          <w:rFonts w:ascii="Times New Roman" w:hAnsi="Times New Roman"/>
          <w:sz w:val="28"/>
          <w:szCs w:val="28"/>
          <w:lang w:val="en-US"/>
        </w:rPr>
      </w:pPr>
      <w:r w:rsidRPr="00D41C10">
        <w:rPr>
          <w:rFonts w:ascii="Times New Roman" w:hAnsi="Times New Roman"/>
          <w:sz w:val="28"/>
          <w:szCs w:val="28"/>
          <w:lang w:val="en-US"/>
        </w:rPr>
        <w:t>Bank of Israel</w:t>
      </w:r>
      <w:r>
        <w:rPr>
          <w:rFonts w:ascii="Times New Roman" w:hAnsi="Times New Roman"/>
          <w:sz w:val="28"/>
          <w:szCs w:val="28"/>
          <w:lang w:val="en-US"/>
        </w:rPr>
        <w:t>.</w:t>
      </w:r>
      <w:r w:rsidRPr="00D41C10">
        <w:rPr>
          <w:rFonts w:ascii="Times New Roman" w:hAnsi="Times New Roman"/>
          <w:sz w:val="28"/>
          <w:szCs w:val="28"/>
          <w:lang w:val="en-US"/>
        </w:rPr>
        <w:t xml:space="preserve"> Bank of Israel Annual Report: Chapter 2 - ​Aggregate Activity: GDP and Employment</w:t>
      </w:r>
      <w:r w:rsidRPr="0094392D">
        <w:rPr>
          <w:rFonts w:ascii="Times New Roman" w:hAnsi="Times New Roman"/>
          <w:sz w:val="28"/>
          <w:lang w:val="uk-UA"/>
        </w:rPr>
        <w:t xml:space="preserve">– URL: </w:t>
      </w:r>
      <w:hyperlink r:id="rId52" w:history="1">
        <w:r w:rsidRPr="00465310">
          <w:rPr>
            <w:rStyle w:val="a3"/>
            <w:rFonts w:ascii="Times New Roman" w:hAnsi="Times New Roman"/>
            <w:sz w:val="28"/>
            <w:szCs w:val="28"/>
            <w:lang w:val="en-US"/>
          </w:rPr>
          <w:t>https://www.boi.org.il/22537</w:t>
        </w:r>
      </w:hyperlink>
    </w:p>
    <w:p w:rsidR="00EC1B3C" w:rsidRPr="00194EB7" w:rsidRDefault="00EC1B3C" w:rsidP="00D41C10">
      <w:pPr>
        <w:pStyle w:val="a9"/>
        <w:spacing w:after="0" w:line="360" w:lineRule="auto"/>
        <w:ind w:left="360"/>
        <w:rPr>
          <w:rFonts w:ascii="Times New Roman" w:hAnsi="Times New Roman"/>
          <w:sz w:val="28"/>
          <w:szCs w:val="28"/>
          <w:lang w:val="en-US"/>
        </w:rPr>
      </w:pPr>
    </w:p>
    <w:p w:rsidR="00EC1B3C" w:rsidRPr="0094392D" w:rsidRDefault="00EC1B3C" w:rsidP="00F93BF1">
      <w:pPr>
        <w:spacing w:after="0" w:line="360" w:lineRule="auto"/>
        <w:jc w:val="center"/>
        <w:rPr>
          <w:rFonts w:ascii="Times New Roman" w:hAnsi="Times New Roman"/>
          <w:b/>
          <w:sz w:val="28"/>
          <w:szCs w:val="28"/>
          <w:lang w:val="uk-UA"/>
        </w:rPr>
      </w:pPr>
      <w:r w:rsidRPr="0094392D">
        <w:rPr>
          <w:rFonts w:ascii="Times New Roman" w:hAnsi="Times New Roman"/>
          <w:b/>
          <w:sz w:val="28"/>
          <w:szCs w:val="28"/>
          <w:lang w:val="uk-UA"/>
        </w:rPr>
        <w:t>ДОДАТКИ</w:t>
      </w:r>
    </w:p>
    <w:p w:rsidR="00EC1B3C" w:rsidRPr="0094392D" w:rsidRDefault="00EC1B3C" w:rsidP="00556D65">
      <w:pPr>
        <w:spacing w:after="0" w:line="360" w:lineRule="auto"/>
        <w:jc w:val="right"/>
        <w:rPr>
          <w:rFonts w:ascii="Times New Roman" w:hAnsi="Times New Roman"/>
          <w:sz w:val="28"/>
          <w:szCs w:val="28"/>
          <w:lang w:val="uk-UA"/>
        </w:rPr>
      </w:pPr>
      <w:r w:rsidRPr="0094392D">
        <w:rPr>
          <w:rFonts w:ascii="Times New Roman" w:hAnsi="Times New Roman"/>
          <w:sz w:val="28"/>
          <w:szCs w:val="28"/>
          <w:lang w:val="uk-UA"/>
        </w:rPr>
        <w:t>Додаток А</w:t>
      </w:r>
    </w:p>
    <w:p w:rsidR="00EC1B3C" w:rsidRPr="0094392D" w:rsidRDefault="00EC1B3C" w:rsidP="00556D65">
      <w:pPr>
        <w:spacing w:after="0" w:line="360" w:lineRule="auto"/>
        <w:jc w:val="right"/>
        <w:rPr>
          <w:rFonts w:ascii="Times New Roman" w:hAnsi="Times New Roman"/>
          <w:sz w:val="28"/>
          <w:szCs w:val="28"/>
          <w:lang w:val="uk-UA"/>
        </w:rPr>
      </w:pPr>
      <w:r w:rsidRPr="0094392D">
        <w:rPr>
          <w:rFonts w:ascii="Times New Roman" w:hAnsi="Times New Roman"/>
          <w:sz w:val="28"/>
          <w:szCs w:val="28"/>
          <w:lang w:val="uk-UA"/>
        </w:rPr>
        <w:t>Таблиця А.1</w:t>
      </w:r>
    </w:p>
    <w:p w:rsidR="00EC1B3C" w:rsidRPr="0094392D" w:rsidRDefault="00EC1B3C" w:rsidP="00395995">
      <w:pPr>
        <w:spacing w:after="0" w:line="360" w:lineRule="auto"/>
        <w:jc w:val="center"/>
        <w:rPr>
          <w:rFonts w:ascii="Times New Roman" w:hAnsi="Times New Roman"/>
          <w:sz w:val="28"/>
          <w:szCs w:val="28"/>
          <w:lang w:val="uk-UA"/>
        </w:rPr>
      </w:pPr>
      <w:r w:rsidRPr="0094392D">
        <w:rPr>
          <w:rFonts w:ascii="Times New Roman" w:hAnsi="Times New Roman"/>
          <w:sz w:val="28"/>
          <w:szCs w:val="28"/>
          <w:lang w:val="uk-UA"/>
        </w:rPr>
        <w:t>Економетричний аналіз факторів впливу на дохід від інвестицій Ізраїлю</w:t>
      </w:r>
    </w:p>
    <w:tbl>
      <w:tblPr>
        <w:tblW w:w="9498" w:type="dxa"/>
        <w:jc w:val="center"/>
        <w:tblLook w:val="00A0" w:firstRow="1" w:lastRow="0" w:firstColumn="1" w:lastColumn="0" w:noHBand="0" w:noVBand="0"/>
      </w:tblPr>
      <w:tblGrid>
        <w:gridCol w:w="904"/>
        <w:gridCol w:w="1879"/>
        <w:gridCol w:w="1849"/>
        <w:gridCol w:w="1506"/>
        <w:gridCol w:w="1517"/>
        <w:gridCol w:w="1843"/>
      </w:tblGrid>
      <w:tr w:rsidR="00EC1B3C" w:rsidRPr="008D06EC" w:rsidTr="00634801">
        <w:trPr>
          <w:trHeight w:val="315"/>
          <w:jc w:val="center"/>
        </w:trPr>
        <w:tc>
          <w:tcPr>
            <w:tcW w:w="904" w:type="dxa"/>
            <w:tcBorders>
              <w:top w:val="single" w:sz="4" w:space="0" w:color="auto"/>
              <w:left w:val="single" w:sz="4" w:space="0" w:color="auto"/>
              <w:bottom w:val="single" w:sz="4" w:space="0" w:color="auto"/>
              <w:right w:val="single" w:sz="4" w:space="0" w:color="auto"/>
            </w:tcBorders>
            <w:shd w:val="clear" w:color="000000" w:fill="FFFFFF"/>
            <w:noWrap/>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Рік</w:t>
            </w:r>
          </w:p>
        </w:tc>
        <w:tc>
          <w:tcPr>
            <w:tcW w:w="1879" w:type="dxa"/>
            <w:tcBorders>
              <w:top w:val="single" w:sz="4" w:space="0" w:color="auto"/>
              <w:left w:val="nil"/>
              <w:bottom w:val="single" w:sz="4" w:space="0" w:color="auto"/>
              <w:right w:val="single" w:sz="4" w:space="0" w:color="auto"/>
            </w:tcBorders>
            <w:shd w:val="clear" w:color="000000" w:fill="FFFFFF"/>
            <w:noWrap/>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Баланс доходу від інвестицій (inv), млрд. дол. США</w:t>
            </w:r>
          </w:p>
        </w:tc>
        <w:tc>
          <w:tcPr>
            <w:tcW w:w="1849" w:type="dxa"/>
            <w:tcBorders>
              <w:top w:val="single" w:sz="4" w:space="0" w:color="auto"/>
              <w:left w:val="nil"/>
              <w:bottom w:val="single" w:sz="4" w:space="0" w:color="auto"/>
              <w:right w:val="single" w:sz="4" w:space="0" w:color="auto"/>
            </w:tcBorders>
            <w:shd w:val="clear" w:color="000000" w:fill="FFFFFF"/>
            <w:noWrap/>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Прямі інвестиції (активи), млрд. дол. США (d)</w:t>
            </w:r>
          </w:p>
        </w:tc>
        <w:tc>
          <w:tcPr>
            <w:tcW w:w="1506" w:type="dxa"/>
            <w:tcBorders>
              <w:top w:val="single" w:sz="4" w:space="0" w:color="auto"/>
              <w:left w:val="nil"/>
              <w:bottom w:val="single" w:sz="4" w:space="0" w:color="auto"/>
              <w:right w:val="single" w:sz="4" w:space="0" w:color="auto"/>
            </w:tcBorders>
            <w:shd w:val="clear" w:color="000000" w:fill="FFFFFF"/>
            <w:noWrap/>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Валютний курс (e)</w:t>
            </w:r>
          </w:p>
        </w:tc>
        <w:tc>
          <w:tcPr>
            <w:tcW w:w="1517" w:type="dxa"/>
            <w:tcBorders>
              <w:top w:val="single" w:sz="4" w:space="0" w:color="auto"/>
              <w:left w:val="nil"/>
              <w:bottom w:val="single" w:sz="4" w:space="0" w:color="auto"/>
              <w:right w:val="single" w:sz="4" w:space="0" w:color="auto"/>
            </w:tcBorders>
            <w:shd w:val="clear" w:color="000000" w:fill="FFFFFF"/>
            <w:noWrap/>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Відсоткова ставка, % (r)</w:t>
            </w:r>
          </w:p>
        </w:tc>
        <w:tc>
          <w:tcPr>
            <w:tcW w:w="1843" w:type="dxa"/>
            <w:tcBorders>
              <w:top w:val="single" w:sz="4" w:space="0" w:color="auto"/>
              <w:left w:val="nil"/>
              <w:bottom w:val="single" w:sz="4" w:space="0" w:color="auto"/>
              <w:right w:val="single" w:sz="4" w:space="0" w:color="auto"/>
            </w:tcBorders>
            <w:shd w:val="clear" w:color="000000" w:fill="FFFFFF"/>
            <w:noWrap/>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Видатки державного бюджету, % від ВВП (exp)</w:t>
            </w:r>
          </w:p>
        </w:tc>
      </w:tr>
      <w:tr w:rsidR="00EC1B3C" w:rsidRPr="008D06EC" w:rsidTr="00634801">
        <w:trPr>
          <w:trHeight w:val="315"/>
          <w:jc w:val="center"/>
        </w:trPr>
        <w:tc>
          <w:tcPr>
            <w:tcW w:w="904" w:type="dxa"/>
            <w:tcBorders>
              <w:top w:val="nil"/>
              <w:left w:val="single" w:sz="4" w:space="0" w:color="auto"/>
              <w:bottom w:val="single" w:sz="4" w:space="0" w:color="auto"/>
              <w:right w:val="single" w:sz="4" w:space="0" w:color="auto"/>
            </w:tcBorders>
            <w:shd w:val="clear" w:color="000000" w:fill="FFFFFF"/>
            <w:noWrap/>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1990</w:t>
            </w:r>
          </w:p>
        </w:tc>
        <w:tc>
          <w:tcPr>
            <w:tcW w:w="1879" w:type="dxa"/>
            <w:tcBorders>
              <w:top w:val="nil"/>
              <w:left w:val="nil"/>
              <w:bottom w:val="single" w:sz="4" w:space="0" w:color="auto"/>
              <w:right w:val="single" w:sz="4" w:space="0" w:color="auto"/>
            </w:tcBorders>
            <w:shd w:val="clear" w:color="000000" w:fill="FFFFFF"/>
            <w:noWrap/>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-1 231,10</w:t>
            </w:r>
          </w:p>
        </w:tc>
        <w:tc>
          <w:tcPr>
            <w:tcW w:w="1849" w:type="dxa"/>
            <w:tcBorders>
              <w:top w:val="nil"/>
              <w:left w:val="nil"/>
              <w:bottom w:val="single" w:sz="4" w:space="0" w:color="auto"/>
              <w:right w:val="single" w:sz="4" w:space="0" w:color="auto"/>
            </w:tcBorders>
            <w:shd w:val="clear" w:color="F2F2F2" w:fill="FFFFFF"/>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162,00</w:t>
            </w:r>
          </w:p>
        </w:tc>
        <w:tc>
          <w:tcPr>
            <w:tcW w:w="1506" w:type="dxa"/>
            <w:tcBorders>
              <w:top w:val="nil"/>
              <w:left w:val="nil"/>
              <w:bottom w:val="single" w:sz="4" w:space="0" w:color="auto"/>
              <w:right w:val="single" w:sz="4" w:space="0" w:color="auto"/>
            </w:tcBorders>
            <w:shd w:val="clear" w:color="000000" w:fill="FFFFFF"/>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2,02</w:t>
            </w:r>
          </w:p>
        </w:tc>
        <w:tc>
          <w:tcPr>
            <w:tcW w:w="1517" w:type="dxa"/>
            <w:tcBorders>
              <w:top w:val="nil"/>
              <w:left w:val="nil"/>
              <w:bottom w:val="single" w:sz="4" w:space="0" w:color="auto"/>
              <w:right w:val="single" w:sz="4" w:space="0" w:color="auto"/>
            </w:tcBorders>
            <w:shd w:val="clear" w:color="000000" w:fill="FFFFFF"/>
            <w:noWrap/>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 </w:t>
            </w:r>
          </w:p>
        </w:tc>
        <w:tc>
          <w:tcPr>
            <w:tcW w:w="1843" w:type="dxa"/>
            <w:tcBorders>
              <w:top w:val="nil"/>
              <w:left w:val="nil"/>
              <w:bottom w:val="single" w:sz="4" w:space="0" w:color="auto"/>
              <w:right w:val="single" w:sz="4" w:space="0" w:color="auto"/>
            </w:tcBorders>
            <w:shd w:val="clear" w:color="FFFFCC" w:fill="FFFFFF"/>
            <w:noWrap/>
            <w:vAlign w:val="center"/>
          </w:tcPr>
          <w:p w:rsidR="00EC1B3C" w:rsidRPr="0094392D" w:rsidRDefault="00EC1B3C" w:rsidP="000274B0">
            <w:pPr>
              <w:spacing w:after="0" w:line="240" w:lineRule="auto"/>
              <w:jc w:val="center"/>
              <w:rPr>
                <w:rFonts w:ascii="Times New Roman" w:hAnsi="Times New Roman"/>
                <w:color w:val="121212"/>
                <w:sz w:val="24"/>
                <w:szCs w:val="24"/>
                <w:lang w:val="uk-UA" w:eastAsia="ru-RU"/>
              </w:rPr>
            </w:pPr>
            <w:r w:rsidRPr="0094392D">
              <w:rPr>
                <w:rFonts w:ascii="Times New Roman" w:hAnsi="Times New Roman"/>
                <w:color w:val="121212"/>
                <w:sz w:val="24"/>
                <w:szCs w:val="24"/>
                <w:lang w:val="uk-UA" w:eastAsia="ru-RU"/>
              </w:rPr>
              <w:t>5,641</w:t>
            </w:r>
          </w:p>
        </w:tc>
      </w:tr>
      <w:tr w:rsidR="00EC1B3C" w:rsidRPr="008D06EC" w:rsidTr="00634801">
        <w:trPr>
          <w:trHeight w:val="315"/>
          <w:jc w:val="center"/>
        </w:trPr>
        <w:tc>
          <w:tcPr>
            <w:tcW w:w="904" w:type="dxa"/>
            <w:tcBorders>
              <w:top w:val="nil"/>
              <w:left w:val="single" w:sz="4" w:space="0" w:color="auto"/>
              <w:bottom w:val="single" w:sz="4" w:space="0" w:color="auto"/>
              <w:right w:val="single" w:sz="4" w:space="0" w:color="auto"/>
            </w:tcBorders>
            <w:shd w:val="clear" w:color="000000" w:fill="FFFFFF"/>
            <w:noWrap/>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1991</w:t>
            </w:r>
          </w:p>
        </w:tc>
        <w:tc>
          <w:tcPr>
            <w:tcW w:w="1879" w:type="dxa"/>
            <w:tcBorders>
              <w:top w:val="nil"/>
              <w:left w:val="nil"/>
              <w:bottom w:val="single" w:sz="4" w:space="0" w:color="auto"/>
              <w:right w:val="single" w:sz="4" w:space="0" w:color="auto"/>
            </w:tcBorders>
            <w:shd w:val="clear" w:color="000000" w:fill="FFFFFF"/>
            <w:noWrap/>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-968,80</w:t>
            </w:r>
          </w:p>
        </w:tc>
        <w:tc>
          <w:tcPr>
            <w:tcW w:w="1849" w:type="dxa"/>
            <w:tcBorders>
              <w:top w:val="nil"/>
              <w:left w:val="nil"/>
              <w:bottom w:val="single" w:sz="4" w:space="0" w:color="auto"/>
              <w:right w:val="single" w:sz="4" w:space="0" w:color="auto"/>
            </w:tcBorders>
            <w:shd w:val="clear" w:color="F2F2F2" w:fill="FFFFFF"/>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139,50</w:t>
            </w:r>
          </w:p>
        </w:tc>
        <w:tc>
          <w:tcPr>
            <w:tcW w:w="1506" w:type="dxa"/>
            <w:tcBorders>
              <w:top w:val="nil"/>
              <w:left w:val="nil"/>
              <w:bottom w:val="single" w:sz="4" w:space="0" w:color="auto"/>
              <w:right w:val="single" w:sz="4" w:space="0" w:color="auto"/>
            </w:tcBorders>
            <w:shd w:val="clear" w:color="000000" w:fill="FFFFFF"/>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2,28</w:t>
            </w:r>
          </w:p>
        </w:tc>
        <w:tc>
          <w:tcPr>
            <w:tcW w:w="1517" w:type="dxa"/>
            <w:tcBorders>
              <w:top w:val="nil"/>
              <w:left w:val="nil"/>
              <w:bottom w:val="single" w:sz="4" w:space="0" w:color="auto"/>
              <w:right w:val="single" w:sz="4" w:space="0" w:color="auto"/>
            </w:tcBorders>
            <w:shd w:val="clear" w:color="000000" w:fill="FFFFFF"/>
            <w:noWrap/>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 </w:t>
            </w:r>
          </w:p>
        </w:tc>
        <w:tc>
          <w:tcPr>
            <w:tcW w:w="1843" w:type="dxa"/>
            <w:tcBorders>
              <w:top w:val="nil"/>
              <w:left w:val="nil"/>
              <w:bottom w:val="single" w:sz="4" w:space="0" w:color="auto"/>
              <w:right w:val="single" w:sz="4" w:space="0" w:color="auto"/>
            </w:tcBorders>
            <w:shd w:val="clear" w:color="FFFFCC" w:fill="FFFFFF"/>
            <w:noWrap/>
            <w:vAlign w:val="center"/>
          </w:tcPr>
          <w:p w:rsidR="00EC1B3C" w:rsidRPr="0094392D" w:rsidRDefault="00EC1B3C" w:rsidP="000274B0">
            <w:pPr>
              <w:spacing w:after="0" w:line="240" w:lineRule="auto"/>
              <w:jc w:val="center"/>
              <w:rPr>
                <w:rFonts w:ascii="Times New Roman" w:hAnsi="Times New Roman"/>
                <w:color w:val="121212"/>
                <w:sz w:val="24"/>
                <w:szCs w:val="24"/>
                <w:lang w:val="uk-UA" w:eastAsia="ru-RU"/>
              </w:rPr>
            </w:pPr>
            <w:r w:rsidRPr="0094392D">
              <w:rPr>
                <w:rFonts w:ascii="Times New Roman" w:hAnsi="Times New Roman"/>
                <w:color w:val="121212"/>
                <w:sz w:val="24"/>
                <w:szCs w:val="24"/>
                <w:lang w:val="uk-UA" w:eastAsia="ru-RU"/>
              </w:rPr>
              <w:t>5,351</w:t>
            </w:r>
          </w:p>
        </w:tc>
      </w:tr>
      <w:tr w:rsidR="00EC1B3C" w:rsidRPr="008D06EC" w:rsidTr="00634801">
        <w:trPr>
          <w:trHeight w:val="315"/>
          <w:jc w:val="center"/>
        </w:trPr>
        <w:tc>
          <w:tcPr>
            <w:tcW w:w="904" w:type="dxa"/>
            <w:tcBorders>
              <w:top w:val="nil"/>
              <w:left w:val="single" w:sz="4" w:space="0" w:color="auto"/>
              <w:bottom w:val="single" w:sz="4" w:space="0" w:color="auto"/>
              <w:right w:val="single" w:sz="4" w:space="0" w:color="auto"/>
            </w:tcBorders>
            <w:shd w:val="clear" w:color="000000" w:fill="FFFFFF"/>
            <w:noWrap/>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1992</w:t>
            </w:r>
          </w:p>
        </w:tc>
        <w:tc>
          <w:tcPr>
            <w:tcW w:w="1879" w:type="dxa"/>
            <w:tcBorders>
              <w:top w:val="nil"/>
              <w:left w:val="nil"/>
              <w:bottom w:val="single" w:sz="4" w:space="0" w:color="auto"/>
              <w:right w:val="single" w:sz="4" w:space="0" w:color="auto"/>
            </w:tcBorders>
            <w:shd w:val="clear" w:color="000000" w:fill="FFFFFF"/>
            <w:noWrap/>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-1 075,40</w:t>
            </w:r>
          </w:p>
        </w:tc>
        <w:tc>
          <w:tcPr>
            <w:tcW w:w="1849" w:type="dxa"/>
            <w:tcBorders>
              <w:top w:val="nil"/>
              <w:left w:val="nil"/>
              <w:bottom w:val="single" w:sz="4" w:space="0" w:color="auto"/>
              <w:right w:val="single" w:sz="4" w:space="0" w:color="auto"/>
            </w:tcBorders>
            <w:shd w:val="clear" w:color="F2F2F2" w:fill="FFFFFF"/>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211,50</w:t>
            </w:r>
          </w:p>
        </w:tc>
        <w:tc>
          <w:tcPr>
            <w:tcW w:w="1506" w:type="dxa"/>
            <w:tcBorders>
              <w:top w:val="nil"/>
              <w:left w:val="nil"/>
              <w:bottom w:val="single" w:sz="4" w:space="0" w:color="auto"/>
              <w:right w:val="single" w:sz="4" w:space="0" w:color="auto"/>
            </w:tcBorders>
            <w:shd w:val="clear" w:color="000000" w:fill="FFFFFF"/>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2,46</w:t>
            </w:r>
          </w:p>
        </w:tc>
        <w:tc>
          <w:tcPr>
            <w:tcW w:w="1517" w:type="dxa"/>
            <w:tcBorders>
              <w:top w:val="nil"/>
              <w:left w:val="nil"/>
              <w:bottom w:val="single" w:sz="4" w:space="0" w:color="auto"/>
              <w:right w:val="single" w:sz="4" w:space="0" w:color="auto"/>
            </w:tcBorders>
            <w:shd w:val="clear" w:color="000000" w:fill="FFFFFF"/>
            <w:noWrap/>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 </w:t>
            </w:r>
          </w:p>
        </w:tc>
        <w:tc>
          <w:tcPr>
            <w:tcW w:w="1843" w:type="dxa"/>
            <w:tcBorders>
              <w:top w:val="nil"/>
              <w:left w:val="nil"/>
              <w:bottom w:val="single" w:sz="4" w:space="0" w:color="auto"/>
              <w:right w:val="single" w:sz="4" w:space="0" w:color="auto"/>
            </w:tcBorders>
            <w:shd w:val="clear" w:color="FFFFCC" w:fill="FFFFFF"/>
            <w:noWrap/>
            <w:vAlign w:val="center"/>
          </w:tcPr>
          <w:p w:rsidR="00EC1B3C" w:rsidRPr="0094392D" w:rsidRDefault="00EC1B3C" w:rsidP="000274B0">
            <w:pPr>
              <w:spacing w:after="0" w:line="240" w:lineRule="auto"/>
              <w:jc w:val="center"/>
              <w:rPr>
                <w:rFonts w:ascii="Times New Roman" w:hAnsi="Times New Roman"/>
                <w:color w:val="121212"/>
                <w:sz w:val="24"/>
                <w:szCs w:val="24"/>
                <w:lang w:val="uk-UA" w:eastAsia="ru-RU"/>
              </w:rPr>
            </w:pPr>
            <w:r w:rsidRPr="0094392D">
              <w:rPr>
                <w:rFonts w:ascii="Times New Roman" w:hAnsi="Times New Roman"/>
                <w:color w:val="121212"/>
                <w:sz w:val="24"/>
                <w:szCs w:val="24"/>
                <w:lang w:val="uk-UA" w:eastAsia="ru-RU"/>
              </w:rPr>
              <w:t>5,877</w:t>
            </w:r>
          </w:p>
        </w:tc>
      </w:tr>
      <w:tr w:rsidR="00EC1B3C" w:rsidRPr="008D06EC" w:rsidTr="00634801">
        <w:trPr>
          <w:trHeight w:val="315"/>
          <w:jc w:val="center"/>
        </w:trPr>
        <w:tc>
          <w:tcPr>
            <w:tcW w:w="904" w:type="dxa"/>
            <w:tcBorders>
              <w:top w:val="nil"/>
              <w:left w:val="single" w:sz="4" w:space="0" w:color="auto"/>
              <w:bottom w:val="single" w:sz="4" w:space="0" w:color="auto"/>
              <w:right w:val="single" w:sz="4" w:space="0" w:color="auto"/>
            </w:tcBorders>
            <w:shd w:val="clear" w:color="000000" w:fill="FFFFFF"/>
            <w:noWrap/>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1993</w:t>
            </w:r>
          </w:p>
        </w:tc>
        <w:tc>
          <w:tcPr>
            <w:tcW w:w="1879" w:type="dxa"/>
            <w:tcBorders>
              <w:top w:val="nil"/>
              <w:left w:val="nil"/>
              <w:bottom w:val="single" w:sz="4" w:space="0" w:color="auto"/>
              <w:right w:val="single" w:sz="4" w:space="0" w:color="auto"/>
            </w:tcBorders>
            <w:shd w:val="clear" w:color="000000" w:fill="FFFFFF"/>
            <w:noWrap/>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-1 305,80</w:t>
            </w:r>
          </w:p>
        </w:tc>
        <w:tc>
          <w:tcPr>
            <w:tcW w:w="1849" w:type="dxa"/>
            <w:tcBorders>
              <w:top w:val="nil"/>
              <w:left w:val="nil"/>
              <w:bottom w:val="single" w:sz="4" w:space="0" w:color="auto"/>
              <w:right w:val="single" w:sz="4" w:space="0" w:color="auto"/>
            </w:tcBorders>
            <w:shd w:val="clear" w:color="F2F2F2" w:fill="FFFFFF"/>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193,30</w:t>
            </w:r>
          </w:p>
        </w:tc>
        <w:tc>
          <w:tcPr>
            <w:tcW w:w="1506" w:type="dxa"/>
            <w:tcBorders>
              <w:top w:val="nil"/>
              <w:left w:val="nil"/>
              <w:bottom w:val="single" w:sz="4" w:space="0" w:color="auto"/>
              <w:right w:val="single" w:sz="4" w:space="0" w:color="auto"/>
            </w:tcBorders>
            <w:shd w:val="clear" w:color="000000" w:fill="FFFFFF"/>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2,83</w:t>
            </w:r>
          </w:p>
        </w:tc>
        <w:tc>
          <w:tcPr>
            <w:tcW w:w="1517" w:type="dxa"/>
            <w:tcBorders>
              <w:top w:val="nil"/>
              <w:left w:val="nil"/>
              <w:bottom w:val="single" w:sz="4" w:space="0" w:color="auto"/>
              <w:right w:val="single" w:sz="4" w:space="0" w:color="auto"/>
            </w:tcBorders>
            <w:shd w:val="clear" w:color="000000" w:fill="FFFFFF"/>
            <w:noWrap/>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 </w:t>
            </w:r>
          </w:p>
        </w:tc>
        <w:tc>
          <w:tcPr>
            <w:tcW w:w="1843" w:type="dxa"/>
            <w:tcBorders>
              <w:top w:val="nil"/>
              <w:left w:val="nil"/>
              <w:bottom w:val="single" w:sz="4" w:space="0" w:color="auto"/>
              <w:right w:val="single" w:sz="4" w:space="0" w:color="auto"/>
            </w:tcBorders>
            <w:shd w:val="clear" w:color="FFFFCC" w:fill="FFFFFF"/>
            <w:noWrap/>
            <w:vAlign w:val="center"/>
          </w:tcPr>
          <w:p w:rsidR="00EC1B3C" w:rsidRPr="0094392D" w:rsidRDefault="00EC1B3C" w:rsidP="000274B0">
            <w:pPr>
              <w:spacing w:after="0" w:line="240" w:lineRule="auto"/>
              <w:jc w:val="center"/>
              <w:rPr>
                <w:rFonts w:ascii="Times New Roman" w:hAnsi="Times New Roman"/>
                <w:color w:val="121212"/>
                <w:sz w:val="24"/>
                <w:szCs w:val="24"/>
                <w:lang w:val="uk-UA" w:eastAsia="ru-RU"/>
              </w:rPr>
            </w:pPr>
            <w:r w:rsidRPr="0094392D">
              <w:rPr>
                <w:rFonts w:ascii="Times New Roman" w:hAnsi="Times New Roman"/>
                <w:color w:val="121212"/>
                <w:sz w:val="24"/>
                <w:szCs w:val="24"/>
                <w:lang w:val="uk-UA" w:eastAsia="ru-RU"/>
              </w:rPr>
              <w:t>4,658</w:t>
            </w:r>
          </w:p>
        </w:tc>
      </w:tr>
      <w:tr w:rsidR="00EC1B3C" w:rsidRPr="008D06EC" w:rsidTr="00634801">
        <w:trPr>
          <w:trHeight w:val="315"/>
          <w:jc w:val="center"/>
        </w:trPr>
        <w:tc>
          <w:tcPr>
            <w:tcW w:w="904" w:type="dxa"/>
            <w:tcBorders>
              <w:top w:val="nil"/>
              <w:left w:val="single" w:sz="4" w:space="0" w:color="auto"/>
              <w:bottom w:val="single" w:sz="4" w:space="0" w:color="auto"/>
              <w:right w:val="single" w:sz="4" w:space="0" w:color="auto"/>
            </w:tcBorders>
            <w:shd w:val="clear" w:color="000000" w:fill="FFFFFF"/>
            <w:noWrap/>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1994</w:t>
            </w:r>
          </w:p>
        </w:tc>
        <w:tc>
          <w:tcPr>
            <w:tcW w:w="1879" w:type="dxa"/>
            <w:tcBorders>
              <w:top w:val="nil"/>
              <w:left w:val="nil"/>
              <w:bottom w:val="single" w:sz="4" w:space="0" w:color="auto"/>
              <w:right w:val="single" w:sz="4" w:space="0" w:color="auto"/>
            </w:tcBorders>
            <w:shd w:val="clear" w:color="000000" w:fill="FFFFFF"/>
            <w:noWrap/>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-1 766,50</w:t>
            </w:r>
          </w:p>
        </w:tc>
        <w:tc>
          <w:tcPr>
            <w:tcW w:w="1849" w:type="dxa"/>
            <w:tcBorders>
              <w:top w:val="nil"/>
              <w:left w:val="nil"/>
              <w:bottom w:val="single" w:sz="4" w:space="0" w:color="auto"/>
              <w:right w:val="single" w:sz="4" w:space="0" w:color="auto"/>
            </w:tcBorders>
            <w:shd w:val="clear" w:color="F2F2F2" w:fill="FFFFFF"/>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276,90</w:t>
            </w:r>
          </w:p>
        </w:tc>
        <w:tc>
          <w:tcPr>
            <w:tcW w:w="1506" w:type="dxa"/>
            <w:tcBorders>
              <w:top w:val="nil"/>
              <w:left w:val="nil"/>
              <w:bottom w:val="single" w:sz="4" w:space="0" w:color="auto"/>
              <w:right w:val="single" w:sz="4" w:space="0" w:color="auto"/>
            </w:tcBorders>
            <w:shd w:val="clear" w:color="000000" w:fill="FFFFFF"/>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3,01</w:t>
            </w:r>
          </w:p>
        </w:tc>
        <w:tc>
          <w:tcPr>
            <w:tcW w:w="1517" w:type="dxa"/>
            <w:tcBorders>
              <w:top w:val="nil"/>
              <w:left w:val="nil"/>
              <w:bottom w:val="single" w:sz="4" w:space="0" w:color="auto"/>
              <w:right w:val="single" w:sz="4" w:space="0" w:color="auto"/>
            </w:tcBorders>
            <w:shd w:val="clear" w:color="000000" w:fill="FFFFFF"/>
            <w:noWrap/>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 </w:t>
            </w:r>
          </w:p>
        </w:tc>
        <w:tc>
          <w:tcPr>
            <w:tcW w:w="1843" w:type="dxa"/>
            <w:tcBorders>
              <w:top w:val="nil"/>
              <w:left w:val="nil"/>
              <w:bottom w:val="single" w:sz="4" w:space="0" w:color="auto"/>
              <w:right w:val="single" w:sz="4" w:space="0" w:color="auto"/>
            </w:tcBorders>
            <w:shd w:val="clear" w:color="FFFFCC" w:fill="FFFFFF"/>
            <w:noWrap/>
            <w:vAlign w:val="center"/>
          </w:tcPr>
          <w:p w:rsidR="00EC1B3C" w:rsidRPr="0094392D" w:rsidRDefault="00EC1B3C" w:rsidP="000274B0">
            <w:pPr>
              <w:spacing w:after="0" w:line="240" w:lineRule="auto"/>
              <w:jc w:val="center"/>
              <w:rPr>
                <w:rFonts w:ascii="Times New Roman" w:hAnsi="Times New Roman"/>
                <w:color w:val="121212"/>
                <w:sz w:val="24"/>
                <w:szCs w:val="24"/>
                <w:lang w:val="uk-UA" w:eastAsia="ru-RU"/>
              </w:rPr>
            </w:pPr>
            <w:r w:rsidRPr="0094392D">
              <w:rPr>
                <w:rFonts w:ascii="Times New Roman" w:hAnsi="Times New Roman"/>
                <w:color w:val="121212"/>
                <w:sz w:val="24"/>
                <w:szCs w:val="24"/>
                <w:lang w:val="uk-UA" w:eastAsia="ru-RU"/>
              </w:rPr>
              <w:t>5,337</w:t>
            </w:r>
          </w:p>
        </w:tc>
      </w:tr>
      <w:tr w:rsidR="00EC1B3C" w:rsidRPr="008D06EC" w:rsidTr="00634801">
        <w:trPr>
          <w:trHeight w:val="315"/>
          <w:jc w:val="center"/>
        </w:trPr>
        <w:tc>
          <w:tcPr>
            <w:tcW w:w="904" w:type="dxa"/>
            <w:tcBorders>
              <w:top w:val="nil"/>
              <w:left w:val="single" w:sz="4" w:space="0" w:color="auto"/>
              <w:bottom w:val="single" w:sz="4" w:space="0" w:color="auto"/>
              <w:right w:val="single" w:sz="4" w:space="0" w:color="auto"/>
            </w:tcBorders>
            <w:shd w:val="clear" w:color="000000" w:fill="FFFFFF"/>
            <w:noWrap/>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1995</w:t>
            </w:r>
          </w:p>
        </w:tc>
        <w:tc>
          <w:tcPr>
            <w:tcW w:w="1879" w:type="dxa"/>
            <w:tcBorders>
              <w:top w:val="nil"/>
              <w:left w:val="nil"/>
              <w:bottom w:val="single" w:sz="4" w:space="0" w:color="auto"/>
              <w:right w:val="single" w:sz="4" w:space="0" w:color="auto"/>
            </w:tcBorders>
            <w:shd w:val="clear" w:color="000000" w:fill="FFFFFF"/>
            <w:noWrap/>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-1 424,60</w:t>
            </w:r>
          </w:p>
        </w:tc>
        <w:tc>
          <w:tcPr>
            <w:tcW w:w="1849" w:type="dxa"/>
            <w:tcBorders>
              <w:top w:val="nil"/>
              <w:left w:val="nil"/>
              <w:bottom w:val="single" w:sz="4" w:space="0" w:color="auto"/>
              <w:right w:val="single" w:sz="4" w:space="0" w:color="auto"/>
            </w:tcBorders>
            <w:shd w:val="clear" w:color="F2F2F2" w:fill="FFFFFF"/>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68,00</w:t>
            </w:r>
          </w:p>
        </w:tc>
        <w:tc>
          <w:tcPr>
            <w:tcW w:w="1506" w:type="dxa"/>
            <w:tcBorders>
              <w:top w:val="nil"/>
              <w:left w:val="nil"/>
              <w:bottom w:val="single" w:sz="4" w:space="0" w:color="auto"/>
              <w:right w:val="single" w:sz="4" w:space="0" w:color="auto"/>
            </w:tcBorders>
            <w:shd w:val="clear" w:color="000000" w:fill="FFFFFF"/>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3,01</w:t>
            </w:r>
          </w:p>
        </w:tc>
        <w:tc>
          <w:tcPr>
            <w:tcW w:w="1517" w:type="dxa"/>
            <w:tcBorders>
              <w:top w:val="nil"/>
              <w:left w:val="nil"/>
              <w:bottom w:val="single" w:sz="4" w:space="0" w:color="auto"/>
              <w:right w:val="single" w:sz="4" w:space="0" w:color="auto"/>
            </w:tcBorders>
            <w:shd w:val="clear" w:color="000000" w:fill="FFFFFF"/>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15,25</w:t>
            </w:r>
          </w:p>
        </w:tc>
        <w:tc>
          <w:tcPr>
            <w:tcW w:w="1843" w:type="dxa"/>
            <w:tcBorders>
              <w:top w:val="nil"/>
              <w:left w:val="nil"/>
              <w:bottom w:val="single" w:sz="4" w:space="0" w:color="auto"/>
              <w:right w:val="single" w:sz="4" w:space="0" w:color="auto"/>
            </w:tcBorders>
            <w:shd w:val="clear" w:color="FFFFCC" w:fill="FFFFFF"/>
            <w:noWrap/>
            <w:vAlign w:val="center"/>
          </w:tcPr>
          <w:p w:rsidR="00EC1B3C" w:rsidRPr="0094392D" w:rsidRDefault="00EC1B3C" w:rsidP="000274B0">
            <w:pPr>
              <w:spacing w:after="0" w:line="240" w:lineRule="auto"/>
              <w:jc w:val="center"/>
              <w:rPr>
                <w:rFonts w:ascii="Times New Roman" w:hAnsi="Times New Roman"/>
                <w:color w:val="121212"/>
                <w:sz w:val="24"/>
                <w:szCs w:val="24"/>
                <w:lang w:val="uk-UA" w:eastAsia="ru-RU"/>
              </w:rPr>
            </w:pPr>
            <w:r w:rsidRPr="0094392D">
              <w:rPr>
                <w:rFonts w:ascii="Times New Roman" w:hAnsi="Times New Roman"/>
                <w:color w:val="121212"/>
                <w:sz w:val="24"/>
                <w:szCs w:val="24"/>
                <w:lang w:val="uk-UA" w:eastAsia="ru-RU"/>
              </w:rPr>
              <w:t>6,968</w:t>
            </w:r>
          </w:p>
        </w:tc>
      </w:tr>
      <w:tr w:rsidR="00EC1B3C" w:rsidRPr="008D06EC" w:rsidTr="00634801">
        <w:trPr>
          <w:trHeight w:val="315"/>
          <w:jc w:val="center"/>
        </w:trPr>
        <w:tc>
          <w:tcPr>
            <w:tcW w:w="904" w:type="dxa"/>
            <w:tcBorders>
              <w:top w:val="nil"/>
              <w:left w:val="single" w:sz="4" w:space="0" w:color="auto"/>
              <w:bottom w:val="single" w:sz="4" w:space="0" w:color="auto"/>
              <w:right w:val="single" w:sz="4" w:space="0" w:color="auto"/>
            </w:tcBorders>
            <w:shd w:val="clear" w:color="000000" w:fill="FFFFFF"/>
            <w:noWrap/>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1996</w:t>
            </w:r>
          </w:p>
        </w:tc>
        <w:tc>
          <w:tcPr>
            <w:tcW w:w="1879" w:type="dxa"/>
            <w:tcBorders>
              <w:top w:val="nil"/>
              <w:left w:val="nil"/>
              <w:bottom w:val="single" w:sz="4" w:space="0" w:color="auto"/>
              <w:right w:val="single" w:sz="4" w:space="0" w:color="auto"/>
            </w:tcBorders>
            <w:shd w:val="clear" w:color="000000" w:fill="FFFFFF"/>
            <w:noWrap/>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-1 525,00</w:t>
            </w:r>
          </w:p>
        </w:tc>
        <w:tc>
          <w:tcPr>
            <w:tcW w:w="1849" w:type="dxa"/>
            <w:tcBorders>
              <w:top w:val="nil"/>
              <w:left w:val="nil"/>
              <w:bottom w:val="single" w:sz="4" w:space="0" w:color="auto"/>
              <w:right w:val="single" w:sz="4" w:space="0" w:color="auto"/>
            </w:tcBorders>
            <w:shd w:val="clear" w:color="F2F2F2" w:fill="FFFFFF"/>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75,40</w:t>
            </w:r>
          </w:p>
        </w:tc>
        <w:tc>
          <w:tcPr>
            <w:tcW w:w="1506" w:type="dxa"/>
            <w:tcBorders>
              <w:top w:val="nil"/>
              <w:left w:val="nil"/>
              <w:bottom w:val="single" w:sz="4" w:space="0" w:color="auto"/>
              <w:right w:val="single" w:sz="4" w:space="0" w:color="auto"/>
            </w:tcBorders>
            <w:shd w:val="clear" w:color="000000" w:fill="FFFFFF"/>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3,19</w:t>
            </w:r>
          </w:p>
        </w:tc>
        <w:tc>
          <w:tcPr>
            <w:tcW w:w="1517" w:type="dxa"/>
            <w:tcBorders>
              <w:top w:val="nil"/>
              <w:left w:val="nil"/>
              <w:bottom w:val="single" w:sz="4" w:space="0" w:color="auto"/>
              <w:right w:val="single" w:sz="4" w:space="0" w:color="auto"/>
            </w:tcBorders>
            <w:shd w:val="clear" w:color="000000" w:fill="FFFFFF"/>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16,41</w:t>
            </w:r>
          </w:p>
        </w:tc>
        <w:tc>
          <w:tcPr>
            <w:tcW w:w="1843" w:type="dxa"/>
            <w:tcBorders>
              <w:top w:val="nil"/>
              <w:left w:val="nil"/>
              <w:bottom w:val="single" w:sz="4" w:space="0" w:color="auto"/>
              <w:right w:val="single" w:sz="4" w:space="0" w:color="auto"/>
            </w:tcBorders>
            <w:shd w:val="clear" w:color="FFFFCC" w:fill="FFFFFF"/>
            <w:noWrap/>
            <w:vAlign w:val="center"/>
          </w:tcPr>
          <w:p w:rsidR="00EC1B3C" w:rsidRPr="0094392D" w:rsidRDefault="00EC1B3C" w:rsidP="000274B0">
            <w:pPr>
              <w:spacing w:after="0" w:line="240" w:lineRule="auto"/>
              <w:jc w:val="center"/>
              <w:rPr>
                <w:rFonts w:ascii="Times New Roman" w:hAnsi="Times New Roman"/>
                <w:color w:val="121212"/>
                <w:sz w:val="24"/>
                <w:szCs w:val="24"/>
                <w:lang w:val="uk-UA" w:eastAsia="ru-RU"/>
              </w:rPr>
            </w:pPr>
            <w:r w:rsidRPr="0094392D">
              <w:rPr>
                <w:rFonts w:ascii="Times New Roman" w:hAnsi="Times New Roman"/>
                <w:color w:val="121212"/>
                <w:sz w:val="24"/>
                <w:szCs w:val="24"/>
                <w:lang w:val="uk-UA" w:eastAsia="ru-RU"/>
              </w:rPr>
              <w:t>4,737</w:t>
            </w:r>
          </w:p>
        </w:tc>
      </w:tr>
      <w:tr w:rsidR="00EC1B3C" w:rsidRPr="008D06EC" w:rsidTr="00634801">
        <w:trPr>
          <w:trHeight w:val="315"/>
          <w:jc w:val="center"/>
        </w:trPr>
        <w:tc>
          <w:tcPr>
            <w:tcW w:w="904" w:type="dxa"/>
            <w:tcBorders>
              <w:top w:val="nil"/>
              <w:left w:val="single" w:sz="4" w:space="0" w:color="auto"/>
              <w:bottom w:val="single" w:sz="4" w:space="0" w:color="auto"/>
              <w:right w:val="single" w:sz="4" w:space="0" w:color="auto"/>
            </w:tcBorders>
            <w:shd w:val="clear" w:color="000000" w:fill="FFFFFF"/>
            <w:noWrap/>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1997</w:t>
            </w:r>
          </w:p>
        </w:tc>
        <w:tc>
          <w:tcPr>
            <w:tcW w:w="1879" w:type="dxa"/>
            <w:tcBorders>
              <w:top w:val="nil"/>
              <w:left w:val="nil"/>
              <w:bottom w:val="single" w:sz="4" w:space="0" w:color="auto"/>
              <w:right w:val="single" w:sz="4" w:space="0" w:color="auto"/>
            </w:tcBorders>
            <w:shd w:val="clear" w:color="000000" w:fill="FFFFFF"/>
            <w:noWrap/>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-1 768,10</w:t>
            </w:r>
          </w:p>
        </w:tc>
        <w:tc>
          <w:tcPr>
            <w:tcW w:w="1849" w:type="dxa"/>
            <w:tcBorders>
              <w:top w:val="nil"/>
              <w:left w:val="nil"/>
              <w:bottom w:val="single" w:sz="4" w:space="0" w:color="auto"/>
              <w:right w:val="single" w:sz="4" w:space="0" w:color="auto"/>
            </w:tcBorders>
            <w:shd w:val="clear" w:color="F2F2F2" w:fill="FFFFFF"/>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257,40</w:t>
            </w:r>
          </w:p>
        </w:tc>
        <w:tc>
          <w:tcPr>
            <w:tcW w:w="1506" w:type="dxa"/>
            <w:tcBorders>
              <w:top w:val="nil"/>
              <w:left w:val="nil"/>
              <w:bottom w:val="single" w:sz="4" w:space="0" w:color="auto"/>
              <w:right w:val="single" w:sz="4" w:space="0" w:color="auto"/>
            </w:tcBorders>
            <w:shd w:val="clear" w:color="000000" w:fill="FFFFFF"/>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3,45</w:t>
            </w:r>
          </w:p>
        </w:tc>
        <w:tc>
          <w:tcPr>
            <w:tcW w:w="1517" w:type="dxa"/>
            <w:tcBorders>
              <w:top w:val="nil"/>
              <w:left w:val="nil"/>
              <w:bottom w:val="single" w:sz="4" w:space="0" w:color="auto"/>
              <w:right w:val="single" w:sz="4" w:space="0" w:color="auto"/>
            </w:tcBorders>
            <w:shd w:val="clear" w:color="000000" w:fill="FFFFFF"/>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14,34</w:t>
            </w:r>
          </w:p>
        </w:tc>
        <w:tc>
          <w:tcPr>
            <w:tcW w:w="1843" w:type="dxa"/>
            <w:tcBorders>
              <w:top w:val="nil"/>
              <w:left w:val="nil"/>
              <w:bottom w:val="single" w:sz="4" w:space="0" w:color="auto"/>
              <w:right w:val="single" w:sz="4" w:space="0" w:color="auto"/>
            </w:tcBorders>
            <w:shd w:val="clear" w:color="FFFFCC" w:fill="FFFFFF"/>
            <w:noWrap/>
            <w:vAlign w:val="center"/>
          </w:tcPr>
          <w:p w:rsidR="00EC1B3C" w:rsidRPr="0094392D" w:rsidRDefault="00EC1B3C" w:rsidP="000274B0">
            <w:pPr>
              <w:spacing w:after="0" w:line="240" w:lineRule="auto"/>
              <w:jc w:val="center"/>
              <w:rPr>
                <w:rFonts w:ascii="Times New Roman" w:hAnsi="Times New Roman"/>
                <w:color w:val="121212"/>
                <w:sz w:val="24"/>
                <w:szCs w:val="24"/>
                <w:lang w:val="uk-UA" w:eastAsia="ru-RU"/>
              </w:rPr>
            </w:pPr>
            <w:r w:rsidRPr="0094392D">
              <w:rPr>
                <w:rFonts w:ascii="Times New Roman" w:hAnsi="Times New Roman"/>
                <w:color w:val="121212"/>
                <w:sz w:val="24"/>
                <w:szCs w:val="24"/>
                <w:lang w:val="uk-UA" w:eastAsia="ru-RU"/>
              </w:rPr>
              <w:t>4,47</w:t>
            </w:r>
          </w:p>
        </w:tc>
      </w:tr>
      <w:tr w:rsidR="00EC1B3C" w:rsidRPr="008D06EC" w:rsidTr="00634801">
        <w:trPr>
          <w:trHeight w:val="315"/>
          <w:jc w:val="center"/>
        </w:trPr>
        <w:tc>
          <w:tcPr>
            <w:tcW w:w="904" w:type="dxa"/>
            <w:tcBorders>
              <w:top w:val="nil"/>
              <w:left w:val="single" w:sz="4" w:space="0" w:color="auto"/>
              <w:bottom w:val="single" w:sz="4" w:space="0" w:color="auto"/>
              <w:right w:val="single" w:sz="4" w:space="0" w:color="auto"/>
            </w:tcBorders>
            <w:shd w:val="clear" w:color="000000" w:fill="FFFFFF"/>
            <w:noWrap/>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1998</w:t>
            </w:r>
          </w:p>
        </w:tc>
        <w:tc>
          <w:tcPr>
            <w:tcW w:w="1879" w:type="dxa"/>
            <w:tcBorders>
              <w:top w:val="nil"/>
              <w:left w:val="nil"/>
              <w:bottom w:val="single" w:sz="4" w:space="0" w:color="auto"/>
              <w:right w:val="single" w:sz="4" w:space="0" w:color="auto"/>
            </w:tcBorders>
            <w:shd w:val="clear" w:color="000000" w:fill="FFFFFF"/>
            <w:noWrap/>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-1 325,50</w:t>
            </w:r>
          </w:p>
        </w:tc>
        <w:tc>
          <w:tcPr>
            <w:tcW w:w="1849" w:type="dxa"/>
            <w:tcBorders>
              <w:top w:val="nil"/>
              <w:left w:val="nil"/>
              <w:bottom w:val="single" w:sz="4" w:space="0" w:color="auto"/>
              <w:right w:val="single" w:sz="4" w:space="0" w:color="auto"/>
            </w:tcBorders>
            <w:shd w:val="clear" w:color="F2F2F2" w:fill="FFFFFF"/>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283,40</w:t>
            </w:r>
          </w:p>
        </w:tc>
        <w:tc>
          <w:tcPr>
            <w:tcW w:w="1506" w:type="dxa"/>
            <w:tcBorders>
              <w:top w:val="nil"/>
              <w:left w:val="nil"/>
              <w:bottom w:val="single" w:sz="4" w:space="0" w:color="auto"/>
              <w:right w:val="single" w:sz="4" w:space="0" w:color="auto"/>
            </w:tcBorders>
            <w:shd w:val="clear" w:color="000000" w:fill="FFFFFF"/>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3,80</w:t>
            </w:r>
          </w:p>
        </w:tc>
        <w:tc>
          <w:tcPr>
            <w:tcW w:w="1517" w:type="dxa"/>
            <w:tcBorders>
              <w:top w:val="nil"/>
              <w:left w:val="nil"/>
              <w:bottom w:val="single" w:sz="4" w:space="0" w:color="auto"/>
              <w:right w:val="single" w:sz="4" w:space="0" w:color="auto"/>
            </w:tcBorders>
            <w:shd w:val="clear" w:color="000000" w:fill="FFFFFF"/>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14,45</w:t>
            </w:r>
          </w:p>
        </w:tc>
        <w:tc>
          <w:tcPr>
            <w:tcW w:w="1843" w:type="dxa"/>
            <w:tcBorders>
              <w:top w:val="nil"/>
              <w:left w:val="nil"/>
              <w:bottom w:val="single" w:sz="4" w:space="0" w:color="auto"/>
              <w:right w:val="single" w:sz="4" w:space="0" w:color="auto"/>
            </w:tcBorders>
            <w:shd w:val="clear" w:color="FFFFCC" w:fill="FFFFFF"/>
            <w:noWrap/>
            <w:vAlign w:val="center"/>
          </w:tcPr>
          <w:p w:rsidR="00EC1B3C" w:rsidRPr="0094392D" w:rsidRDefault="00EC1B3C" w:rsidP="000274B0">
            <w:pPr>
              <w:spacing w:after="0" w:line="240" w:lineRule="auto"/>
              <w:jc w:val="center"/>
              <w:rPr>
                <w:rFonts w:ascii="Times New Roman" w:hAnsi="Times New Roman"/>
                <w:color w:val="121212"/>
                <w:sz w:val="24"/>
                <w:szCs w:val="24"/>
                <w:lang w:val="uk-UA" w:eastAsia="ru-RU"/>
              </w:rPr>
            </w:pPr>
            <w:r w:rsidRPr="0094392D">
              <w:rPr>
                <w:rFonts w:ascii="Times New Roman" w:hAnsi="Times New Roman"/>
                <w:color w:val="121212"/>
                <w:sz w:val="24"/>
                <w:szCs w:val="24"/>
                <w:lang w:val="uk-UA" w:eastAsia="ru-RU"/>
              </w:rPr>
              <w:t>4,82</w:t>
            </w:r>
          </w:p>
        </w:tc>
      </w:tr>
      <w:tr w:rsidR="00EC1B3C" w:rsidRPr="008D06EC" w:rsidTr="00634801">
        <w:trPr>
          <w:trHeight w:val="315"/>
          <w:jc w:val="center"/>
        </w:trPr>
        <w:tc>
          <w:tcPr>
            <w:tcW w:w="904" w:type="dxa"/>
            <w:tcBorders>
              <w:top w:val="nil"/>
              <w:left w:val="single" w:sz="4" w:space="0" w:color="auto"/>
              <w:bottom w:val="single" w:sz="4" w:space="0" w:color="auto"/>
              <w:right w:val="single" w:sz="4" w:space="0" w:color="auto"/>
            </w:tcBorders>
            <w:shd w:val="clear" w:color="000000" w:fill="FFFFFF"/>
            <w:noWrap/>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1999</w:t>
            </w:r>
          </w:p>
        </w:tc>
        <w:tc>
          <w:tcPr>
            <w:tcW w:w="1879" w:type="dxa"/>
            <w:tcBorders>
              <w:top w:val="nil"/>
              <w:left w:val="nil"/>
              <w:bottom w:val="single" w:sz="4" w:space="0" w:color="auto"/>
              <w:right w:val="single" w:sz="4" w:space="0" w:color="auto"/>
            </w:tcBorders>
            <w:shd w:val="clear" w:color="000000" w:fill="FFFFFF"/>
            <w:noWrap/>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-2 211,00</w:t>
            </w:r>
          </w:p>
        </w:tc>
        <w:tc>
          <w:tcPr>
            <w:tcW w:w="1849" w:type="dxa"/>
            <w:tcBorders>
              <w:top w:val="nil"/>
              <w:left w:val="nil"/>
              <w:bottom w:val="single" w:sz="4" w:space="0" w:color="auto"/>
              <w:right w:val="single" w:sz="4" w:space="0" w:color="auto"/>
            </w:tcBorders>
            <w:shd w:val="clear" w:color="F2F2F2" w:fill="FFFFFF"/>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1 234,00</w:t>
            </w:r>
          </w:p>
        </w:tc>
        <w:tc>
          <w:tcPr>
            <w:tcW w:w="1506" w:type="dxa"/>
            <w:tcBorders>
              <w:top w:val="nil"/>
              <w:left w:val="nil"/>
              <w:bottom w:val="single" w:sz="4" w:space="0" w:color="auto"/>
              <w:right w:val="single" w:sz="4" w:space="0" w:color="auto"/>
            </w:tcBorders>
            <w:shd w:val="clear" w:color="000000" w:fill="FFFFFF"/>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4,14</w:t>
            </w:r>
          </w:p>
        </w:tc>
        <w:tc>
          <w:tcPr>
            <w:tcW w:w="1517" w:type="dxa"/>
            <w:tcBorders>
              <w:top w:val="nil"/>
              <w:left w:val="nil"/>
              <w:bottom w:val="single" w:sz="4" w:space="0" w:color="auto"/>
              <w:right w:val="single" w:sz="4" w:space="0" w:color="auto"/>
            </w:tcBorders>
            <w:shd w:val="clear" w:color="000000" w:fill="FFFFFF"/>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11,85</w:t>
            </w:r>
          </w:p>
        </w:tc>
        <w:tc>
          <w:tcPr>
            <w:tcW w:w="1843" w:type="dxa"/>
            <w:tcBorders>
              <w:top w:val="nil"/>
              <w:left w:val="nil"/>
              <w:bottom w:val="single" w:sz="4" w:space="0" w:color="auto"/>
              <w:right w:val="single" w:sz="4" w:space="0" w:color="auto"/>
            </w:tcBorders>
            <w:shd w:val="clear" w:color="FFFFCC" w:fill="FFFFFF"/>
            <w:noWrap/>
            <w:vAlign w:val="center"/>
          </w:tcPr>
          <w:p w:rsidR="00EC1B3C" w:rsidRPr="0094392D" w:rsidRDefault="00EC1B3C" w:rsidP="000274B0">
            <w:pPr>
              <w:spacing w:after="0" w:line="240" w:lineRule="auto"/>
              <w:jc w:val="center"/>
              <w:rPr>
                <w:rFonts w:ascii="Times New Roman" w:hAnsi="Times New Roman"/>
                <w:color w:val="121212"/>
                <w:sz w:val="24"/>
                <w:szCs w:val="24"/>
                <w:lang w:val="uk-UA" w:eastAsia="ru-RU"/>
              </w:rPr>
            </w:pPr>
            <w:r w:rsidRPr="0094392D">
              <w:rPr>
                <w:rFonts w:ascii="Times New Roman" w:hAnsi="Times New Roman"/>
                <w:color w:val="121212"/>
                <w:sz w:val="24"/>
                <w:szCs w:val="24"/>
                <w:lang w:val="uk-UA" w:eastAsia="ru-RU"/>
              </w:rPr>
              <w:t>3,267</w:t>
            </w:r>
          </w:p>
        </w:tc>
      </w:tr>
      <w:tr w:rsidR="00EC1B3C" w:rsidRPr="008D06EC" w:rsidTr="00634801">
        <w:trPr>
          <w:trHeight w:val="315"/>
          <w:jc w:val="center"/>
        </w:trPr>
        <w:tc>
          <w:tcPr>
            <w:tcW w:w="904" w:type="dxa"/>
            <w:tcBorders>
              <w:top w:val="nil"/>
              <w:left w:val="single" w:sz="4" w:space="0" w:color="auto"/>
              <w:bottom w:val="single" w:sz="4" w:space="0" w:color="auto"/>
              <w:right w:val="single" w:sz="4" w:space="0" w:color="auto"/>
            </w:tcBorders>
            <w:shd w:val="clear" w:color="000000" w:fill="FFFFFF"/>
            <w:noWrap/>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2000</w:t>
            </w:r>
          </w:p>
        </w:tc>
        <w:tc>
          <w:tcPr>
            <w:tcW w:w="1879" w:type="dxa"/>
            <w:tcBorders>
              <w:top w:val="nil"/>
              <w:left w:val="nil"/>
              <w:bottom w:val="single" w:sz="4" w:space="0" w:color="auto"/>
              <w:right w:val="single" w:sz="4" w:space="0" w:color="auto"/>
            </w:tcBorders>
            <w:shd w:val="clear" w:color="000000" w:fill="FFFFFF"/>
            <w:noWrap/>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-5 250,30</w:t>
            </w:r>
          </w:p>
        </w:tc>
        <w:tc>
          <w:tcPr>
            <w:tcW w:w="1849" w:type="dxa"/>
            <w:tcBorders>
              <w:top w:val="nil"/>
              <w:left w:val="nil"/>
              <w:bottom w:val="single" w:sz="4" w:space="0" w:color="auto"/>
              <w:right w:val="single" w:sz="4" w:space="0" w:color="auto"/>
            </w:tcBorders>
            <w:shd w:val="clear" w:color="F2F2F2" w:fill="FFFFFF"/>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3 556,10</w:t>
            </w:r>
          </w:p>
        </w:tc>
        <w:tc>
          <w:tcPr>
            <w:tcW w:w="1506" w:type="dxa"/>
            <w:tcBorders>
              <w:top w:val="nil"/>
              <w:left w:val="nil"/>
              <w:bottom w:val="single" w:sz="4" w:space="0" w:color="auto"/>
              <w:right w:val="single" w:sz="4" w:space="0" w:color="auto"/>
            </w:tcBorders>
            <w:shd w:val="clear" w:color="000000" w:fill="FFFFFF"/>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4,08</w:t>
            </w:r>
          </w:p>
        </w:tc>
        <w:tc>
          <w:tcPr>
            <w:tcW w:w="1517" w:type="dxa"/>
            <w:tcBorders>
              <w:top w:val="nil"/>
              <w:left w:val="nil"/>
              <w:bottom w:val="single" w:sz="4" w:space="0" w:color="auto"/>
              <w:right w:val="single" w:sz="4" w:space="0" w:color="auto"/>
            </w:tcBorders>
            <w:shd w:val="clear" w:color="000000" w:fill="FFFFFF"/>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8,54</w:t>
            </w:r>
          </w:p>
        </w:tc>
        <w:tc>
          <w:tcPr>
            <w:tcW w:w="1843" w:type="dxa"/>
            <w:tcBorders>
              <w:top w:val="nil"/>
              <w:left w:val="nil"/>
              <w:bottom w:val="single" w:sz="4" w:space="0" w:color="auto"/>
              <w:right w:val="single" w:sz="4" w:space="0" w:color="auto"/>
            </w:tcBorders>
            <w:shd w:val="clear" w:color="FFFFCC" w:fill="FFFFFF"/>
            <w:noWrap/>
            <w:vAlign w:val="center"/>
          </w:tcPr>
          <w:p w:rsidR="00EC1B3C" w:rsidRPr="0094392D" w:rsidRDefault="00EC1B3C" w:rsidP="000274B0">
            <w:pPr>
              <w:spacing w:after="0" w:line="240" w:lineRule="auto"/>
              <w:jc w:val="center"/>
              <w:rPr>
                <w:rFonts w:ascii="Times New Roman" w:hAnsi="Times New Roman"/>
                <w:color w:val="121212"/>
                <w:sz w:val="24"/>
                <w:szCs w:val="24"/>
                <w:lang w:val="uk-UA" w:eastAsia="ru-RU"/>
              </w:rPr>
            </w:pPr>
            <w:r w:rsidRPr="0094392D">
              <w:rPr>
                <w:rFonts w:ascii="Times New Roman" w:hAnsi="Times New Roman"/>
                <w:color w:val="121212"/>
                <w:sz w:val="24"/>
                <w:szCs w:val="24"/>
                <w:lang w:val="uk-UA" w:eastAsia="ru-RU"/>
              </w:rPr>
              <w:t>4,317</w:t>
            </w:r>
          </w:p>
        </w:tc>
      </w:tr>
      <w:tr w:rsidR="00EC1B3C" w:rsidRPr="008D06EC" w:rsidTr="00634801">
        <w:trPr>
          <w:trHeight w:val="315"/>
          <w:jc w:val="center"/>
        </w:trPr>
        <w:tc>
          <w:tcPr>
            <w:tcW w:w="904" w:type="dxa"/>
            <w:tcBorders>
              <w:top w:val="nil"/>
              <w:left w:val="single" w:sz="4" w:space="0" w:color="auto"/>
              <w:bottom w:val="single" w:sz="4" w:space="0" w:color="auto"/>
              <w:right w:val="single" w:sz="4" w:space="0" w:color="auto"/>
            </w:tcBorders>
            <w:shd w:val="clear" w:color="000000" w:fill="FFFFFF"/>
            <w:noWrap/>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2001</w:t>
            </w:r>
          </w:p>
        </w:tc>
        <w:tc>
          <w:tcPr>
            <w:tcW w:w="1879" w:type="dxa"/>
            <w:tcBorders>
              <w:top w:val="nil"/>
              <w:left w:val="nil"/>
              <w:bottom w:val="single" w:sz="4" w:space="0" w:color="auto"/>
              <w:right w:val="single" w:sz="4" w:space="0" w:color="auto"/>
            </w:tcBorders>
            <w:shd w:val="clear" w:color="000000" w:fill="FFFFFF"/>
            <w:noWrap/>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-2 680,50</w:t>
            </w:r>
          </w:p>
        </w:tc>
        <w:tc>
          <w:tcPr>
            <w:tcW w:w="1849" w:type="dxa"/>
            <w:tcBorders>
              <w:top w:val="nil"/>
              <w:left w:val="nil"/>
              <w:bottom w:val="single" w:sz="4" w:space="0" w:color="auto"/>
              <w:right w:val="single" w:sz="4" w:space="0" w:color="auto"/>
            </w:tcBorders>
            <w:shd w:val="clear" w:color="F2F2F2" w:fill="FFFFFF"/>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1 258,20</w:t>
            </w:r>
          </w:p>
        </w:tc>
        <w:tc>
          <w:tcPr>
            <w:tcW w:w="1506" w:type="dxa"/>
            <w:tcBorders>
              <w:top w:val="nil"/>
              <w:left w:val="nil"/>
              <w:bottom w:val="single" w:sz="4" w:space="0" w:color="auto"/>
              <w:right w:val="single" w:sz="4" w:space="0" w:color="auto"/>
            </w:tcBorders>
            <w:shd w:val="clear" w:color="000000" w:fill="FFFFFF"/>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4,21</w:t>
            </w:r>
          </w:p>
        </w:tc>
        <w:tc>
          <w:tcPr>
            <w:tcW w:w="1517" w:type="dxa"/>
            <w:tcBorders>
              <w:top w:val="nil"/>
              <w:left w:val="nil"/>
              <w:bottom w:val="single" w:sz="4" w:space="0" w:color="auto"/>
              <w:right w:val="single" w:sz="4" w:space="0" w:color="auto"/>
            </w:tcBorders>
            <w:shd w:val="clear" w:color="000000" w:fill="FFFFFF"/>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5,82</w:t>
            </w:r>
          </w:p>
        </w:tc>
        <w:tc>
          <w:tcPr>
            <w:tcW w:w="1843" w:type="dxa"/>
            <w:tcBorders>
              <w:top w:val="nil"/>
              <w:left w:val="nil"/>
              <w:bottom w:val="single" w:sz="4" w:space="0" w:color="auto"/>
              <w:right w:val="single" w:sz="4" w:space="0" w:color="auto"/>
            </w:tcBorders>
            <w:shd w:val="clear" w:color="FFFFCC" w:fill="FFFFFF"/>
            <w:noWrap/>
            <w:vAlign w:val="center"/>
          </w:tcPr>
          <w:p w:rsidR="00EC1B3C" w:rsidRPr="0094392D" w:rsidRDefault="00EC1B3C" w:rsidP="000274B0">
            <w:pPr>
              <w:spacing w:after="0" w:line="240" w:lineRule="auto"/>
              <w:jc w:val="center"/>
              <w:rPr>
                <w:rFonts w:ascii="Times New Roman" w:hAnsi="Times New Roman"/>
                <w:color w:val="121212"/>
                <w:sz w:val="24"/>
                <w:szCs w:val="24"/>
                <w:lang w:val="uk-UA" w:eastAsia="ru-RU"/>
              </w:rPr>
            </w:pPr>
            <w:r w:rsidRPr="0094392D">
              <w:rPr>
                <w:rFonts w:ascii="Times New Roman" w:hAnsi="Times New Roman"/>
                <w:color w:val="121212"/>
                <w:sz w:val="24"/>
                <w:szCs w:val="24"/>
                <w:lang w:val="uk-UA" w:eastAsia="ru-RU"/>
              </w:rPr>
              <w:t>4,702</w:t>
            </w:r>
          </w:p>
        </w:tc>
      </w:tr>
      <w:tr w:rsidR="00EC1B3C" w:rsidRPr="008D06EC" w:rsidTr="00634801">
        <w:trPr>
          <w:trHeight w:val="315"/>
          <w:jc w:val="center"/>
        </w:trPr>
        <w:tc>
          <w:tcPr>
            <w:tcW w:w="904" w:type="dxa"/>
            <w:tcBorders>
              <w:top w:val="nil"/>
              <w:left w:val="single" w:sz="4" w:space="0" w:color="auto"/>
              <w:bottom w:val="single" w:sz="4" w:space="0" w:color="auto"/>
              <w:right w:val="single" w:sz="4" w:space="0" w:color="auto"/>
            </w:tcBorders>
            <w:shd w:val="clear" w:color="000000" w:fill="FFFFFF"/>
            <w:noWrap/>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2002</w:t>
            </w:r>
          </w:p>
        </w:tc>
        <w:tc>
          <w:tcPr>
            <w:tcW w:w="1879" w:type="dxa"/>
            <w:tcBorders>
              <w:top w:val="nil"/>
              <w:left w:val="nil"/>
              <w:bottom w:val="single" w:sz="4" w:space="0" w:color="auto"/>
              <w:right w:val="single" w:sz="4" w:space="0" w:color="auto"/>
            </w:tcBorders>
            <w:shd w:val="clear" w:color="000000" w:fill="FFFFFF"/>
            <w:noWrap/>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-1 948,50</w:t>
            </w:r>
          </w:p>
        </w:tc>
        <w:tc>
          <w:tcPr>
            <w:tcW w:w="1849" w:type="dxa"/>
            <w:tcBorders>
              <w:top w:val="nil"/>
              <w:left w:val="nil"/>
              <w:bottom w:val="single" w:sz="4" w:space="0" w:color="auto"/>
              <w:right w:val="single" w:sz="4" w:space="0" w:color="auto"/>
            </w:tcBorders>
            <w:shd w:val="clear" w:color="F2F2F2" w:fill="FFFFFF"/>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974,20</w:t>
            </w:r>
          </w:p>
        </w:tc>
        <w:tc>
          <w:tcPr>
            <w:tcW w:w="1506" w:type="dxa"/>
            <w:tcBorders>
              <w:top w:val="nil"/>
              <w:left w:val="nil"/>
              <w:bottom w:val="single" w:sz="4" w:space="0" w:color="auto"/>
              <w:right w:val="single" w:sz="4" w:space="0" w:color="auto"/>
            </w:tcBorders>
            <w:shd w:val="clear" w:color="000000" w:fill="FFFFFF"/>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4,74</w:t>
            </w:r>
          </w:p>
        </w:tc>
        <w:tc>
          <w:tcPr>
            <w:tcW w:w="1517" w:type="dxa"/>
            <w:tcBorders>
              <w:top w:val="nil"/>
              <w:left w:val="nil"/>
              <w:bottom w:val="single" w:sz="4" w:space="0" w:color="auto"/>
              <w:right w:val="single" w:sz="4" w:space="0" w:color="auto"/>
            </w:tcBorders>
            <w:shd w:val="clear" w:color="000000" w:fill="FFFFFF"/>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9,53</w:t>
            </w:r>
          </w:p>
        </w:tc>
        <w:tc>
          <w:tcPr>
            <w:tcW w:w="1843" w:type="dxa"/>
            <w:tcBorders>
              <w:top w:val="nil"/>
              <w:left w:val="nil"/>
              <w:bottom w:val="single" w:sz="4" w:space="0" w:color="auto"/>
              <w:right w:val="single" w:sz="4" w:space="0" w:color="auto"/>
            </w:tcBorders>
            <w:shd w:val="clear" w:color="FFFFCC" w:fill="FFFFFF"/>
            <w:noWrap/>
            <w:vAlign w:val="center"/>
          </w:tcPr>
          <w:p w:rsidR="00EC1B3C" w:rsidRPr="0094392D" w:rsidRDefault="00EC1B3C" w:rsidP="000274B0">
            <w:pPr>
              <w:spacing w:after="0" w:line="240" w:lineRule="auto"/>
              <w:jc w:val="center"/>
              <w:rPr>
                <w:rFonts w:ascii="Times New Roman" w:hAnsi="Times New Roman"/>
                <w:color w:val="121212"/>
                <w:sz w:val="24"/>
                <w:szCs w:val="24"/>
                <w:lang w:val="uk-UA" w:eastAsia="ru-RU"/>
              </w:rPr>
            </w:pPr>
            <w:r w:rsidRPr="0094392D">
              <w:rPr>
                <w:rFonts w:ascii="Times New Roman" w:hAnsi="Times New Roman"/>
                <w:color w:val="121212"/>
                <w:sz w:val="24"/>
                <w:szCs w:val="24"/>
                <w:lang w:val="uk-UA" w:eastAsia="ru-RU"/>
              </w:rPr>
              <w:t>4,832</w:t>
            </w:r>
          </w:p>
        </w:tc>
      </w:tr>
      <w:tr w:rsidR="00EC1B3C" w:rsidRPr="008D06EC" w:rsidTr="00634801">
        <w:trPr>
          <w:trHeight w:val="315"/>
          <w:jc w:val="center"/>
        </w:trPr>
        <w:tc>
          <w:tcPr>
            <w:tcW w:w="904" w:type="dxa"/>
            <w:tcBorders>
              <w:top w:val="nil"/>
              <w:left w:val="single" w:sz="4" w:space="0" w:color="auto"/>
              <w:bottom w:val="single" w:sz="4" w:space="0" w:color="auto"/>
              <w:right w:val="single" w:sz="4" w:space="0" w:color="auto"/>
            </w:tcBorders>
            <w:shd w:val="clear" w:color="000000" w:fill="FFFFFF"/>
            <w:noWrap/>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2003</w:t>
            </w:r>
          </w:p>
        </w:tc>
        <w:tc>
          <w:tcPr>
            <w:tcW w:w="1879" w:type="dxa"/>
            <w:tcBorders>
              <w:top w:val="nil"/>
              <w:left w:val="nil"/>
              <w:bottom w:val="single" w:sz="4" w:space="0" w:color="auto"/>
              <w:right w:val="single" w:sz="4" w:space="0" w:color="auto"/>
            </w:tcBorders>
            <w:shd w:val="clear" w:color="000000" w:fill="FFFFFF"/>
            <w:noWrap/>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-2 418,10</w:t>
            </w:r>
          </w:p>
        </w:tc>
        <w:tc>
          <w:tcPr>
            <w:tcW w:w="1849" w:type="dxa"/>
            <w:tcBorders>
              <w:top w:val="nil"/>
              <w:left w:val="nil"/>
              <w:bottom w:val="single" w:sz="4" w:space="0" w:color="auto"/>
              <w:right w:val="single" w:sz="4" w:space="0" w:color="auto"/>
            </w:tcBorders>
            <w:shd w:val="clear" w:color="F2F2F2" w:fill="FFFFFF"/>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1 736,80</w:t>
            </w:r>
          </w:p>
        </w:tc>
        <w:tc>
          <w:tcPr>
            <w:tcW w:w="1506" w:type="dxa"/>
            <w:tcBorders>
              <w:top w:val="nil"/>
              <w:left w:val="nil"/>
              <w:bottom w:val="single" w:sz="4" w:space="0" w:color="auto"/>
              <w:right w:val="single" w:sz="4" w:space="0" w:color="auto"/>
            </w:tcBorders>
            <w:shd w:val="clear" w:color="000000" w:fill="FFFFFF"/>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4,55</w:t>
            </w:r>
          </w:p>
        </w:tc>
        <w:tc>
          <w:tcPr>
            <w:tcW w:w="1517" w:type="dxa"/>
            <w:tcBorders>
              <w:top w:val="nil"/>
              <w:left w:val="nil"/>
              <w:bottom w:val="single" w:sz="4" w:space="0" w:color="auto"/>
              <w:right w:val="single" w:sz="4" w:space="0" w:color="auto"/>
            </w:tcBorders>
            <w:shd w:val="clear" w:color="000000" w:fill="FFFFFF"/>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5,34</w:t>
            </w:r>
          </w:p>
        </w:tc>
        <w:tc>
          <w:tcPr>
            <w:tcW w:w="1843" w:type="dxa"/>
            <w:tcBorders>
              <w:top w:val="nil"/>
              <w:left w:val="nil"/>
              <w:bottom w:val="single" w:sz="4" w:space="0" w:color="auto"/>
              <w:right w:val="single" w:sz="4" w:space="0" w:color="auto"/>
            </w:tcBorders>
            <w:shd w:val="clear" w:color="FFFFCC" w:fill="FFFFFF"/>
            <w:noWrap/>
            <w:vAlign w:val="center"/>
          </w:tcPr>
          <w:p w:rsidR="00EC1B3C" w:rsidRPr="0094392D" w:rsidRDefault="00EC1B3C" w:rsidP="000274B0">
            <w:pPr>
              <w:spacing w:after="0" w:line="240" w:lineRule="auto"/>
              <w:jc w:val="center"/>
              <w:rPr>
                <w:rFonts w:ascii="Times New Roman" w:hAnsi="Times New Roman"/>
                <w:color w:val="121212"/>
                <w:sz w:val="24"/>
                <w:szCs w:val="24"/>
                <w:lang w:val="uk-UA" w:eastAsia="ru-RU"/>
              </w:rPr>
            </w:pPr>
            <w:r w:rsidRPr="0094392D">
              <w:rPr>
                <w:rFonts w:ascii="Times New Roman" w:hAnsi="Times New Roman"/>
                <w:color w:val="121212"/>
                <w:sz w:val="24"/>
                <w:szCs w:val="24"/>
                <w:lang w:val="uk-UA" w:eastAsia="ru-RU"/>
              </w:rPr>
              <w:t>4,717</w:t>
            </w:r>
          </w:p>
        </w:tc>
      </w:tr>
      <w:tr w:rsidR="00EC1B3C" w:rsidRPr="008D06EC" w:rsidTr="00634801">
        <w:trPr>
          <w:trHeight w:val="315"/>
          <w:jc w:val="center"/>
        </w:trPr>
        <w:tc>
          <w:tcPr>
            <w:tcW w:w="904" w:type="dxa"/>
            <w:tcBorders>
              <w:top w:val="nil"/>
              <w:left w:val="single" w:sz="4" w:space="0" w:color="auto"/>
              <w:bottom w:val="single" w:sz="4" w:space="0" w:color="auto"/>
              <w:right w:val="single" w:sz="4" w:space="0" w:color="auto"/>
            </w:tcBorders>
            <w:shd w:val="clear" w:color="000000" w:fill="FFFFFF"/>
            <w:noWrap/>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2004</w:t>
            </w:r>
          </w:p>
        </w:tc>
        <w:tc>
          <w:tcPr>
            <w:tcW w:w="1879" w:type="dxa"/>
            <w:tcBorders>
              <w:top w:val="nil"/>
              <w:left w:val="nil"/>
              <w:bottom w:val="single" w:sz="4" w:space="0" w:color="auto"/>
              <w:right w:val="single" w:sz="4" w:space="0" w:color="auto"/>
            </w:tcBorders>
            <w:shd w:val="clear" w:color="000000" w:fill="FFFFFF"/>
            <w:noWrap/>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-2 124,20</w:t>
            </w:r>
          </w:p>
        </w:tc>
        <w:tc>
          <w:tcPr>
            <w:tcW w:w="1849" w:type="dxa"/>
            <w:tcBorders>
              <w:top w:val="nil"/>
              <w:left w:val="nil"/>
              <w:bottom w:val="single" w:sz="4" w:space="0" w:color="auto"/>
              <w:right w:val="single" w:sz="4" w:space="0" w:color="auto"/>
            </w:tcBorders>
            <w:shd w:val="clear" w:color="F2F2F2" w:fill="FFFFFF"/>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1 647,60</w:t>
            </w:r>
          </w:p>
        </w:tc>
        <w:tc>
          <w:tcPr>
            <w:tcW w:w="1506" w:type="dxa"/>
            <w:tcBorders>
              <w:top w:val="nil"/>
              <w:left w:val="nil"/>
              <w:bottom w:val="single" w:sz="4" w:space="0" w:color="auto"/>
              <w:right w:val="single" w:sz="4" w:space="0" w:color="auto"/>
            </w:tcBorders>
            <w:shd w:val="clear" w:color="000000" w:fill="FFFFFF"/>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4,48</w:t>
            </w:r>
          </w:p>
        </w:tc>
        <w:tc>
          <w:tcPr>
            <w:tcW w:w="1517" w:type="dxa"/>
            <w:tcBorders>
              <w:top w:val="nil"/>
              <w:left w:val="nil"/>
              <w:bottom w:val="single" w:sz="4" w:space="0" w:color="auto"/>
              <w:right w:val="single" w:sz="4" w:space="0" w:color="auto"/>
            </w:tcBorders>
            <w:shd w:val="clear" w:color="000000" w:fill="FFFFFF"/>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3,98</w:t>
            </w:r>
          </w:p>
        </w:tc>
        <w:tc>
          <w:tcPr>
            <w:tcW w:w="1843" w:type="dxa"/>
            <w:tcBorders>
              <w:top w:val="nil"/>
              <w:left w:val="nil"/>
              <w:bottom w:val="single" w:sz="4" w:space="0" w:color="auto"/>
              <w:right w:val="single" w:sz="4" w:space="0" w:color="auto"/>
            </w:tcBorders>
            <w:shd w:val="clear" w:color="FFFFCC" w:fill="FFFFFF"/>
            <w:noWrap/>
            <w:vAlign w:val="center"/>
          </w:tcPr>
          <w:p w:rsidR="00EC1B3C" w:rsidRPr="0094392D" w:rsidRDefault="00EC1B3C" w:rsidP="000274B0">
            <w:pPr>
              <w:spacing w:after="0" w:line="240" w:lineRule="auto"/>
              <w:jc w:val="center"/>
              <w:rPr>
                <w:rFonts w:ascii="Times New Roman" w:hAnsi="Times New Roman"/>
                <w:color w:val="121212"/>
                <w:sz w:val="24"/>
                <w:szCs w:val="24"/>
                <w:lang w:val="uk-UA" w:eastAsia="ru-RU"/>
              </w:rPr>
            </w:pPr>
            <w:r w:rsidRPr="0094392D">
              <w:rPr>
                <w:rFonts w:ascii="Times New Roman" w:hAnsi="Times New Roman"/>
                <w:color w:val="121212"/>
                <w:sz w:val="24"/>
                <w:szCs w:val="24"/>
                <w:lang w:val="uk-UA" w:eastAsia="ru-RU"/>
              </w:rPr>
              <w:t>3,653</w:t>
            </w:r>
          </w:p>
        </w:tc>
      </w:tr>
      <w:tr w:rsidR="00EC1B3C" w:rsidRPr="008D06EC" w:rsidTr="00634801">
        <w:trPr>
          <w:trHeight w:val="315"/>
          <w:jc w:val="center"/>
        </w:trPr>
        <w:tc>
          <w:tcPr>
            <w:tcW w:w="904" w:type="dxa"/>
            <w:tcBorders>
              <w:top w:val="nil"/>
              <w:left w:val="single" w:sz="4" w:space="0" w:color="auto"/>
              <w:bottom w:val="single" w:sz="4" w:space="0" w:color="auto"/>
              <w:right w:val="single" w:sz="4" w:space="0" w:color="auto"/>
            </w:tcBorders>
            <w:shd w:val="clear" w:color="000000" w:fill="FFFFFF"/>
            <w:noWrap/>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2005</w:t>
            </w:r>
          </w:p>
        </w:tc>
        <w:tc>
          <w:tcPr>
            <w:tcW w:w="1879" w:type="dxa"/>
            <w:tcBorders>
              <w:top w:val="nil"/>
              <w:left w:val="nil"/>
              <w:bottom w:val="single" w:sz="4" w:space="0" w:color="auto"/>
              <w:right w:val="single" w:sz="4" w:space="0" w:color="auto"/>
            </w:tcBorders>
            <w:shd w:val="clear" w:color="000000" w:fill="FFFFFF"/>
            <w:noWrap/>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450,20</w:t>
            </w:r>
          </w:p>
        </w:tc>
        <w:tc>
          <w:tcPr>
            <w:tcW w:w="1849" w:type="dxa"/>
            <w:tcBorders>
              <w:top w:val="nil"/>
              <w:left w:val="nil"/>
              <w:bottom w:val="single" w:sz="4" w:space="0" w:color="auto"/>
              <w:right w:val="single" w:sz="4" w:space="0" w:color="auto"/>
            </w:tcBorders>
            <w:shd w:val="clear" w:color="F2F2F2" w:fill="FFFFFF"/>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653,90</w:t>
            </w:r>
          </w:p>
        </w:tc>
        <w:tc>
          <w:tcPr>
            <w:tcW w:w="1506" w:type="dxa"/>
            <w:tcBorders>
              <w:top w:val="nil"/>
              <w:left w:val="nil"/>
              <w:bottom w:val="single" w:sz="4" w:space="0" w:color="auto"/>
              <w:right w:val="single" w:sz="4" w:space="0" w:color="auto"/>
            </w:tcBorders>
            <w:shd w:val="clear" w:color="000000" w:fill="FFFFFF"/>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4,49</w:t>
            </w:r>
          </w:p>
        </w:tc>
        <w:tc>
          <w:tcPr>
            <w:tcW w:w="1517" w:type="dxa"/>
            <w:tcBorders>
              <w:top w:val="nil"/>
              <w:left w:val="nil"/>
              <w:bottom w:val="single" w:sz="4" w:space="0" w:color="auto"/>
              <w:right w:val="single" w:sz="4" w:space="0" w:color="auto"/>
            </w:tcBorders>
            <w:shd w:val="clear" w:color="000000" w:fill="FFFFFF"/>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4,60</w:t>
            </w:r>
          </w:p>
        </w:tc>
        <w:tc>
          <w:tcPr>
            <w:tcW w:w="1843" w:type="dxa"/>
            <w:tcBorders>
              <w:top w:val="nil"/>
              <w:left w:val="nil"/>
              <w:bottom w:val="single" w:sz="4" w:space="0" w:color="auto"/>
              <w:right w:val="single" w:sz="4" w:space="0" w:color="auto"/>
            </w:tcBorders>
            <w:shd w:val="clear" w:color="FFFFCC" w:fill="FFFFFF"/>
            <w:noWrap/>
            <w:vAlign w:val="center"/>
          </w:tcPr>
          <w:p w:rsidR="00EC1B3C" w:rsidRPr="0094392D" w:rsidRDefault="00EC1B3C" w:rsidP="000274B0">
            <w:pPr>
              <w:spacing w:after="0" w:line="240" w:lineRule="auto"/>
              <w:jc w:val="center"/>
              <w:rPr>
                <w:rFonts w:ascii="Times New Roman" w:hAnsi="Times New Roman"/>
                <w:color w:val="121212"/>
                <w:sz w:val="24"/>
                <w:szCs w:val="24"/>
                <w:lang w:val="uk-UA" w:eastAsia="ru-RU"/>
              </w:rPr>
            </w:pPr>
            <w:r w:rsidRPr="0094392D">
              <w:rPr>
                <w:rFonts w:ascii="Times New Roman" w:hAnsi="Times New Roman"/>
                <w:color w:val="121212"/>
                <w:sz w:val="24"/>
                <w:szCs w:val="24"/>
                <w:lang w:val="uk-UA" w:eastAsia="ru-RU"/>
              </w:rPr>
              <w:t>3,175</w:t>
            </w:r>
          </w:p>
        </w:tc>
      </w:tr>
      <w:tr w:rsidR="00EC1B3C" w:rsidRPr="008D06EC" w:rsidTr="00634801">
        <w:trPr>
          <w:trHeight w:val="315"/>
          <w:jc w:val="center"/>
        </w:trPr>
        <w:tc>
          <w:tcPr>
            <w:tcW w:w="904" w:type="dxa"/>
            <w:tcBorders>
              <w:top w:val="nil"/>
              <w:left w:val="single" w:sz="4" w:space="0" w:color="auto"/>
              <w:bottom w:val="single" w:sz="4" w:space="0" w:color="auto"/>
              <w:right w:val="single" w:sz="4" w:space="0" w:color="auto"/>
            </w:tcBorders>
            <w:shd w:val="clear" w:color="000000" w:fill="FFFFFF"/>
            <w:noWrap/>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2006</w:t>
            </w:r>
          </w:p>
        </w:tc>
        <w:tc>
          <w:tcPr>
            <w:tcW w:w="1879" w:type="dxa"/>
            <w:tcBorders>
              <w:top w:val="nil"/>
              <w:left w:val="nil"/>
              <w:bottom w:val="single" w:sz="4" w:space="0" w:color="auto"/>
              <w:right w:val="single" w:sz="4" w:space="0" w:color="auto"/>
            </w:tcBorders>
            <w:shd w:val="clear" w:color="000000" w:fill="FFFFFF"/>
            <w:noWrap/>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1 128,20</w:t>
            </w:r>
          </w:p>
        </w:tc>
        <w:tc>
          <w:tcPr>
            <w:tcW w:w="1849" w:type="dxa"/>
            <w:tcBorders>
              <w:top w:val="nil"/>
              <w:left w:val="nil"/>
              <w:bottom w:val="single" w:sz="4" w:space="0" w:color="auto"/>
              <w:right w:val="single" w:sz="4" w:space="0" w:color="auto"/>
            </w:tcBorders>
            <w:shd w:val="clear" w:color="F2F2F2" w:fill="FFFFFF"/>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2 319,50</w:t>
            </w:r>
          </w:p>
        </w:tc>
        <w:tc>
          <w:tcPr>
            <w:tcW w:w="1506" w:type="dxa"/>
            <w:tcBorders>
              <w:top w:val="nil"/>
              <w:left w:val="nil"/>
              <w:bottom w:val="single" w:sz="4" w:space="0" w:color="auto"/>
              <w:right w:val="single" w:sz="4" w:space="0" w:color="auto"/>
            </w:tcBorders>
            <w:shd w:val="clear" w:color="000000" w:fill="FFFFFF"/>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4,46</w:t>
            </w:r>
          </w:p>
        </w:tc>
        <w:tc>
          <w:tcPr>
            <w:tcW w:w="1517" w:type="dxa"/>
            <w:tcBorders>
              <w:top w:val="nil"/>
              <w:left w:val="nil"/>
              <w:bottom w:val="single" w:sz="4" w:space="0" w:color="auto"/>
              <w:right w:val="single" w:sz="4" w:space="0" w:color="auto"/>
            </w:tcBorders>
            <w:shd w:val="clear" w:color="000000" w:fill="FFFFFF"/>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5,13</w:t>
            </w:r>
          </w:p>
        </w:tc>
        <w:tc>
          <w:tcPr>
            <w:tcW w:w="1843" w:type="dxa"/>
            <w:tcBorders>
              <w:top w:val="nil"/>
              <w:left w:val="nil"/>
              <w:bottom w:val="single" w:sz="4" w:space="0" w:color="auto"/>
              <w:right w:val="single" w:sz="4" w:space="0" w:color="auto"/>
            </w:tcBorders>
            <w:shd w:val="clear" w:color="FFFFCC" w:fill="FFFFFF"/>
            <w:noWrap/>
            <w:vAlign w:val="center"/>
          </w:tcPr>
          <w:p w:rsidR="00EC1B3C" w:rsidRPr="0094392D" w:rsidRDefault="00EC1B3C" w:rsidP="000274B0">
            <w:pPr>
              <w:spacing w:after="0" w:line="240" w:lineRule="auto"/>
              <w:jc w:val="center"/>
              <w:rPr>
                <w:rFonts w:ascii="Times New Roman" w:hAnsi="Times New Roman"/>
                <w:color w:val="121212"/>
                <w:sz w:val="24"/>
                <w:szCs w:val="24"/>
                <w:lang w:val="uk-UA" w:eastAsia="ru-RU"/>
              </w:rPr>
            </w:pPr>
            <w:r w:rsidRPr="0094392D">
              <w:rPr>
                <w:rFonts w:ascii="Times New Roman" w:hAnsi="Times New Roman"/>
                <w:color w:val="121212"/>
                <w:sz w:val="24"/>
                <w:szCs w:val="24"/>
                <w:lang w:val="uk-UA" w:eastAsia="ru-RU"/>
              </w:rPr>
              <w:t>4,828</w:t>
            </w:r>
          </w:p>
        </w:tc>
      </w:tr>
      <w:tr w:rsidR="00EC1B3C" w:rsidRPr="008D06EC" w:rsidTr="00634801">
        <w:trPr>
          <w:trHeight w:val="315"/>
          <w:jc w:val="center"/>
        </w:trPr>
        <w:tc>
          <w:tcPr>
            <w:tcW w:w="904" w:type="dxa"/>
            <w:tcBorders>
              <w:top w:val="nil"/>
              <w:left w:val="single" w:sz="4" w:space="0" w:color="auto"/>
              <w:bottom w:val="single" w:sz="4" w:space="0" w:color="auto"/>
              <w:right w:val="single" w:sz="4" w:space="0" w:color="auto"/>
            </w:tcBorders>
            <w:shd w:val="clear" w:color="000000" w:fill="FFFFFF"/>
            <w:noWrap/>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2007</w:t>
            </w:r>
          </w:p>
        </w:tc>
        <w:tc>
          <w:tcPr>
            <w:tcW w:w="1879" w:type="dxa"/>
            <w:tcBorders>
              <w:top w:val="nil"/>
              <w:left w:val="nil"/>
              <w:bottom w:val="single" w:sz="4" w:space="0" w:color="auto"/>
              <w:right w:val="single" w:sz="4" w:space="0" w:color="auto"/>
            </w:tcBorders>
            <w:shd w:val="clear" w:color="000000" w:fill="FFFFFF"/>
            <w:noWrap/>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1 833,00</w:t>
            </w:r>
          </w:p>
        </w:tc>
        <w:tc>
          <w:tcPr>
            <w:tcW w:w="1849" w:type="dxa"/>
            <w:tcBorders>
              <w:top w:val="nil"/>
              <w:left w:val="nil"/>
              <w:bottom w:val="single" w:sz="4" w:space="0" w:color="auto"/>
              <w:right w:val="single" w:sz="4" w:space="0" w:color="auto"/>
            </w:tcBorders>
            <w:shd w:val="clear" w:color="F2F2F2" w:fill="FFFFFF"/>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3 402,50</w:t>
            </w:r>
          </w:p>
        </w:tc>
        <w:tc>
          <w:tcPr>
            <w:tcW w:w="1506" w:type="dxa"/>
            <w:tcBorders>
              <w:top w:val="nil"/>
              <w:left w:val="nil"/>
              <w:bottom w:val="single" w:sz="4" w:space="0" w:color="auto"/>
              <w:right w:val="single" w:sz="4" w:space="0" w:color="auto"/>
            </w:tcBorders>
            <w:shd w:val="clear" w:color="000000" w:fill="FFFFFF"/>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4,11</w:t>
            </w:r>
          </w:p>
        </w:tc>
        <w:tc>
          <w:tcPr>
            <w:tcW w:w="1517" w:type="dxa"/>
            <w:tcBorders>
              <w:top w:val="nil"/>
              <w:left w:val="nil"/>
              <w:bottom w:val="single" w:sz="4" w:space="0" w:color="auto"/>
              <w:right w:val="single" w:sz="4" w:space="0" w:color="auto"/>
            </w:tcBorders>
            <w:shd w:val="clear" w:color="000000" w:fill="FFFFFF"/>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4,08</w:t>
            </w:r>
          </w:p>
        </w:tc>
        <w:tc>
          <w:tcPr>
            <w:tcW w:w="1843" w:type="dxa"/>
            <w:tcBorders>
              <w:top w:val="nil"/>
              <w:left w:val="nil"/>
              <w:bottom w:val="single" w:sz="4" w:space="0" w:color="auto"/>
              <w:right w:val="single" w:sz="4" w:space="0" w:color="auto"/>
            </w:tcBorders>
            <w:shd w:val="clear" w:color="FFFFCC" w:fill="FFFFFF"/>
            <w:noWrap/>
            <w:vAlign w:val="center"/>
          </w:tcPr>
          <w:p w:rsidR="00EC1B3C" w:rsidRPr="0094392D" w:rsidRDefault="00EC1B3C" w:rsidP="000274B0">
            <w:pPr>
              <w:spacing w:after="0" w:line="240" w:lineRule="auto"/>
              <w:jc w:val="center"/>
              <w:rPr>
                <w:rFonts w:ascii="Times New Roman" w:hAnsi="Times New Roman"/>
                <w:color w:val="121212"/>
                <w:sz w:val="24"/>
                <w:szCs w:val="24"/>
                <w:lang w:val="uk-UA" w:eastAsia="ru-RU"/>
              </w:rPr>
            </w:pPr>
            <w:r w:rsidRPr="0094392D">
              <w:rPr>
                <w:rFonts w:ascii="Times New Roman" w:hAnsi="Times New Roman"/>
                <w:color w:val="121212"/>
                <w:sz w:val="24"/>
                <w:szCs w:val="24"/>
                <w:lang w:val="uk-UA" w:eastAsia="ru-RU"/>
              </w:rPr>
              <w:t>6,167</w:t>
            </w:r>
          </w:p>
        </w:tc>
      </w:tr>
      <w:tr w:rsidR="00EC1B3C" w:rsidRPr="008D06EC" w:rsidTr="00634801">
        <w:trPr>
          <w:trHeight w:val="315"/>
          <w:jc w:val="center"/>
        </w:trPr>
        <w:tc>
          <w:tcPr>
            <w:tcW w:w="904" w:type="dxa"/>
            <w:tcBorders>
              <w:top w:val="nil"/>
              <w:left w:val="single" w:sz="4" w:space="0" w:color="auto"/>
              <w:bottom w:val="single" w:sz="4" w:space="0" w:color="auto"/>
              <w:right w:val="single" w:sz="4" w:space="0" w:color="auto"/>
            </w:tcBorders>
            <w:shd w:val="clear" w:color="000000" w:fill="FFFFFF"/>
            <w:noWrap/>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2008</w:t>
            </w:r>
          </w:p>
        </w:tc>
        <w:tc>
          <w:tcPr>
            <w:tcW w:w="1879" w:type="dxa"/>
            <w:tcBorders>
              <w:top w:val="nil"/>
              <w:left w:val="nil"/>
              <w:bottom w:val="single" w:sz="4" w:space="0" w:color="auto"/>
              <w:right w:val="single" w:sz="4" w:space="0" w:color="auto"/>
            </w:tcBorders>
            <w:shd w:val="clear" w:color="000000" w:fill="FFFFFF"/>
            <w:noWrap/>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-1 360,00</w:t>
            </w:r>
          </w:p>
        </w:tc>
        <w:tc>
          <w:tcPr>
            <w:tcW w:w="1849" w:type="dxa"/>
            <w:tcBorders>
              <w:top w:val="nil"/>
              <w:left w:val="nil"/>
              <w:bottom w:val="single" w:sz="4" w:space="0" w:color="auto"/>
              <w:right w:val="single" w:sz="4" w:space="0" w:color="auto"/>
            </w:tcBorders>
            <w:shd w:val="clear" w:color="F2F2F2" w:fill="FFFFFF"/>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2 938,80</w:t>
            </w:r>
          </w:p>
        </w:tc>
        <w:tc>
          <w:tcPr>
            <w:tcW w:w="1506" w:type="dxa"/>
            <w:tcBorders>
              <w:top w:val="nil"/>
              <w:left w:val="nil"/>
              <w:bottom w:val="single" w:sz="4" w:space="0" w:color="auto"/>
              <w:right w:val="single" w:sz="4" w:space="0" w:color="auto"/>
            </w:tcBorders>
            <w:shd w:val="clear" w:color="000000" w:fill="FFFFFF"/>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3,59</w:t>
            </w:r>
          </w:p>
        </w:tc>
        <w:tc>
          <w:tcPr>
            <w:tcW w:w="1517" w:type="dxa"/>
            <w:tcBorders>
              <w:top w:val="nil"/>
              <w:left w:val="nil"/>
              <w:bottom w:val="single" w:sz="4" w:space="0" w:color="auto"/>
              <w:right w:val="single" w:sz="4" w:space="0" w:color="auto"/>
            </w:tcBorders>
            <w:shd w:val="clear" w:color="000000" w:fill="FFFFFF"/>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2,53</w:t>
            </w:r>
          </w:p>
        </w:tc>
        <w:tc>
          <w:tcPr>
            <w:tcW w:w="1843" w:type="dxa"/>
            <w:tcBorders>
              <w:top w:val="nil"/>
              <w:left w:val="nil"/>
              <w:bottom w:val="single" w:sz="4" w:space="0" w:color="auto"/>
              <w:right w:val="single" w:sz="4" w:space="0" w:color="auto"/>
            </w:tcBorders>
            <w:shd w:val="clear" w:color="FFFFCC" w:fill="FFFFFF"/>
            <w:noWrap/>
            <w:vAlign w:val="center"/>
          </w:tcPr>
          <w:p w:rsidR="00EC1B3C" w:rsidRPr="0094392D" w:rsidRDefault="00EC1B3C" w:rsidP="000274B0">
            <w:pPr>
              <w:spacing w:after="0" w:line="240" w:lineRule="auto"/>
              <w:jc w:val="center"/>
              <w:rPr>
                <w:rFonts w:ascii="Times New Roman" w:hAnsi="Times New Roman"/>
                <w:color w:val="121212"/>
                <w:sz w:val="24"/>
                <w:szCs w:val="24"/>
                <w:lang w:val="uk-UA" w:eastAsia="ru-RU"/>
              </w:rPr>
            </w:pPr>
            <w:r w:rsidRPr="0094392D">
              <w:rPr>
                <w:rFonts w:ascii="Times New Roman" w:hAnsi="Times New Roman"/>
                <w:color w:val="121212"/>
                <w:sz w:val="24"/>
                <w:szCs w:val="24"/>
                <w:lang w:val="uk-UA" w:eastAsia="ru-RU"/>
              </w:rPr>
              <w:t>4,406</w:t>
            </w:r>
          </w:p>
        </w:tc>
      </w:tr>
      <w:tr w:rsidR="00EC1B3C" w:rsidRPr="008D06EC" w:rsidTr="00634801">
        <w:trPr>
          <w:trHeight w:val="315"/>
          <w:jc w:val="center"/>
        </w:trPr>
        <w:tc>
          <w:tcPr>
            <w:tcW w:w="904" w:type="dxa"/>
            <w:tcBorders>
              <w:top w:val="nil"/>
              <w:left w:val="single" w:sz="4" w:space="0" w:color="auto"/>
              <w:bottom w:val="single" w:sz="4" w:space="0" w:color="auto"/>
              <w:right w:val="single" w:sz="4" w:space="0" w:color="auto"/>
            </w:tcBorders>
            <w:shd w:val="clear" w:color="000000" w:fill="FFFFFF"/>
            <w:noWrap/>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2009</w:t>
            </w:r>
          </w:p>
        </w:tc>
        <w:tc>
          <w:tcPr>
            <w:tcW w:w="1879" w:type="dxa"/>
            <w:tcBorders>
              <w:top w:val="nil"/>
              <w:left w:val="nil"/>
              <w:bottom w:val="single" w:sz="4" w:space="0" w:color="auto"/>
              <w:right w:val="single" w:sz="4" w:space="0" w:color="auto"/>
            </w:tcBorders>
            <w:shd w:val="clear" w:color="000000" w:fill="FFFFFF"/>
            <w:noWrap/>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-2 162,90</w:t>
            </w:r>
          </w:p>
        </w:tc>
        <w:tc>
          <w:tcPr>
            <w:tcW w:w="1849" w:type="dxa"/>
            <w:tcBorders>
              <w:top w:val="nil"/>
              <w:left w:val="nil"/>
              <w:bottom w:val="single" w:sz="4" w:space="0" w:color="auto"/>
              <w:right w:val="single" w:sz="4" w:space="0" w:color="auto"/>
            </w:tcBorders>
            <w:shd w:val="clear" w:color="F2F2F2" w:fill="FFFFFF"/>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4 082,40</w:t>
            </w:r>
          </w:p>
        </w:tc>
        <w:tc>
          <w:tcPr>
            <w:tcW w:w="1506" w:type="dxa"/>
            <w:tcBorders>
              <w:top w:val="nil"/>
              <w:left w:val="nil"/>
              <w:bottom w:val="single" w:sz="4" w:space="0" w:color="auto"/>
              <w:right w:val="single" w:sz="4" w:space="0" w:color="auto"/>
            </w:tcBorders>
            <w:shd w:val="clear" w:color="000000" w:fill="FFFFFF"/>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3,93</w:t>
            </w:r>
          </w:p>
        </w:tc>
        <w:tc>
          <w:tcPr>
            <w:tcW w:w="1517" w:type="dxa"/>
            <w:tcBorders>
              <w:top w:val="nil"/>
              <w:left w:val="nil"/>
              <w:bottom w:val="single" w:sz="4" w:space="0" w:color="auto"/>
              <w:right w:val="single" w:sz="4" w:space="0" w:color="auto"/>
            </w:tcBorders>
            <w:shd w:val="clear" w:color="000000" w:fill="FFFFFF"/>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1,01</w:t>
            </w:r>
          </w:p>
        </w:tc>
        <w:tc>
          <w:tcPr>
            <w:tcW w:w="1843" w:type="dxa"/>
            <w:tcBorders>
              <w:top w:val="nil"/>
              <w:left w:val="nil"/>
              <w:bottom w:val="single" w:sz="4" w:space="0" w:color="auto"/>
              <w:right w:val="single" w:sz="4" w:space="0" w:color="auto"/>
            </w:tcBorders>
            <w:shd w:val="clear" w:color="FFFFCC" w:fill="FFFFFF"/>
            <w:noWrap/>
            <w:vAlign w:val="center"/>
          </w:tcPr>
          <w:p w:rsidR="00EC1B3C" w:rsidRPr="0094392D" w:rsidRDefault="00EC1B3C" w:rsidP="000274B0">
            <w:pPr>
              <w:spacing w:after="0" w:line="240" w:lineRule="auto"/>
              <w:jc w:val="center"/>
              <w:rPr>
                <w:rFonts w:ascii="Times New Roman" w:hAnsi="Times New Roman"/>
                <w:color w:val="121212"/>
                <w:sz w:val="24"/>
                <w:szCs w:val="24"/>
                <w:lang w:val="uk-UA" w:eastAsia="ru-RU"/>
              </w:rPr>
            </w:pPr>
            <w:r w:rsidRPr="0094392D">
              <w:rPr>
                <w:rFonts w:ascii="Times New Roman" w:hAnsi="Times New Roman"/>
                <w:color w:val="121212"/>
                <w:sz w:val="24"/>
                <w:szCs w:val="24"/>
                <w:lang w:val="uk-UA" w:eastAsia="ru-RU"/>
              </w:rPr>
              <w:t>4,4</w:t>
            </w:r>
          </w:p>
        </w:tc>
      </w:tr>
      <w:tr w:rsidR="00EC1B3C" w:rsidRPr="008D06EC" w:rsidTr="00634801">
        <w:trPr>
          <w:trHeight w:val="315"/>
          <w:jc w:val="center"/>
        </w:trPr>
        <w:tc>
          <w:tcPr>
            <w:tcW w:w="904" w:type="dxa"/>
            <w:tcBorders>
              <w:top w:val="nil"/>
              <w:left w:val="single" w:sz="4" w:space="0" w:color="auto"/>
              <w:bottom w:val="single" w:sz="4" w:space="0" w:color="auto"/>
              <w:right w:val="single" w:sz="4" w:space="0" w:color="auto"/>
            </w:tcBorders>
            <w:shd w:val="clear" w:color="000000" w:fill="FFFFFF"/>
            <w:noWrap/>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2010</w:t>
            </w:r>
          </w:p>
        </w:tc>
        <w:tc>
          <w:tcPr>
            <w:tcW w:w="1879" w:type="dxa"/>
            <w:tcBorders>
              <w:top w:val="nil"/>
              <w:left w:val="nil"/>
              <w:bottom w:val="single" w:sz="4" w:space="0" w:color="auto"/>
              <w:right w:val="single" w:sz="4" w:space="0" w:color="auto"/>
            </w:tcBorders>
            <w:shd w:val="clear" w:color="000000" w:fill="FFFFFF"/>
            <w:noWrap/>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-1 369,10</w:t>
            </w:r>
          </w:p>
        </w:tc>
        <w:tc>
          <w:tcPr>
            <w:tcW w:w="1849" w:type="dxa"/>
            <w:tcBorders>
              <w:top w:val="nil"/>
              <w:left w:val="nil"/>
              <w:bottom w:val="single" w:sz="4" w:space="0" w:color="auto"/>
              <w:right w:val="single" w:sz="4" w:space="0" w:color="auto"/>
            </w:tcBorders>
            <w:shd w:val="clear" w:color="F2F2F2" w:fill="FFFFFF"/>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4 176,30</w:t>
            </w:r>
          </w:p>
        </w:tc>
        <w:tc>
          <w:tcPr>
            <w:tcW w:w="1506" w:type="dxa"/>
            <w:tcBorders>
              <w:top w:val="nil"/>
              <w:left w:val="nil"/>
              <w:bottom w:val="single" w:sz="4" w:space="0" w:color="auto"/>
              <w:right w:val="single" w:sz="4" w:space="0" w:color="auto"/>
            </w:tcBorders>
            <w:shd w:val="clear" w:color="000000" w:fill="FFFFFF"/>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3,74</w:t>
            </w:r>
          </w:p>
        </w:tc>
        <w:tc>
          <w:tcPr>
            <w:tcW w:w="1517" w:type="dxa"/>
            <w:tcBorders>
              <w:top w:val="nil"/>
              <w:left w:val="nil"/>
              <w:bottom w:val="single" w:sz="4" w:space="0" w:color="auto"/>
              <w:right w:val="single" w:sz="4" w:space="0" w:color="auto"/>
            </w:tcBorders>
            <w:shd w:val="clear" w:color="000000" w:fill="FFFFFF"/>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2,02</w:t>
            </w:r>
          </w:p>
        </w:tc>
        <w:tc>
          <w:tcPr>
            <w:tcW w:w="1843" w:type="dxa"/>
            <w:tcBorders>
              <w:top w:val="nil"/>
              <w:left w:val="nil"/>
              <w:bottom w:val="single" w:sz="4" w:space="0" w:color="auto"/>
              <w:right w:val="single" w:sz="4" w:space="0" w:color="auto"/>
            </w:tcBorders>
            <w:shd w:val="clear" w:color="FFFFCC" w:fill="FFFFFF"/>
            <w:noWrap/>
            <w:vAlign w:val="center"/>
          </w:tcPr>
          <w:p w:rsidR="00EC1B3C" w:rsidRPr="0094392D" w:rsidRDefault="00EC1B3C" w:rsidP="000274B0">
            <w:pPr>
              <w:spacing w:after="0" w:line="240" w:lineRule="auto"/>
              <w:jc w:val="center"/>
              <w:rPr>
                <w:rFonts w:ascii="Times New Roman" w:hAnsi="Times New Roman"/>
                <w:color w:val="121212"/>
                <w:sz w:val="24"/>
                <w:szCs w:val="24"/>
                <w:lang w:val="uk-UA" w:eastAsia="ru-RU"/>
              </w:rPr>
            </w:pPr>
            <w:r w:rsidRPr="0094392D">
              <w:rPr>
                <w:rFonts w:ascii="Times New Roman" w:hAnsi="Times New Roman"/>
                <w:color w:val="121212"/>
                <w:sz w:val="24"/>
                <w:szCs w:val="24"/>
                <w:lang w:val="uk-UA" w:eastAsia="ru-RU"/>
              </w:rPr>
              <w:t>4,567</w:t>
            </w:r>
          </w:p>
        </w:tc>
      </w:tr>
      <w:tr w:rsidR="00EC1B3C" w:rsidRPr="008D06EC" w:rsidTr="00634801">
        <w:trPr>
          <w:trHeight w:val="315"/>
          <w:jc w:val="center"/>
        </w:trPr>
        <w:tc>
          <w:tcPr>
            <w:tcW w:w="904" w:type="dxa"/>
            <w:tcBorders>
              <w:top w:val="nil"/>
              <w:left w:val="single" w:sz="4" w:space="0" w:color="auto"/>
              <w:bottom w:val="single" w:sz="4" w:space="0" w:color="auto"/>
              <w:right w:val="single" w:sz="4" w:space="0" w:color="auto"/>
            </w:tcBorders>
            <w:shd w:val="clear" w:color="000000" w:fill="FFFFFF"/>
            <w:noWrap/>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2011</w:t>
            </w:r>
          </w:p>
        </w:tc>
        <w:tc>
          <w:tcPr>
            <w:tcW w:w="1879" w:type="dxa"/>
            <w:tcBorders>
              <w:top w:val="nil"/>
              <w:left w:val="nil"/>
              <w:bottom w:val="single" w:sz="4" w:space="0" w:color="auto"/>
              <w:right w:val="single" w:sz="4" w:space="0" w:color="auto"/>
            </w:tcBorders>
            <w:shd w:val="clear" w:color="000000" w:fill="FFFFFF"/>
            <w:noWrap/>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-68,80</w:t>
            </w:r>
          </w:p>
        </w:tc>
        <w:tc>
          <w:tcPr>
            <w:tcW w:w="1849" w:type="dxa"/>
            <w:tcBorders>
              <w:top w:val="nil"/>
              <w:left w:val="nil"/>
              <w:bottom w:val="single" w:sz="4" w:space="0" w:color="auto"/>
              <w:right w:val="single" w:sz="4" w:space="0" w:color="auto"/>
            </w:tcBorders>
            <w:shd w:val="clear" w:color="F2F2F2" w:fill="FFFFFF"/>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3 643,60</w:t>
            </w:r>
          </w:p>
        </w:tc>
        <w:tc>
          <w:tcPr>
            <w:tcW w:w="1506" w:type="dxa"/>
            <w:tcBorders>
              <w:top w:val="nil"/>
              <w:left w:val="nil"/>
              <w:bottom w:val="single" w:sz="4" w:space="0" w:color="auto"/>
              <w:right w:val="single" w:sz="4" w:space="0" w:color="auto"/>
            </w:tcBorders>
            <w:shd w:val="clear" w:color="000000" w:fill="FFFFFF"/>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3,58</w:t>
            </w:r>
          </w:p>
        </w:tc>
        <w:tc>
          <w:tcPr>
            <w:tcW w:w="1517" w:type="dxa"/>
            <w:tcBorders>
              <w:top w:val="nil"/>
              <w:left w:val="nil"/>
              <w:bottom w:val="single" w:sz="4" w:space="0" w:color="auto"/>
              <w:right w:val="single" w:sz="4" w:space="0" w:color="auto"/>
            </w:tcBorders>
            <w:shd w:val="clear" w:color="000000" w:fill="FFFFFF"/>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2,79</w:t>
            </w:r>
          </w:p>
        </w:tc>
        <w:tc>
          <w:tcPr>
            <w:tcW w:w="1843" w:type="dxa"/>
            <w:tcBorders>
              <w:top w:val="nil"/>
              <w:left w:val="nil"/>
              <w:bottom w:val="single" w:sz="4" w:space="0" w:color="auto"/>
              <w:right w:val="single" w:sz="4" w:space="0" w:color="auto"/>
            </w:tcBorders>
            <w:shd w:val="clear" w:color="FFFFCC" w:fill="FFFFFF"/>
            <w:noWrap/>
            <w:vAlign w:val="center"/>
          </w:tcPr>
          <w:p w:rsidR="00EC1B3C" w:rsidRPr="0094392D" w:rsidRDefault="00EC1B3C" w:rsidP="000274B0">
            <w:pPr>
              <w:spacing w:after="0" w:line="240" w:lineRule="auto"/>
              <w:jc w:val="center"/>
              <w:rPr>
                <w:rFonts w:ascii="Times New Roman" w:hAnsi="Times New Roman"/>
                <w:color w:val="121212"/>
                <w:sz w:val="24"/>
                <w:szCs w:val="24"/>
                <w:lang w:val="uk-UA" w:eastAsia="ru-RU"/>
              </w:rPr>
            </w:pPr>
            <w:r w:rsidRPr="0094392D">
              <w:rPr>
                <w:rFonts w:ascii="Times New Roman" w:hAnsi="Times New Roman"/>
                <w:color w:val="121212"/>
                <w:sz w:val="24"/>
                <w:szCs w:val="24"/>
                <w:lang w:val="uk-UA" w:eastAsia="ru-RU"/>
              </w:rPr>
              <w:t>3,004</w:t>
            </w:r>
          </w:p>
        </w:tc>
      </w:tr>
      <w:tr w:rsidR="00EC1B3C" w:rsidRPr="008D06EC" w:rsidTr="00634801">
        <w:trPr>
          <w:trHeight w:val="315"/>
          <w:jc w:val="center"/>
        </w:trPr>
        <w:tc>
          <w:tcPr>
            <w:tcW w:w="904" w:type="dxa"/>
            <w:tcBorders>
              <w:top w:val="nil"/>
              <w:left w:val="single" w:sz="4" w:space="0" w:color="auto"/>
              <w:bottom w:val="single" w:sz="4" w:space="0" w:color="auto"/>
              <w:right w:val="single" w:sz="4" w:space="0" w:color="auto"/>
            </w:tcBorders>
            <w:shd w:val="clear" w:color="000000" w:fill="FFFFFF"/>
            <w:noWrap/>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2012</w:t>
            </w:r>
          </w:p>
        </w:tc>
        <w:tc>
          <w:tcPr>
            <w:tcW w:w="1879" w:type="dxa"/>
            <w:tcBorders>
              <w:top w:val="nil"/>
              <w:left w:val="nil"/>
              <w:bottom w:val="single" w:sz="4" w:space="0" w:color="auto"/>
              <w:right w:val="single" w:sz="4" w:space="0" w:color="auto"/>
            </w:tcBorders>
            <w:shd w:val="clear" w:color="000000" w:fill="FFFFFF"/>
            <w:noWrap/>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-3 222,50</w:t>
            </w:r>
          </w:p>
        </w:tc>
        <w:tc>
          <w:tcPr>
            <w:tcW w:w="1849" w:type="dxa"/>
            <w:tcBorders>
              <w:top w:val="nil"/>
              <w:left w:val="nil"/>
              <w:bottom w:val="single" w:sz="4" w:space="0" w:color="auto"/>
              <w:right w:val="single" w:sz="4" w:space="0" w:color="auto"/>
            </w:tcBorders>
            <w:shd w:val="clear" w:color="F2F2F2" w:fill="FFFFFF"/>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6 425,10</w:t>
            </w:r>
          </w:p>
        </w:tc>
        <w:tc>
          <w:tcPr>
            <w:tcW w:w="1506" w:type="dxa"/>
            <w:tcBorders>
              <w:top w:val="nil"/>
              <w:left w:val="nil"/>
              <w:bottom w:val="single" w:sz="4" w:space="0" w:color="auto"/>
              <w:right w:val="single" w:sz="4" w:space="0" w:color="auto"/>
            </w:tcBorders>
            <w:shd w:val="clear" w:color="000000" w:fill="FFFFFF"/>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3,86</w:t>
            </w:r>
          </w:p>
        </w:tc>
        <w:tc>
          <w:tcPr>
            <w:tcW w:w="1517" w:type="dxa"/>
            <w:tcBorders>
              <w:top w:val="nil"/>
              <w:left w:val="nil"/>
              <w:bottom w:val="single" w:sz="4" w:space="0" w:color="auto"/>
              <w:right w:val="single" w:sz="4" w:space="0" w:color="auto"/>
            </w:tcBorders>
            <w:shd w:val="clear" w:color="000000" w:fill="FFFFFF"/>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2,02</w:t>
            </w:r>
          </w:p>
        </w:tc>
        <w:tc>
          <w:tcPr>
            <w:tcW w:w="1843" w:type="dxa"/>
            <w:tcBorders>
              <w:top w:val="nil"/>
              <w:left w:val="nil"/>
              <w:bottom w:val="single" w:sz="4" w:space="0" w:color="auto"/>
              <w:right w:val="single" w:sz="4" w:space="0" w:color="auto"/>
            </w:tcBorders>
            <w:shd w:val="clear" w:color="FFFFCC" w:fill="FFFFFF"/>
            <w:noWrap/>
            <w:vAlign w:val="center"/>
          </w:tcPr>
          <w:p w:rsidR="00EC1B3C" w:rsidRPr="0094392D" w:rsidRDefault="00EC1B3C" w:rsidP="000274B0">
            <w:pPr>
              <w:spacing w:after="0" w:line="240" w:lineRule="auto"/>
              <w:jc w:val="center"/>
              <w:rPr>
                <w:rFonts w:ascii="Times New Roman" w:hAnsi="Times New Roman"/>
                <w:color w:val="121212"/>
                <w:sz w:val="24"/>
                <w:szCs w:val="24"/>
                <w:lang w:val="uk-UA" w:eastAsia="ru-RU"/>
              </w:rPr>
            </w:pPr>
            <w:r w:rsidRPr="0094392D">
              <w:rPr>
                <w:rFonts w:ascii="Times New Roman" w:hAnsi="Times New Roman"/>
                <w:color w:val="121212"/>
                <w:sz w:val="24"/>
                <w:szCs w:val="24"/>
                <w:lang w:val="uk-UA" w:eastAsia="ru-RU"/>
              </w:rPr>
              <w:t>3,45</w:t>
            </w:r>
          </w:p>
        </w:tc>
      </w:tr>
      <w:tr w:rsidR="00EC1B3C" w:rsidRPr="008D06EC" w:rsidTr="00634801">
        <w:trPr>
          <w:trHeight w:val="315"/>
          <w:jc w:val="center"/>
        </w:trPr>
        <w:tc>
          <w:tcPr>
            <w:tcW w:w="904" w:type="dxa"/>
            <w:tcBorders>
              <w:top w:val="nil"/>
              <w:left w:val="single" w:sz="4" w:space="0" w:color="auto"/>
              <w:bottom w:val="single" w:sz="4" w:space="0" w:color="auto"/>
              <w:right w:val="single" w:sz="4" w:space="0" w:color="auto"/>
            </w:tcBorders>
            <w:shd w:val="clear" w:color="000000" w:fill="FFFFFF"/>
            <w:noWrap/>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2013</w:t>
            </w:r>
          </w:p>
        </w:tc>
        <w:tc>
          <w:tcPr>
            <w:tcW w:w="1879" w:type="dxa"/>
            <w:tcBorders>
              <w:top w:val="nil"/>
              <w:left w:val="nil"/>
              <w:bottom w:val="single" w:sz="4" w:space="0" w:color="auto"/>
              <w:right w:val="single" w:sz="4" w:space="0" w:color="auto"/>
            </w:tcBorders>
            <w:shd w:val="clear" w:color="000000" w:fill="FFFFFF"/>
            <w:noWrap/>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-1 986,00</w:t>
            </w:r>
          </w:p>
        </w:tc>
        <w:tc>
          <w:tcPr>
            <w:tcW w:w="1849" w:type="dxa"/>
            <w:tcBorders>
              <w:top w:val="nil"/>
              <w:left w:val="nil"/>
              <w:bottom w:val="single" w:sz="4" w:space="0" w:color="auto"/>
              <w:right w:val="single" w:sz="4" w:space="0" w:color="auto"/>
            </w:tcBorders>
            <w:shd w:val="clear" w:color="F2F2F2" w:fill="FFFFFF"/>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5 361,70</w:t>
            </w:r>
          </w:p>
        </w:tc>
        <w:tc>
          <w:tcPr>
            <w:tcW w:w="1506" w:type="dxa"/>
            <w:tcBorders>
              <w:top w:val="nil"/>
              <w:left w:val="nil"/>
              <w:bottom w:val="single" w:sz="4" w:space="0" w:color="auto"/>
              <w:right w:val="single" w:sz="4" w:space="0" w:color="auto"/>
            </w:tcBorders>
            <w:shd w:val="clear" w:color="000000" w:fill="FFFFFF"/>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3,61</w:t>
            </w:r>
          </w:p>
        </w:tc>
        <w:tc>
          <w:tcPr>
            <w:tcW w:w="1517" w:type="dxa"/>
            <w:tcBorders>
              <w:top w:val="nil"/>
              <w:left w:val="nil"/>
              <w:bottom w:val="single" w:sz="4" w:space="0" w:color="auto"/>
              <w:right w:val="single" w:sz="4" w:space="0" w:color="auto"/>
            </w:tcBorders>
            <w:shd w:val="clear" w:color="000000" w:fill="FFFFFF"/>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1,01</w:t>
            </w:r>
          </w:p>
        </w:tc>
        <w:tc>
          <w:tcPr>
            <w:tcW w:w="1843" w:type="dxa"/>
            <w:tcBorders>
              <w:top w:val="nil"/>
              <w:left w:val="nil"/>
              <w:bottom w:val="single" w:sz="4" w:space="0" w:color="auto"/>
              <w:right w:val="single" w:sz="4" w:space="0" w:color="auto"/>
            </w:tcBorders>
            <w:shd w:val="clear" w:color="FFFFCC" w:fill="FFFFFF"/>
            <w:noWrap/>
            <w:vAlign w:val="center"/>
          </w:tcPr>
          <w:p w:rsidR="00EC1B3C" w:rsidRPr="0094392D" w:rsidRDefault="00EC1B3C" w:rsidP="000274B0">
            <w:pPr>
              <w:spacing w:after="0" w:line="240" w:lineRule="auto"/>
              <w:jc w:val="center"/>
              <w:rPr>
                <w:rFonts w:ascii="Times New Roman" w:hAnsi="Times New Roman"/>
                <w:color w:val="121212"/>
                <w:sz w:val="24"/>
                <w:szCs w:val="24"/>
                <w:lang w:val="uk-UA" w:eastAsia="ru-RU"/>
              </w:rPr>
            </w:pPr>
            <w:r w:rsidRPr="0094392D">
              <w:rPr>
                <w:rFonts w:ascii="Times New Roman" w:hAnsi="Times New Roman"/>
                <w:color w:val="121212"/>
                <w:sz w:val="24"/>
                <w:szCs w:val="24"/>
                <w:lang w:val="uk-UA" w:eastAsia="ru-RU"/>
              </w:rPr>
              <w:t>3,021</w:t>
            </w:r>
          </w:p>
        </w:tc>
      </w:tr>
      <w:tr w:rsidR="00EC1B3C" w:rsidRPr="008D06EC" w:rsidTr="00634801">
        <w:trPr>
          <w:trHeight w:val="315"/>
          <w:jc w:val="center"/>
        </w:trPr>
        <w:tc>
          <w:tcPr>
            <w:tcW w:w="904" w:type="dxa"/>
            <w:tcBorders>
              <w:top w:val="nil"/>
              <w:left w:val="single" w:sz="4" w:space="0" w:color="auto"/>
              <w:bottom w:val="single" w:sz="4" w:space="0" w:color="auto"/>
              <w:right w:val="single" w:sz="4" w:space="0" w:color="auto"/>
            </w:tcBorders>
            <w:shd w:val="clear" w:color="000000" w:fill="FFFFFF"/>
            <w:noWrap/>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2014</w:t>
            </w:r>
          </w:p>
        </w:tc>
        <w:tc>
          <w:tcPr>
            <w:tcW w:w="1879" w:type="dxa"/>
            <w:tcBorders>
              <w:top w:val="nil"/>
              <w:left w:val="nil"/>
              <w:bottom w:val="single" w:sz="4" w:space="0" w:color="auto"/>
              <w:right w:val="single" w:sz="4" w:space="0" w:color="auto"/>
            </w:tcBorders>
            <w:shd w:val="clear" w:color="000000" w:fill="FFFFFF"/>
            <w:noWrap/>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2 025,70</w:t>
            </w:r>
          </w:p>
        </w:tc>
        <w:tc>
          <w:tcPr>
            <w:tcW w:w="1849" w:type="dxa"/>
            <w:tcBorders>
              <w:top w:val="nil"/>
              <w:left w:val="nil"/>
              <w:bottom w:val="single" w:sz="4" w:space="0" w:color="auto"/>
              <w:right w:val="single" w:sz="4" w:space="0" w:color="auto"/>
            </w:tcBorders>
            <w:shd w:val="clear" w:color="F2F2F2" w:fill="FFFFFF"/>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3 948,70</w:t>
            </w:r>
          </w:p>
        </w:tc>
        <w:tc>
          <w:tcPr>
            <w:tcW w:w="1506" w:type="dxa"/>
            <w:tcBorders>
              <w:top w:val="nil"/>
              <w:left w:val="nil"/>
              <w:bottom w:val="single" w:sz="4" w:space="0" w:color="auto"/>
              <w:right w:val="single" w:sz="4" w:space="0" w:color="auto"/>
            </w:tcBorders>
            <w:shd w:val="clear" w:color="000000" w:fill="FFFFFF"/>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3,58</w:t>
            </w:r>
          </w:p>
        </w:tc>
        <w:tc>
          <w:tcPr>
            <w:tcW w:w="1517" w:type="dxa"/>
            <w:tcBorders>
              <w:top w:val="nil"/>
              <w:left w:val="nil"/>
              <w:bottom w:val="single" w:sz="4" w:space="0" w:color="auto"/>
              <w:right w:val="single" w:sz="4" w:space="0" w:color="auto"/>
            </w:tcBorders>
            <w:shd w:val="clear" w:color="000000" w:fill="FFFFFF"/>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0,25</w:t>
            </w:r>
          </w:p>
        </w:tc>
        <w:tc>
          <w:tcPr>
            <w:tcW w:w="1843" w:type="dxa"/>
            <w:tcBorders>
              <w:top w:val="nil"/>
              <w:left w:val="nil"/>
              <w:bottom w:val="single" w:sz="4" w:space="0" w:color="auto"/>
              <w:right w:val="single" w:sz="4" w:space="0" w:color="auto"/>
            </w:tcBorders>
            <w:shd w:val="clear" w:color="FFFFCC" w:fill="FFFFFF"/>
            <w:noWrap/>
            <w:vAlign w:val="center"/>
          </w:tcPr>
          <w:p w:rsidR="00EC1B3C" w:rsidRPr="0094392D" w:rsidRDefault="00EC1B3C" w:rsidP="000274B0">
            <w:pPr>
              <w:spacing w:after="0" w:line="240" w:lineRule="auto"/>
              <w:jc w:val="center"/>
              <w:rPr>
                <w:rFonts w:ascii="Times New Roman" w:hAnsi="Times New Roman"/>
                <w:color w:val="121212"/>
                <w:sz w:val="24"/>
                <w:szCs w:val="24"/>
                <w:lang w:val="uk-UA" w:eastAsia="ru-RU"/>
              </w:rPr>
            </w:pPr>
            <w:r w:rsidRPr="0094392D">
              <w:rPr>
                <w:rFonts w:ascii="Times New Roman" w:hAnsi="Times New Roman"/>
                <w:color w:val="121212"/>
                <w:sz w:val="24"/>
                <w:szCs w:val="24"/>
                <w:lang w:val="uk-UA" w:eastAsia="ru-RU"/>
              </w:rPr>
              <w:t>3,031</w:t>
            </w:r>
          </w:p>
        </w:tc>
      </w:tr>
      <w:tr w:rsidR="00EC1B3C" w:rsidRPr="008D06EC" w:rsidTr="00634801">
        <w:trPr>
          <w:trHeight w:val="315"/>
          <w:jc w:val="center"/>
        </w:trPr>
        <w:tc>
          <w:tcPr>
            <w:tcW w:w="904" w:type="dxa"/>
            <w:tcBorders>
              <w:top w:val="nil"/>
              <w:left w:val="single" w:sz="4" w:space="0" w:color="auto"/>
              <w:bottom w:val="single" w:sz="4" w:space="0" w:color="auto"/>
              <w:right w:val="single" w:sz="4" w:space="0" w:color="auto"/>
            </w:tcBorders>
            <w:shd w:val="clear" w:color="000000" w:fill="FFFFFF"/>
            <w:noWrap/>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2015</w:t>
            </w:r>
          </w:p>
        </w:tc>
        <w:tc>
          <w:tcPr>
            <w:tcW w:w="1879" w:type="dxa"/>
            <w:tcBorders>
              <w:top w:val="nil"/>
              <w:left w:val="nil"/>
              <w:bottom w:val="single" w:sz="4" w:space="0" w:color="auto"/>
              <w:right w:val="single" w:sz="4" w:space="0" w:color="auto"/>
            </w:tcBorders>
            <w:shd w:val="clear" w:color="000000" w:fill="FFFFFF"/>
            <w:noWrap/>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1 205,20</w:t>
            </w:r>
          </w:p>
        </w:tc>
        <w:tc>
          <w:tcPr>
            <w:tcW w:w="1849" w:type="dxa"/>
            <w:tcBorders>
              <w:top w:val="nil"/>
              <w:left w:val="nil"/>
              <w:bottom w:val="single" w:sz="4" w:space="0" w:color="auto"/>
              <w:right w:val="single" w:sz="4" w:space="0" w:color="auto"/>
            </w:tcBorders>
            <w:shd w:val="clear" w:color="F2F2F2" w:fill="FFFFFF"/>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5 807,80</w:t>
            </w:r>
          </w:p>
        </w:tc>
        <w:tc>
          <w:tcPr>
            <w:tcW w:w="1506" w:type="dxa"/>
            <w:tcBorders>
              <w:top w:val="nil"/>
              <w:left w:val="nil"/>
              <w:bottom w:val="single" w:sz="4" w:space="0" w:color="auto"/>
              <w:right w:val="single" w:sz="4" w:space="0" w:color="auto"/>
            </w:tcBorders>
            <w:shd w:val="clear" w:color="000000" w:fill="FFFFFF"/>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3,89</w:t>
            </w:r>
          </w:p>
        </w:tc>
        <w:tc>
          <w:tcPr>
            <w:tcW w:w="1517" w:type="dxa"/>
            <w:tcBorders>
              <w:top w:val="nil"/>
              <w:left w:val="nil"/>
              <w:bottom w:val="single" w:sz="4" w:space="0" w:color="auto"/>
              <w:right w:val="single" w:sz="4" w:space="0" w:color="auto"/>
            </w:tcBorders>
            <w:shd w:val="clear" w:color="000000" w:fill="FFFFFF"/>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0,10</w:t>
            </w:r>
          </w:p>
        </w:tc>
        <w:tc>
          <w:tcPr>
            <w:tcW w:w="1843" w:type="dxa"/>
            <w:tcBorders>
              <w:top w:val="nil"/>
              <w:left w:val="nil"/>
              <w:bottom w:val="single" w:sz="4" w:space="0" w:color="auto"/>
              <w:right w:val="single" w:sz="4" w:space="0" w:color="auto"/>
            </w:tcBorders>
            <w:shd w:val="clear" w:color="FFFFCC" w:fill="FFFFFF"/>
            <w:noWrap/>
            <w:vAlign w:val="center"/>
          </w:tcPr>
          <w:p w:rsidR="00EC1B3C" w:rsidRPr="0094392D" w:rsidRDefault="00EC1B3C" w:rsidP="000274B0">
            <w:pPr>
              <w:spacing w:after="0" w:line="240" w:lineRule="auto"/>
              <w:jc w:val="center"/>
              <w:rPr>
                <w:rFonts w:ascii="Times New Roman" w:hAnsi="Times New Roman"/>
                <w:color w:val="121212"/>
                <w:sz w:val="24"/>
                <w:szCs w:val="24"/>
                <w:lang w:val="uk-UA" w:eastAsia="ru-RU"/>
              </w:rPr>
            </w:pPr>
            <w:r w:rsidRPr="0094392D">
              <w:rPr>
                <w:rFonts w:ascii="Times New Roman" w:hAnsi="Times New Roman"/>
                <w:color w:val="121212"/>
                <w:sz w:val="24"/>
                <w:szCs w:val="24"/>
                <w:lang w:val="uk-UA" w:eastAsia="ru-RU"/>
              </w:rPr>
              <w:t>3,48</w:t>
            </w:r>
          </w:p>
        </w:tc>
      </w:tr>
      <w:tr w:rsidR="00EC1B3C" w:rsidRPr="008D06EC" w:rsidTr="00634801">
        <w:trPr>
          <w:trHeight w:val="315"/>
          <w:jc w:val="center"/>
        </w:trPr>
        <w:tc>
          <w:tcPr>
            <w:tcW w:w="904" w:type="dxa"/>
            <w:tcBorders>
              <w:top w:val="nil"/>
              <w:left w:val="single" w:sz="4" w:space="0" w:color="auto"/>
              <w:bottom w:val="single" w:sz="4" w:space="0" w:color="auto"/>
              <w:right w:val="single" w:sz="4" w:space="0" w:color="auto"/>
            </w:tcBorders>
            <w:shd w:val="clear" w:color="000000" w:fill="FFFFFF"/>
            <w:noWrap/>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2016</w:t>
            </w:r>
          </w:p>
        </w:tc>
        <w:tc>
          <w:tcPr>
            <w:tcW w:w="1879" w:type="dxa"/>
            <w:tcBorders>
              <w:top w:val="nil"/>
              <w:left w:val="nil"/>
              <w:bottom w:val="single" w:sz="4" w:space="0" w:color="auto"/>
              <w:right w:val="single" w:sz="4" w:space="0" w:color="auto"/>
            </w:tcBorders>
            <w:shd w:val="clear" w:color="000000" w:fill="FFFFFF"/>
            <w:noWrap/>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1 033,30</w:t>
            </w:r>
          </w:p>
        </w:tc>
        <w:tc>
          <w:tcPr>
            <w:tcW w:w="1849" w:type="dxa"/>
            <w:tcBorders>
              <w:top w:val="nil"/>
              <w:left w:val="nil"/>
              <w:bottom w:val="single" w:sz="4" w:space="0" w:color="auto"/>
              <w:right w:val="single" w:sz="4" w:space="0" w:color="auto"/>
            </w:tcBorders>
            <w:shd w:val="clear" w:color="F2F2F2" w:fill="FFFFFF"/>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5 845,30</w:t>
            </w:r>
          </w:p>
        </w:tc>
        <w:tc>
          <w:tcPr>
            <w:tcW w:w="1506" w:type="dxa"/>
            <w:tcBorders>
              <w:top w:val="nil"/>
              <w:left w:val="nil"/>
              <w:bottom w:val="single" w:sz="4" w:space="0" w:color="auto"/>
              <w:right w:val="single" w:sz="4" w:space="0" w:color="auto"/>
            </w:tcBorders>
            <w:shd w:val="clear" w:color="000000" w:fill="FFFFFF"/>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3,84</w:t>
            </w:r>
          </w:p>
        </w:tc>
        <w:tc>
          <w:tcPr>
            <w:tcW w:w="1517" w:type="dxa"/>
            <w:tcBorders>
              <w:top w:val="nil"/>
              <w:left w:val="nil"/>
              <w:bottom w:val="single" w:sz="4" w:space="0" w:color="auto"/>
              <w:right w:val="single" w:sz="4" w:space="0" w:color="auto"/>
            </w:tcBorders>
            <w:shd w:val="clear" w:color="000000" w:fill="FFFFFF"/>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0,10</w:t>
            </w:r>
          </w:p>
        </w:tc>
        <w:tc>
          <w:tcPr>
            <w:tcW w:w="1843" w:type="dxa"/>
            <w:tcBorders>
              <w:top w:val="nil"/>
              <w:left w:val="nil"/>
              <w:bottom w:val="single" w:sz="4" w:space="0" w:color="auto"/>
              <w:right w:val="single" w:sz="4" w:space="0" w:color="auto"/>
            </w:tcBorders>
            <w:shd w:val="clear" w:color="FFFFCC" w:fill="FFFFFF"/>
            <w:noWrap/>
            <w:vAlign w:val="center"/>
          </w:tcPr>
          <w:p w:rsidR="00EC1B3C" w:rsidRPr="0094392D" w:rsidRDefault="00EC1B3C" w:rsidP="000274B0">
            <w:pPr>
              <w:spacing w:after="0" w:line="240" w:lineRule="auto"/>
              <w:jc w:val="center"/>
              <w:rPr>
                <w:rFonts w:ascii="Times New Roman" w:hAnsi="Times New Roman"/>
                <w:color w:val="121212"/>
                <w:sz w:val="24"/>
                <w:szCs w:val="24"/>
                <w:lang w:val="uk-UA" w:eastAsia="ru-RU"/>
              </w:rPr>
            </w:pPr>
            <w:r w:rsidRPr="0094392D">
              <w:rPr>
                <w:rFonts w:ascii="Times New Roman" w:hAnsi="Times New Roman"/>
                <w:color w:val="121212"/>
                <w:sz w:val="24"/>
                <w:szCs w:val="24"/>
                <w:lang w:val="uk-UA" w:eastAsia="ru-RU"/>
              </w:rPr>
              <w:t>3,475</w:t>
            </w:r>
          </w:p>
        </w:tc>
      </w:tr>
      <w:tr w:rsidR="00EC1B3C" w:rsidRPr="008D06EC" w:rsidTr="00634801">
        <w:trPr>
          <w:trHeight w:val="315"/>
          <w:jc w:val="center"/>
        </w:trPr>
        <w:tc>
          <w:tcPr>
            <w:tcW w:w="904" w:type="dxa"/>
            <w:tcBorders>
              <w:top w:val="nil"/>
              <w:left w:val="single" w:sz="4" w:space="0" w:color="auto"/>
              <w:bottom w:val="single" w:sz="4" w:space="0" w:color="auto"/>
              <w:right w:val="single" w:sz="4" w:space="0" w:color="auto"/>
            </w:tcBorders>
            <w:shd w:val="clear" w:color="000000" w:fill="FFFFFF"/>
            <w:noWrap/>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2017</w:t>
            </w:r>
          </w:p>
        </w:tc>
        <w:tc>
          <w:tcPr>
            <w:tcW w:w="1879" w:type="dxa"/>
            <w:tcBorders>
              <w:top w:val="nil"/>
              <w:left w:val="nil"/>
              <w:bottom w:val="single" w:sz="4" w:space="0" w:color="auto"/>
              <w:right w:val="single" w:sz="4" w:space="0" w:color="auto"/>
            </w:tcBorders>
            <w:shd w:val="clear" w:color="000000" w:fill="FFFFFF"/>
            <w:noWrap/>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2 984,30</w:t>
            </w:r>
          </w:p>
        </w:tc>
        <w:tc>
          <w:tcPr>
            <w:tcW w:w="1849" w:type="dxa"/>
            <w:tcBorders>
              <w:top w:val="nil"/>
              <w:left w:val="nil"/>
              <w:bottom w:val="single" w:sz="4" w:space="0" w:color="auto"/>
              <w:right w:val="single" w:sz="4" w:space="0" w:color="auto"/>
            </w:tcBorders>
            <w:shd w:val="clear" w:color="F2F2F2" w:fill="FFFFFF"/>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5 585,20</w:t>
            </w:r>
          </w:p>
        </w:tc>
        <w:tc>
          <w:tcPr>
            <w:tcW w:w="1506" w:type="dxa"/>
            <w:tcBorders>
              <w:top w:val="nil"/>
              <w:left w:val="nil"/>
              <w:bottom w:val="single" w:sz="4" w:space="0" w:color="auto"/>
              <w:right w:val="single" w:sz="4" w:space="0" w:color="auto"/>
            </w:tcBorders>
            <w:shd w:val="clear" w:color="000000" w:fill="FFFFFF"/>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3,60</w:t>
            </w:r>
          </w:p>
        </w:tc>
        <w:tc>
          <w:tcPr>
            <w:tcW w:w="1517" w:type="dxa"/>
            <w:tcBorders>
              <w:top w:val="nil"/>
              <w:left w:val="nil"/>
              <w:bottom w:val="single" w:sz="4" w:space="0" w:color="auto"/>
              <w:right w:val="single" w:sz="4" w:space="0" w:color="auto"/>
            </w:tcBorders>
            <w:shd w:val="clear" w:color="000000" w:fill="FFFFFF"/>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0,10</w:t>
            </w:r>
          </w:p>
        </w:tc>
        <w:tc>
          <w:tcPr>
            <w:tcW w:w="1843" w:type="dxa"/>
            <w:tcBorders>
              <w:top w:val="nil"/>
              <w:left w:val="nil"/>
              <w:bottom w:val="single" w:sz="4" w:space="0" w:color="auto"/>
              <w:right w:val="single" w:sz="4" w:space="0" w:color="auto"/>
            </w:tcBorders>
            <w:shd w:val="clear" w:color="000000" w:fill="FFFFFF"/>
            <w:noWrap/>
            <w:vAlign w:val="center"/>
          </w:tcPr>
          <w:p w:rsidR="00EC1B3C" w:rsidRPr="0094392D" w:rsidRDefault="00EC1B3C" w:rsidP="000274B0">
            <w:pPr>
              <w:spacing w:after="0" w:line="240" w:lineRule="auto"/>
              <w:jc w:val="center"/>
              <w:rPr>
                <w:rFonts w:ascii="Times New Roman" w:hAnsi="Times New Roman"/>
                <w:color w:val="121212"/>
                <w:sz w:val="24"/>
                <w:szCs w:val="24"/>
                <w:lang w:val="uk-UA" w:eastAsia="ru-RU"/>
              </w:rPr>
            </w:pPr>
            <w:r w:rsidRPr="0094392D">
              <w:rPr>
                <w:rFonts w:ascii="Times New Roman" w:hAnsi="Times New Roman"/>
                <w:color w:val="121212"/>
                <w:sz w:val="24"/>
                <w:szCs w:val="24"/>
                <w:lang w:val="uk-UA" w:eastAsia="ru-RU"/>
              </w:rPr>
              <w:t>3,9</w:t>
            </w:r>
          </w:p>
        </w:tc>
      </w:tr>
      <w:tr w:rsidR="00EC1B3C" w:rsidRPr="008D06EC" w:rsidTr="00634801">
        <w:trPr>
          <w:trHeight w:val="315"/>
          <w:jc w:val="center"/>
        </w:trPr>
        <w:tc>
          <w:tcPr>
            <w:tcW w:w="904" w:type="dxa"/>
            <w:tcBorders>
              <w:top w:val="nil"/>
              <w:left w:val="single" w:sz="4" w:space="0" w:color="auto"/>
              <w:bottom w:val="single" w:sz="4" w:space="0" w:color="auto"/>
              <w:right w:val="single" w:sz="4" w:space="0" w:color="auto"/>
            </w:tcBorders>
            <w:shd w:val="clear" w:color="000000" w:fill="FFFFFF"/>
            <w:noWrap/>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2018</w:t>
            </w:r>
          </w:p>
        </w:tc>
        <w:tc>
          <w:tcPr>
            <w:tcW w:w="1879" w:type="dxa"/>
            <w:tcBorders>
              <w:top w:val="nil"/>
              <w:left w:val="nil"/>
              <w:bottom w:val="single" w:sz="4" w:space="0" w:color="auto"/>
              <w:right w:val="single" w:sz="4" w:space="0" w:color="auto"/>
            </w:tcBorders>
            <w:shd w:val="clear" w:color="000000" w:fill="FFFFFF"/>
            <w:noWrap/>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4 433,10</w:t>
            </w:r>
          </w:p>
        </w:tc>
        <w:tc>
          <w:tcPr>
            <w:tcW w:w="1849" w:type="dxa"/>
            <w:tcBorders>
              <w:top w:val="nil"/>
              <w:left w:val="nil"/>
              <w:bottom w:val="single" w:sz="4" w:space="0" w:color="auto"/>
              <w:right w:val="single" w:sz="4" w:space="0" w:color="auto"/>
            </w:tcBorders>
            <w:shd w:val="clear" w:color="F2F2F2" w:fill="FFFFFF"/>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6 310,80</w:t>
            </w:r>
          </w:p>
        </w:tc>
        <w:tc>
          <w:tcPr>
            <w:tcW w:w="1506" w:type="dxa"/>
            <w:tcBorders>
              <w:top w:val="nil"/>
              <w:left w:val="nil"/>
              <w:bottom w:val="single" w:sz="4" w:space="0" w:color="auto"/>
              <w:right w:val="single" w:sz="4" w:space="0" w:color="auto"/>
            </w:tcBorders>
            <w:shd w:val="clear" w:color="000000" w:fill="FFFFFF"/>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3,59</w:t>
            </w:r>
          </w:p>
        </w:tc>
        <w:tc>
          <w:tcPr>
            <w:tcW w:w="1517" w:type="dxa"/>
            <w:tcBorders>
              <w:top w:val="nil"/>
              <w:left w:val="nil"/>
              <w:bottom w:val="single" w:sz="4" w:space="0" w:color="auto"/>
              <w:right w:val="single" w:sz="4" w:space="0" w:color="auto"/>
            </w:tcBorders>
            <w:shd w:val="clear" w:color="000000" w:fill="FFFFFF"/>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0,25</w:t>
            </w:r>
          </w:p>
        </w:tc>
        <w:tc>
          <w:tcPr>
            <w:tcW w:w="1843" w:type="dxa"/>
            <w:tcBorders>
              <w:top w:val="nil"/>
              <w:left w:val="nil"/>
              <w:bottom w:val="single" w:sz="4" w:space="0" w:color="auto"/>
              <w:right w:val="single" w:sz="4" w:space="0" w:color="auto"/>
            </w:tcBorders>
            <w:shd w:val="clear" w:color="000000" w:fill="FFFFFF"/>
            <w:noWrap/>
            <w:vAlign w:val="center"/>
          </w:tcPr>
          <w:p w:rsidR="00EC1B3C" w:rsidRPr="0094392D" w:rsidRDefault="00EC1B3C" w:rsidP="000274B0">
            <w:pPr>
              <w:spacing w:after="0" w:line="240" w:lineRule="auto"/>
              <w:jc w:val="center"/>
              <w:rPr>
                <w:rFonts w:ascii="Times New Roman" w:hAnsi="Times New Roman"/>
                <w:color w:val="121212"/>
                <w:sz w:val="24"/>
                <w:szCs w:val="24"/>
                <w:lang w:val="uk-UA" w:eastAsia="ru-RU"/>
              </w:rPr>
            </w:pPr>
            <w:r w:rsidRPr="0094392D">
              <w:rPr>
                <w:rFonts w:ascii="Times New Roman" w:hAnsi="Times New Roman"/>
                <w:color w:val="121212"/>
                <w:sz w:val="24"/>
                <w:szCs w:val="24"/>
                <w:lang w:val="uk-UA" w:eastAsia="ru-RU"/>
              </w:rPr>
              <w:t>3,6</w:t>
            </w:r>
          </w:p>
        </w:tc>
      </w:tr>
      <w:tr w:rsidR="00EC1B3C" w:rsidRPr="008D06EC" w:rsidTr="00634801">
        <w:trPr>
          <w:trHeight w:val="315"/>
          <w:jc w:val="center"/>
        </w:trPr>
        <w:tc>
          <w:tcPr>
            <w:tcW w:w="904" w:type="dxa"/>
            <w:tcBorders>
              <w:top w:val="nil"/>
              <w:left w:val="single" w:sz="4" w:space="0" w:color="auto"/>
              <w:bottom w:val="single" w:sz="4" w:space="0" w:color="auto"/>
              <w:right w:val="single" w:sz="4" w:space="0" w:color="auto"/>
            </w:tcBorders>
            <w:shd w:val="clear" w:color="000000" w:fill="FFFFFF"/>
            <w:noWrap/>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2019</w:t>
            </w:r>
          </w:p>
        </w:tc>
        <w:tc>
          <w:tcPr>
            <w:tcW w:w="1879" w:type="dxa"/>
            <w:tcBorders>
              <w:top w:val="nil"/>
              <w:left w:val="nil"/>
              <w:bottom w:val="single" w:sz="4" w:space="0" w:color="auto"/>
              <w:right w:val="single" w:sz="4" w:space="0" w:color="auto"/>
            </w:tcBorders>
            <w:shd w:val="clear" w:color="000000" w:fill="FFFFFF"/>
            <w:noWrap/>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2 831,00</w:t>
            </w:r>
          </w:p>
        </w:tc>
        <w:tc>
          <w:tcPr>
            <w:tcW w:w="1849" w:type="dxa"/>
            <w:tcBorders>
              <w:top w:val="nil"/>
              <w:left w:val="nil"/>
              <w:bottom w:val="single" w:sz="4" w:space="0" w:color="auto"/>
              <w:right w:val="single" w:sz="4" w:space="0" w:color="auto"/>
            </w:tcBorders>
            <w:shd w:val="clear" w:color="F2F2F2" w:fill="FFFFFF"/>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7 893,50</w:t>
            </w:r>
          </w:p>
        </w:tc>
        <w:tc>
          <w:tcPr>
            <w:tcW w:w="1506" w:type="dxa"/>
            <w:tcBorders>
              <w:top w:val="nil"/>
              <w:left w:val="nil"/>
              <w:bottom w:val="single" w:sz="4" w:space="0" w:color="auto"/>
              <w:right w:val="single" w:sz="4" w:space="0" w:color="auto"/>
            </w:tcBorders>
            <w:shd w:val="clear" w:color="000000" w:fill="FFFFFF"/>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3,56</w:t>
            </w:r>
          </w:p>
        </w:tc>
        <w:tc>
          <w:tcPr>
            <w:tcW w:w="1517" w:type="dxa"/>
            <w:tcBorders>
              <w:top w:val="nil"/>
              <w:left w:val="nil"/>
              <w:bottom w:val="single" w:sz="4" w:space="0" w:color="auto"/>
              <w:right w:val="single" w:sz="4" w:space="0" w:color="auto"/>
            </w:tcBorders>
            <w:shd w:val="clear" w:color="000000" w:fill="FFFFFF"/>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0,25</w:t>
            </w:r>
          </w:p>
        </w:tc>
        <w:tc>
          <w:tcPr>
            <w:tcW w:w="1843" w:type="dxa"/>
            <w:tcBorders>
              <w:top w:val="nil"/>
              <w:left w:val="nil"/>
              <w:bottom w:val="single" w:sz="4" w:space="0" w:color="auto"/>
              <w:right w:val="single" w:sz="4" w:space="0" w:color="auto"/>
            </w:tcBorders>
            <w:shd w:val="clear" w:color="000000" w:fill="FFFFFF"/>
            <w:noWrap/>
            <w:vAlign w:val="center"/>
          </w:tcPr>
          <w:p w:rsidR="00EC1B3C" w:rsidRPr="0094392D" w:rsidRDefault="00EC1B3C" w:rsidP="000274B0">
            <w:pPr>
              <w:spacing w:after="0" w:line="240" w:lineRule="auto"/>
              <w:jc w:val="center"/>
              <w:rPr>
                <w:rFonts w:ascii="Times New Roman" w:hAnsi="Times New Roman"/>
                <w:color w:val="121212"/>
                <w:sz w:val="24"/>
                <w:szCs w:val="24"/>
                <w:lang w:val="uk-UA" w:eastAsia="ru-RU"/>
              </w:rPr>
            </w:pPr>
            <w:r w:rsidRPr="0094392D">
              <w:rPr>
                <w:rFonts w:ascii="Times New Roman" w:hAnsi="Times New Roman"/>
                <w:color w:val="121212"/>
                <w:sz w:val="24"/>
                <w:szCs w:val="24"/>
                <w:lang w:val="uk-UA" w:eastAsia="ru-RU"/>
              </w:rPr>
              <w:t>3,4</w:t>
            </w:r>
          </w:p>
        </w:tc>
      </w:tr>
      <w:tr w:rsidR="00EC1B3C" w:rsidRPr="008D06EC" w:rsidTr="00634801">
        <w:trPr>
          <w:trHeight w:val="315"/>
          <w:jc w:val="center"/>
        </w:trPr>
        <w:tc>
          <w:tcPr>
            <w:tcW w:w="904" w:type="dxa"/>
            <w:tcBorders>
              <w:top w:val="nil"/>
              <w:left w:val="single" w:sz="4" w:space="0" w:color="auto"/>
              <w:bottom w:val="single" w:sz="4" w:space="0" w:color="auto"/>
              <w:right w:val="single" w:sz="4" w:space="0" w:color="auto"/>
            </w:tcBorders>
            <w:shd w:val="clear" w:color="000000" w:fill="FFFFFF"/>
            <w:noWrap/>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2020</w:t>
            </w:r>
          </w:p>
        </w:tc>
        <w:tc>
          <w:tcPr>
            <w:tcW w:w="1879" w:type="dxa"/>
            <w:tcBorders>
              <w:top w:val="nil"/>
              <w:left w:val="nil"/>
              <w:bottom w:val="single" w:sz="4" w:space="0" w:color="auto"/>
              <w:right w:val="single" w:sz="4" w:space="0" w:color="auto"/>
            </w:tcBorders>
            <w:shd w:val="clear" w:color="000000" w:fill="FFFFFF"/>
            <w:noWrap/>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827,70</w:t>
            </w:r>
          </w:p>
        </w:tc>
        <w:tc>
          <w:tcPr>
            <w:tcW w:w="1849" w:type="dxa"/>
            <w:tcBorders>
              <w:top w:val="nil"/>
              <w:left w:val="nil"/>
              <w:bottom w:val="single" w:sz="4" w:space="0" w:color="auto"/>
              <w:right w:val="single" w:sz="4" w:space="0" w:color="auto"/>
            </w:tcBorders>
            <w:shd w:val="clear" w:color="F2F2F2" w:fill="FFFFFF"/>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6 493,50</w:t>
            </w:r>
          </w:p>
        </w:tc>
        <w:tc>
          <w:tcPr>
            <w:tcW w:w="1506" w:type="dxa"/>
            <w:tcBorders>
              <w:top w:val="nil"/>
              <w:left w:val="nil"/>
              <w:bottom w:val="single" w:sz="4" w:space="0" w:color="auto"/>
              <w:right w:val="single" w:sz="4" w:space="0" w:color="auto"/>
            </w:tcBorders>
            <w:shd w:val="clear" w:color="000000" w:fill="FFFFFF"/>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3,44</w:t>
            </w:r>
          </w:p>
        </w:tc>
        <w:tc>
          <w:tcPr>
            <w:tcW w:w="1517" w:type="dxa"/>
            <w:tcBorders>
              <w:top w:val="nil"/>
              <w:left w:val="nil"/>
              <w:bottom w:val="single" w:sz="4" w:space="0" w:color="auto"/>
              <w:right w:val="single" w:sz="4" w:space="0" w:color="auto"/>
            </w:tcBorders>
            <w:shd w:val="clear" w:color="000000" w:fill="FFFFFF"/>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0,10</w:t>
            </w:r>
          </w:p>
        </w:tc>
        <w:tc>
          <w:tcPr>
            <w:tcW w:w="1843" w:type="dxa"/>
            <w:tcBorders>
              <w:top w:val="nil"/>
              <w:left w:val="nil"/>
              <w:bottom w:val="single" w:sz="4" w:space="0" w:color="auto"/>
              <w:right w:val="single" w:sz="4" w:space="0" w:color="auto"/>
            </w:tcBorders>
            <w:shd w:val="clear" w:color="000000" w:fill="FFFFFF"/>
            <w:noWrap/>
            <w:vAlign w:val="center"/>
          </w:tcPr>
          <w:p w:rsidR="00EC1B3C" w:rsidRPr="0094392D" w:rsidRDefault="00EC1B3C" w:rsidP="000274B0">
            <w:pPr>
              <w:spacing w:after="0" w:line="240" w:lineRule="auto"/>
              <w:jc w:val="center"/>
              <w:rPr>
                <w:rFonts w:ascii="Times New Roman" w:hAnsi="Times New Roman"/>
                <w:color w:val="121212"/>
                <w:sz w:val="24"/>
                <w:szCs w:val="24"/>
                <w:lang w:val="uk-UA" w:eastAsia="ru-RU"/>
              </w:rPr>
            </w:pPr>
            <w:r w:rsidRPr="0094392D">
              <w:rPr>
                <w:rFonts w:ascii="Times New Roman" w:hAnsi="Times New Roman"/>
                <w:color w:val="121212"/>
                <w:sz w:val="24"/>
                <w:szCs w:val="24"/>
                <w:lang w:val="uk-UA" w:eastAsia="ru-RU"/>
              </w:rPr>
              <w:t>3,2</w:t>
            </w:r>
          </w:p>
        </w:tc>
      </w:tr>
      <w:tr w:rsidR="00EC1B3C" w:rsidRPr="008D06EC" w:rsidTr="00634801">
        <w:trPr>
          <w:trHeight w:val="315"/>
          <w:jc w:val="center"/>
        </w:trPr>
        <w:tc>
          <w:tcPr>
            <w:tcW w:w="904" w:type="dxa"/>
            <w:tcBorders>
              <w:top w:val="nil"/>
              <w:left w:val="single" w:sz="4" w:space="0" w:color="auto"/>
              <w:bottom w:val="single" w:sz="4" w:space="0" w:color="auto"/>
              <w:right w:val="single" w:sz="4" w:space="0" w:color="auto"/>
            </w:tcBorders>
            <w:shd w:val="clear" w:color="000000" w:fill="FFFFFF"/>
            <w:noWrap/>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2021</w:t>
            </w:r>
          </w:p>
        </w:tc>
        <w:tc>
          <w:tcPr>
            <w:tcW w:w="1879" w:type="dxa"/>
            <w:tcBorders>
              <w:top w:val="nil"/>
              <w:left w:val="nil"/>
              <w:bottom w:val="single" w:sz="4" w:space="0" w:color="auto"/>
              <w:right w:val="single" w:sz="4" w:space="0" w:color="auto"/>
            </w:tcBorders>
            <w:shd w:val="clear" w:color="000000" w:fill="FFFFFF"/>
            <w:noWrap/>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-1 954,80</w:t>
            </w:r>
          </w:p>
        </w:tc>
        <w:tc>
          <w:tcPr>
            <w:tcW w:w="1849" w:type="dxa"/>
            <w:tcBorders>
              <w:top w:val="nil"/>
              <w:left w:val="nil"/>
              <w:bottom w:val="single" w:sz="4" w:space="0" w:color="auto"/>
              <w:right w:val="single" w:sz="4" w:space="0" w:color="auto"/>
            </w:tcBorders>
            <w:shd w:val="clear" w:color="F2F2F2" w:fill="FFFFFF"/>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12 843,00</w:t>
            </w:r>
          </w:p>
        </w:tc>
        <w:tc>
          <w:tcPr>
            <w:tcW w:w="1506" w:type="dxa"/>
            <w:tcBorders>
              <w:top w:val="nil"/>
              <w:left w:val="nil"/>
              <w:bottom w:val="single" w:sz="4" w:space="0" w:color="auto"/>
              <w:right w:val="single" w:sz="4" w:space="0" w:color="auto"/>
            </w:tcBorders>
            <w:shd w:val="clear" w:color="000000" w:fill="FFFFFF"/>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3,23</w:t>
            </w:r>
          </w:p>
        </w:tc>
        <w:tc>
          <w:tcPr>
            <w:tcW w:w="1517" w:type="dxa"/>
            <w:tcBorders>
              <w:top w:val="nil"/>
              <w:left w:val="nil"/>
              <w:bottom w:val="single" w:sz="4" w:space="0" w:color="auto"/>
              <w:right w:val="single" w:sz="4" w:space="0" w:color="auto"/>
            </w:tcBorders>
            <w:shd w:val="clear" w:color="000000" w:fill="FFFFFF"/>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0,10</w:t>
            </w:r>
          </w:p>
        </w:tc>
        <w:tc>
          <w:tcPr>
            <w:tcW w:w="1843" w:type="dxa"/>
            <w:tcBorders>
              <w:top w:val="nil"/>
              <w:left w:val="nil"/>
              <w:bottom w:val="single" w:sz="4" w:space="0" w:color="auto"/>
              <w:right w:val="single" w:sz="4" w:space="0" w:color="auto"/>
            </w:tcBorders>
            <w:shd w:val="clear" w:color="000000" w:fill="FFFFFF"/>
            <w:noWrap/>
            <w:vAlign w:val="center"/>
          </w:tcPr>
          <w:p w:rsidR="00EC1B3C" w:rsidRPr="0094392D" w:rsidRDefault="00EC1B3C" w:rsidP="000274B0">
            <w:pPr>
              <w:spacing w:after="0" w:line="240" w:lineRule="auto"/>
              <w:jc w:val="center"/>
              <w:rPr>
                <w:rFonts w:ascii="Times New Roman" w:hAnsi="Times New Roman"/>
                <w:color w:val="121212"/>
                <w:sz w:val="24"/>
                <w:szCs w:val="24"/>
                <w:lang w:val="uk-UA" w:eastAsia="ru-RU"/>
              </w:rPr>
            </w:pPr>
            <w:r w:rsidRPr="0094392D">
              <w:rPr>
                <w:rFonts w:ascii="Times New Roman" w:hAnsi="Times New Roman"/>
                <w:color w:val="121212"/>
                <w:sz w:val="24"/>
                <w:szCs w:val="24"/>
                <w:lang w:val="uk-UA" w:eastAsia="ru-RU"/>
              </w:rPr>
              <w:t>3</w:t>
            </w:r>
          </w:p>
        </w:tc>
      </w:tr>
      <w:tr w:rsidR="00EC1B3C" w:rsidRPr="008D06EC" w:rsidTr="00634801">
        <w:trPr>
          <w:trHeight w:val="315"/>
          <w:jc w:val="center"/>
        </w:trPr>
        <w:tc>
          <w:tcPr>
            <w:tcW w:w="904" w:type="dxa"/>
            <w:tcBorders>
              <w:top w:val="nil"/>
              <w:left w:val="single" w:sz="4" w:space="0" w:color="auto"/>
              <w:bottom w:val="single" w:sz="4" w:space="0" w:color="auto"/>
              <w:right w:val="single" w:sz="4" w:space="0" w:color="auto"/>
            </w:tcBorders>
            <w:shd w:val="clear" w:color="000000" w:fill="FFFFFF"/>
            <w:noWrap/>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2022</w:t>
            </w:r>
          </w:p>
        </w:tc>
        <w:tc>
          <w:tcPr>
            <w:tcW w:w="1879" w:type="dxa"/>
            <w:tcBorders>
              <w:top w:val="nil"/>
              <w:left w:val="nil"/>
              <w:bottom w:val="single" w:sz="4" w:space="0" w:color="auto"/>
              <w:right w:val="single" w:sz="4" w:space="0" w:color="auto"/>
            </w:tcBorders>
            <w:shd w:val="clear" w:color="000000" w:fill="FFFFFF"/>
            <w:noWrap/>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-1 318,50</w:t>
            </w:r>
          </w:p>
        </w:tc>
        <w:tc>
          <w:tcPr>
            <w:tcW w:w="1849" w:type="dxa"/>
            <w:tcBorders>
              <w:top w:val="nil"/>
              <w:left w:val="nil"/>
              <w:bottom w:val="single" w:sz="4" w:space="0" w:color="auto"/>
              <w:right w:val="single" w:sz="4" w:space="0" w:color="auto"/>
            </w:tcBorders>
            <w:shd w:val="clear" w:color="F2F2F2" w:fill="FFFFFF"/>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12 971,30</w:t>
            </w:r>
          </w:p>
        </w:tc>
        <w:tc>
          <w:tcPr>
            <w:tcW w:w="1506" w:type="dxa"/>
            <w:tcBorders>
              <w:top w:val="nil"/>
              <w:left w:val="nil"/>
              <w:bottom w:val="single" w:sz="4" w:space="0" w:color="auto"/>
              <w:right w:val="single" w:sz="4" w:space="0" w:color="auto"/>
            </w:tcBorders>
            <w:shd w:val="clear" w:color="000000" w:fill="FFFFFF"/>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3,36</w:t>
            </w:r>
          </w:p>
        </w:tc>
        <w:tc>
          <w:tcPr>
            <w:tcW w:w="1517" w:type="dxa"/>
            <w:tcBorders>
              <w:top w:val="nil"/>
              <w:left w:val="nil"/>
              <w:bottom w:val="single" w:sz="4" w:space="0" w:color="auto"/>
              <w:right w:val="single" w:sz="4" w:space="0" w:color="auto"/>
            </w:tcBorders>
            <w:shd w:val="clear" w:color="000000" w:fill="FFFFFF"/>
            <w:vAlign w:val="center"/>
          </w:tcPr>
          <w:p w:rsidR="00EC1B3C" w:rsidRPr="0094392D" w:rsidRDefault="00EC1B3C" w:rsidP="000274B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3,30</w:t>
            </w:r>
          </w:p>
        </w:tc>
        <w:tc>
          <w:tcPr>
            <w:tcW w:w="1843" w:type="dxa"/>
            <w:tcBorders>
              <w:top w:val="nil"/>
              <w:left w:val="nil"/>
              <w:bottom w:val="single" w:sz="4" w:space="0" w:color="auto"/>
              <w:right w:val="single" w:sz="4" w:space="0" w:color="auto"/>
            </w:tcBorders>
            <w:shd w:val="clear" w:color="000000" w:fill="FFFFFF"/>
            <w:noWrap/>
            <w:vAlign w:val="center"/>
          </w:tcPr>
          <w:p w:rsidR="00EC1B3C" w:rsidRPr="0094392D" w:rsidRDefault="00EC1B3C" w:rsidP="000274B0">
            <w:pPr>
              <w:spacing w:after="0" w:line="240" w:lineRule="auto"/>
              <w:jc w:val="center"/>
              <w:rPr>
                <w:rFonts w:ascii="Times New Roman" w:hAnsi="Times New Roman"/>
                <w:color w:val="121212"/>
                <w:sz w:val="24"/>
                <w:szCs w:val="24"/>
                <w:lang w:val="uk-UA" w:eastAsia="ru-RU"/>
              </w:rPr>
            </w:pPr>
            <w:r w:rsidRPr="0094392D">
              <w:rPr>
                <w:rFonts w:ascii="Times New Roman" w:hAnsi="Times New Roman"/>
                <w:color w:val="121212"/>
                <w:sz w:val="24"/>
                <w:szCs w:val="24"/>
                <w:lang w:val="uk-UA" w:eastAsia="ru-RU"/>
              </w:rPr>
              <w:t>3,1</w:t>
            </w:r>
          </w:p>
        </w:tc>
      </w:tr>
    </w:tbl>
    <w:p w:rsidR="00EC1B3C" w:rsidRPr="00B726D9" w:rsidRDefault="00EC1B3C" w:rsidP="004D0EA2">
      <w:pPr>
        <w:spacing w:after="0" w:line="360" w:lineRule="auto"/>
        <w:rPr>
          <w:rFonts w:ascii="Times New Roman" w:hAnsi="Times New Roman"/>
          <w:sz w:val="28"/>
          <w:szCs w:val="28"/>
          <w:lang w:val="en-US"/>
        </w:rPr>
      </w:pPr>
      <w:r w:rsidRPr="0094392D">
        <w:rPr>
          <w:rFonts w:ascii="Times New Roman" w:hAnsi="Times New Roman"/>
          <w:b/>
          <w:sz w:val="28"/>
          <w:szCs w:val="28"/>
          <w:lang w:val="uk-UA"/>
        </w:rPr>
        <w:tab/>
      </w:r>
      <w:r w:rsidRPr="0094392D">
        <w:rPr>
          <w:rFonts w:ascii="Times New Roman" w:hAnsi="Times New Roman"/>
          <w:sz w:val="28"/>
          <w:szCs w:val="28"/>
          <w:lang w:val="uk-UA"/>
        </w:rPr>
        <w:t>Джерело: розраховано автором</w:t>
      </w:r>
      <w:r>
        <w:rPr>
          <w:rFonts w:ascii="Times New Roman" w:hAnsi="Times New Roman"/>
          <w:sz w:val="28"/>
          <w:szCs w:val="28"/>
        </w:rPr>
        <w:t xml:space="preserve">з </w:t>
      </w:r>
      <w:r>
        <w:rPr>
          <w:rFonts w:ascii="Times New Roman" w:hAnsi="Times New Roman"/>
          <w:sz w:val="28"/>
          <w:szCs w:val="28"/>
          <w:lang w:val="en-US"/>
        </w:rPr>
        <w:t>[23-35].</w:t>
      </w:r>
    </w:p>
    <w:p w:rsidR="00EC1B3C" w:rsidRPr="0094392D" w:rsidRDefault="00EC1B3C" w:rsidP="008D12A5">
      <w:pPr>
        <w:spacing w:after="0" w:line="360" w:lineRule="auto"/>
        <w:jc w:val="right"/>
        <w:rPr>
          <w:rFonts w:ascii="Times New Roman" w:hAnsi="Times New Roman"/>
          <w:sz w:val="28"/>
          <w:szCs w:val="28"/>
          <w:lang w:val="uk-UA"/>
        </w:rPr>
      </w:pPr>
      <w:r w:rsidRPr="0094392D">
        <w:rPr>
          <w:rFonts w:ascii="Times New Roman" w:hAnsi="Times New Roman"/>
          <w:sz w:val="28"/>
          <w:szCs w:val="28"/>
          <w:lang w:val="uk-UA"/>
        </w:rPr>
        <w:t>Додаток Б</w:t>
      </w:r>
    </w:p>
    <w:p w:rsidR="00EC1B3C" w:rsidRPr="0094392D" w:rsidRDefault="00EC1B3C" w:rsidP="008D12A5">
      <w:pPr>
        <w:spacing w:after="0" w:line="360" w:lineRule="auto"/>
        <w:jc w:val="right"/>
        <w:rPr>
          <w:rFonts w:ascii="Times New Roman" w:hAnsi="Times New Roman"/>
          <w:sz w:val="28"/>
          <w:szCs w:val="28"/>
          <w:lang w:val="uk-UA"/>
        </w:rPr>
      </w:pPr>
      <w:r w:rsidRPr="0094392D">
        <w:rPr>
          <w:rFonts w:ascii="Times New Roman" w:hAnsi="Times New Roman"/>
          <w:sz w:val="28"/>
          <w:szCs w:val="28"/>
          <w:lang w:val="uk-UA"/>
        </w:rPr>
        <w:t>Таблиця Б.2</w:t>
      </w:r>
    </w:p>
    <w:p w:rsidR="00EC1B3C" w:rsidRPr="0094392D" w:rsidRDefault="00EC1B3C" w:rsidP="008D12A5">
      <w:pPr>
        <w:spacing w:after="0" w:line="360" w:lineRule="auto"/>
        <w:jc w:val="center"/>
        <w:rPr>
          <w:rFonts w:ascii="Times New Roman" w:hAnsi="Times New Roman"/>
          <w:sz w:val="28"/>
          <w:szCs w:val="28"/>
          <w:lang w:val="uk-UA"/>
        </w:rPr>
      </w:pPr>
      <w:r w:rsidRPr="0094392D">
        <w:rPr>
          <w:rFonts w:ascii="Times New Roman" w:hAnsi="Times New Roman"/>
          <w:sz w:val="28"/>
          <w:szCs w:val="28"/>
          <w:lang w:val="uk-UA"/>
        </w:rPr>
        <w:t>Економетричний аналіз факторів впливу на дохід від інвестицій ОАЕ</w:t>
      </w:r>
    </w:p>
    <w:tbl>
      <w:tblPr>
        <w:tblW w:w="9498" w:type="dxa"/>
        <w:tblInd w:w="-5" w:type="dxa"/>
        <w:tblLook w:val="00A0" w:firstRow="1" w:lastRow="0" w:firstColumn="1" w:lastColumn="0" w:noHBand="0" w:noVBand="0"/>
      </w:tblPr>
      <w:tblGrid>
        <w:gridCol w:w="960"/>
        <w:gridCol w:w="2017"/>
        <w:gridCol w:w="1985"/>
        <w:gridCol w:w="1272"/>
        <w:gridCol w:w="1353"/>
        <w:gridCol w:w="1911"/>
      </w:tblGrid>
      <w:tr w:rsidR="00EC1B3C" w:rsidRPr="008D06EC" w:rsidTr="00257BE1">
        <w:trPr>
          <w:trHeight w:val="315"/>
        </w:trPr>
        <w:tc>
          <w:tcPr>
            <w:tcW w:w="960" w:type="dxa"/>
            <w:tcBorders>
              <w:top w:val="single" w:sz="4" w:space="0" w:color="auto"/>
              <w:left w:val="single" w:sz="4" w:space="0" w:color="auto"/>
              <w:bottom w:val="single" w:sz="4" w:space="0" w:color="auto"/>
              <w:right w:val="single" w:sz="4" w:space="0" w:color="auto"/>
            </w:tcBorders>
            <w:shd w:val="clear" w:color="000000" w:fill="FFFFFF"/>
            <w:noWrap/>
            <w:vAlign w:val="center"/>
          </w:tcPr>
          <w:p w:rsidR="00EC1B3C" w:rsidRPr="0094392D" w:rsidRDefault="00EC1B3C" w:rsidP="00FE48F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Рік</w:t>
            </w:r>
          </w:p>
        </w:tc>
        <w:tc>
          <w:tcPr>
            <w:tcW w:w="2017" w:type="dxa"/>
            <w:tcBorders>
              <w:top w:val="single" w:sz="4" w:space="0" w:color="auto"/>
              <w:left w:val="nil"/>
              <w:bottom w:val="single" w:sz="4" w:space="0" w:color="auto"/>
              <w:right w:val="single" w:sz="4" w:space="0" w:color="auto"/>
            </w:tcBorders>
            <w:shd w:val="clear" w:color="000000" w:fill="FFFFFF"/>
            <w:noWrap/>
            <w:vAlign w:val="center"/>
          </w:tcPr>
          <w:p w:rsidR="00EC1B3C" w:rsidRPr="0094392D" w:rsidRDefault="00EC1B3C" w:rsidP="00FE48F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Баланс доходу від інвестицій, млрд. дол. США (inv)</w:t>
            </w:r>
          </w:p>
        </w:tc>
        <w:tc>
          <w:tcPr>
            <w:tcW w:w="1985" w:type="dxa"/>
            <w:tcBorders>
              <w:top w:val="single" w:sz="4" w:space="0" w:color="auto"/>
              <w:left w:val="nil"/>
              <w:bottom w:val="single" w:sz="4" w:space="0" w:color="auto"/>
              <w:right w:val="single" w:sz="4" w:space="0" w:color="auto"/>
            </w:tcBorders>
            <w:shd w:val="clear" w:color="000000" w:fill="FFFFFF"/>
            <w:noWrap/>
            <w:vAlign w:val="center"/>
          </w:tcPr>
          <w:p w:rsidR="00EC1B3C" w:rsidRPr="0094392D" w:rsidRDefault="00EC1B3C" w:rsidP="00FE48F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Прямі інвестиції (активи), млрд. дол. США (d)</w:t>
            </w:r>
          </w:p>
        </w:tc>
        <w:tc>
          <w:tcPr>
            <w:tcW w:w="1272" w:type="dxa"/>
            <w:tcBorders>
              <w:top w:val="single" w:sz="4" w:space="0" w:color="auto"/>
              <w:left w:val="nil"/>
              <w:bottom w:val="single" w:sz="4" w:space="0" w:color="auto"/>
              <w:right w:val="single" w:sz="4" w:space="0" w:color="auto"/>
            </w:tcBorders>
            <w:shd w:val="clear" w:color="000000" w:fill="FFFFFF"/>
            <w:noWrap/>
            <w:vAlign w:val="center"/>
          </w:tcPr>
          <w:p w:rsidR="00EC1B3C" w:rsidRPr="0094392D" w:rsidRDefault="00EC1B3C" w:rsidP="00FE48F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 xml:space="preserve">Валютний курс (е) </w:t>
            </w:r>
          </w:p>
        </w:tc>
        <w:tc>
          <w:tcPr>
            <w:tcW w:w="1353" w:type="dxa"/>
            <w:tcBorders>
              <w:top w:val="single" w:sz="4" w:space="0" w:color="auto"/>
              <w:left w:val="nil"/>
              <w:bottom w:val="single" w:sz="4" w:space="0" w:color="auto"/>
              <w:right w:val="single" w:sz="4" w:space="0" w:color="auto"/>
            </w:tcBorders>
            <w:shd w:val="clear" w:color="000000" w:fill="FFFFFF"/>
            <w:noWrap/>
            <w:vAlign w:val="center"/>
          </w:tcPr>
          <w:p w:rsidR="00EC1B3C" w:rsidRPr="0094392D" w:rsidRDefault="00EC1B3C" w:rsidP="00FE48F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Відсоткова ставка, % (r)</w:t>
            </w:r>
          </w:p>
        </w:tc>
        <w:tc>
          <w:tcPr>
            <w:tcW w:w="1911" w:type="dxa"/>
            <w:tcBorders>
              <w:top w:val="single" w:sz="4" w:space="0" w:color="auto"/>
              <w:left w:val="nil"/>
              <w:bottom w:val="single" w:sz="4" w:space="0" w:color="auto"/>
              <w:right w:val="single" w:sz="4" w:space="0" w:color="auto"/>
            </w:tcBorders>
            <w:shd w:val="clear" w:color="000000" w:fill="FFFFFF"/>
            <w:noWrap/>
            <w:vAlign w:val="center"/>
          </w:tcPr>
          <w:p w:rsidR="00EC1B3C" w:rsidRPr="0094392D" w:rsidRDefault="00EC1B3C" w:rsidP="00FE48F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Видатки державного бюджету, % від ВВП (exp)</w:t>
            </w:r>
          </w:p>
        </w:tc>
      </w:tr>
      <w:tr w:rsidR="00EC1B3C" w:rsidRPr="008D06EC" w:rsidTr="00257BE1">
        <w:trPr>
          <w:trHeight w:val="315"/>
        </w:trPr>
        <w:tc>
          <w:tcPr>
            <w:tcW w:w="960" w:type="dxa"/>
            <w:tcBorders>
              <w:top w:val="nil"/>
              <w:left w:val="single" w:sz="4" w:space="0" w:color="auto"/>
              <w:bottom w:val="single" w:sz="4" w:space="0" w:color="auto"/>
              <w:right w:val="single" w:sz="4" w:space="0" w:color="auto"/>
            </w:tcBorders>
            <w:shd w:val="clear" w:color="000000" w:fill="FFFFFF"/>
            <w:noWrap/>
            <w:vAlign w:val="center"/>
          </w:tcPr>
          <w:p w:rsidR="00EC1B3C" w:rsidRPr="0094392D" w:rsidRDefault="00EC1B3C" w:rsidP="00FE48F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1990</w:t>
            </w:r>
          </w:p>
        </w:tc>
        <w:tc>
          <w:tcPr>
            <w:tcW w:w="2017" w:type="dxa"/>
            <w:tcBorders>
              <w:top w:val="nil"/>
              <w:left w:val="nil"/>
              <w:bottom w:val="single" w:sz="4" w:space="0" w:color="auto"/>
              <w:right w:val="single" w:sz="4" w:space="0" w:color="auto"/>
            </w:tcBorders>
            <w:shd w:val="clear" w:color="FFFFCC" w:fill="FFFFFF"/>
            <w:noWrap/>
            <w:vAlign w:val="center"/>
          </w:tcPr>
          <w:p w:rsidR="00EC1B3C" w:rsidRPr="0094392D" w:rsidRDefault="00EC1B3C" w:rsidP="00FE48F0">
            <w:pPr>
              <w:spacing w:after="0" w:line="240" w:lineRule="auto"/>
              <w:jc w:val="center"/>
              <w:rPr>
                <w:rFonts w:ascii="Times New Roman" w:hAnsi="Times New Roman"/>
                <w:color w:val="121212"/>
                <w:sz w:val="24"/>
                <w:szCs w:val="24"/>
                <w:lang w:val="uk-UA" w:eastAsia="ru-RU"/>
              </w:rPr>
            </w:pPr>
            <w:r w:rsidRPr="0094392D">
              <w:rPr>
                <w:rFonts w:ascii="Times New Roman" w:hAnsi="Times New Roman"/>
                <w:color w:val="121212"/>
                <w:sz w:val="24"/>
                <w:szCs w:val="24"/>
                <w:lang w:val="uk-UA" w:eastAsia="ru-RU"/>
              </w:rPr>
              <w:t>33,485</w:t>
            </w:r>
          </w:p>
        </w:tc>
        <w:tc>
          <w:tcPr>
            <w:tcW w:w="1985" w:type="dxa"/>
            <w:tcBorders>
              <w:top w:val="nil"/>
              <w:left w:val="nil"/>
              <w:bottom w:val="single" w:sz="4" w:space="0" w:color="auto"/>
              <w:right w:val="single" w:sz="4" w:space="0" w:color="auto"/>
            </w:tcBorders>
            <w:shd w:val="clear" w:color="000000" w:fill="FFFFFF"/>
            <w:noWrap/>
            <w:vAlign w:val="center"/>
          </w:tcPr>
          <w:p w:rsidR="00EC1B3C" w:rsidRPr="0094392D" w:rsidRDefault="00EC1B3C" w:rsidP="00FE48F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-57,65</w:t>
            </w:r>
          </w:p>
        </w:tc>
        <w:tc>
          <w:tcPr>
            <w:tcW w:w="1272" w:type="dxa"/>
            <w:tcBorders>
              <w:top w:val="nil"/>
              <w:left w:val="nil"/>
              <w:bottom w:val="single" w:sz="4" w:space="0" w:color="auto"/>
              <w:right w:val="single" w:sz="4" w:space="0" w:color="auto"/>
            </w:tcBorders>
            <w:shd w:val="clear" w:color="F2F2F2" w:fill="FFFFFF"/>
            <w:vAlign w:val="center"/>
          </w:tcPr>
          <w:p w:rsidR="00EC1B3C" w:rsidRPr="0094392D" w:rsidRDefault="00EC1B3C" w:rsidP="00FE48F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3,67</w:t>
            </w:r>
          </w:p>
        </w:tc>
        <w:tc>
          <w:tcPr>
            <w:tcW w:w="1353" w:type="dxa"/>
            <w:tcBorders>
              <w:top w:val="nil"/>
              <w:left w:val="nil"/>
              <w:bottom w:val="single" w:sz="4" w:space="0" w:color="auto"/>
              <w:right w:val="single" w:sz="4" w:space="0" w:color="auto"/>
            </w:tcBorders>
            <w:shd w:val="clear" w:color="000000" w:fill="FFFFFF"/>
            <w:noWrap/>
            <w:vAlign w:val="center"/>
          </w:tcPr>
          <w:p w:rsidR="00EC1B3C" w:rsidRPr="0094392D" w:rsidRDefault="00EC1B3C" w:rsidP="00FE48F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 </w:t>
            </w:r>
          </w:p>
        </w:tc>
        <w:tc>
          <w:tcPr>
            <w:tcW w:w="1911" w:type="dxa"/>
            <w:tcBorders>
              <w:top w:val="nil"/>
              <w:left w:val="nil"/>
              <w:bottom w:val="single" w:sz="4" w:space="0" w:color="auto"/>
              <w:right w:val="single" w:sz="4" w:space="0" w:color="auto"/>
            </w:tcBorders>
            <w:shd w:val="clear" w:color="D9E8F2" w:fill="FFFFFF"/>
            <w:noWrap/>
            <w:vAlign w:val="center"/>
          </w:tcPr>
          <w:p w:rsidR="00EC1B3C" w:rsidRPr="0094392D" w:rsidRDefault="00EC1B3C" w:rsidP="00FE48F0">
            <w:pPr>
              <w:spacing w:after="0" w:line="240" w:lineRule="auto"/>
              <w:jc w:val="center"/>
              <w:rPr>
                <w:rFonts w:ascii="Times New Roman" w:hAnsi="Times New Roman"/>
                <w:color w:val="121212"/>
                <w:sz w:val="24"/>
                <w:szCs w:val="24"/>
                <w:lang w:val="uk-UA" w:eastAsia="ru-RU"/>
              </w:rPr>
            </w:pPr>
            <w:r w:rsidRPr="0094392D">
              <w:rPr>
                <w:rFonts w:ascii="Times New Roman" w:hAnsi="Times New Roman"/>
                <w:color w:val="121212"/>
                <w:sz w:val="24"/>
                <w:szCs w:val="24"/>
                <w:lang w:val="uk-UA" w:eastAsia="ru-RU"/>
              </w:rPr>
              <w:t>1,721</w:t>
            </w:r>
          </w:p>
        </w:tc>
      </w:tr>
      <w:tr w:rsidR="00EC1B3C" w:rsidRPr="008D06EC" w:rsidTr="00257BE1">
        <w:trPr>
          <w:trHeight w:val="315"/>
        </w:trPr>
        <w:tc>
          <w:tcPr>
            <w:tcW w:w="960" w:type="dxa"/>
            <w:tcBorders>
              <w:top w:val="nil"/>
              <w:left w:val="single" w:sz="4" w:space="0" w:color="auto"/>
              <w:bottom w:val="single" w:sz="4" w:space="0" w:color="auto"/>
              <w:right w:val="single" w:sz="4" w:space="0" w:color="auto"/>
            </w:tcBorders>
            <w:shd w:val="clear" w:color="000000" w:fill="FFFFFF"/>
            <w:noWrap/>
            <w:vAlign w:val="center"/>
          </w:tcPr>
          <w:p w:rsidR="00EC1B3C" w:rsidRPr="0094392D" w:rsidRDefault="00EC1B3C" w:rsidP="00FE48F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1991</w:t>
            </w:r>
          </w:p>
        </w:tc>
        <w:tc>
          <w:tcPr>
            <w:tcW w:w="2017" w:type="dxa"/>
            <w:tcBorders>
              <w:top w:val="nil"/>
              <w:left w:val="nil"/>
              <w:bottom w:val="single" w:sz="4" w:space="0" w:color="auto"/>
              <w:right w:val="single" w:sz="4" w:space="0" w:color="auto"/>
            </w:tcBorders>
            <w:shd w:val="clear" w:color="FFFFCC" w:fill="FFFFFF"/>
            <w:noWrap/>
            <w:vAlign w:val="center"/>
          </w:tcPr>
          <w:p w:rsidR="00EC1B3C" w:rsidRPr="0094392D" w:rsidRDefault="00EC1B3C" w:rsidP="00FE48F0">
            <w:pPr>
              <w:spacing w:after="0" w:line="240" w:lineRule="auto"/>
              <w:jc w:val="center"/>
              <w:rPr>
                <w:rFonts w:ascii="Times New Roman" w:hAnsi="Times New Roman"/>
                <w:color w:val="121212"/>
                <w:sz w:val="24"/>
                <w:szCs w:val="24"/>
                <w:lang w:val="uk-UA" w:eastAsia="ru-RU"/>
              </w:rPr>
            </w:pPr>
            <w:r w:rsidRPr="0094392D">
              <w:rPr>
                <w:rFonts w:ascii="Times New Roman" w:hAnsi="Times New Roman"/>
                <w:color w:val="121212"/>
                <w:sz w:val="24"/>
                <w:szCs w:val="24"/>
                <w:lang w:val="uk-UA" w:eastAsia="ru-RU"/>
              </w:rPr>
              <w:t>33,292</w:t>
            </w:r>
          </w:p>
        </w:tc>
        <w:tc>
          <w:tcPr>
            <w:tcW w:w="1985" w:type="dxa"/>
            <w:tcBorders>
              <w:top w:val="nil"/>
              <w:left w:val="nil"/>
              <w:bottom w:val="single" w:sz="4" w:space="0" w:color="auto"/>
              <w:right w:val="single" w:sz="4" w:space="0" w:color="auto"/>
            </w:tcBorders>
            <w:shd w:val="clear" w:color="000000" w:fill="FFFFFF"/>
            <w:noWrap/>
            <w:vAlign w:val="center"/>
          </w:tcPr>
          <w:p w:rsidR="00EC1B3C" w:rsidRPr="0094392D" w:rsidRDefault="00EC1B3C" w:rsidP="00FE48F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10,44</w:t>
            </w:r>
          </w:p>
        </w:tc>
        <w:tc>
          <w:tcPr>
            <w:tcW w:w="1272" w:type="dxa"/>
            <w:tcBorders>
              <w:top w:val="nil"/>
              <w:left w:val="nil"/>
              <w:bottom w:val="single" w:sz="4" w:space="0" w:color="auto"/>
              <w:right w:val="single" w:sz="4" w:space="0" w:color="auto"/>
            </w:tcBorders>
            <w:shd w:val="clear" w:color="F2F2F2" w:fill="FFFFFF"/>
            <w:vAlign w:val="center"/>
          </w:tcPr>
          <w:p w:rsidR="00EC1B3C" w:rsidRPr="0094392D" w:rsidRDefault="00EC1B3C" w:rsidP="00FE48F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3,67</w:t>
            </w:r>
          </w:p>
        </w:tc>
        <w:tc>
          <w:tcPr>
            <w:tcW w:w="1353" w:type="dxa"/>
            <w:tcBorders>
              <w:top w:val="nil"/>
              <w:left w:val="nil"/>
              <w:bottom w:val="single" w:sz="4" w:space="0" w:color="auto"/>
              <w:right w:val="single" w:sz="4" w:space="0" w:color="auto"/>
            </w:tcBorders>
            <w:shd w:val="clear" w:color="000000" w:fill="FFFFFF"/>
            <w:noWrap/>
            <w:vAlign w:val="center"/>
          </w:tcPr>
          <w:p w:rsidR="00EC1B3C" w:rsidRPr="0094392D" w:rsidRDefault="00EC1B3C" w:rsidP="00FE48F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 </w:t>
            </w:r>
          </w:p>
        </w:tc>
        <w:tc>
          <w:tcPr>
            <w:tcW w:w="1911" w:type="dxa"/>
            <w:tcBorders>
              <w:top w:val="nil"/>
              <w:left w:val="nil"/>
              <w:bottom w:val="single" w:sz="4" w:space="0" w:color="auto"/>
              <w:right w:val="single" w:sz="4" w:space="0" w:color="auto"/>
            </w:tcBorders>
            <w:shd w:val="clear" w:color="D9E8F2" w:fill="FFFFFF"/>
            <w:noWrap/>
            <w:vAlign w:val="center"/>
          </w:tcPr>
          <w:p w:rsidR="00EC1B3C" w:rsidRPr="0094392D" w:rsidRDefault="00EC1B3C" w:rsidP="00FE48F0">
            <w:pPr>
              <w:spacing w:after="0" w:line="240" w:lineRule="auto"/>
              <w:jc w:val="center"/>
              <w:rPr>
                <w:rFonts w:ascii="Times New Roman" w:hAnsi="Times New Roman"/>
                <w:color w:val="121212"/>
                <w:sz w:val="24"/>
                <w:szCs w:val="24"/>
                <w:lang w:val="uk-UA" w:eastAsia="ru-RU"/>
              </w:rPr>
            </w:pPr>
            <w:r w:rsidRPr="0094392D">
              <w:rPr>
                <w:rFonts w:ascii="Times New Roman" w:hAnsi="Times New Roman"/>
                <w:color w:val="121212"/>
                <w:sz w:val="24"/>
                <w:szCs w:val="24"/>
                <w:lang w:val="uk-UA" w:eastAsia="ru-RU"/>
              </w:rPr>
              <w:t>1,342</w:t>
            </w:r>
          </w:p>
        </w:tc>
      </w:tr>
      <w:tr w:rsidR="00EC1B3C" w:rsidRPr="008D06EC" w:rsidTr="00257BE1">
        <w:trPr>
          <w:trHeight w:val="315"/>
        </w:trPr>
        <w:tc>
          <w:tcPr>
            <w:tcW w:w="960" w:type="dxa"/>
            <w:tcBorders>
              <w:top w:val="nil"/>
              <w:left w:val="single" w:sz="4" w:space="0" w:color="auto"/>
              <w:bottom w:val="single" w:sz="4" w:space="0" w:color="auto"/>
              <w:right w:val="single" w:sz="4" w:space="0" w:color="auto"/>
            </w:tcBorders>
            <w:shd w:val="clear" w:color="000000" w:fill="FFFFFF"/>
            <w:noWrap/>
            <w:vAlign w:val="center"/>
          </w:tcPr>
          <w:p w:rsidR="00EC1B3C" w:rsidRPr="0094392D" w:rsidRDefault="00EC1B3C" w:rsidP="00FE48F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1992</w:t>
            </w:r>
          </w:p>
        </w:tc>
        <w:tc>
          <w:tcPr>
            <w:tcW w:w="2017" w:type="dxa"/>
            <w:tcBorders>
              <w:top w:val="nil"/>
              <w:left w:val="nil"/>
              <w:bottom w:val="single" w:sz="4" w:space="0" w:color="auto"/>
              <w:right w:val="single" w:sz="4" w:space="0" w:color="auto"/>
            </w:tcBorders>
            <w:shd w:val="clear" w:color="FFFFCC" w:fill="FFFFFF"/>
            <w:noWrap/>
            <w:vAlign w:val="center"/>
          </w:tcPr>
          <w:p w:rsidR="00EC1B3C" w:rsidRPr="0094392D" w:rsidRDefault="00EC1B3C" w:rsidP="00FE48F0">
            <w:pPr>
              <w:spacing w:after="0" w:line="240" w:lineRule="auto"/>
              <w:jc w:val="center"/>
              <w:rPr>
                <w:rFonts w:ascii="Times New Roman" w:hAnsi="Times New Roman"/>
                <w:color w:val="121212"/>
                <w:sz w:val="24"/>
                <w:szCs w:val="24"/>
                <w:lang w:val="uk-UA" w:eastAsia="ru-RU"/>
              </w:rPr>
            </w:pPr>
            <w:r w:rsidRPr="0094392D">
              <w:rPr>
                <w:rFonts w:ascii="Times New Roman" w:hAnsi="Times New Roman"/>
                <w:color w:val="121212"/>
                <w:sz w:val="24"/>
                <w:szCs w:val="24"/>
                <w:lang w:val="uk-UA" w:eastAsia="ru-RU"/>
              </w:rPr>
              <w:t>31,791</w:t>
            </w:r>
          </w:p>
        </w:tc>
        <w:tc>
          <w:tcPr>
            <w:tcW w:w="1985" w:type="dxa"/>
            <w:tcBorders>
              <w:top w:val="nil"/>
              <w:left w:val="nil"/>
              <w:bottom w:val="single" w:sz="4" w:space="0" w:color="auto"/>
              <w:right w:val="single" w:sz="4" w:space="0" w:color="auto"/>
            </w:tcBorders>
            <w:shd w:val="clear" w:color="000000" w:fill="FFFFFF"/>
            <w:noWrap/>
            <w:vAlign w:val="center"/>
          </w:tcPr>
          <w:p w:rsidR="00EC1B3C" w:rsidRPr="0094392D" w:rsidRDefault="00EC1B3C" w:rsidP="00FE48F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15,2</w:t>
            </w:r>
          </w:p>
        </w:tc>
        <w:tc>
          <w:tcPr>
            <w:tcW w:w="1272" w:type="dxa"/>
            <w:tcBorders>
              <w:top w:val="nil"/>
              <w:left w:val="nil"/>
              <w:bottom w:val="single" w:sz="4" w:space="0" w:color="auto"/>
              <w:right w:val="single" w:sz="4" w:space="0" w:color="auto"/>
            </w:tcBorders>
            <w:shd w:val="clear" w:color="F2F2F2" w:fill="FFFFFF"/>
            <w:vAlign w:val="center"/>
          </w:tcPr>
          <w:p w:rsidR="00EC1B3C" w:rsidRPr="0094392D" w:rsidRDefault="00EC1B3C" w:rsidP="00FE48F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3,67</w:t>
            </w:r>
          </w:p>
        </w:tc>
        <w:tc>
          <w:tcPr>
            <w:tcW w:w="1353" w:type="dxa"/>
            <w:tcBorders>
              <w:top w:val="nil"/>
              <w:left w:val="nil"/>
              <w:bottom w:val="single" w:sz="4" w:space="0" w:color="auto"/>
              <w:right w:val="single" w:sz="4" w:space="0" w:color="auto"/>
            </w:tcBorders>
            <w:shd w:val="clear" w:color="000000" w:fill="FFFFFF"/>
            <w:noWrap/>
            <w:vAlign w:val="center"/>
          </w:tcPr>
          <w:p w:rsidR="00EC1B3C" w:rsidRPr="0094392D" w:rsidRDefault="00EC1B3C" w:rsidP="00FE48F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 </w:t>
            </w:r>
          </w:p>
        </w:tc>
        <w:tc>
          <w:tcPr>
            <w:tcW w:w="1911" w:type="dxa"/>
            <w:tcBorders>
              <w:top w:val="nil"/>
              <w:left w:val="nil"/>
              <w:bottom w:val="single" w:sz="4" w:space="0" w:color="auto"/>
              <w:right w:val="single" w:sz="4" w:space="0" w:color="auto"/>
            </w:tcBorders>
            <w:shd w:val="clear" w:color="D9E8F2" w:fill="FFFFFF"/>
            <w:noWrap/>
            <w:vAlign w:val="center"/>
          </w:tcPr>
          <w:p w:rsidR="00EC1B3C" w:rsidRPr="0094392D" w:rsidRDefault="00EC1B3C" w:rsidP="00FE48F0">
            <w:pPr>
              <w:spacing w:after="0" w:line="240" w:lineRule="auto"/>
              <w:jc w:val="center"/>
              <w:rPr>
                <w:rFonts w:ascii="Times New Roman" w:hAnsi="Times New Roman"/>
                <w:color w:val="121212"/>
                <w:sz w:val="24"/>
                <w:szCs w:val="24"/>
                <w:lang w:val="uk-UA" w:eastAsia="ru-RU"/>
              </w:rPr>
            </w:pPr>
            <w:r w:rsidRPr="0094392D">
              <w:rPr>
                <w:rFonts w:ascii="Times New Roman" w:hAnsi="Times New Roman"/>
                <w:color w:val="121212"/>
                <w:sz w:val="24"/>
                <w:szCs w:val="24"/>
                <w:lang w:val="uk-UA" w:eastAsia="ru-RU"/>
              </w:rPr>
              <w:t>1,213</w:t>
            </w:r>
          </w:p>
        </w:tc>
      </w:tr>
      <w:tr w:rsidR="00EC1B3C" w:rsidRPr="008D06EC" w:rsidTr="00257BE1">
        <w:trPr>
          <w:trHeight w:val="315"/>
        </w:trPr>
        <w:tc>
          <w:tcPr>
            <w:tcW w:w="960" w:type="dxa"/>
            <w:tcBorders>
              <w:top w:val="nil"/>
              <w:left w:val="single" w:sz="4" w:space="0" w:color="auto"/>
              <w:bottom w:val="single" w:sz="4" w:space="0" w:color="auto"/>
              <w:right w:val="single" w:sz="4" w:space="0" w:color="auto"/>
            </w:tcBorders>
            <w:shd w:val="clear" w:color="000000" w:fill="FFFFFF"/>
            <w:noWrap/>
            <w:vAlign w:val="center"/>
          </w:tcPr>
          <w:p w:rsidR="00EC1B3C" w:rsidRPr="0094392D" w:rsidRDefault="00EC1B3C" w:rsidP="00FE48F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1993</w:t>
            </w:r>
          </w:p>
        </w:tc>
        <w:tc>
          <w:tcPr>
            <w:tcW w:w="2017" w:type="dxa"/>
            <w:tcBorders>
              <w:top w:val="nil"/>
              <w:left w:val="nil"/>
              <w:bottom w:val="single" w:sz="4" w:space="0" w:color="auto"/>
              <w:right w:val="single" w:sz="4" w:space="0" w:color="auto"/>
            </w:tcBorders>
            <w:shd w:val="clear" w:color="FFFFCC" w:fill="FFFFFF"/>
            <w:noWrap/>
            <w:vAlign w:val="center"/>
          </w:tcPr>
          <w:p w:rsidR="00EC1B3C" w:rsidRPr="0094392D" w:rsidRDefault="00EC1B3C" w:rsidP="00FE48F0">
            <w:pPr>
              <w:spacing w:after="0" w:line="240" w:lineRule="auto"/>
              <w:jc w:val="center"/>
              <w:rPr>
                <w:rFonts w:ascii="Times New Roman" w:hAnsi="Times New Roman"/>
                <w:color w:val="121212"/>
                <w:sz w:val="24"/>
                <w:szCs w:val="24"/>
                <w:lang w:val="uk-UA" w:eastAsia="ru-RU"/>
              </w:rPr>
            </w:pPr>
            <w:r w:rsidRPr="0094392D">
              <w:rPr>
                <w:rFonts w:ascii="Times New Roman" w:hAnsi="Times New Roman"/>
                <w:color w:val="121212"/>
                <w:sz w:val="24"/>
                <w:szCs w:val="24"/>
                <w:lang w:val="uk-UA" w:eastAsia="ru-RU"/>
              </w:rPr>
              <w:t>32,35</w:t>
            </w:r>
          </w:p>
        </w:tc>
        <w:tc>
          <w:tcPr>
            <w:tcW w:w="1985" w:type="dxa"/>
            <w:tcBorders>
              <w:top w:val="nil"/>
              <w:left w:val="nil"/>
              <w:bottom w:val="single" w:sz="4" w:space="0" w:color="auto"/>
              <w:right w:val="single" w:sz="4" w:space="0" w:color="auto"/>
            </w:tcBorders>
            <w:shd w:val="clear" w:color="000000" w:fill="FFFFFF"/>
            <w:noWrap/>
            <w:vAlign w:val="center"/>
          </w:tcPr>
          <w:p w:rsidR="00EC1B3C" w:rsidRPr="0094392D" w:rsidRDefault="00EC1B3C" w:rsidP="00FE48F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30,76</w:t>
            </w:r>
          </w:p>
        </w:tc>
        <w:tc>
          <w:tcPr>
            <w:tcW w:w="1272" w:type="dxa"/>
            <w:tcBorders>
              <w:top w:val="nil"/>
              <w:left w:val="nil"/>
              <w:bottom w:val="single" w:sz="4" w:space="0" w:color="auto"/>
              <w:right w:val="single" w:sz="4" w:space="0" w:color="auto"/>
            </w:tcBorders>
            <w:shd w:val="clear" w:color="F2F2F2" w:fill="FFFFFF"/>
            <w:vAlign w:val="center"/>
          </w:tcPr>
          <w:p w:rsidR="00EC1B3C" w:rsidRPr="0094392D" w:rsidRDefault="00EC1B3C" w:rsidP="00FE48F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3,67</w:t>
            </w:r>
          </w:p>
        </w:tc>
        <w:tc>
          <w:tcPr>
            <w:tcW w:w="1353" w:type="dxa"/>
            <w:tcBorders>
              <w:top w:val="nil"/>
              <w:left w:val="nil"/>
              <w:bottom w:val="single" w:sz="4" w:space="0" w:color="auto"/>
              <w:right w:val="single" w:sz="4" w:space="0" w:color="auto"/>
            </w:tcBorders>
            <w:shd w:val="clear" w:color="000000" w:fill="FFFFFF"/>
            <w:noWrap/>
            <w:vAlign w:val="center"/>
          </w:tcPr>
          <w:p w:rsidR="00EC1B3C" w:rsidRPr="0094392D" w:rsidRDefault="00EC1B3C" w:rsidP="00FE48F0">
            <w:pPr>
              <w:spacing w:after="0" w:line="240" w:lineRule="auto"/>
              <w:jc w:val="center"/>
              <w:rPr>
                <w:rFonts w:ascii="Times New Roman" w:hAnsi="Times New Roman"/>
                <w:color w:val="000000"/>
                <w:sz w:val="24"/>
                <w:szCs w:val="24"/>
                <w:lang w:val="uk-UA" w:eastAsia="ru-RU"/>
              </w:rPr>
            </w:pPr>
            <w:r w:rsidRPr="0094392D">
              <w:rPr>
                <w:rFonts w:ascii="Times New Roman" w:hAnsi="Times New Roman"/>
                <w:color w:val="000000"/>
                <w:sz w:val="24"/>
                <w:szCs w:val="24"/>
                <w:lang w:val="uk-UA" w:eastAsia="ru-RU"/>
              </w:rPr>
              <w:t> </w:t>
            </w:r>
          </w:p>
        </w:tc>
        <w:tc>
          <w:tcPr>
            <w:tcW w:w="1911" w:type="dxa"/>
            <w:tcBorders>
              <w:top w:val="nil"/>
              <w:left w:val="nil"/>
              <w:bottom w:val="single" w:sz="4" w:space="0" w:color="auto"/>
              <w:right w:val="single" w:sz="4" w:space="0" w:color="auto"/>
            </w:tcBorders>
            <w:shd w:val="clear" w:color="D9E8F2" w:fill="FFFFFF"/>
            <w:noWrap/>
            <w:vAlign w:val="center"/>
          </w:tcPr>
          <w:p w:rsidR="00EC1B3C" w:rsidRPr="0094392D" w:rsidRDefault="00EC1B3C" w:rsidP="00FE48F0">
            <w:pPr>
              <w:spacing w:after="0" w:line="240" w:lineRule="auto"/>
              <w:jc w:val="center"/>
              <w:rPr>
                <w:rFonts w:ascii="Times New Roman" w:hAnsi="Times New Roman"/>
                <w:color w:val="121212"/>
                <w:sz w:val="24"/>
                <w:szCs w:val="24"/>
                <w:lang w:val="uk-UA" w:eastAsia="ru-RU"/>
              </w:rPr>
            </w:pPr>
            <w:r w:rsidRPr="0094392D">
              <w:rPr>
                <w:rFonts w:ascii="Times New Roman" w:hAnsi="Times New Roman"/>
                <w:color w:val="121212"/>
                <w:sz w:val="24"/>
                <w:szCs w:val="24"/>
                <w:lang w:val="uk-UA" w:eastAsia="ru-RU"/>
              </w:rPr>
              <w:t>2,131</w:t>
            </w:r>
          </w:p>
        </w:tc>
      </w:tr>
      <w:tr w:rsidR="00EC1B3C" w:rsidRPr="008D06EC" w:rsidTr="00257BE1">
        <w:trPr>
          <w:trHeight w:val="315"/>
        </w:trPr>
        <w:tc>
          <w:tcPr>
            <w:tcW w:w="960" w:type="dxa"/>
            <w:tcBorders>
              <w:top w:val="nil"/>
              <w:left w:val="single" w:sz="4" w:space="0" w:color="auto"/>
              <w:bottom w:val="single" w:sz="4" w:space="0" w:color="auto"/>
              <w:right w:val="single" w:sz="4" w:space="0" w:color="auto"/>
            </w:tcBorders>
            <w:shd w:val="clear" w:color="000000"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1994</w:t>
            </w:r>
          </w:p>
        </w:tc>
        <w:tc>
          <w:tcPr>
            <w:tcW w:w="2017" w:type="dxa"/>
            <w:tcBorders>
              <w:top w:val="nil"/>
              <w:left w:val="nil"/>
              <w:bottom w:val="single" w:sz="4" w:space="0" w:color="auto"/>
              <w:right w:val="single" w:sz="4" w:space="0" w:color="auto"/>
            </w:tcBorders>
            <w:shd w:val="clear" w:color="FFFFCC"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35,103</w:t>
            </w:r>
          </w:p>
        </w:tc>
        <w:tc>
          <w:tcPr>
            <w:tcW w:w="1985" w:type="dxa"/>
            <w:tcBorders>
              <w:top w:val="nil"/>
              <w:left w:val="nil"/>
              <w:bottom w:val="single" w:sz="4" w:space="0" w:color="auto"/>
              <w:right w:val="single" w:sz="4" w:space="0" w:color="auto"/>
            </w:tcBorders>
            <w:shd w:val="clear" w:color="000000"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577</w:t>
            </w:r>
          </w:p>
        </w:tc>
        <w:tc>
          <w:tcPr>
            <w:tcW w:w="1272" w:type="dxa"/>
            <w:tcBorders>
              <w:top w:val="nil"/>
              <w:left w:val="nil"/>
              <w:bottom w:val="single" w:sz="4" w:space="0" w:color="auto"/>
              <w:right w:val="single" w:sz="4" w:space="0" w:color="auto"/>
            </w:tcBorders>
            <w:shd w:val="clear" w:color="F2F2F2" w:fill="FFFFFF"/>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3,67</w:t>
            </w:r>
          </w:p>
        </w:tc>
        <w:tc>
          <w:tcPr>
            <w:tcW w:w="1353" w:type="dxa"/>
            <w:tcBorders>
              <w:top w:val="nil"/>
              <w:left w:val="nil"/>
              <w:bottom w:val="single" w:sz="4" w:space="0" w:color="auto"/>
              <w:right w:val="single" w:sz="4" w:space="0" w:color="auto"/>
            </w:tcBorders>
            <w:shd w:val="clear" w:color="000000"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 </w:t>
            </w:r>
          </w:p>
        </w:tc>
        <w:tc>
          <w:tcPr>
            <w:tcW w:w="1911" w:type="dxa"/>
            <w:tcBorders>
              <w:top w:val="nil"/>
              <w:left w:val="nil"/>
              <w:bottom w:val="single" w:sz="4" w:space="0" w:color="auto"/>
              <w:right w:val="single" w:sz="4" w:space="0" w:color="auto"/>
            </w:tcBorders>
            <w:shd w:val="clear" w:color="D9E8F2"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1,9</w:t>
            </w:r>
          </w:p>
        </w:tc>
      </w:tr>
      <w:tr w:rsidR="00EC1B3C" w:rsidRPr="008D06EC" w:rsidTr="00257BE1">
        <w:trPr>
          <w:trHeight w:val="315"/>
        </w:trPr>
        <w:tc>
          <w:tcPr>
            <w:tcW w:w="960" w:type="dxa"/>
            <w:tcBorders>
              <w:top w:val="nil"/>
              <w:left w:val="single" w:sz="4" w:space="0" w:color="auto"/>
              <w:bottom w:val="single" w:sz="4" w:space="0" w:color="auto"/>
              <w:right w:val="single" w:sz="4" w:space="0" w:color="auto"/>
            </w:tcBorders>
            <w:shd w:val="clear" w:color="000000"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1995</w:t>
            </w:r>
          </w:p>
        </w:tc>
        <w:tc>
          <w:tcPr>
            <w:tcW w:w="2017" w:type="dxa"/>
            <w:tcBorders>
              <w:top w:val="nil"/>
              <w:left w:val="nil"/>
              <w:bottom w:val="single" w:sz="4" w:space="0" w:color="auto"/>
              <w:right w:val="single" w:sz="4" w:space="0" w:color="auto"/>
            </w:tcBorders>
            <w:shd w:val="clear" w:color="FFFFCC"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35,06</w:t>
            </w:r>
          </w:p>
        </w:tc>
        <w:tc>
          <w:tcPr>
            <w:tcW w:w="1985" w:type="dxa"/>
            <w:tcBorders>
              <w:top w:val="nil"/>
              <w:left w:val="nil"/>
              <w:bottom w:val="single" w:sz="4" w:space="0" w:color="auto"/>
              <w:right w:val="single" w:sz="4" w:space="0" w:color="auto"/>
            </w:tcBorders>
            <w:shd w:val="clear" w:color="000000"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62,47</w:t>
            </w:r>
          </w:p>
        </w:tc>
        <w:tc>
          <w:tcPr>
            <w:tcW w:w="1272" w:type="dxa"/>
            <w:tcBorders>
              <w:top w:val="nil"/>
              <w:left w:val="nil"/>
              <w:bottom w:val="single" w:sz="4" w:space="0" w:color="auto"/>
              <w:right w:val="single" w:sz="4" w:space="0" w:color="auto"/>
            </w:tcBorders>
            <w:shd w:val="clear" w:color="F2F2F2" w:fill="FFFFFF"/>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3,67</w:t>
            </w:r>
          </w:p>
        </w:tc>
        <w:tc>
          <w:tcPr>
            <w:tcW w:w="1353" w:type="dxa"/>
            <w:tcBorders>
              <w:top w:val="nil"/>
              <w:left w:val="nil"/>
              <w:bottom w:val="single" w:sz="4" w:space="0" w:color="auto"/>
              <w:right w:val="single" w:sz="4" w:space="0" w:color="auto"/>
            </w:tcBorders>
            <w:shd w:val="clear" w:color="000000"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 </w:t>
            </w:r>
          </w:p>
        </w:tc>
        <w:tc>
          <w:tcPr>
            <w:tcW w:w="1911" w:type="dxa"/>
            <w:tcBorders>
              <w:top w:val="nil"/>
              <w:left w:val="nil"/>
              <w:bottom w:val="single" w:sz="4" w:space="0" w:color="auto"/>
              <w:right w:val="single" w:sz="4" w:space="0" w:color="auto"/>
            </w:tcBorders>
            <w:shd w:val="clear" w:color="D9E8F2"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1,7</w:t>
            </w:r>
          </w:p>
        </w:tc>
      </w:tr>
      <w:tr w:rsidR="00EC1B3C" w:rsidRPr="008D06EC" w:rsidTr="00257BE1">
        <w:trPr>
          <w:trHeight w:val="315"/>
        </w:trPr>
        <w:tc>
          <w:tcPr>
            <w:tcW w:w="960" w:type="dxa"/>
            <w:tcBorders>
              <w:top w:val="nil"/>
              <w:left w:val="single" w:sz="4" w:space="0" w:color="auto"/>
              <w:bottom w:val="single" w:sz="4" w:space="0" w:color="auto"/>
              <w:right w:val="single" w:sz="4" w:space="0" w:color="auto"/>
            </w:tcBorders>
            <w:shd w:val="clear" w:color="000000"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1996</w:t>
            </w:r>
          </w:p>
        </w:tc>
        <w:tc>
          <w:tcPr>
            <w:tcW w:w="2017" w:type="dxa"/>
            <w:tcBorders>
              <w:top w:val="nil"/>
              <w:left w:val="nil"/>
              <w:bottom w:val="single" w:sz="4" w:space="0" w:color="auto"/>
              <w:right w:val="single" w:sz="4" w:space="0" w:color="auto"/>
            </w:tcBorders>
            <w:shd w:val="clear" w:color="FFFFCC"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36,479</w:t>
            </w:r>
          </w:p>
        </w:tc>
        <w:tc>
          <w:tcPr>
            <w:tcW w:w="1985" w:type="dxa"/>
            <w:tcBorders>
              <w:top w:val="nil"/>
              <w:left w:val="nil"/>
              <w:bottom w:val="single" w:sz="4" w:space="0" w:color="auto"/>
              <w:right w:val="single" w:sz="4" w:space="0" w:color="auto"/>
            </w:tcBorders>
            <w:shd w:val="clear" w:color="000000"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128,61</w:t>
            </w:r>
          </w:p>
        </w:tc>
        <w:tc>
          <w:tcPr>
            <w:tcW w:w="1272" w:type="dxa"/>
            <w:tcBorders>
              <w:top w:val="nil"/>
              <w:left w:val="nil"/>
              <w:bottom w:val="single" w:sz="4" w:space="0" w:color="auto"/>
              <w:right w:val="single" w:sz="4" w:space="0" w:color="auto"/>
            </w:tcBorders>
            <w:shd w:val="clear" w:color="F2F2F2" w:fill="FFFFFF"/>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3,67</w:t>
            </w:r>
          </w:p>
        </w:tc>
        <w:tc>
          <w:tcPr>
            <w:tcW w:w="1353" w:type="dxa"/>
            <w:tcBorders>
              <w:top w:val="nil"/>
              <w:left w:val="nil"/>
              <w:bottom w:val="single" w:sz="4" w:space="0" w:color="auto"/>
              <w:right w:val="single" w:sz="4" w:space="0" w:color="auto"/>
            </w:tcBorders>
            <w:shd w:val="clear" w:color="000000"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 </w:t>
            </w:r>
          </w:p>
        </w:tc>
        <w:tc>
          <w:tcPr>
            <w:tcW w:w="1911" w:type="dxa"/>
            <w:tcBorders>
              <w:top w:val="nil"/>
              <w:left w:val="nil"/>
              <w:bottom w:val="single" w:sz="4" w:space="0" w:color="auto"/>
              <w:right w:val="single" w:sz="4" w:space="0" w:color="auto"/>
            </w:tcBorders>
            <w:shd w:val="clear" w:color="D9E8F2"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1,4</w:t>
            </w:r>
          </w:p>
        </w:tc>
      </w:tr>
      <w:tr w:rsidR="00EC1B3C" w:rsidRPr="008D06EC" w:rsidTr="00257BE1">
        <w:trPr>
          <w:trHeight w:val="315"/>
        </w:trPr>
        <w:tc>
          <w:tcPr>
            <w:tcW w:w="960" w:type="dxa"/>
            <w:tcBorders>
              <w:top w:val="nil"/>
              <w:left w:val="single" w:sz="4" w:space="0" w:color="auto"/>
              <w:bottom w:val="single" w:sz="4" w:space="0" w:color="auto"/>
              <w:right w:val="single" w:sz="4" w:space="0" w:color="auto"/>
            </w:tcBorders>
            <w:shd w:val="clear" w:color="000000"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1997</w:t>
            </w:r>
          </w:p>
        </w:tc>
        <w:tc>
          <w:tcPr>
            <w:tcW w:w="2017" w:type="dxa"/>
            <w:tcBorders>
              <w:top w:val="nil"/>
              <w:left w:val="nil"/>
              <w:bottom w:val="single" w:sz="4" w:space="0" w:color="auto"/>
              <w:right w:val="single" w:sz="4" w:space="0" w:color="auto"/>
            </w:tcBorders>
            <w:shd w:val="clear" w:color="FFFFCC"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40,73</w:t>
            </w:r>
          </w:p>
        </w:tc>
        <w:tc>
          <w:tcPr>
            <w:tcW w:w="1985" w:type="dxa"/>
            <w:tcBorders>
              <w:top w:val="nil"/>
              <w:left w:val="nil"/>
              <w:bottom w:val="single" w:sz="4" w:space="0" w:color="auto"/>
              <w:right w:val="single" w:sz="4" w:space="0" w:color="auto"/>
            </w:tcBorders>
            <w:shd w:val="clear" w:color="000000"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231,13</w:t>
            </w:r>
          </w:p>
        </w:tc>
        <w:tc>
          <w:tcPr>
            <w:tcW w:w="1272" w:type="dxa"/>
            <w:tcBorders>
              <w:top w:val="nil"/>
              <w:left w:val="nil"/>
              <w:bottom w:val="single" w:sz="4" w:space="0" w:color="auto"/>
              <w:right w:val="single" w:sz="4" w:space="0" w:color="auto"/>
            </w:tcBorders>
            <w:shd w:val="clear" w:color="F2F2F2" w:fill="FFFFFF"/>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3,67</w:t>
            </w:r>
          </w:p>
        </w:tc>
        <w:tc>
          <w:tcPr>
            <w:tcW w:w="1353" w:type="dxa"/>
            <w:tcBorders>
              <w:top w:val="nil"/>
              <w:left w:val="nil"/>
              <w:bottom w:val="single" w:sz="4" w:space="0" w:color="auto"/>
              <w:right w:val="single" w:sz="4" w:space="0" w:color="auto"/>
            </w:tcBorders>
            <w:shd w:val="clear" w:color="000000"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 </w:t>
            </w:r>
          </w:p>
        </w:tc>
        <w:tc>
          <w:tcPr>
            <w:tcW w:w="1911" w:type="dxa"/>
            <w:tcBorders>
              <w:top w:val="nil"/>
              <w:left w:val="nil"/>
              <w:bottom w:val="single" w:sz="4" w:space="0" w:color="auto"/>
              <w:right w:val="single" w:sz="4" w:space="0" w:color="auto"/>
            </w:tcBorders>
            <w:shd w:val="clear" w:color="D9E8F2"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1</w:t>
            </w:r>
          </w:p>
        </w:tc>
      </w:tr>
      <w:tr w:rsidR="00EC1B3C" w:rsidRPr="008D06EC" w:rsidTr="00257BE1">
        <w:trPr>
          <w:trHeight w:val="315"/>
        </w:trPr>
        <w:tc>
          <w:tcPr>
            <w:tcW w:w="960" w:type="dxa"/>
            <w:tcBorders>
              <w:top w:val="nil"/>
              <w:left w:val="single" w:sz="4" w:space="0" w:color="auto"/>
              <w:bottom w:val="single" w:sz="4" w:space="0" w:color="auto"/>
              <w:right w:val="single" w:sz="4" w:space="0" w:color="auto"/>
            </w:tcBorders>
            <w:shd w:val="clear" w:color="000000"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1998</w:t>
            </w:r>
          </w:p>
        </w:tc>
        <w:tc>
          <w:tcPr>
            <w:tcW w:w="2017" w:type="dxa"/>
            <w:tcBorders>
              <w:top w:val="nil"/>
              <w:left w:val="nil"/>
              <w:bottom w:val="single" w:sz="4" w:space="0" w:color="auto"/>
              <w:right w:val="single" w:sz="4" w:space="0" w:color="auto"/>
            </w:tcBorders>
            <w:shd w:val="clear" w:color="FFFFCC"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42,523</w:t>
            </w:r>
          </w:p>
        </w:tc>
        <w:tc>
          <w:tcPr>
            <w:tcW w:w="1985" w:type="dxa"/>
            <w:tcBorders>
              <w:top w:val="nil"/>
              <w:left w:val="nil"/>
              <w:bottom w:val="single" w:sz="4" w:space="0" w:color="auto"/>
              <w:right w:val="single" w:sz="4" w:space="0" w:color="auto"/>
            </w:tcBorders>
            <w:shd w:val="clear" w:color="000000"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127,3</w:t>
            </w:r>
          </w:p>
        </w:tc>
        <w:tc>
          <w:tcPr>
            <w:tcW w:w="1272" w:type="dxa"/>
            <w:tcBorders>
              <w:top w:val="nil"/>
              <w:left w:val="nil"/>
              <w:bottom w:val="single" w:sz="4" w:space="0" w:color="auto"/>
              <w:right w:val="single" w:sz="4" w:space="0" w:color="auto"/>
            </w:tcBorders>
            <w:shd w:val="clear" w:color="F2F2F2" w:fill="FFFFFF"/>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3,67</w:t>
            </w:r>
          </w:p>
        </w:tc>
        <w:tc>
          <w:tcPr>
            <w:tcW w:w="1353" w:type="dxa"/>
            <w:tcBorders>
              <w:top w:val="nil"/>
              <w:left w:val="nil"/>
              <w:bottom w:val="single" w:sz="4" w:space="0" w:color="auto"/>
              <w:right w:val="single" w:sz="4" w:space="0" w:color="auto"/>
            </w:tcBorders>
            <w:shd w:val="clear" w:color="000000"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 </w:t>
            </w:r>
          </w:p>
        </w:tc>
        <w:tc>
          <w:tcPr>
            <w:tcW w:w="1911" w:type="dxa"/>
            <w:tcBorders>
              <w:top w:val="nil"/>
              <w:left w:val="nil"/>
              <w:bottom w:val="single" w:sz="4" w:space="0" w:color="auto"/>
              <w:right w:val="single" w:sz="4" w:space="0" w:color="auto"/>
            </w:tcBorders>
            <w:shd w:val="clear" w:color="D9E8F2"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0,9</w:t>
            </w:r>
          </w:p>
        </w:tc>
      </w:tr>
      <w:tr w:rsidR="00EC1B3C" w:rsidRPr="008D06EC" w:rsidTr="00257BE1">
        <w:trPr>
          <w:trHeight w:val="315"/>
        </w:trPr>
        <w:tc>
          <w:tcPr>
            <w:tcW w:w="960" w:type="dxa"/>
            <w:tcBorders>
              <w:top w:val="nil"/>
              <w:left w:val="single" w:sz="4" w:space="0" w:color="auto"/>
              <w:bottom w:val="single" w:sz="4" w:space="0" w:color="auto"/>
              <w:right w:val="single" w:sz="4" w:space="0" w:color="auto"/>
            </w:tcBorders>
            <w:shd w:val="clear" w:color="000000"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1999</w:t>
            </w:r>
          </w:p>
        </w:tc>
        <w:tc>
          <w:tcPr>
            <w:tcW w:w="2017" w:type="dxa"/>
            <w:tcBorders>
              <w:top w:val="nil"/>
              <w:left w:val="nil"/>
              <w:bottom w:val="single" w:sz="4" w:space="0" w:color="auto"/>
              <w:right w:val="single" w:sz="4" w:space="0" w:color="auto"/>
            </w:tcBorders>
            <w:shd w:val="clear" w:color="FFFFCC"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43,381</w:t>
            </w:r>
          </w:p>
        </w:tc>
        <w:tc>
          <w:tcPr>
            <w:tcW w:w="1985" w:type="dxa"/>
            <w:tcBorders>
              <w:top w:val="nil"/>
              <w:left w:val="nil"/>
              <w:bottom w:val="single" w:sz="4" w:space="0" w:color="auto"/>
              <w:right w:val="single" w:sz="4" w:space="0" w:color="auto"/>
            </w:tcBorders>
            <w:shd w:val="clear" w:color="000000"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317,11</w:t>
            </w:r>
          </w:p>
        </w:tc>
        <w:tc>
          <w:tcPr>
            <w:tcW w:w="1272" w:type="dxa"/>
            <w:tcBorders>
              <w:top w:val="nil"/>
              <w:left w:val="nil"/>
              <w:bottom w:val="single" w:sz="4" w:space="0" w:color="auto"/>
              <w:right w:val="single" w:sz="4" w:space="0" w:color="auto"/>
            </w:tcBorders>
            <w:shd w:val="clear" w:color="F2F2F2" w:fill="FFFFFF"/>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3,67</w:t>
            </w:r>
          </w:p>
        </w:tc>
        <w:tc>
          <w:tcPr>
            <w:tcW w:w="1353" w:type="dxa"/>
            <w:tcBorders>
              <w:top w:val="nil"/>
              <w:left w:val="nil"/>
              <w:bottom w:val="single" w:sz="4" w:space="0" w:color="auto"/>
              <w:right w:val="single" w:sz="4" w:space="0" w:color="auto"/>
            </w:tcBorders>
            <w:shd w:val="clear" w:color="000000"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 </w:t>
            </w:r>
          </w:p>
        </w:tc>
        <w:tc>
          <w:tcPr>
            <w:tcW w:w="1911" w:type="dxa"/>
            <w:tcBorders>
              <w:top w:val="nil"/>
              <w:left w:val="nil"/>
              <w:bottom w:val="single" w:sz="4" w:space="0" w:color="auto"/>
              <w:right w:val="single" w:sz="4" w:space="0" w:color="auto"/>
            </w:tcBorders>
            <w:shd w:val="clear" w:color="D9E8F2"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1,1</w:t>
            </w:r>
          </w:p>
        </w:tc>
      </w:tr>
      <w:tr w:rsidR="00EC1B3C" w:rsidRPr="008D06EC" w:rsidTr="00257BE1">
        <w:trPr>
          <w:trHeight w:val="315"/>
        </w:trPr>
        <w:tc>
          <w:tcPr>
            <w:tcW w:w="960" w:type="dxa"/>
            <w:tcBorders>
              <w:top w:val="nil"/>
              <w:left w:val="single" w:sz="4" w:space="0" w:color="auto"/>
              <w:bottom w:val="single" w:sz="4" w:space="0" w:color="auto"/>
              <w:right w:val="single" w:sz="4" w:space="0" w:color="auto"/>
            </w:tcBorders>
            <w:shd w:val="clear" w:color="000000"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2000</w:t>
            </w:r>
          </w:p>
        </w:tc>
        <w:tc>
          <w:tcPr>
            <w:tcW w:w="2017" w:type="dxa"/>
            <w:tcBorders>
              <w:top w:val="nil"/>
              <w:left w:val="nil"/>
              <w:bottom w:val="single" w:sz="4" w:space="0" w:color="auto"/>
              <w:right w:val="single" w:sz="4" w:space="0" w:color="auto"/>
            </w:tcBorders>
            <w:shd w:val="clear" w:color="FFFFCC"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44,067</w:t>
            </w:r>
          </w:p>
        </w:tc>
        <w:tc>
          <w:tcPr>
            <w:tcW w:w="1985" w:type="dxa"/>
            <w:tcBorders>
              <w:top w:val="nil"/>
              <w:left w:val="nil"/>
              <w:bottom w:val="single" w:sz="4" w:space="0" w:color="auto"/>
              <w:right w:val="single" w:sz="4" w:space="0" w:color="auto"/>
            </w:tcBorders>
            <w:shd w:val="clear" w:color="000000"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423,67</w:t>
            </w:r>
          </w:p>
        </w:tc>
        <w:tc>
          <w:tcPr>
            <w:tcW w:w="1272" w:type="dxa"/>
            <w:tcBorders>
              <w:top w:val="nil"/>
              <w:left w:val="nil"/>
              <w:bottom w:val="single" w:sz="4" w:space="0" w:color="auto"/>
              <w:right w:val="single" w:sz="4" w:space="0" w:color="auto"/>
            </w:tcBorders>
            <w:shd w:val="clear" w:color="F2F2F2" w:fill="FFFFFF"/>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3,67</w:t>
            </w:r>
          </w:p>
        </w:tc>
        <w:tc>
          <w:tcPr>
            <w:tcW w:w="1353" w:type="dxa"/>
            <w:tcBorders>
              <w:top w:val="nil"/>
              <w:left w:val="nil"/>
              <w:bottom w:val="single" w:sz="4" w:space="0" w:color="auto"/>
              <w:right w:val="single" w:sz="4" w:space="0" w:color="auto"/>
            </w:tcBorders>
            <w:shd w:val="clear" w:color="000000"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 </w:t>
            </w:r>
          </w:p>
        </w:tc>
        <w:tc>
          <w:tcPr>
            <w:tcW w:w="1911" w:type="dxa"/>
            <w:tcBorders>
              <w:top w:val="nil"/>
              <w:left w:val="nil"/>
              <w:bottom w:val="single" w:sz="4" w:space="0" w:color="auto"/>
              <w:right w:val="single" w:sz="4" w:space="0" w:color="auto"/>
            </w:tcBorders>
            <w:shd w:val="clear" w:color="D9E8F2"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1,6</w:t>
            </w:r>
          </w:p>
        </w:tc>
      </w:tr>
      <w:tr w:rsidR="00EC1B3C" w:rsidRPr="008D06EC" w:rsidTr="00257BE1">
        <w:trPr>
          <w:trHeight w:val="315"/>
        </w:trPr>
        <w:tc>
          <w:tcPr>
            <w:tcW w:w="960" w:type="dxa"/>
            <w:tcBorders>
              <w:top w:val="nil"/>
              <w:left w:val="single" w:sz="4" w:space="0" w:color="auto"/>
              <w:bottom w:val="single" w:sz="4" w:space="0" w:color="auto"/>
              <w:right w:val="single" w:sz="4" w:space="0" w:color="auto"/>
            </w:tcBorders>
            <w:shd w:val="clear" w:color="000000"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2001</w:t>
            </w:r>
          </w:p>
        </w:tc>
        <w:tc>
          <w:tcPr>
            <w:tcW w:w="2017" w:type="dxa"/>
            <w:tcBorders>
              <w:top w:val="nil"/>
              <w:left w:val="nil"/>
              <w:bottom w:val="single" w:sz="4" w:space="0" w:color="auto"/>
              <w:right w:val="single" w:sz="4" w:space="0" w:color="auto"/>
            </w:tcBorders>
            <w:shd w:val="clear" w:color="FFFFCC"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48,248</w:t>
            </w:r>
          </w:p>
        </w:tc>
        <w:tc>
          <w:tcPr>
            <w:tcW w:w="1985" w:type="dxa"/>
            <w:tcBorders>
              <w:top w:val="nil"/>
              <w:left w:val="nil"/>
              <w:bottom w:val="single" w:sz="4" w:space="0" w:color="auto"/>
              <w:right w:val="single" w:sz="4" w:space="0" w:color="auto"/>
            </w:tcBorders>
            <w:shd w:val="clear" w:color="000000"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213,7</w:t>
            </w:r>
          </w:p>
        </w:tc>
        <w:tc>
          <w:tcPr>
            <w:tcW w:w="1272" w:type="dxa"/>
            <w:tcBorders>
              <w:top w:val="nil"/>
              <w:left w:val="nil"/>
              <w:bottom w:val="single" w:sz="4" w:space="0" w:color="auto"/>
              <w:right w:val="single" w:sz="4" w:space="0" w:color="auto"/>
            </w:tcBorders>
            <w:shd w:val="clear" w:color="F2F2F2" w:fill="FFFFFF"/>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3,67</w:t>
            </w:r>
          </w:p>
        </w:tc>
        <w:tc>
          <w:tcPr>
            <w:tcW w:w="1353" w:type="dxa"/>
            <w:tcBorders>
              <w:top w:val="nil"/>
              <w:left w:val="nil"/>
              <w:bottom w:val="single" w:sz="4" w:space="0" w:color="auto"/>
              <w:right w:val="single" w:sz="4" w:space="0" w:color="auto"/>
            </w:tcBorders>
            <w:shd w:val="clear" w:color="000000"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 </w:t>
            </w:r>
          </w:p>
        </w:tc>
        <w:tc>
          <w:tcPr>
            <w:tcW w:w="1911" w:type="dxa"/>
            <w:tcBorders>
              <w:top w:val="nil"/>
              <w:left w:val="nil"/>
              <w:bottom w:val="single" w:sz="4" w:space="0" w:color="auto"/>
              <w:right w:val="single" w:sz="4" w:space="0" w:color="auto"/>
            </w:tcBorders>
            <w:shd w:val="clear" w:color="D9E8F2"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3,9</w:t>
            </w:r>
          </w:p>
        </w:tc>
      </w:tr>
      <w:tr w:rsidR="00EC1B3C" w:rsidRPr="008D06EC" w:rsidTr="00257BE1">
        <w:trPr>
          <w:trHeight w:val="315"/>
        </w:trPr>
        <w:tc>
          <w:tcPr>
            <w:tcW w:w="960" w:type="dxa"/>
            <w:tcBorders>
              <w:top w:val="nil"/>
              <w:left w:val="single" w:sz="4" w:space="0" w:color="auto"/>
              <w:bottom w:val="single" w:sz="4" w:space="0" w:color="auto"/>
              <w:right w:val="single" w:sz="4" w:space="0" w:color="auto"/>
            </w:tcBorders>
            <w:shd w:val="clear" w:color="000000"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2002</w:t>
            </w:r>
          </w:p>
        </w:tc>
        <w:tc>
          <w:tcPr>
            <w:tcW w:w="2017" w:type="dxa"/>
            <w:tcBorders>
              <w:top w:val="nil"/>
              <w:left w:val="nil"/>
              <w:bottom w:val="single" w:sz="4" w:space="0" w:color="auto"/>
              <w:right w:val="single" w:sz="4" w:space="0" w:color="auto"/>
            </w:tcBorders>
            <w:shd w:val="clear" w:color="FFFFCC"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48,946</w:t>
            </w:r>
          </w:p>
        </w:tc>
        <w:tc>
          <w:tcPr>
            <w:tcW w:w="1985" w:type="dxa"/>
            <w:tcBorders>
              <w:top w:val="nil"/>
              <w:left w:val="nil"/>
              <w:bottom w:val="single" w:sz="4" w:space="0" w:color="auto"/>
              <w:right w:val="single" w:sz="4" w:space="0" w:color="auto"/>
            </w:tcBorders>
            <w:shd w:val="clear" w:color="000000"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441,12</w:t>
            </w:r>
          </w:p>
        </w:tc>
        <w:tc>
          <w:tcPr>
            <w:tcW w:w="1272" w:type="dxa"/>
            <w:tcBorders>
              <w:top w:val="nil"/>
              <w:left w:val="nil"/>
              <w:bottom w:val="single" w:sz="4" w:space="0" w:color="auto"/>
              <w:right w:val="single" w:sz="4" w:space="0" w:color="auto"/>
            </w:tcBorders>
            <w:shd w:val="clear" w:color="F2F2F2" w:fill="FFFFFF"/>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3,67</w:t>
            </w:r>
          </w:p>
        </w:tc>
        <w:tc>
          <w:tcPr>
            <w:tcW w:w="1353" w:type="dxa"/>
            <w:tcBorders>
              <w:top w:val="nil"/>
              <w:left w:val="nil"/>
              <w:bottom w:val="single" w:sz="4" w:space="0" w:color="auto"/>
              <w:right w:val="single" w:sz="4" w:space="0" w:color="auto"/>
            </w:tcBorders>
            <w:shd w:val="clear" w:color="000000"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 </w:t>
            </w:r>
          </w:p>
        </w:tc>
        <w:tc>
          <w:tcPr>
            <w:tcW w:w="1911" w:type="dxa"/>
            <w:tcBorders>
              <w:top w:val="nil"/>
              <w:left w:val="nil"/>
              <w:bottom w:val="single" w:sz="4" w:space="0" w:color="auto"/>
              <w:right w:val="single" w:sz="4" w:space="0" w:color="auto"/>
            </w:tcBorders>
            <w:shd w:val="clear" w:color="D9E8F2"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5,7</w:t>
            </w:r>
          </w:p>
        </w:tc>
      </w:tr>
      <w:tr w:rsidR="00EC1B3C" w:rsidRPr="008D06EC" w:rsidTr="00257BE1">
        <w:trPr>
          <w:trHeight w:val="315"/>
        </w:trPr>
        <w:tc>
          <w:tcPr>
            <w:tcW w:w="960" w:type="dxa"/>
            <w:tcBorders>
              <w:top w:val="nil"/>
              <w:left w:val="single" w:sz="4" w:space="0" w:color="auto"/>
              <w:bottom w:val="single" w:sz="4" w:space="0" w:color="auto"/>
              <w:right w:val="single" w:sz="4" w:space="0" w:color="auto"/>
            </w:tcBorders>
            <w:shd w:val="clear" w:color="000000"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2003</w:t>
            </w:r>
          </w:p>
        </w:tc>
        <w:tc>
          <w:tcPr>
            <w:tcW w:w="2017" w:type="dxa"/>
            <w:tcBorders>
              <w:top w:val="nil"/>
              <w:left w:val="nil"/>
              <w:bottom w:val="single" w:sz="4" w:space="0" w:color="auto"/>
              <w:right w:val="single" w:sz="4" w:space="0" w:color="auto"/>
            </w:tcBorders>
            <w:shd w:val="clear" w:color="FFFFCC"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59,579</w:t>
            </w:r>
          </w:p>
        </w:tc>
        <w:tc>
          <w:tcPr>
            <w:tcW w:w="1985" w:type="dxa"/>
            <w:tcBorders>
              <w:top w:val="nil"/>
              <w:left w:val="nil"/>
              <w:bottom w:val="single" w:sz="4" w:space="0" w:color="auto"/>
              <w:right w:val="single" w:sz="4" w:space="0" w:color="auto"/>
            </w:tcBorders>
            <w:shd w:val="clear" w:color="000000"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991,15</w:t>
            </w:r>
          </w:p>
        </w:tc>
        <w:tc>
          <w:tcPr>
            <w:tcW w:w="1272" w:type="dxa"/>
            <w:tcBorders>
              <w:top w:val="nil"/>
              <w:left w:val="nil"/>
              <w:bottom w:val="single" w:sz="4" w:space="0" w:color="auto"/>
              <w:right w:val="single" w:sz="4" w:space="0" w:color="auto"/>
            </w:tcBorders>
            <w:shd w:val="clear" w:color="F2F2F2" w:fill="FFFFFF"/>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3,67</w:t>
            </w:r>
          </w:p>
        </w:tc>
        <w:tc>
          <w:tcPr>
            <w:tcW w:w="1353" w:type="dxa"/>
            <w:tcBorders>
              <w:top w:val="nil"/>
              <w:left w:val="nil"/>
              <w:bottom w:val="single" w:sz="4" w:space="0" w:color="auto"/>
              <w:right w:val="single" w:sz="4" w:space="0" w:color="auto"/>
            </w:tcBorders>
            <w:shd w:val="clear" w:color="000000"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4,7</w:t>
            </w:r>
          </w:p>
        </w:tc>
        <w:tc>
          <w:tcPr>
            <w:tcW w:w="1911" w:type="dxa"/>
            <w:tcBorders>
              <w:top w:val="nil"/>
              <w:left w:val="nil"/>
              <w:bottom w:val="single" w:sz="4" w:space="0" w:color="auto"/>
              <w:right w:val="single" w:sz="4" w:space="0" w:color="auto"/>
            </w:tcBorders>
            <w:shd w:val="clear" w:color="D9E8F2"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4,1</w:t>
            </w:r>
          </w:p>
        </w:tc>
      </w:tr>
      <w:tr w:rsidR="00EC1B3C" w:rsidRPr="008D06EC" w:rsidTr="00257BE1">
        <w:trPr>
          <w:trHeight w:val="315"/>
        </w:trPr>
        <w:tc>
          <w:tcPr>
            <w:tcW w:w="960" w:type="dxa"/>
            <w:tcBorders>
              <w:top w:val="nil"/>
              <w:left w:val="single" w:sz="4" w:space="0" w:color="auto"/>
              <w:bottom w:val="single" w:sz="4" w:space="0" w:color="auto"/>
              <w:right w:val="single" w:sz="4" w:space="0" w:color="auto"/>
            </w:tcBorders>
            <w:shd w:val="clear" w:color="000000"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2004</w:t>
            </w:r>
          </w:p>
        </w:tc>
        <w:tc>
          <w:tcPr>
            <w:tcW w:w="2017" w:type="dxa"/>
            <w:tcBorders>
              <w:top w:val="nil"/>
              <w:left w:val="nil"/>
              <w:bottom w:val="single" w:sz="4" w:space="0" w:color="auto"/>
              <w:right w:val="single" w:sz="4" w:space="0" w:color="auto"/>
            </w:tcBorders>
            <w:shd w:val="clear" w:color="FFFFCC"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58,191</w:t>
            </w:r>
          </w:p>
        </w:tc>
        <w:tc>
          <w:tcPr>
            <w:tcW w:w="1985" w:type="dxa"/>
            <w:tcBorders>
              <w:top w:val="nil"/>
              <w:left w:val="nil"/>
              <w:bottom w:val="single" w:sz="4" w:space="0" w:color="auto"/>
              <w:right w:val="single" w:sz="4" w:space="0" w:color="auto"/>
            </w:tcBorders>
            <w:shd w:val="clear" w:color="000000"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2210</w:t>
            </w:r>
          </w:p>
        </w:tc>
        <w:tc>
          <w:tcPr>
            <w:tcW w:w="1272" w:type="dxa"/>
            <w:tcBorders>
              <w:top w:val="nil"/>
              <w:left w:val="nil"/>
              <w:bottom w:val="single" w:sz="4" w:space="0" w:color="auto"/>
              <w:right w:val="single" w:sz="4" w:space="0" w:color="auto"/>
            </w:tcBorders>
            <w:shd w:val="clear" w:color="F2F2F2" w:fill="FFFFFF"/>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3,67</w:t>
            </w:r>
          </w:p>
        </w:tc>
        <w:tc>
          <w:tcPr>
            <w:tcW w:w="1353" w:type="dxa"/>
            <w:tcBorders>
              <w:top w:val="nil"/>
              <w:left w:val="nil"/>
              <w:bottom w:val="single" w:sz="4" w:space="0" w:color="auto"/>
              <w:right w:val="single" w:sz="4" w:space="0" w:color="auto"/>
            </w:tcBorders>
            <w:shd w:val="clear" w:color="000000"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4,5</w:t>
            </w:r>
          </w:p>
        </w:tc>
        <w:tc>
          <w:tcPr>
            <w:tcW w:w="1911" w:type="dxa"/>
            <w:tcBorders>
              <w:top w:val="nil"/>
              <w:left w:val="nil"/>
              <w:bottom w:val="single" w:sz="4" w:space="0" w:color="auto"/>
              <w:right w:val="single" w:sz="4" w:space="0" w:color="auto"/>
            </w:tcBorders>
            <w:shd w:val="clear" w:color="D9E8F2"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6,3</w:t>
            </w:r>
          </w:p>
        </w:tc>
      </w:tr>
      <w:tr w:rsidR="00EC1B3C" w:rsidRPr="008D06EC" w:rsidTr="00257BE1">
        <w:trPr>
          <w:trHeight w:val="315"/>
        </w:trPr>
        <w:tc>
          <w:tcPr>
            <w:tcW w:w="960" w:type="dxa"/>
            <w:tcBorders>
              <w:top w:val="nil"/>
              <w:left w:val="single" w:sz="4" w:space="0" w:color="auto"/>
              <w:bottom w:val="single" w:sz="4" w:space="0" w:color="auto"/>
              <w:right w:val="single" w:sz="4" w:space="0" w:color="auto"/>
            </w:tcBorders>
            <w:shd w:val="clear" w:color="000000"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2005</w:t>
            </w:r>
          </w:p>
        </w:tc>
        <w:tc>
          <w:tcPr>
            <w:tcW w:w="2017" w:type="dxa"/>
            <w:tcBorders>
              <w:top w:val="nil"/>
              <w:left w:val="nil"/>
              <w:bottom w:val="single" w:sz="4" w:space="0" w:color="auto"/>
              <w:right w:val="single" w:sz="4" w:space="0" w:color="auto"/>
            </w:tcBorders>
            <w:shd w:val="clear" w:color="FFFFCC"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79,436</w:t>
            </w:r>
          </w:p>
        </w:tc>
        <w:tc>
          <w:tcPr>
            <w:tcW w:w="1985" w:type="dxa"/>
            <w:tcBorders>
              <w:top w:val="nil"/>
              <w:left w:val="nil"/>
              <w:bottom w:val="single" w:sz="4" w:space="0" w:color="auto"/>
              <w:right w:val="single" w:sz="4" w:space="0" w:color="auto"/>
            </w:tcBorders>
            <w:shd w:val="clear" w:color="000000"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3750</w:t>
            </w:r>
          </w:p>
        </w:tc>
        <w:tc>
          <w:tcPr>
            <w:tcW w:w="1272" w:type="dxa"/>
            <w:tcBorders>
              <w:top w:val="nil"/>
              <w:left w:val="nil"/>
              <w:bottom w:val="single" w:sz="4" w:space="0" w:color="auto"/>
              <w:right w:val="single" w:sz="4" w:space="0" w:color="auto"/>
            </w:tcBorders>
            <w:shd w:val="clear" w:color="F2F2F2" w:fill="FFFFFF"/>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3,67</w:t>
            </w:r>
          </w:p>
        </w:tc>
        <w:tc>
          <w:tcPr>
            <w:tcW w:w="1353" w:type="dxa"/>
            <w:tcBorders>
              <w:top w:val="nil"/>
              <w:left w:val="nil"/>
              <w:bottom w:val="single" w:sz="4" w:space="0" w:color="auto"/>
              <w:right w:val="single" w:sz="4" w:space="0" w:color="auto"/>
            </w:tcBorders>
            <w:shd w:val="clear" w:color="000000"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1,5</w:t>
            </w:r>
          </w:p>
        </w:tc>
        <w:tc>
          <w:tcPr>
            <w:tcW w:w="1911" w:type="dxa"/>
            <w:tcBorders>
              <w:top w:val="nil"/>
              <w:left w:val="nil"/>
              <w:bottom w:val="single" w:sz="4" w:space="0" w:color="auto"/>
              <w:right w:val="single" w:sz="4" w:space="0" w:color="auto"/>
            </w:tcBorders>
            <w:shd w:val="clear" w:color="D9E8F2"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4,8</w:t>
            </w:r>
          </w:p>
        </w:tc>
      </w:tr>
      <w:tr w:rsidR="00EC1B3C" w:rsidRPr="008D06EC" w:rsidTr="00257BE1">
        <w:trPr>
          <w:trHeight w:val="315"/>
        </w:trPr>
        <w:tc>
          <w:tcPr>
            <w:tcW w:w="960" w:type="dxa"/>
            <w:tcBorders>
              <w:top w:val="nil"/>
              <w:left w:val="single" w:sz="4" w:space="0" w:color="auto"/>
              <w:bottom w:val="single" w:sz="4" w:space="0" w:color="auto"/>
              <w:right w:val="single" w:sz="4" w:space="0" w:color="auto"/>
            </w:tcBorders>
            <w:shd w:val="clear" w:color="000000"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2006</w:t>
            </w:r>
          </w:p>
        </w:tc>
        <w:tc>
          <w:tcPr>
            <w:tcW w:w="2017" w:type="dxa"/>
            <w:tcBorders>
              <w:top w:val="nil"/>
              <w:left w:val="nil"/>
              <w:bottom w:val="single" w:sz="4" w:space="0" w:color="auto"/>
              <w:right w:val="single" w:sz="4" w:space="0" w:color="auto"/>
            </w:tcBorders>
            <w:shd w:val="clear" w:color="FFFFCC"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74,758</w:t>
            </w:r>
          </w:p>
        </w:tc>
        <w:tc>
          <w:tcPr>
            <w:tcW w:w="1985" w:type="dxa"/>
            <w:tcBorders>
              <w:top w:val="nil"/>
              <w:left w:val="nil"/>
              <w:bottom w:val="single" w:sz="4" w:space="0" w:color="auto"/>
              <w:right w:val="single" w:sz="4" w:space="0" w:color="auto"/>
            </w:tcBorders>
            <w:shd w:val="clear" w:color="000000"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10890</w:t>
            </w:r>
          </w:p>
        </w:tc>
        <w:tc>
          <w:tcPr>
            <w:tcW w:w="1272" w:type="dxa"/>
            <w:tcBorders>
              <w:top w:val="nil"/>
              <w:left w:val="nil"/>
              <w:bottom w:val="single" w:sz="4" w:space="0" w:color="auto"/>
              <w:right w:val="single" w:sz="4" w:space="0" w:color="auto"/>
            </w:tcBorders>
            <w:shd w:val="clear" w:color="F2F2F2" w:fill="FFFFFF"/>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3,67</w:t>
            </w:r>
          </w:p>
        </w:tc>
        <w:tc>
          <w:tcPr>
            <w:tcW w:w="1353" w:type="dxa"/>
            <w:tcBorders>
              <w:top w:val="nil"/>
              <w:left w:val="nil"/>
              <w:bottom w:val="single" w:sz="4" w:space="0" w:color="auto"/>
              <w:right w:val="single" w:sz="4" w:space="0" w:color="auto"/>
            </w:tcBorders>
            <w:shd w:val="clear" w:color="000000"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1</w:t>
            </w:r>
          </w:p>
        </w:tc>
        <w:tc>
          <w:tcPr>
            <w:tcW w:w="1911" w:type="dxa"/>
            <w:tcBorders>
              <w:top w:val="nil"/>
              <w:left w:val="nil"/>
              <w:bottom w:val="single" w:sz="4" w:space="0" w:color="auto"/>
              <w:right w:val="single" w:sz="4" w:space="0" w:color="auto"/>
            </w:tcBorders>
            <w:shd w:val="clear" w:color="D9E8F2"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5,7</w:t>
            </w:r>
          </w:p>
        </w:tc>
      </w:tr>
      <w:tr w:rsidR="00EC1B3C" w:rsidRPr="008D06EC" w:rsidTr="00257BE1">
        <w:trPr>
          <w:trHeight w:val="315"/>
        </w:trPr>
        <w:tc>
          <w:tcPr>
            <w:tcW w:w="960" w:type="dxa"/>
            <w:tcBorders>
              <w:top w:val="nil"/>
              <w:left w:val="single" w:sz="4" w:space="0" w:color="auto"/>
              <w:bottom w:val="single" w:sz="4" w:space="0" w:color="auto"/>
              <w:right w:val="single" w:sz="4" w:space="0" w:color="auto"/>
            </w:tcBorders>
            <w:shd w:val="clear" w:color="000000"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2007</w:t>
            </w:r>
          </w:p>
        </w:tc>
        <w:tc>
          <w:tcPr>
            <w:tcW w:w="2017" w:type="dxa"/>
            <w:tcBorders>
              <w:top w:val="nil"/>
              <w:left w:val="nil"/>
              <w:bottom w:val="single" w:sz="4" w:space="0" w:color="auto"/>
              <w:right w:val="single" w:sz="4" w:space="0" w:color="auto"/>
            </w:tcBorders>
            <w:shd w:val="clear" w:color="FFFFCC"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64,937</w:t>
            </w:r>
          </w:p>
        </w:tc>
        <w:tc>
          <w:tcPr>
            <w:tcW w:w="1985" w:type="dxa"/>
            <w:tcBorders>
              <w:top w:val="nil"/>
              <w:left w:val="nil"/>
              <w:bottom w:val="single" w:sz="4" w:space="0" w:color="auto"/>
              <w:right w:val="single" w:sz="4" w:space="0" w:color="auto"/>
            </w:tcBorders>
            <w:shd w:val="clear" w:color="000000"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14570</w:t>
            </w:r>
          </w:p>
        </w:tc>
        <w:tc>
          <w:tcPr>
            <w:tcW w:w="1272" w:type="dxa"/>
            <w:tcBorders>
              <w:top w:val="nil"/>
              <w:left w:val="nil"/>
              <w:bottom w:val="single" w:sz="4" w:space="0" w:color="auto"/>
              <w:right w:val="single" w:sz="4" w:space="0" w:color="auto"/>
            </w:tcBorders>
            <w:shd w:val="clear" w:color="F2F2F2" w:fill="FFFFFF"/>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3,67</w:t>
            </w:r>
          </w:p>
        </w:tc>
        <w:tc>
          <w:tcPr>
            <w:tcW w:w="1353" w:type="dxa"/>
            <w:tcBorders>
              <w:top w:val="nil"/>
              <w:left w:val="nil"/>
              <w:bottom w:val="single" w:sz="4" w:space="0" w:color="auto"/>
              <w:right w:val="single" w:sz="4" w:space="0" w:color="auto"/>
            </w:tcBorders>
            <w:shd w:val="clear" w:color="000000"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1</w:t>
            </w:r>
          </w:p>
        </w:tc>
        <w:tc>
          <w:tcPr>
            <w:tcW w:w="1911" w:type="dxa"/>
            <w:tcBorders>
              <w:top w:val="nil"/>
              <w:left w:val="nil"/>
              <w:bottom w:val="single" w:sz="4" w:space="0" w:color="auto"/>
              <w:right w:val="single" w:sz="4" w:space="0" w:color="auto"/>
            </w:tcBorders>
            <w:shd w:val="clear" w:color="D9E8F2"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5,3</w:t>
            </w:r>
          </w:p>
        </w:tc>
      </w:tr>
      <w:tr w:rsidR="00EC1B3C" w:rsidRPr="008D06EC" w:rsidTr="00257BE1">
        <w:trPr>
          <w:trHeight w:val="315"/>
        </w:trPr>
        <w:tc>
          <w:tcPr>
            <w:tcW w:w="960" w:type="dxa"/>
            <w:tcBorders>
              <w:top w:val="nil"/>
              <w:left w:val="single" w:sz="4" w:space="0" w:color="auto"/>
              <w:bottom w:val="single" w:sz="4" w:space="0" w:color="auto"/>
              <w:right w:val="single" w:sz="4" w:space="0" w:color="auto"/>
            </w:tcBorders>
            <w:shd w:val="clear" w:color="000000"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2008</w:t>
            </w:r>
          </w:p>
        </w:tc>
        <w:tc>
          <w:tcPr>
            <w:tcW w:w="2017" w:type="dxa"/>
            <w:tcBorders>
              <w:top w:val="nil"/>
              <w:left w:val="nil"/>
              <w:bottom w:val="single" w:sz="4" w:space="0" w:color="auto"/>
              <w:right w:val="single" w:sz="4" w:space="0" w:color="auto"/>
            </w:tcBorders>
            <w:shd w:val="clear" w:color="FFFFCC"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61,758</w:t>
            </w:r>
          </w:p>
        </w:tc>
        <w:tc>
          <w:tcPr>
            <w:tcW w:w="1985" w:type="dxa"/>
            <w:tcBorders>
              <w:top w:val="nil"/>
              <w:left w:val="nil"/>
              <w:bottom w:val="single" w:sz="4" w:space="0" w:color="auto"/>
              <w:right w:val="single" w:sz="4" w:space="0" w:color="auto"/>
            </w:tcBorders>
            <w:shd w:val="clear" w:color="000000"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15820</w:t>
            </w:r>
          </w:p>
        </w:tc>
        <w:tc>
          <w:tcPr>
            <w:tcW w:w="1272" w:type="dxa"/>
            <w:tcBorders>
              <w:top w:val="nil"/>
              <w:left w:val="nil"/>
              <w:bottom w:val="single" w:sz="4" w:space="0" w:color="auto"/>
              <w:right w:val="single" w:sz="4" w:space="0" w:color="auto"/>
            </w:tcBorders>
            <w:shd w:val="clear" w:color="F2F2F2" w:fill="FFFFFF"/>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3,67</w:t>
            </w:r>
          </w:p>
        </w:tc>
        <w:tc>
          <w:tcPr>
            <w:tcW w:w="1353" w:type="dxa"/>
            <w:tcBorders>
              <w:top w:val="nil"/>
              <w:left w:val="nil"/>
              <w:bottom w:val="single" w:sz="4" w:space="0" w:color="auto"/>
              <w:right w:val="single" w:sz="4" w:space="0" w:color="auto"/>
            </w:tcBorders>
            <w:shd w:val="clear" w:color="000000"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1</w:t>
            </w:r>
          </w:p>
        </w:tc>
        <w:tc>
          <w:tcPr>
            <w:tcW w:w="1911" w:type="dxa"/>
            <w:tcBorders>
              <w:top w:val="nil"/>
              <w:left w:val="nil"/>
              <w:bottom w:val="single" w:sz="4" w:space="0" w:color="auto"/>
              <w:right w:val="single" w:sz="4" w:space="0" w:color="auto"/>
            </w:tcBorders>
            <w:shd w:val="clear" w:color="D9E8F2"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4,8</w:t>
            </w:r>
          </w:p>
        </w:tc>
      </w:tr>
      <w:tr w:rsidR="00EC1B3C" w:rsidRPr="008D06EC" w:rsidTr="00257BE1">
        <w:trPr>
          <w:trHeight w:val="315"/>
        </w:trPr>
        <w:tc>
          <w:tcPr>
            <w:tcW w:w="960" w:type="dxa"/>
            <w:tcBorders>
              <w:top w:val="nil"/>
              <w:left w:val="single" w:sz="4" w:space="0" w:color="auto"/>
              <w:bottom w:val="single" w:sz="4" w:space="0" w:color="auto"/>
              <w:right w:val="single" w:sz="4" w:space="0" w:color="auto"/>
            </w:tcBorders>
            <w:shd w:val="clear" w:color="000000"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2009</w:t>
            </w:r>
          </w:p>
        </w:tc>
        <w:tc>
          <w:tcPr>
            <w:tcW w:w="2017" w:type="dxa"/>
            <w:tcBorders>
              <w:top w:val="nil"/>
              <w:left w:val="nil"/>
              <w:bottom w:val="single" w:sz="4" w:space="0" w:color="auto"/>
              <w:right w:val="single" w:sz="4" w:space="0" w:color="auto"/>
            </w:tcBorders>
            <w:shd w:val="clear" w:color="FFFFCC"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72,794</w:t>
            </w:r>
          </w:p>
        </w:tc>
        <w:tc>
          <w:tcPr>
            <w:tcW w:w="1985" w:type="dxa"/>
            <w:tcBorders>
              <w:top w:val="nil"/>
              <w:left w:val="nil"/>
              <w:bottom w:val="single" w:sz="4" w:space="0" w:color="auto"/>
              <w:right w:val="single" w:sz="4" w:space="0" w:color="auto"/>
            </w:tcBorders>
            <w:shd w:val="clear" w:color="000000"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2720</w:t>
            </w:r>
          </w:p>
        </w:tc>
        <w:tc>
          <w:tcPr>
            <w:tcW w:w="1272" w:type="dxa"/>
            <w:tcBorders>
              <w:top w:val="nil"/>
              <w:left w:val="nil"/>
              <w:bottom w:val="single" w:sz="4" w:space="0" w:color="auto"/>
              <w:right w:val="single" w:sz="4" w:space="0" w:color="auto"/>
            </w:tcBorders>
            <w:shd w:val="clear" w:color="F2F2F2" w:fill="FFFFFF"/>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3,67</w:t>
            </w:r>
          </w:p>
        </w:tc>
        <w:tc>
          <w:tcPr>
            <w:tcW w:w="1353" w:type="dxa"/>
            <w:tcBorders>
              <w:top w:val="nil"/>
              <w:left w:val="nil"/>
              <w:bottom w:val="single" w:sz="4" w:space="0" w:color="auto"/>
              <w:right w:val="single" w:sz="4" w:space="0" w:color="auto"/>
            </w:tcBorders>
            <w:shd w:val="clear" w:color="000000"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1</w:t>
            </w:r>
          </w:p>
        </w:tc>
        <w:tc>
          <w:tcPr>
            <w:tcW w:w="1911" w:type="dxa"/>
            <w:tcBorders>
              <w:top w:val="nil"/>
              <w:left w:val="nil"/>
              <w:bottom w:val="single" w:sz="4" w:space="0" w:color="auto"/>
              <w:right w:val="single" w:sz="4" w:space="0" w:color="auto"/>
            </w:tcBorders>
            <w:shd w:val="clear" w:color="D9E8F2"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4,2</w:t>
            </w:r>
          </w:p>
        </w:tc>
      </w:tr>
      <w:tr w:rsidR="00EC1B3C" w:rsidRPr="008D06EC" w:rsidTr="00257BE1">
        <w:trPr>
          <w:trHeight w:val="315"/>
        </w:trPr>
        <w:tc>
          <w:tcPr>
            <w:tcW w:w="960" w:type="dxa"/>
            <w:tcBorders>
              <w:top w:val="nil"/>
              <w:left w:val="single" w:sz="4" w:space="0" w:color="auto"/>
              <w:bottom w:val="single" w:sz="4" w:space="0" w:color="auto"/>
              <w:right w:val="single" w:sz="4" w:space="0" w:color="auto"/>
            </w:tcBorders>
            <w:shd w:val="clear" w:color="000000"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2010</w:t>
            </w:r>
          </w:p>
        </w:tc>
        <w:tc>
          <w:tcPr>
            <w:tcW w:w="2017" w:type="dxa"/>
            <w:tcBorders>
              <w:top w:val="nil"/>
              <w:left w:val="nil"/>
              <w:bottom w:val="single" w:sz="4" w:space="0" w:color="auto"/>
              <w:right w:val="single" w:sz="4" w:space="0" w:color="auto"/>
            </w:tcBorders>
            <w:shd w:val="clear" w:color="FFFFCC"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76,016</w:t>
            </w:r>
          </w:p>
        </w:tc>
        <w:tc>
          <w:tcPr>
            <w:tcW w:w="1985" w:type="dxa"/>
            <w:tcBorders>
              <w:top w:val="nil"/>
              <w:left w:val="nil"/>
              <w:bottom w:val="single" w:sz="4" w:space="0" w:color="auto"/>
              <w:right w:val="single" w:sz="4" w:space="0" w:color="auto"/>
            </w:tcBorders>
            <w:shd w:val="clear" w:color="000000"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2020</w:t>
            </w:r>
          </w:p>
        </w:tc>
        <w:tc>
          <w:tcPr>
            <w:tcW w:w="1272" w:type="dxa"/>
            <w:tcBorders>
              <w:top w:val="nil"/>
              <w:left w:val="nil"/>
              <w:bottom w:val="single" w:sz="4" w:space="0" w:color="auto"/>
              <w:right w:val="single" w:sz="4" w:space="0" w:color="auto"/>
            </w:tcBorders>
            <w:shd w:val="clear" w:color="F2F2F2" w:fill="FFFFFF"/>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3,67</w:t>
            </w:r>
          </w:p>
        </w:tc>
        <w:tc>
          <w:tcPr>
            <w:tcW w:w="1353" w:type="dxa"/>
            <w:tcBorders>
              <w:top w:val="nil"/>
              <w:left w:val="nil"/>
              <w:bottom w:val="single" w:sz="4" w:space="0" w:color="auto"/>
              <w:right w:val="single" w:sz="4" w:space="0" w:color="auto"/>
            </w:tcBorders>
            <w:shd w:val="clear" w:color="000000"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1</w:t>
            </w:r>
          </w:p>
        </w:tc>
        <w:tc>
          <w:tcPr>
            <w:tcW w:w="1911" w:type="dxa"/>
            <w:tcBorders>
              <w:top w:val="nil"/>
              <w:left w:val="nil"/>
              <w:bottom w:val="single" w:sz="4" w:space="0" w:color="auto"/>
              <w:right w:val="single" w:sz="4" w:space="0" w:color="auto"/>
            </w:tcBorders>
            <w:shd w:val="clear" w:color="D9E8F2"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4,9</w:t>
            </w:r>
          </w:p>
        </w:tc>
      </w:tr>
      <w:tr w:rsidR="00EC1B3C" w:rsidRPr="008D06EC" w:rsidTr="00257BE1">
        <w:trPr>
          <w:trHeight w:val="315"/>
        </w:trPr>
        <w:tc>
          <w:tcPr>
            <w:tcW w:w="960" w:type="dxa"/>
            <w:tcBorders>
              <w:top w:val="nil"/>
              <w:left w:val="single" w:sz="4" w:space="0" w:color="auto"/>
              <w:bottom w:val="single" w:sz="4" w:space="0" w:color="auto"/>
              <w:right w:val="single" w:sz="4" w:space="0" w:color="auto"/>
            </w:tcBorders>
            <w:shd w:val="clear" w:color="000000"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2011</w:t>
            </w:r>
          </w:p>
        </w:tc>
        <w:tc>
          <w:tcPr>
            <w:tcW w:w="2017" w:type="dxa"/>
            <w:tcBorders>
              <w:top w:val="nil"/>
              <w:left w:val="nil"/>
              <w:bottom w:val="single" w:sz="4" w:space="0" w:color="auto"/>
              <w:right w:val="single" w:sz="4" w:space="0" w:color="auto"/>
            </w:tcBorders>
            <w:shd w:val="clear" w:color="FFFFCC"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90,235</w:t>
            </w:r>
          </w:p>
        </w:tc>
        <w:tc>
          <w:tcPr>
            <w:tcW w:w="1985" w:type="dxa"/>
            <w:tcBorders>
              <w:top w:val="nil"/>
              <w:left w:val="nil"/>
              <w:bottom w:val="single" w:sz="4" w:space="0" w:color="auto"/>
              <w:right w:val="single" w:sz="4" w:space="0" w:color="auto"/>
            </w:tcBorders>
            <w:shd w:val="clear" w:color="000000"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2180</w:t>
            </w:r>
          </w:p>
        </w:tc>
        <w:tc>
          <w:tcPr>
            <w:tcW w:w="1272" w:type="dxa"/>
            <w:tcBorders>
              <w:top w:val="nil"/>
              <w:left w:val="nil"/>
              <w:bottom w:val="single" w:sz="4" w:space="0" w:color="auto"/>
              <w:right w:val="single" w:sz="4" w:space="0" w:color="auto"/>
            </w:tcBorders>
            <w:shd w:val="clear" w:color="F2F2F2" w:fill="FFFFFF"/>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3,67</w:t>
            </w:r>
          </w:p>
        </w:tc>
        <w:tc>
          <w:tcPr>
            <w:tcW w:w="1353" w:type="dxa"/>
            <w:tcBorders>
              <w:top w:val="nil"/>
              <w:left w:val="nil"/>
              <w:bottom w:val="single" w:sz="4" w:space="0" w:color="auto"/>
              <w:right w:val="single" w:sz="4" w:space="0" w:color="auto"/>
            </w:tcBorders>
            <w:shd w:val="clear" w:color="000000"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1</w:t>
            </w:r>
          </w:p>
        </w:tc>
        <w:tc>
          <w:tcPr>
            <w:tcW w:w="1911" w:type="dxa"/>
            <w:tcBorders>
              <w:top w:val="nil"/>
              <w:left w:val="nil"/>
              <w:bottom w:val="single" w:sz="4" w:space="0" w:color="auto"/>
              <w:right w:val="single" w:sz="4" w:space="0" w:color="auto"/>
            </w:tcBorders>
            <w:shd w:val="clear" w:color="D9E8F2"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5,9</w:t>
            </w:r>
          </w:p>
        </w:tc>
      </w:tr>
      <w:tr w:rsidR="00EC1B3C" w:rsidRPr="008D06EC" w:rsidTr="00257BE1">
        <w:trPr>
          <w:trHeight w:val="315"/>
        </w:trPr>
        <w:tc>
          <w:tcPr>
            <w:tcW w:w="960" w:type="dxa"/>
            <w:tcBorders>
              <w:top w:val="nil"/>
              <w:left w:val="single" w:sz="4" w:space="0" w:color="auto"/>
              <w:bottom w:val="single" w:sz="4" w:space="0" w:color="auto"/>
              <w:right w:val="single" w:sz="4" w:space="0" w:color="auto"/>
            </w:tcBorders>
            <w:shd w:val="clear" w:color="000000"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2012</w:t>
            </w:r>
          </w:p>
        </w:tc>
        <w:tc>
          <w:tcPr>
            <w:tcW w:w="2017" w:type="dxa"/>
            <w:tcBorders>
              <w:top w:val="nil"/>
              <w:left w:val="nil"/>
              <w:bottom w:val="single" w:sz="4" w:space="0" w:color="auto"/>
              <w:right w:val="single" w:sz="4" w:space="0" w:color="auto"/>
            </w:tcBorders>
            <w:shd w:val="clear" w:color="FFFFCC"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93,457</w:t>
            </w:r>
          </w:p>
        </w:tc>
        <w:tc>
          <w:tcPr>
            <w:tcW w:w="1985" w:type="dxa"/>
            <w:tcBorders>
              <w:top w:val="nil"/>
              <w:left w:val="nil"/>
              <w:bottom w:val="single" w:sz="4" w:space="0" w:color="auto"/>
              <w:right w:val="single" w:sz="4" w:space="0" w:color="auto"/>
            </w:tcBorders>
            <w:shd w:val="clear" w:color="000000"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2540</w:t>
            </w:r>
          </w:p>
        </w:tc>
        <w:tc>
          <w:tcPr>
            <w:tcW w:w="1272" w:type="dxa"/>
            <w:tcBorders>
              <w:top w:val="nil"/>
              <w:left w:val="nil"/>
              <w:bottom w:val="single" w:sz="4" w:space="0" w:color="auto"/>
              <w:right w:val="single" w:sz="4" w:space="0" w:color="auto"/>
            </w:tcBorders>
            <w:shd w:val="clear" w:color="F2F2F2" w:fill="FFFFFF"/>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3,67</w:t>
            </w:r>
          </w:p>
        </w:tc>
        <w:tc>
          <w:tcPr>
            <w:tcW w:w="1353" w:type="dxa"/>
            <w:tcBorders>
              <w:top w:val="nil"/>
              <w:left w:val="nil"/>
              <w:bottom w:val="single" w:sz="4" w:space="0" w:color="auto"/>
              <w:right w:val="single" w:sz="4" w:space="0" w:color="auto"/>
            </w:tcBorders>
            <w:shd w:val="clear" w:color="000000"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1</w:t>
            </w:r>
          </w:p>
        </w:tc>
        <w:tc>
          <w:tcPr>
            <w:tcW w:w="1911" w:type="dxa"/>
            <w:tcBorders>
              <w:top w:val="nil"/>
              <w:left w:val="nil"/>
              <w:bottom w:val="single" w:sz="4" w:space="0" w:color="auto"/>
              <w:right w:val="single" w:sz="4" w:space="0" w:color="auto"/>
            </w:tcBorders>
            <w:shd w:val="clear" w:color="D9E8F2"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6,2</w:t>
            </w:r>
          </w:p>
        </w:tc>
      </w:tr>
      <w:tr w:rsidR="00EC1B3C" w:rsidRPr="008D06EC" w:rsidTr="00257BE1">
        <w:trPr>
          <w:trHeight w:val="315"/>
        </w:trPr>
        <w:tc>
          <w:tcPr>
            <w:tcW w:w="960" w:type="dxa"/>
            <w:tcBorders>
              <w:top w:val="nil"/>
              <w:left w:val="single" w:sz="4" w:space="0" w:color="auto"/>
              <w:bottom w:val="single" w:sz="4" w:space="0" w:color="auto"/>
              <w:right w:val="single" w:sz="4" w:space="0" w:color="auto"/>
            </w:tcBorders>
            <w:shd w:val="clear" w:color="000000"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2013</w:t>
            </w:r>
          </w:p>
        </w:tc>
        <w:tc>
          <w:tcPr>
            <w:tcW w:w="2017" w:type="dxa"/>
            <w:tcBorders>
              <w:top w:val="nil"/>
              <w:left w:val="nil"/>
              <w:bottom w:val="single" w:sz="4" w:space="0" w:color="auto"/>
              <w:right w:val="single" w:sz="4" w:space="0" w:color="auto"/>
            </w:tcBorders>
            <w:shd w:val="clear" w:color="FFFFCC"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90,114</w:t>
            </w:r>
          </w:p>
        </w:tc>
        <w:tc>
          <w:tcPr>
            <w:tcW w:w="1985" w:type="dxa"/>
            <w:tcBorders>
              <w:top w:val="nil"/>
              <w:left w:val="nil"/>
              <w:bottom w:val="single" w:sz="4" w:space="0" w:color="auto"/>
              <w:right w:val="single" w:sz="4" w:space="0" w:color="auto"/>
            </w:tcBorders>
            <w:shd w:val="clear" w:color="000000"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8830</w:t>
            </w:r>
          </w:p>
        </w:tc>
        <w:tc>
          <w:tcPr>
            <w:tcW w:w="1272" w:type="dxa"/>
            <w:tcBorders>
              <w:top w:val="nil"/>
              <w:left w:val="nil"/>
              <w:bottom w:val="single" w:sz="4" w:space="0" w:color="auto"/>
              <w:right w:val="single" w:sz="4" w:space="0" w:color="auto"/>
            </w:tcBorders>
            <w:shd w:val="clear" w:color="F2F2F2" w:fill="FFFFFF"/>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3,67</w:t>
            </w:r>
          </w:p>
        </w:tc>
        <w:tc>
          <w:tcPr>
            <w:tcW w:w="1353" w:type="dxa"/>
            <w:tcBorders>
              <w:top w:val="nil"/>
              <w:left w:val="nil"/>
              <w:bottom w:val="single" w:sz="4" w:space="0" w:color="auto"/>
              <w:right w:val="single" w:sz="4" w:space="0" w:color="auto"/>
            </w:tcBorders>
            <w:shd w:val="clear" w:color="000000"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1,3</w:t>
            </w:r>
          </w:p>
        </w:tc>
        <w:tc>
          <w:tcPr>
            <w:tcW w:w="1911" w:type="dxa"/>
            <w:tcBorders>
              <w:top w:val="nil"/>
              <w:left w:val="nil"/>
              <w:bottom w:val="single" w:sz="4" w:space="0" w:color="auto"/>
              <w:right w:val="single" w:sz="4" w:space="0" w:color="auto"/>
            </w:tcBorders>
            <w:shd w:val="clear" w:color="D9E8F2"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7,7</w:t>
            </w:r>
          </w:p>
        </w:tc>
      </w:tr>
      <w:tr w:rsidR="00EC1B3C" w:rsidRPr="008D06EC" w:rsidTr="00257BE1">
        <w:trPr>
          <w:trHeight w:val="315"/>
        </w:trPr>
        <w:tc>
          <w:tcPr>
            <w:tcW w:w="960" w:type="dxa"/>
            <w:tcBorders>
              <w:top w:val="nil"/>
              <w:left w:val="single" w:sz="4" w:space="0" w:color="auto"/>
              <w:bottom w:val="single" w:sz="4" w:space="0" w:color="auto"/>
              <w:right w:val="single" w:sz="4" w:space="0" w:color="auto"/>
            </w:tcBorders>
            <w:shd w:val="clear" w:color="000000"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2014</w:t>
            </w:r>
          </w:p>
        </w:tc>
        <w:tc>
          <w:tcPr>
            <w:tcW w:w="2017" w:type="dxa"/>
            <w:tcBorders>
              <w:top w:val="nil"/>
              <w:left w:val="nil"/>
              <w:bottom w:val="single" w:sz="4" w:space="0" w:color="auto"/>
              <w:right w:val="single" w:sz="4" w:space="0" w:color="auto"/>
            </w:tcBorders>
            <w:shd w:val="clear" w:color="FFFFCC"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84,383</w:t>
            </w:r>
          </w:p>
        </w:tc>
        <w:tc>
          <w:tcPr>
            <w:tcW w:w="1985" w:type="dxa"/>
            <w:tcBorders>
              <w:top w:val="nil"/>
              <w:left w:val="nil"/>
              <w:bottom w:val="single" w:sz="4" w:space="0" w:color="auto"/>
              <w:right w:val="single" w:sz="4" w:space="0" w:color="auto"/>
            </w:tcBorders>
            <w:shd w:val="clear" w:color="000000"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11740</w:t>
            </w:r>
          </w:p>
        </w:tc>
        <w:tc>
          <w:tcPr>
            <w:tcW w:w="1272" w:type="dxa"/>
            <w:tcBorders>
              <w:top w:val="nil"/>
              <w:left w:val="nil"/>
              <w:bottom w:val="single" w:sz="4" w:space="0" w:color="auto"/>
              <w:right w:val="single" w:sz="4" w:space="0" w:color="auto"/>
            </w:tcBorders>
            <w:shd w:val="clear" w:color="F2F2F2" w:fill="FFFFFF"/>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3,67</w:t>
            </w:r>
          </w:p>
        </w:tc>
        <w:tc>
          <w:tcPr>
            <w:tcW w:w="1353" w:type="dxa"/>
            <w:tcBorders>
              <w:top w:val="nil"/>
              <w:left w:val="nil"/>
              <w:bottom w:val="single" w:sz="4" w:space="0" w:color="auto"/>
              <w:right w:val="single" w:sz="4" w:space="0" w:color="auto"/>
            </w:tcBorders>
            <w:shd w:val="clear" w:color="000000"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1,8</w:t>
            </w:r>
          </w:p>
        </w:tc>
        <w:tc>
          <w:tcPr>
            <w:tcW w:w="1911" w:type="dxa"/>
            <w:tcBorders>
              <w:top w:val="nil"/>
              <w:left w:val="nil"/>
              <w:bottom w:val="single" w:sz="4" w:space="0" w:color="auto"/>
              <w:right w:val="single" w:sz="4" w:space="0" w:color="auto"/>
            </w:tcBorders>
            <w:shd w:val="clear" w:color="D9E8F2"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7,3</w:t>
            </w:r>
          </w:p>
        </w:tc>
      </w:tr>
      <w:tr w:rsidR="00EC1B3C" w:rsidRPr="008D06EC" w:rsidTr="00257BE1">
        <w:trPr>
          <w:trHeight w:val="315"/>
        </w:trPr>
        <w:tc>
          <w:tcPr>
            <w:tcW w:w="960" w:type="dxa"/>
            <w:tcBorders>
              <w:top w:val="nil"/>
              <w:left w:val="single" w:sz="4" w:space="0" w:color="auto"/>
              <w:bottom w:val="single" w:sz="4" w:space="0" w:color="auto"/>
              <w:right w:val="single" w:sz="4" w:space="0" w:color="auto"/>
            </w:tcBorders>
            <w:shd w:val="clear" w:color="000000"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2015</w:t>
            </w:r>
          </w:p>
        </w:tc>
        <w:tc>
          <w:tcPr>
            <w:tcW w:w="2017" w:type="dxa"/>
            <w:tcBorders>
              <w:top w:val="nil"/>
              <w:left w:val="nil"/>
              <w:bottom w:val="single" w:sz="4" w:space="0" w:color="auto"/>
              <w:right w:val="single" w:sz="4" w:space="0" w:color="auto"/>
            </w:tcBorders>
            <w:shd w:val="clear" w:color="FFFFCC"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92,23</w:t>
            </w:r>
          </w:p>
        </w:tc>
        <w:tc>
          <w:tcPr>
            <w:tcW w:w="1985" w:type="dxa"/>
            <w:tcBorders>
              <w:top w:val="nil"/>
              <w:left w:val="nil"/>
              <w:bottom w:val="single" w:sz="4" w:space="0" w:color="auto"/>
              <w:right w:val="single" w:sz="4" w:space="0" w:color="auto"/>
            </w:tcBorders>
            <w:shd w:val="clear" w:color="000000"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16690</w:t>
            </w:r>
          </w:p>
        </w:tc>
        <w:tc>
          <w:tcPr>
            <w:tcW w:w="1272" w:type="dxa"/>
            <w:tcBorders>
              <w:top w:val="nil"/>
              <w:left w:val="nil"/>
              <w:bottom w:val="single" w:sz="4" w:space="0" w:color="auto"/>
              <w:right w:val="single" w:sz="4" w:space="0" w:color="auto"/>
            </w:tcBorders>
            <w:shd w:val="clear" w:color="F2F2F2" w:fill="FFFFFF"/>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3,67</w:t>
            </w:r>
          </w:p>
        </w:tc>
        <w:tc>
          <w:tcPr>
            <w:tcW w:w="1353" w:type="dxa"/>
            <w:tcBorders>
              <w:top w:val="nil"/>
              <w:left w:val="nil"/>
              <w:bottom w:val="single" w:sz="4" w:space="0" w:color="auto"/>
              <w:right w:val="single" w:sz="4" w:space="0" w:color="auto"/>
            </w:tcBorders>
            <w:shd w:val="clear" w:color="000000"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2,5</w:t>
            </w:r>
          </w:p>
        </w:tc>
        <w:tc>
          <w:tcPr>
            <w:tcW w:w="1911" w:type="dxa"/>
            <w:tcBorders>
              <w:top w:val="nil"/>
              <w:left w:val="nil"/>
              <w:bottom w:val="single" w:sz="4" w:space="0" w:color="auto"/>
              <w:right w:val="single" w:sz="4" w:space="0" w:color="auto"/>
            </w:tcBorders>
            <w:shd w:val="clear" w:color="D9E8F2"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11,2</w:t>
            </w:r>
          </w:p>
        </w:tc>
      </w:tr>
      <w:tr w:rsidR="00EC1B3C" w:rsidRPr="008D06EC" w:rsidTr="00257BE1">
        <w:trPr>
          <w:trHeight w:val="315"/>
        </w:trPr>
        <w:tc>
          <w:tcPr>
            <w:tcW w:w="960" w:type="dxa"/>
            <w:tcBorders>
              <w:top w:val="nil"/>
              <w:left w:val="single" w:sz="4" w:space="0" w:color="auto"/>
              <w:bottom w:val="single" w:sz="4" w:space="0" w:color="auto"/>
              <w:right w:val="single" w:sz="4" w:space="0" w:color="auto"/>
            </w:tcBorders>
            <w:shd w:val="clear" w:color="000000"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2016</w:t>
            </w:r>
          </w:p>
        </w:tc>
        <w:tc>
          <w:tcPr>
            <w:tcW w:w="2017" w:type="dxa"/>
            <w:tcBorders>
              <w:top w:val="nil"/>
              <w:left w:val="nil"/>
              <w:bottom w:val="single" w:sz="4" w:space="0" w:color="auto"/>
              <w:right w:val="single" w:sz="4" w:space="0" w:color="auto"/>
            </w:tcBorders>
            <w:shd w:val="clear" w:color="FFFFCC"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112,19</w:t>
            </w:r>
          </w:p>
        </w:tc>
        <w:tc>
          <w:tcPr>
            <w:tcW w:w="1985" w:type="dxa"/>
            <w:tcBorders>
              <w:top w:val="nil"/>
              <w:left w:val="nil"/>
              <w:bottom w:val="single" w:sz="4" w:space="0" w:color="auto"/>
              <w:right w:val="single" w:sz="4" w:space="0" w:color="auto"/>
            </w:tcBorders>
            <w:shd w:val="clear" w:color="000000"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15710</w:t>
            </w:r>
          </w:p>
        </w:tc>
        <w:tc>
          <w:tcPr>
            <w:tcW w:w="1272" w:type="dxa"/>
            <w:tcBorders>
              <w:top w:val="nil"/>
              <w:left w:val="nil"/>
              <w:bottom w:val="single" w:sz="4" w:space="0" w:color="auto"/>
              <w:right w:val="single" w:sz="4" w:space="0" w:color="auto"/>
            </w:tcBorders>
            <w:shd w:val="clear" w:color="F2F2F2" w:fill="FFFFFF"/>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3,67</w:t>
            </w:r>
          </w:p>
        </w:tc>
        <w:tc>
          <w:tcPr>
            <w:tcW w:w="1353" w:type="dxa"/>
            <w:tcBorders>
              <w:top w:val="nil"/>
              <w:left w:val="nil"/>
              <w:bottom w:val="single" w:sz="4" w:space="0" w:color="auto"/>
              <w:right w:val="single" w:sz="4" w:space="0" w:color="auto"/>
            </w:tcBorders>
            <w:shd w:val="clear" w:color="000000"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1,5</w:t>
            </w:r>
          </w:p>
        </w:tc>
        <w:tc>
          <w:tcPr>
            <w:tcW w:w="1911" w:type="dxa"/>
            <w:tcBorders>
              <w:top w:val="nil"/>
              <w:left w:val="nil"/>
              <w:bottom w:val="single" w:sz="4" w:space="0" w:color="auto"/>
              <w:right w:val="single" w:sz="4" w:space="0" w:color="auto"/>
            </w:tcBorders>
            <w:shd w:val="clear" w:color="D9E8F2"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8,7</w:t>
            </w:r>
          </w:p>
        </w:tc>
      </w:tr>
      <w:tr w:rsidR="00EC1B3C" w:rsidRPr="008D06EC" w:rsidTr="00257BE1">
        <w:trPr>
          <w:trHeight w:val="315"/>
        </w:trPr>
        <w:tc>
          <w:tcPr>
            <w:tcW w:w="960" w:type="dxa"/>
            <w:tcBorders>
              <w:top w:val="nil"/>
              <w:left w:val="single" w:sz="4" w:space="0" w:color="auto"/>
              <w:bottom w:val="single" w:sz="4" w:space="0" w:color="auto"/>
              <w:right w:val="single" w:sz="4" w:space="0" w:color="auto"/>
            </w:tcBorders>
            <w:shd w:val="clear" w:color="000000"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2017</w:t>
            </w:r>
          </w:p>
        </w:tc>
        <w:tc>
          <w:tcPr>
            <w:tcW w:w="2017" w:type="dxa"/>
            <w:tcBorders>
              <w:top w:val="nil"/>
              <w:left w:val="nil"/>
              <w:bottom w:val="single" w:sz="4" w:space="0" w:color="auto"/>
              <w:right w:val="single" w:sz="4" w:space="0" w:color="auto"/>
            </w:tcBorders>
            <w:shd w:val="clear" w:color="FFFFCC"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99,2</w:t>
            </w:r>
          </w:p>
        </w:tc>
        <w:tc>
          <w:tcPr>
            <w:tcW w:w="1985" w:type="dxa"/>
            <w:tcBorders>
              <w:top w:val="nil"/>
              <w:left w:val="nil"/>
              <w:bottom w:val="single" w:sz="4" w:space="0" w:color="auto"/>
              <w:right w:val="single" w:sz="4" w:space="0" w:color="auto"/>
            </w:tcBorders>
            <w:shd w:val="clear" w:color="000000"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14060</w:t>
            </w:r>
          </w:p>
        </w:tc>
        <w:tc>
          <w:tcPr>
            <w:tcW w:w="1272" w:type="dxa"/>
            <w:tcBorders>
              <w:top w:val="nil"/>
              <w:left w:val="nil"/>
              <w:bottom w:val="single" w:sz="4" w:space="0" w:color="auto"/>
              <w:right w:val="single" w:sz="4" w:space="0" w:color="auto"/>
            </w:tcBorders>
            <w:shd w:val="clear" w:color="F2F2F2" w:fill="FFFFFF"/>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3,67</w:t>
            </w:r>
          </w:p>
        </w:tc>
        <w:tc>
          <w:tcPr>
            <w:tcW w:w="1353" w:type="dxa"/>
            <w:tcBorders>
              <w:top w:val="nil"/>
              <w:left w:val="nil"/>
              <w:bottom w:val="single" w:sz="4" w:space="0" w:color="auto"/>
              <w:right w:val="single" w:sz="4" w:space="0" w:color="auto"/>
            </w:tcBorders>
            <w:shd w:val="clear" w:color="000000"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1,5</w:t>
            </w:r>
          </w:p>
        </w:tc>
        <w:tc>
          <w:tcPr>
            <w:tcW w:w="1911" w:type="dxa"/>
            <w:tcBorders>
              <w:top w:val="nil"/>
              <w:left w:val="nil"/>
              <w:bottom w:val="single" w:sz="4" w:space="0" w:color="auto"/>
              <w:right w:val="single" w:sz="4" w:space="0" w:color="auto"/>
            </w:tcBorders>
            <w:shd w:val="clear" w:color="000000"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6,8</w:t>
            </w:r>
          </w:p>
        </w:tc>
      </w:tr>
      <w:tr w:rsidR="00EC1B3C" w:rsidRPr="008D06EC" w:rsidTr="00257BE1">
        <w:trPr>
          <w:trHeight w:val="315"/>
        </w:trPr>
        <w:tc>
          <w:tcPr>
            <w:tcW w:w="960" w:type="dxa"/>
            <w:tcBorders>
              <w:top w:val="nil"/>
              <w:left w:val="single" w:sz="4" w:space="0" w:color="auto"/>
              <w:bottom w:val="single" w:sz="4" w:space="0" w:color="auto"/>
              <w:right w:val="single" w:sz="4" w:space="0" w:color="auto"/>
            </w:tcBorders>
            <w:shd w:val="clear" w:color="000000"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2018</w:t>
            </w:r>
          </w:p>
        </w:tc>
        <w:tc>
          <w:tcPr>
            <w:tcW w:w="2017" w:type="dxa"/>
            <w:tcBorders>
              <w:top w:val="nil"/>
              <w:left w:val="nil"/>
              <w:bottom w:val="single" w:sz="4" w:space="0" w:color="auto"/>
              <w:right w:val="single" w:sz="4" w:space="0" w:color="auto"/>
            </w:tcBorders>
            <w:shd w:val="clear" w:color="000000"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77,6</w:t>
            </w:r>
          </w:p>
        </w:tc>
        <w:tc>
          <w:tcPr>
            <w:tcW w:w="1985" w:type="dxa"/>
            <w:tcBorders>
              <w:top w:val="nil"/>
              <w:left w:val="nil"/>
              <w:bottom w:val="single" w:sz="4" w:space="0" w:color="auto"/>
              <w:right w:val="single" w:sz="4" w:space="0" w:color="auto"/>
            </w:tcBorders>
            <w:shd w:val="clear" w:color="000000"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15080</w:t>
            </w:r>
          </w:p>
        </w:tc>
        <w:tc>
          <w:tcPr>
            <w:tcW w:w="1272" w:type="dxa"/>
            <w:tcBorders>
              <w:top w:val="nil"/>
              <w:left w:val="nil"/>
              <w:bottom w:val="single" w:sz="4" w:space="0" w:color="auto"/>
              <w:right w:val="single" w:sz="4" w:space="0" w:color="auto"/>
            </w:tcBorders>
            <w:shd w:val="clear" w:color="F2F2F2" w:fill="FFFFFF"/>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3,67</w:t>
            </w:r>
          </w:p>
        </w:tc>
        <w:tc>
          <w:tcPr>
            <w:tcW w:w="1353" w:type="dxa"/>
            <w:tcBorders>
              <w:top w:val="nil"/>
              <w:left w:val="nil"/>
              <w:bottom w:val="single" w:sz="4" w:space="0" w:color="auto"/>
              <w:right w:val="single" w:sz="4" w:space="0" w:color="auto"/>
            </w:tcBorders>
            <w:shd w:val="clear" w:color="000000"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1,5</w:t>
            </w:r>
          </w:p>
        </w:tc>
        <w:tc>
          <w:tcPr>
            <w:tcW w:w="1911" w:type="dxa"/>
            <w:tcBorders>
              <w:top w:val="nil"/>
              <w:left w:val="nil"/>
              <w:bottom w:val="single" w:sz="4" w:space="0" w:color="auto"/>
              <w:right w:val="single" w:sz="4" w:space="0" w:color="auto"/>
            </w:tcBorders>
            <w:shd w:val="clear" w:color="000000"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7,4</w:t>
            </w:r>
          </w:p>
        </w:tc>
      </w:tr>
      <w:tr w:rsidR="00EC1B3C" w:rsidRPr="008D06EC" w:rsidTr="00257BE1">
        <w:trPr>
          <w:trHeight w:val="315"/>
        </w:trPr>
        <w:tc>
          <w:tcPr>
            <w:tcW w:w="960" w:type="dxa"/>
            <w:tcBorders>
              <w:top w:val="nil"/>
              <w:left w:val="single" w:sz="4" w:space="0" w:color="auto"/>
              <w:bottom w:val="single" w:sz="4" w:space="0" w:color="auto"/>
              <w:right w:val="single" w:sz="4" w:space="0" w:color="auto"/>
            </w:tcBorders>
            <w:shd w:val="clear" w:color="000000"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2019</w:t>
            </w:r>
          </w:p>
        </w:tc>
        <w:tc>
          <w:tcPr>
            <w:tcW w:w="2017" w:type="dxa"/>
            <w:tcBorders>
              <w:top w:val="nil"/>
              <w:left w:val="nil"/>
              <w:bottom w:val="single" w:sz="4" w:space="0" w:color="auto"/>
              <w:right w:val="single" w:sz="4" w:space="0" w:color="auto"/>
            </w:tcBorders>
            <w:shd w:val="clear" w:color="000000"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84</w:t>
            </w:r>
          </w:p>
        </w:tc>
        <w:tc>
          <w:tcPr>
            <w:tcW w:w="1985" w:type="dxa"/>
            <w:tcBorders>
              <w:top w:val="nil"/>
              <w:left w:val="nil"/>
              <w:bottom w:val="single" w:sz="4" w:space="0" w:color="auto"/>
              <w:right w:val="single" w:sz="4" w:space="0" w:color="auto"/>
            </w:tcBorders>
            <w:shd w:val="clear" w:color="000000"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21230</w:t>
            </w:r>
          </w:p>
        </w:tc>
        <w:tc>
          <w:tcPr>
            <w:tcW w:w="1272" w:type="dxa"/>
            <w:tcBorders>
              <w:top w:val="nil"/>
              <w:left w:val="nil"/>
              <w:bottom w:val="single" w:sz="4" w:space="0" w:color="auto"/>
              <w:right w:val="single" w:sz="4" w:space="0" w:color="auto"/>
            </w:tcBorders>
            <w:shd w:val="clear" w:color="F2F2F2" w:fill="FFFFFF"/>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3,67</w:t>
            </w:r>
          </w:p>
        </w:tc>
        <w:tc>
          <w:tcPr>
            <w:tcW w:w="1353" w:type="dxa"/>
            <w:tcBorders>
              <w:top w:val="nil"/>
              <w:left w:val="nil"/>
              <w:bottom w:val="single" w:sz="4" w:space="0" w:color="auto"/>
              <w:right w:val="single" w:sz="4" w:space="0" w:color="auto"/>
            </w:tcBorders>
            <w:shd w:val="clear" w:color="000000"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3,7</w:t>
            </w:r>
          </w:p>
        </w:tc>
        <w:tc>
          <w:tcPr>
            <w:tcW w:w="1911" w:type="dxa"/>
            <w:tcBorders>
              <w:top w:val="nil"/>
              <w:left w:val="nil"/>
              <w:bottom w:val="single" w:sz="4" w:space="0" w:color="auto"/>
              <w:right w:val="single" w:sz="4" w:space="0" w:color="auto"/>
            </w:tcBorders>
            <w:shd w:val="clear" w:color="000000"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6,8</w:t>
            </w:r>
          </w:p>
        </w:tc>
      </w:tr>
      <w:tr w:rsidR="00EC1B3C" w:rsidRPr="008D06EC" w:rsidTr="00257BE1">
        <w:trPr>
          <w:trHeight w:val="315"/>
        </w:trPr>
        <w:tc>
          <w:tcPr>
            <w:tcW w:w="960" w:type="dxa"/>
            <w:tcBorders>
              <w:top w:val="nil"/>
              <w:left w:val="single" w:sz="4" w:space="0" w:color="auto"/>
              <w:bottom w:val="single" w:sz="4" w:space="0" w:color="auto"/>
              <w:right w:val="single" w:sz="4" w:space="0" w:color="auto"/>
            </w:tcBorders>
            <w:shd w:val="clear" w:color="000000"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2020</w:t>
            </w:r>
          </w:p>
        </w:tc>
        <w:tc>
          <w:tcPr>
            <w:tcW w:w="2017" w:type="dxa"/>
            <w:tcBorders>
              <w:top w:val="nil"/>
              <w:left w:val="nil"/>
              <w:bottom w:val="single" w:sz="4" w:space="0" w:color="auto"/>
              <w:right w:val="single" w:sz="4" w:space="0" w:color="auto"/>
            </w:tcBorders>
            <w:shd w:val="clear" w:color="000000"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90,6</w:t>
            </w:r>
          </w:p>
        </w:tc>
        <w:tc>
          <w:tcPr>
            <w:tcW w:w="1985" w:type="dxa"/>
            <w:tcBorders>
              <w:top w:val="nil"/>
              <w:left w:val="nil"/>
              <w:bottom w:val="single" w:sz="4" w:space="0" w:color="auto"/>
              <w:right w:val="single" w:sz="4" w:space="0" w:color="auto"/>
            </w:tcBorders>
            <w:shd w:val="clear" w:color="000000"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18940</w:t>
            </w:r>
          </w:p>
        </w:tc>
        <w:tc>
          <w:tcPr>
            <w:tcW w:w="1272" w:type="dxa"/>
            <w:tcBorders>
              <w:top w:val="nil"/>
              <w:left w:val="nil"/>
              <w:bottom w:val="single" w:sz="4" w:space="0" w:color="auto"/>
              <w:right w:val="single" w:sz="4" w:space="0" w:color="auto"/>
            </w:tcBorders>
            <w:shd w:val="clear" w:color="F2F2F2" w:fill="FFFFFF"/>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3,67</w:t>
            </w:r>
          </w:p>
        </w:tc>
        <w:tc>
          <w:tcPr>
            <w:tcW w:w="1353" w:type="dxa"/>
            <w:tcBorders>
              <w:top w:val="nil"/>
              <w:left w:val="nil"/>
              <w:bottom w:val="single" w:sz="4" w:space="0" w:color="auto"/>
              <w:right w:val="single" w:sz="4" w:space="0" w:color="auto"/>
            </w:tcBorders>
            <w:shd w:val="clear" w:color="000000"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4,3</w:t>
            </w:r>
          </w:p>
        </w:tc>
        <w:tc>
          <w:tcPr>
            <w:tcW w:w="1911" w:type="dxa"/>
            <w:tcBorders>
              <w:top w:val="nil"/>
              <w:left w:val="nil"/>
              <w:bottom w:val="single" w:sz="4" w:space="0" w:color="auto"/>
              <w:right w:val="single" w:sz="4" w:space="0" w:color="auto"/>
            </w:tcBorders>
            <w:shd w:val="clear" w:color="000000"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6,9</w:t>
            </w:r>
          </w:p>
        </w:tc>
      </w:tr>
      <w:tr w:rsidR="00EC1B3C" w:rsidRPr="008D06EC" w:rsidTr="00257BE1">
        <w:trPr>
          <w:trHeight w:val="315"/>
        </w:trPr>
        <w:tc>
          <w:tcPr>
            <w:tcW w:w="960" w:type="dxa"/>
            <w:tcBorders>
              <w:top w:val="nil"/>
              <w:left w:val="single" w:sz="4" w:space="0" w:color="auto"/>
              <w:bottom w:val="single" w:sz="4" w:space="0" w:color="auto"/>
              <w:right w:val="single" w:sz="4" w:space="0" w:color="auto"/>
            </w:tcBorders>
            <w:shd w:val="clear" w:color="000000"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2021</w:t>
            </w:r>
          </w:p>
        </w:tc>
        <w:tc>
          <w:tcPr>
            <w:tcW w:w="2017" w:type="dxa"/>
            <w:tcBorders>
              <w:top w:val="nil"/>
              <w:left w:val="nil"/>
              <w:bottom w:val="single" w:sz="4" w:space="0" w:color="auto"/>
              <w:right w:val="single" w:sz="4" w:space="0" w:color="auto"/>
            </w:tcBorders>
            <w:shd w:val="clear" w:color="000000"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96,9</w:t>
            </w:r>
          </w:p>
        </w:tc>
        <w:tc>
          <w:tcPr>
            <w:tcW w:w="1985" w:type="dxa"/>
            <w:tcBorders>
              <w:top w:val="nil"/>
              <w:left w:val="nil"/>
              <w:bottom w:val="single" w:sz="4" w:space="0" w:color="auto"/>
              <w:right w:val="single" w:sz="4" w:space="0" w:color="auto"/>
            </w:tcBorders>
            <w:shd w:val="clear" w:color="000000"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22550</w:t>
            </w:r>
          </w:p>
        </w:tc>
        <w:tc>
          <w:tcPr>
            <w:tcW w:w="1272" w:type="dxa"/>
            <w:tcBorders>
              <w:top w:val="nil"/>
              <w:left w:val="nil"/>
              <w:bottom w:val="single" w:sz="4" w:space="0" w:color="auto"/>
              <w:right w:val="single" w:sz="4" w:space="0" w:color="auto"/>
            </w:tcBorders>
            <w:shd w:val="clear" w:color="F2F2F2" w:fill="FFFFFF"/>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3,67</w:t>
            </w:r>
          </w:p>
        </w:tc>
        <w:tc>
          <w:tcPr>
            <w:tcW w:w="1353" w:type="dxa"/>
            <w:tcBorders>
              <w:top w:val="nil"/>
              <w:left w:val="nil"/>
              <w:bottom w:val="single" w:sz="4" w:space="0" w:color="auto"/>
              <w:right w:val="single" w:sz="4" w:space="0" w:color="auto"/>
            </w:tcBorders>
            <w:shd w:val="clear" w:color="000000"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4,5</w:t>
            </w:r>
          </w:p>
        </w:tc>
        <w:tc>
          <w:tcPr>
            <w:tcW w:w="1911" w:type="dxa"/>
            <w:tcBorders>
              <w:top w:val="nil"/>
              <w:left w:val="nil"/>
              <w:bottom w:val="single" w:sz="4" w:space="0" w:color="auto"/>
              <w:right w:val="single" w:sz="4" w:space="0" w:color="auto"/>
            </w:tcBorders>
            <w:shd w:val="clear" w:color="000000"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7</w:t>
            </w:r>
          </w:p>
        </w:tc>
      </w:tr>
      <w:tr w:rsidR="00EC1B3C" w:rsidRPr="008D06EC" w:rsidTr="00257BE1">
        <w:trPr>
          <w:trHeight w:val="315"/>
        </w:trPr>
        <w:tc>
          <w:tcPr>
            <w:tcW w:w="960" w:type="dxa"/>
            <w:tcBorders>
              <w:top w:val="nil"/>
              <w:left w:val="single" w:sz="4" w:space="0" w:color="auto"/>
              <w:bottom w:val="single" w:sz="4" w:space="0" w:color="auto"/>
              <w:right w:val="single" w:sz="4" w:space="0" w:color="auto"/>
            </w:tcBorders>
            <w:shd w:val="clear" w:color="000000"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2022</w:t>
            </w:r>
          </w:p>
        </w:tc>
        <w:tc>
          <w:tcPr>
            <w:tcW w:w="2017" w:type="dxa"/>
            <w:tcBorders>
              <w:top w:val="nil"/>
              <w:left w:val="nil"/>
              <w:bottom w:val="single" w:sz="4" w:space="0" w:color="auto"/>
              <w:right w:val="single" w:sz="4" w:space="0" w:color="auto"/>
            </w:tcBorders>
            <w:shd w:val="clear" w:color="000000"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101,1</w:t>
            </w:r>
          </w:p>
        </w:tc>
        <w:tc>
          <w:tcPr>
            <w:tcW w:w="1985" w:type="dxa"/>
            <w:tcBorders>
              <w:top w:val="nil"/>
              <w:left w:val="nil"/>
              <w:bottom w:val="single" w:sz="4" w:space="0" w:color="auto"/>
              <w:right w:val="single" w:sz="4" w:space="0" w:color="auto"/>
            </w:tcBorders>
            <w:shd w:val="clear" w:color="000000"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23000</w:t>
            </w:r>
          </w:p>
        </w:tc>
        <w:tc>
          <w:tcPr>
            <w:tcW w:w="1272" w:type="dxa"/>
            <w:tcBorders>
              <w:top w:val="nil"/>
              <w:left w:val="nil"/>
              <w:bottom w:val="single" w:sz="4" w:space="0" w:color="auto"/>
              <w:right w:val="single" w:sz="4" w:space="0" w:color="auto"/>
            </w:tcBorders>
            <w:shd w:val="clear" w:color="F2F2F2" w:fill="FFFFFF"/>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3,67</w:t>
            </w:r>
          </w:p>
        </w:tc>
        <w:tc>
          <w:tcPr>
            <w:tcW w:w="1353" w:type="dxa"/>
            <w:tcBorders>
              <w:top w:val="nil"/>
              <w:left w:val="nil"/>
              <w:bottom w:val="single" w:sz="4" w:space="0" w:color="auto"/>
              <w:right w:val="single" w:sz="4" w:space="0" w:color="auto"/>
            </w:tcBorders>
            <w:shd w:val="clear" w:color="000000"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4,9</w:t>
            </w:r>
          </w:p>
        </w:tc>
        <w:tc>
          <w:tcPr>
            <w:tcW w:w="1911" w:type="dxa"/>
            <w:tcBorders>
              <w:top w:val="nil"/>
              <w:left w:val="nil"/>
              <w:bottom w:val="single" w:sz="4" w:space="0" w:color="auto"/>
              <w:right w:val="single" w:sz="4" w:space="0" w:color="auto"/>
            </w:tcBorders>
            <w:shd w:val="clear" w:color="000000" w:fill="FFFFFF"/>
            <w:noWrap/>
            <w:vAlign w:val="center"/>
          </w:tcPr>
          <w:p w:rsidR="00EC1B3C" w:rsidRPr="0094392D" w:rsidRDefault="00EC1B3C" w:rsidP="00FE48F0">
            <w:pPr>
              <w:spacing w:after="0" w:line="240" w:lineRule="auto"/>
              <w:jc w:val="center"/>
              <w:rPr>
                <w:rFonts w:ascii="Times New Roman" w:hAnsi="Times New Roman"/>
                <w:sz w:val="24"/>
                <w:szCs w:val="24"/>
                <w:lang w:val="uk-UA" w:eastAsia="ru-RU"/>
              </w:rPr>
            </w:pPr>
            <w:r w:rsidRPr="0094392D">
              <w:rPr>
                <w:rFonts w:ascii="Times New Roman" w:hAnsi="Times New Roman"/>
                <w:sz w:val="24"/>
                <w:szCs w:val="24"/>
                <w:lang w:val="uk-UA" w:eastAsia="ru-RU"/>
              </w:rPr>
              <w:t>7,1</w:t>
            </w:r>
          </w:p>
        </w:tc>
      </w:tr>
    </w:tbl>
    <w:p w:rsidR="00EC1B3C" w:rsidRPr="0094392D" w:rsidRDefault="00EC1B3C" w:rsidP="00CD1AE3">
      <w:pPr>
        <w:spacing w:after="0" w:line="360" w:lineRule="auto"/>
        <w:ind w:firstLine="708"/>
        <w:rPr>
          <w:rFonts w:ascii="Times New Roman" w:hAnsi="Times New Roman"/>
          <w:sz w:val="28"/>
          <w:szCs w:val="28"/>
          <w:lang w:val="uk-UA"/>
        </w:rPr>
      </w:pPr>
      <w:r w:rsidRPr="0094392D">
        <w:rPr>
          <w:rFonts w:ascii="Times New Roman" w:hAnsi="Times New Roman"/>
          <w:sz w:val="28"/>
          <w:szCs w:val="28"/>
          <w:lang w:val="uk-UA"/>
        </w:rPr>
        <w:t>Джерело: розраховано автором</w:t>
      </w:r>
      <w:r w:rsidRPr="00B726D9">
        <w:rPr>
          <w:rFonts w:ascii="Times New Roman" w:hAnsi="Times New Roman"/>
          <w:sz w:val="28"/>
          <w:szCs w:val="28"/>
          <w:lang w:val="uk-UA"/>
        </w:rPr>
        <w:t>з [</w:t>
      </w:r>
      <w:r>
        <w:rPr>
          <w:rFonts w:ascii="Times New Roman" w:hAnsi="Times New Roman"/>
          <w:sz w:val="28"/>
          <w:szCs w:val="28"/>
          <w:lang w:val="en-US"/>
        </w:rPr>
        <w:t>18</w:t>
      </w:r>
      <w:r w:rsidRPr="00B726D9">
        <w:rPr>
          <w:rFonts w:ascii="Times New Roman" w:hAnsi="Times New Roman"/>
          <w:sz w:val="28"/>
          <w:szCs w:val="28"/>
          <w:lang w:val="uk-UA"/>
        </w:rPr>
        <w:t>-</w:t>
      </w:r>
      <w:r>
        <w:rPr>
          <w:rFonts w:ascii="Times New Roman" w:hAnsi="Times New Roman"/>
          <w:sz w:val="28"/>
          <w:szCs w:val="28"/>
          <w:lang w:val="en-US"/>
        </w:rPr>
        <w:t>22</w:t>
      </w:r>
      <w:r w:rsidRPr="00B726D9">
        <w:rPr>
          <w:rFonts w:ascii="Times New Roman" w:hAnsi="Times New Roman"/>
          <w:sz w:val="28"/>
          <w:szCs w:val="28"/>
          <w:lang w:val="uk-UA"/>
        </w:rPr>
        <w:t>].</w:t>
      </w:r>
    </w:p>
    <w:p w:rsidR="00EC1B3C" w:rsidRPr="0094392D" w:rsidRDefault="00EC1B3C" w:rsidP="004D0EA2">
      <w:pPr>
        <w:spacing w:after="0" w:line="360" w:lineRule="auto"/>
        <w:rPr>
          <w:rFonts w:ascii="Times New Roman" w:hAnsi="Times New Roman"/>
          <w:sz w:val="28"/>
          <w:szCs w:val="28"/>
          <w:lang w:val="uk-UA"/>
        </w:rPr>
      </w:pPr>
    </w:p>
    <w:sectPr w:rsidR="00EC1B3C" w:rsidRPr="0094392D" w:rsidSect="0094392D">
      <w:headerReference w:type="default" r:id="rId53"/>
      <w:pgSz w:w="11906" w:h="16838"/>
      <w:pgMar w:top="1134" w:right="851" w:bottom="1134" w:left="1701" w:header="567"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C1B3C" w:rsidRDefault="00EC1B3C" w:rsidP="000D7BAF">
      <w:pPr>
        <w:spacing w:after="0" w:line="240" w:lineRule="auto"/>
      </w:pPr>
      <w:r>
        <w:separator/>
      </w:r>
    </w:p>
  </w:endnote>
  <w:endnote w:type="continuationSeparator" w:id="0">
    <w:p w:rsidR="00EC1B3C" w:rsidRDefault="00EC1B3C" w:rsidP="000D7BA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61002A87" w:usb1="80000000" w:usb2="00000008" w:usb3="00000000" w:csb0="000101FF" w:csb1="00000000"/>
  </w:font>
  <w:font w:name="SimSun">
    <w:altName w:val="宋体"/>
    <w:panose1 w:val="02010600030101010101"/>
    <w:charset w:val="86"/>
    <w:family w:val="auto"/>
    <w:notTrueType/>
    <w:pitch w:val="variable"/>
    <w:sig w:usb0="00000001" w:usb1="080E0000" w:usb2="00000010" w:usb3="00000000" w:csb0="00040000" w:csb1="00000000"/>
  </w:font>
  <w:font w:name="Mangal">
    <w:panose1 w:val="02040503050203030202"/>
    <w:charset w:val="01"/>
    <w:family w:val="roman"/>
    <w:notTrueType/>
    <w:pitch w:val="variable"/>
    <w:sig w:usb0="00002000" w:usb1="00000000" w:usb2="00000000" w:usb3="00000000" w:csb0="00000000" w:csb1="00000000"/>
  </w:font>
  <w:font w:name="Calibri Light">
    <w:panose1 w:val="020F0302020204030204"/>
    <w:charset w:val="CC"/>
    <w:family w:val="swiss"/>
    <w:pitch w:val="variable"/>
    <w:sig w:usb0="A00002EF" w:usb1="4000207B" w:usb2="00000000"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C1B3C" w:rsidRDefault="00EC1B3C" w:rsidP="000D7BAF">
      <w:pPr>
        <w:spacing w:after="0" w:line="240" w:lineRule="auto"/>
      </w:pPr>
      <w:r>
        <w:separator/>
      </w:r>
    </w:p>
  </w:footnote>
  <w:footnote w:type="continuationSeparator" w:id="0">
    <w:p w:rsidR="00EC1B3C" w:rsidRDefault="00EC1B3C" w:rsidP="000D7BA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C1B3C" w:rsidRDefault="00EC1B3C">
    <w:pPr>
      <w:pStyle w:val="a4"/>
      <w:jc w:val="right"/>
    </w:pPr>
    <w:r w:rsidRPr="0094392D">
      <w:rPr>
        <w:rFonts w:ascii="Times New Roman" w:hAnsi="Times New Roman"/>
        <w:sz w:val="24"/>
        <w:szCs w:val="24"/>
      </w:rPr>
      <w:fldChar w:fldCharType="begin"/>
    </w:r>
    <w:r w:rsidRPr="0094392D">
      <w:rPr>
        <w:rFonts w:ascii="Times New Roman" w:hAnsi="Times New Roman"/>
        <w:sz w:val="24"/>
        <w:szCs w:val="24"/>
      </w:rPr>
      <w:instrText>PAGE   \* MERGEFORMAT</w:instrText>
    </w:r>
    <w:r w:rsidRPr="0094392D">
      <w:rPr>
        <w:rFonts w:ascii="Times New Roman" w:hAnsi="Times New Roman"/>
        <w:sz w:val="24"/>
        <w:szCs w:val="24"/>
      </w:rPr>
      <w:fldChar w:fldCharType="separate"/>
    </w:r>
    <w:r w:rsidR="00567DCA">
      <w:rPr>
        <w:rFonts w:ascii="Times New Roman" w:hAnsi="Times New Roman"/>
        <w:noProof/>
        <w:sz w:val="24"/>
        <w:szCs w:val="24"/>
      </w:rPr>
      <w:t>2</w:t>
    </w:r>
    <w:r w:rsidRPr="0094392D">
      <w:rPr>
        <w:rFonts w:ascii="Times New Roman" w:hAnsi="Times New Roman"/>
        <w:sz w:val="24"/>
        <w:szCs w:val="24"/>
      </w:rPr>
      <w:fldChar w:fldCharType="end"/>
    </w:r>
  </w:p>
  <w:p w:rsidR="00EC1B3C" w:rsidRDefault="00EC1B3C">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519B6AF9"/>
    <w:multiLevelType w:val="hybridMultilevel"/>
    <w:tmpl w:val="C96CB360"/>
    <w:lvl w:ilvl="0" w:tplc="D6CE49C8">
      <w:start w:val="1"/>
      <w:numFmt w:val="decimal"/>
      <w:lvlText w:val="%1."/>
      <w:lvlJc w:val="left"/>
      <w:pPr>
        <w:ind w:left="360" w:hanging="360"/>
      </w:pPr>
      <w:rPr>
        <w:rFonts w:cs="Times New Roman" w:hint="default"/>
        <w:color w:val="auto"/>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1">
    <w:nsid w:val="7B123562"/>
    <w:multiLevelType w:val="hybridMultilevel"/>
    <w:tmpl w:val="78DAE672"/>
    <w:lvl w:ilvl="0" w:tplc="3F3C448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6F7044"/>
    <w:rsid w:val="000012A0"/>
    <w:rsid w:val="00003AC9"/>
    <w:rsid w:val="00003B22"/>
    <w:rsid w:val="000058E1"/>
    <w:rsid w:val="000061BE"/>
    <w:rsid w:val="000063F5"/>
    <w:rsid w:val="00006A15"/>
    <w:rsid w:val="0000708B"/>
    <w:rsid w:val="00010E51"/>
    <w:rsid w:val="00011E18"/>
    <w:rsid w:val="00011FD2"/>
    <w:rsid w:val="00012653"/>
    <w:rsid w:val="00013B08"/>
    <w:rsid w:val="00014BEC"/>
    <w:rsid w:val="00016F7A"/>
    <w:rsid w:val="00017754"/>
    <w:rsid w:val="00017E5A"/>
    <w:rsid w:val="00020260"/>
    <w:rsid w:val="0002171F"/>
    <w:rsid w:val="00023B32"/>
    <w:rsid w:val="00023F6B"/>
    <w:rsid w:val="000241E9"/>
    <w:rsid w:val="000246C6"/>
    <w:rsid w:val="000274B0"/>
    <w:rsid w:val="0002750B"/>
    <w:rsid w:val="000313F5"/>
    <w:rsid w:val="0003208A"/>
    <w:rsid w:val="00032AD0"/>
    <w:rsid w:val="0003400E"/>
    <w:rsid w:val="0003404D"/>
    <w:rsid w:val="00034CEE"/>
    <w:rsid w:val="00037A1C"/>
    <w:rsid w:val="00037B1D"/>
    <w:rsid w:val="00041A8B"/>
    <w:rsid w:val="000425EA"/>
    <w:rsid w:val="00042F2B"/>
    <w:rsid w:val="00043F33"/>
    <w:rsid w:val="000458C1"/>
    <w:rsid w:val="00045B02"/>
    <w:rsid w:val="0004629C"/>
    <w:rsid w:val="0004686F"/>
    <w:rsid w:val="00050BD4"/>
    <w:rsid w:val="0005112A"/>
    <w:rsid w:val="000522BB"/>
    <w:rsid w:val="00054A4F"/>
    <w:rsid w:val="00054D9B"/>
    <w:rsid w:val="000603CF"/>
    <w:rsid w:val="000610E9"/>
    <w:rsid w:val="00061122"/>
    <w:rsid w:val="00063828"/>
    <w:rsid w:val="00064159"/>
    <w:rsid w:val="00064259"/>
    <w:rsid w:val="0006628F"/>
    <w:rsid w:val="00067151"/>
    <w:rsid w:val="00067560"/>
    <w:rsid w:val="000708EA"/>
    <w:rsid w:val="00070C14"/>
    <w:rsid w:val="00071816"/>
    <w:rsid w:val="00072AF9"/>
    <w:rsid w:val="00073A6B"/>
    <w:rsid w:val="00073B11"/>
    <w:rsid w:val="000743F5"/>
    <w:rsid w:val="00074484"/>
    <w:rsid w:val="00074F1E"/>
    <w:rsid w:val="00075C74"/>
    <w:rsid w:val="0008051F"/>
    <w:rsid w:val="00080FF2"/>
    <w:rsid w:val="00081B8E"/>
    <w:rsid w:val="00082FB8"/>
    <w:rsid w:val="000859E6"/>
    <w:rsid w:val="00087CEC"/>
    <w:rsid w:val="00087D11"/>
    <w:rsid w:val="0009077B"/>
    <w:rsid w:val="00090A54"/>
    <w:rsid w:val="0009240A"/>
    <w:rsid w:val="00095A7C"/>
    <w:rsid w:val="00097EF8"/>
    <w:rsid w:val="000A0C66"/>
    <w:rsid w:val="000A1720"/>
    <w:rsid w:val="000A3306"/>
    <w:rsid w:val="000A3EF9"/>
    <w:rsid w:val="000A6882"/>
    <w:rsid w:val="000A689F"/>
    <w:rsid w:val="000A712E"/>
    <w:rsid w:val="000A74E9"/>
    <w:rsid w:val="000A7A05"/>
    <w:rsid w:val="000A7AD4"/>
    <w:rsid w:val="000B13E0"/>
    <w:rsid w:val="000B440E"/>
    <w:rsid w:val="000B44E6"/>
    <w:rsid w:val="000B53A3"/>
    <w:rsid w:val="000B578F"/>
    <w:rsid w:val="000B6398"/>
    <w:rsid w:val="000C0B5C"/>
    <w:rsid w:val="000C1744"/>
    <w:rsid w:val="000C1CD7"/>
    <w:rsid w:val="000C401A"/>
    <w:rsid w:val="000C4B99"/>
    <w:rsid w:val="000C4FCB"/>
    <w:rsid w:val="000C60BC"/>
    <w:rsid w:val="000C7465"/>
    <w:rsid w:val="000C75C5"/>
    <w:rsid w:val="000D0E5A"/>
    <w:rsid w:val="000D162F"/>
    <w:rsid w:val="000D21EA"/>
    <w:rsid w:val="000D266E"/>
    <w:rsid w:val="000D5C1F"/>
    <w:rsid w:val="000D7BAF"/>
    <w:rsid w:val="000E0679"/>
    <w:rsid w:val="000E15CA"/>
    <w:rsid w:val="000E3BBF"/>
    <w:rsid w:val="000E4BC7"/>
    <w:rsid w:val="000E4F45"/>
    <w:rsid w:val="000E6E78"/>
    <w:rsid w:val="000F077B"/>
    <w:rsid w:val="000F0F5D"/>
    <w:rsid w:val="000F1AF8"/>
    <w:rsid w:val="000F2CA4"/>
    <w:rsid w:val="000F4A19"/>
    <w:rsid w:val="000F4A25"/>
    <w:rsid w:val="000F75F1"/>
    <w:rsid w:val="000F7C89"/>
    <w:rsid w:val="00101F51"/>
    <w:rsid w:val="00110FC6"/>
    <w:rsid w:val="0011211C"/>
    <w:rsid w:val="00112D68"/>
    <w:rsid w:val="00112E7A"/>
    <w:rsid w:val="00112F9C"/>
    <w:rsid w:val="0011638B"/>
    <w:rsid w:val="0011699A"/>
    <w:rsid w:val="00117466"/>
    <w:rsid w:val="00120A76"/>
    <w:rsid w:val="00120C39"/>
    <w:rsid w:val="00122D89"/>
    <w:rsid w:val="00124AA1"/>
    <w:rsid w:val="00125898"/>
    <w:rsid w:val="00126299"/>
    <w:rsid w:val="00126BC8"/>
    <w:rsid w:val="00127DC0"/>
    <w:rsid w:val="001307D8"/>
    <w:rsid w:val="001307DD"/>
    <w:rsid w:val="00131F97"/>
    <w:rsid w:val="00132BF7"/>
    <w:rsid w:val="001341AA"/>
    <w:rsid w:val="001347ED"/>
    <w:rsid w:val="0013519A"/>
    <w:rsid w:val="001365F9"/>
    <w:rsid w:val="00137CE3"/>
    <w:rsid w:val="00140A81"/>
    <w:rsid w:val="00141B99"/>
    <w:rsid w:val="00141D34"/>
    <w:rsid w:val="00141DC3"/>
    <w:rsid w:val="0014424D"/>
    <w:rsid w:val="00144565"/>
    <w:rsid w:val="001446B5"/>
    <w:rsid w:val="00145C82"/>
    <w:rsid w:val="00145CDD"/>
    <w:rsid w:val="00147402"/>
    <w:rsid w:val="00150E31"/>
    <w:rsid w:val="00152386"/>
    <w:rsid w:val="00153B48"/>
    <w:rsid w:val="001540CB"/>
    <w:rsid w:val="00155771"/>
    <w:rsid w:val="0015598C"/>
    <w:rsid w:val="00156A39"/>
    <w:rsid w:val="00157D22"/>
    <w:rsid w:val="00160039"/>
    <w:rsid w:val="00160452"/>
    <w:rsid w:val="001619A5"/>
    <w:rsid w:val="00162844"/>
    <w:rsid w:val="00162F9B"/>
    <w:rsid w:val="001652DA"/>
    <w:rsid w:val="00165683"/>
    <w:rsid w:val="001672D2"/>
    <w:rsid w:val="0017018F"/>
    <w:rsid w:val="00176E5E"/>
    <w:rsid w:val="0017735E"/>
    <w:rsid w:val="00177447"/>
    <w:rsid w:val="00177ED8"/>
    <w:rsid w:val="00180968"/>
    <w:rsid w:val="001821CA"/>
    <w:rsid w:val="001842D4"/>
    <w:rsid w:val="00184E9A"/>
    <w:rsid w:val="00184FB8"/>
    <w:rsid w:val="00187845"/>
    <w:rsid w:val="001918DD"/>
    <w:rsid w:val="00191C89"/>
    <w:rsid w:val="0019258D"/>
    <w:rsid w:val="00192723"/>
    <w:rsid w:val="00192A2B"/>
    <w:rsid w:val="00192ABB"/>
    <w:rsid w:val="00194EB7"/>
    <w:rsid w:val="00195340"/>
    <w:rsid w:val="00196A0A"/>
    <w:rsid w:val="00196A60"/>
    <w:rsid w:val="00196D5E"/>
    <w:rsid w:val="00197975"/>
    <w:rsid w:val="001A0A9A"/>
    <w:rsid w:val="001A168B"/>
    <w:rsid w:val="001A3282"/>
    <w:rsid w:val="001A665E"/>
    <w:rsid w:val="001A6F8A"/>
    <w:rsid w:val="001A7378"/>
    <w:rsid w:val="001A77F1"/>
    <w:rsid w:val="001B11EC"/>
    <w:rsid w:val="001B289E"/>
    <w:rsid w:val="001B312F"/>
    <w:rsid w:val="001B3383"/>
    <w:rsid w:val="001B3C4B"/>
    <w:rsid w:val="001B3E9B"/>
    <w:rsid w:val="001B4997"/>
    <w:rsid w:val="001B7EC0"/>
    <w:rsid w:val="001C01D8"/>
    <w:rsid w:val="001C0F50"/>
    <w:rsid w:val="001C1DD4"/>
    <w:rsid w:val="001C2190"/>
    <w:rsid w:val="001C4BDE"/>
    <w:rsid w:val="001C7426"/>
    <w:rsid w:val="001C7E64"/>
    <w:rsid w:val="001D2898"/>
    <w:rsid w:val="001D39B4"/>
    <w:rsid w:val="001D3E69"/>
    <w:rsid w:val="001D5608"/>
    <w:rsid w:val="001D5976"/>
    <w:rsid w:val="001D5ED0"/>
    <w:rsid w:val="001D7285"/>
    <w:rsid w:val="001D7B2F"/>
    <w:rsid w:val="001D7F3C"/>
    <w:rsid w:val="001E18DB"/>
    <w:rsid w:val="001E2840"/>
    <w:rsid w:val="001E3B4D"/>
    <w:rsid w:val="001E514C"/>
    <w:rsid w:val="001E575A"/>
    <w:rsid w:val="001E6694"/>
    <w:rsid w:val="001F05D0"/>
    <w:rsid w:val="001F06CC"/>
    <w:rsid w:val="001F1A38"/>
    <w:rsid w:val="001F368C"/>
    <w:rsid w:val="001F3CEF"/>
    <w:rsid w:val="001F4F81"/>
    <w:rsid w:val="001F5545"/>
    <w:rsid w:val="00201A5C"/>
    <w:rsid w:val="002023DD"/>
    <w:rsid w:val="0020273B"/>
    <w:rsid w:val="00202807"/>
    <w:rsid w:val="0020368E"/>
    <w:rsid w:val="00204507"/>
    <w:rsid w:val="00204D96"/>
    <w:rsid w:val="00204F35"/>
    <w:rsid w:val="002050A3"/>
    <w:rsid w:val="00207CA6"/>
    <w:rsid w:val="00210DBB"/>
    <w:rsid w:val="002124EF"/>
    <w:rsid w:val="00216400"/>
    <w:rsid w:val="0021650D"/>
    <w:rsid w:val="002166BA"/>
    <w:rsid w:val="0021754F"/>
    <w:rsid w:val="002206AA"/>
    <w:rsid w:val="00223F9F"/>
    <w:rsid w:val="00224DBC"/>
    <w:rsid w:val="00225FC8"/>
    <w:rsid w:val="00226261"/>
    <w:rsid w:val="002275E0"/>
    <w:rsid w:val="00227F7F"/>
    <w:rsid w:val="00230DB4"/>
    <w:rsid w:val="00231822"/>
    <w:rsid w:val="00231CE5"/>
    <w:rsid w:val="0023212A"/>
    <w:rsid w:val="00234526"/>
    <w:rsid w:val="0023749E"/>
    <w:rsid w:val="00240DF3"/>
    <w:rsid w:val="002413F7"/>
    <w:rsid w:val="00241401"/>
    <w:rsid w:val="0024244A"/>
    <w:rsid w:val="002437F3"/>
    <w:rsid w:val="00243D0A"/>
    <w:rsid w:val="00244E3D"/>
    <w:rsid w:val="002469FA"/>
    <w:rsid w:val="00247CF2"/>
    <w:rsid w:val="002516BF"/>
    <w:rsid w:val="00252077"/>
    <w:rsid w:val="00252319"/>
    <w:rsid w:val="002528E4"/>
    <w:rsid w:val="0025422F"/>
    <w:rsid w:val="00254CCE"/>
    <w:rsid w:val="00255A7C"/>
    <w:rsid w:val="0025620B"/>
    <w:rsid w:val="0025642F"/>
    <w:rsid w:val="00256BC2"/>
    <w:rsid w:val="00257079"/>
    <w:rsid w:val="00257BE1"/>
    <w:rsid w:val="002607E0"/>
    <w:rsid w:val="00260B69"/>
    <w:rsid w:val="00261954"/>
    <w:rsid w:val="00261C2B"/>
    <w:rsid w:val="00262006"/>
    <w:rsid w:val="00263444"/>
    <w:rsid w:val="00264004"/>
    <w:rsid w:val="00265215"/>
    <w:rsid w:val="00265C17"/>
    <w:rsid w:val="002660A6"/>
    <w:rsid w:val="002661F5"/>
    <w:rsid w:val="00267809"/>
    <w:rsid w:val="00267ECA"/>
    <w:rsid w:val="00267FCC"/>
    <w:rsid w:val="002731A1"/>
    <w:rsid w:val="00274BDB"/>
    <w:rsid w:val="00275EC8"/>
    <w:rsid w:val="00276208"/>
    <w:rsid w:val="00281621"/>
    <w:rsid w:val="002816D3"/>
    <w:rsid w:val="00282486"/>
    <w:rsid w:val="00282F75"/>
    <w:rsid w:val="00283261"/>
    <w:rsid w:val="00284BDA"/>
    <w:rsid w:val="00284F47"/>
    <w:rsid w:val="002868EE"/>
    <w:rsid w:val="002868F3"/>
    <w:rsid w:val="00287ED7"/>
    <w:rsid w:val="00287FA1"/>
    <w:rsid w:val="00291E56"/>
    <w:rsid w:val="00292F2D"/>
    <w:rsid w:val="002935AF"/>
    <w:rsid w:val="00293EA8"/>
    <w:rsid w:val="00295C13"/>
    <w:rsid w:val="00297850"/>
    <w:rsid w:val="002A3EC6"/>
    <w:rsid w:val="002A535B"/>
    <w:rsid w:val="002A6661"/>
    <w:rsid w:val="002B0ED4"/>
    <w:rsid w:val="002B1B33"/>
    <w:rsid w:val="002B2644"/>
    <w:rsid w:val="002B3E0B"/>
    <w:rsid w:val="002B51D7"/>
    <w:rsid w:val="002B56F5"/>
    <w:rsid w:val="002B61E3"/>
    <w:rsid w:val="002C1217"/>
    <w:rsid w:val="002C168B"/>
    <w:rsid w:val="002C2F0F"/>
    <w:rsid w:val="002C3406"/>
    <w:rsid w:val="002C42BB"/>
    <w:rsid w:val="002C6307"/>
    <w:rsid w:val="002D12A9"/>
    <w:rsid w:val="002D172E"/>
    <w:rsid w:val="002D19B5"/>
    <w:rsid w:val="002D2B28"/>
    <w:rsid w:val="002D3167"/>
    <w:rsid w:val="002D31A6"/>
    <w:rsid w:val="002D366B"/>
    <w:rsid w:val="002D4A13"/>
    <w:rsid w:val="002D4DBE"/>
    <w:rsid w:val="002D62D1"/>
    <w:rsid w:val="002D7B5B"/>
    <w:rsid w:val="002E0926"/>
    <w:rsid w:val="002E0CFE"/>
    <w:rsid w:val="002E0FB1"/>
    <w:rsid w:val="002E2944"/>
    <w:rsid w:val="002E334E"/>
    <w:rsid w:val="002E51E0"/>
    <w:rsid w:val="002E5617"/>
    <w:rsid w:val="002E7D76"/>
    <w:rsid w:val="002F183F"/>
    <w:rsid w:val="002F1F7D"/>
    <w:rsid w:val="00300A35"/>
    <w:rsid w:val="003016DD"/>
    <w:rsid w:val="00301AB4"/>
    <w:rsid w:val="00301F11"/>
    <w:rsid w:val="00301F8A"/>
    <w:rsid w:val="003026F0"/>
    <w:rsid w:val="0030358C"/>
    <w:rsid w:val="00305933"/>
    <w:rsid w:val="00306D70"/>
    <w:rsid w:val="00307A7A"/>
    <w:rsid w:val="003121AB"/>
    <w:rsid w:val="00312464"/>
    <w:rsid w:val="003173CC"/>
    <w:rsid w:val="0032150B"/>
    <w:rsid w:val="0032350F"/>
    <w:rsid w:val="0032545E"/>
    <w:rsid w:val="0032678E"/>
    <w:rsid w:val="00327A04"/>
    <w:rsid w:val="00331074"/>
    <w:rsid w:val="00331D5F"/>
    <w:rsid w:val="0033203C"/>
    <w:rsid w:val="00334206"/>
    <w:rsid w:val="00337361"/>
    <w:rsid w:val="00337C35"/>
    <w:rsid w:val="003405F4"/>
    <w:rsid w:val="00340836"/>
    <w:rsid w:val="003415A4"/>
    <w:rsid w:val="00343F2F"/>
    <w:rsid w:val="00352B77"/>
    <w:rsid w:val="00355010"/>
    <w:rsid w:val="003551DD"/>
    <w:rsid w:val="00355A53"/>
    <w:rsid w:val="00357232"/>
    <w:rsid w:val="0035743B"/>
    <w:rsid w:val="00357F61"/>
    <w:rsid w:val="00360573"/>
    <w:rsid w:val="003610F4"/>
    <w:rsid w:val="0036227F"/>
    <w:rsid w:val="0036268D"/>
    <w:rsid w:val="003630A7"/>
    <w:rsid w:val="0036449E"/>
    <w:rsid w:val="00364530"/>
    <w:rsid w:val="00364676"/>
    <w:rsid w:val="003647A9"/>
    <w:rsid w:val="00367BF6"/>
    <w:rsid w:val="003702F1"/>
    <w:rsid w:val="003710DF"/>
    <w:rsid w:val="00371985"/>
    <w:rsid w:val="00371A40"/>
    <w:rsid w:val="00371BE7"/>
    <w:rsid w:val="00372306"/>
    <w:rsid w:val="00372952"/>
    <w:rsid w:val="00373025"/>
    <w:rsid w:val="00373438"/>
    <w:rsid w:val="0038398B"/>
    <w:rsid w:val="00383BE1"/>
    <w:rsid w:val="00385911"/>
    <w:rsid w:val="00386EA6"/>
    <w:rsid w:val="00387231"/>
    <w:rsid w:val="0038730C"/>
    <w:rsid w:val="003874EC"/>
    <w:rsid w:val="00387C7B"/>
    <w:rsid w:val="00392354"/>
    <w:rsid w:val="003935D9"/>
    <w:rsid w:val="00394F92"/>
    <w:rsid w:val="00395995"/>
    <w:rsid w:val="00395CDB"/>
    <w:rsid w:val="00395FC9"/>
    <w:rsid w:val="003966D4"/>
    <w:rsid w:val="00396B7E"/>
    <w:rsid w:val="00396D75"/>
    <w:rsid w:val="003A0421"/>
    <w:rsid w:val="003A08A1"/>
    <w:rsid w:val="003A21CF"/>
    <w:rsid w:val="003A4564"/>
    <w:rsid w:val="003A7E80"/>
    <w:rsid w:val="003B2B6B"/>
    <w:rsid w:val="003B5FFB"/>
    <w:rsid w:val="003B7C97"/>
    <w:rsid w:val="003C0111"/>
    <w:rsid w:val="003C0444"/>
    <w:rsid w:val="003C14AB"/>
    <w:rsid w:val="003C2901"/>
    <w:rsid w:val="003C3CF7"/>
    <w:rsid w:val="003C652D"/>
    <w:rsid w:val="003C7332"/>
    <w:rsid w:val="003D2C8C"/>
    <w:rsid w:val="003D68B0"/>
    <w:rsid w:val="003E00C0"/>
    <w:rsid w:val="003E0533"/>
    <w:rsid w:val="003E1F9B"/>
    <w:rsid w:val="003E25C6"/>
    <w:rsid w:val="003E275C"/>
    <w:rsid w:val="003E2F64"/>
    <w:rsid w:val="003E480F"/>
    <w:rsid w:val="003E5051"/>
    <w:rsid w:val="003E679F"/>
    <w:rsid w:val="003E6D63"/>
    <w:rsid w:val="003E6E03"/>
    <w:rsid w:val="003F0DB8"/>
    <w:rsid w:val="003F0E5D"/>
    <w:rsid w:val="003F0F7C"/>
    <w:rsid w:val="003F1376"/>
    <w:rsid w:val="003F17B0"/>
    <w:rsid w:val="003F5813"/>
    <w:rsid w:val="003F6169"/>
    <w:rsid w:val="003F63F6"/>
    <w:rsid w:val="003F6702"/>
    <w:rsid w:val="00400FD3"/>
    <w:rsid w:val="00401291"/>
    <w:rsid w:val="0040174A"/>
    <w:rsid w:val="00402189"/>
    <w:rsid w:val="004026DF"/>
    <w:rsid w:val="00403403"/>
    <w:rsid w:val="004050D2"/>
    <w:rsid w:val="00405C17"/>
    <w:rsid w:val="00412016"/>
    <w:rsid w:val="00412D41"/>
    <w:rsid w:val="00413763"/>
    <w:rsid w:val="00414AFC"/>
    <w:rsid w:val="00414F58"/>
    <w:rsid w:val="00415F2B"/>
    <w:rsid w:val="004164AB"/>
    <w:rsid w:val="0041688D"/>
    <w:rsid w:val="00417965"/>
    <w:rsid w:val="004211E9"/>
    <w:rsid w:val="00421C54"/>
    <w:rsid w:val="00422DF1"/>
    <w:rsid w:val="00423AD2"/>
    <w:rsid w:val="00423D94"/>
    <w:rsid w:val="00424654"/>
    <w:rsid w:val="0042597C"/>
    <w:rsid w:val="0042623C"/>
    <w:rsid w:val="00426755"/>
    <w:rsid w:val="00427168"/>
    <w:rsid w:val="0042758F"/>
    <w:rsid w:val="0043353A"/>
    <w:rsid w:val="00433969"/>
    <w:rsid w:val="00434531"/>
    <w:rsid w:val="00434D2F"/>
    <w:rsid w:val="00441FD4"/>
    <w:rsid w:val="0044201E"/>
    <w:rsid w:val="00444C4B"/>
    <w:rsid w:val="004472F5"/>
    <w:rsid w:val="00447DA3"/>
    <w:rsid w:val="004507A2"/>
    <w:rsid w:val="004513AF"/>
    <w:rsid w:val="004514BB"/>
    <w:rsid w:val="00452DAC"/>
    <w:rsid w:val="00453116"/>
    <w:rsid w:val="00453D62"/>
    <w:rsid w:val="0045459E"/>
    <w:rsid w:val="004565D5"/>
    <w:rsid w:val="00457CE9"/>
    <w:rsid w:val="00460525"/>
    <w:rsid w:val="004622B7"/>
    <w:rsid w:val="00465310"/>
    <w:rsid w:val="00471363"/>
    <w:rsid w:val="004719DD"/>
    <w:rsid w:val="00472344"/>
    <w:rsid w:val="00474F4F"/>
    <w:rsid w:val="0047589B"/>
    <w:rsid w:val="0048011F"/>
    <w:rsid w:val="0048197E"/>
    <w:rsid w:val="00481C1A"/>
    <w:rsid w:val="004829DA"/>
    <w:rsid w:val="004831E3"/>
    <w:rsid w:val="00483251"/>
    <w:rsid w:val="0048442F"/>
    <w:rsid w:val="004857D7"/>
    <w:rsid w:val="004869CF"/>
    <w:rsid w:val="0048749A"/>
    <w:rsid w:val="00490F49"/>
    <w:rsid w:val="004918A9"/>
    <w:rsid w:val="00492F0E"/>
    <w:rsid w:val="00492FB2"/>
    <w:rsid w:val="004930CC"/>
    <w:rsid w:val="00497A4D"/>
    <w:rsid w:val="00497EBD"/>
    <w:rsid w:val="004A05C9"/>
    <w:rsid w:val="004A7679"/>
    <w:rsid w:val="004A7D68"/>
    <w:rsid w:val="004B2225"/>
    <w:rsid w:val="004B5749"/>
    <w:rsid w:val="004B5BDB"/>
    <w:rsid w:val="004B61D5"/>
    <w:rsid w:val="004B7AB8"/>
    <w:rsid w:val="004B7DB8"/>
    <w:rsid w:val="004B7EAC"/>
    <w:rsid w:val="004B7EF4"/>
    <w:rsid w:val="004C2816"/>
    <w:rsid w:val="004C60CF"/>
    <w:rsid w:val="004C6AC2"/>
    <w:rsid w:val="004C7549"/>
    <w:rsid w:val="004C78F5"/>
    <w:rsid w:val="004D06AD"/>
    <w:rsid w:val="004D0EA2"/>
    <w:rsid w:val="004D1493"/>
    <w:rsid w:val="004D4AA8"/>
    <w:rsid w:val="004D57F7"/>
    <w:rsid w:val="004D587B"/>
    <w:rsid w:val="004D5930"/>
    <w:rsid w:val="004E2C6A"/>
    <w:rsid w:val="004E2F12"/>
    <w:rsid w:val="004E34C0"/>
    <w:rsid w:val="004E4FF7"/>
    <w:rsid w:val="004E5C98"/>
    <w:rsid w:val="004E5DAC"/>
    <w:rsid w:val="004E674B"/>
    <w:rsid w:val="004E75FA"/>
    <w:rsid w:val="004F116D"/>
    <w:rsid w:val="004F1857"/>
    <w:rsid w:val="004F1BF7"/>
    <w:rsid w:val="004F22F7"/>
    <w:rsid w:val="004F3CEC"/>
    <w:rsid w:val="004F3EEB"/>
    <w:rsid w:val="004F48F0"/>
    <w:rsid w:val="004F66C5"/>
    <w:rsid w:val="004F6712"/>
    <w:rsid w:val="004F688E"/>
    <w:rsid w:val="004F6B43"/>
    <w:rsid w:val="00500065"/>
    <w:rsid w:val="00500872"/>
    <w:rsid w:val="0050286D"/>
    <w:rsid w:val="00503555"/>
    <w:rsid w:val="00503EC3"/>
    <w:rsid w:val="00505548"/>
    <w:rsid w:val="005063B4"/>
    <w:rsid w:val="00506D4F"/>
    <w:rsid w:val="00506FF8"/>
    <w:rsid w:val="00507E3C"/>
    <w:rsid w:val="00507EBB"/>
    <w:rsid w:val="00510341"/>
    <w:rsid w:val="005105D1"/>
    <w:rsid w:val="00511961"/>
    <w:rsid w:val="00511EBA"/>
    <w:rsid w:val="005120EB"/>
    <w:rsid w:val="005121B0"/>
    <w:rsid w:val="00513096"/>
    <w:rsid w:val="00513E3E"/>
    <w:rsid w:val="00515452"/>
    <w:rsid w:val="005217F8"/>
    <w:rsid w:val="0052247B"/>
    <w:rsid w:val="00522A1D"/>
    <w:rsid w:val="00522BB4"/>
    <w:rsid w:val="00522D81"/>
    <w:rsid w:val="00523052"/>
    <w:rsid w:val="0052315D"/>
    <w:rsid w:val="005257E4"/>
    <w:rsid w:val="00525950"/>
    <w:rsid w:val="00525EDE"/>
    <w:rsid w:val="00527579"/>
    <w:rsid w:val="00531129"/>
    <w:rsid w:val="0053117E"/>
    <w:rsid w:val="0053181D"/>
    <w:rsid w:val="005365B1"/>
    <w:rsid w:val="00537D11"/>
    <w:rsid w:val="00540168"/>
    <w:rsid w:val="00541CE8"/>
    <w:rsid w:val="00541FD3"/>
    <w:rsid w:val="0054213E"/>
    <w:rsid w:val="0054306B"/>
    <w:rsid w:val="00543A5C"/>
    <w:rsid w:val="00543DC4"/>
    <w:rsid w:val="00544F0E"/>
    <w:rsid w:val="005458F1"/>
    <w:rsid w:val="00546FC3"/>
    <w:rsid w:val="0054777F"/>
    <w:rsid w:val="00550F51"/>
    <w:rsid w:val="0055150D"/>
    <w:rsid w:val="00552522"/>
    <w:rsid w:val="005545DF"/>
    <w:rsid w:val="0055465E"/>
    <w:rsid w:val="00554F49"/>
    <w:rsid w:val="005555B8"/>
    <w:rsid w:val="00556D65"/>
    <w:rsid w:val="00561E39"/>
    <w:rsid w:val="005637E6"/>
    <w:rsid w:val="0056451B"/>
    <w:rsid w:val="00564A46"/>
    <w:rsid w:val="00567DCA"/>
    <w:rsid w:val="005700F2"/>
    <w:rsid w:val="00570424"/>
    <w:rsid w:val="005704D0"/>
    <w:rsid w:val="00571230"/>
    <w:rsid w:val="00571239"/>
    <w:rsid w:val="00574300"/>
    <w:rsid w:val="0057621C"/>
    <w:rsid w:val="005778EA"/>
    <w:rsid w:val="00580E09"/>
    <w:rsid w:val="00584E77"/>
    <w:rsid w:val="005853DF"/>
    <w:rsid w:val="005857A9"/>
    <w:rsid w:val="00587230"/>
    <w:rsid w:val="00587665"/>
    <w:rsid w:val="005918D3"/>
    <w:rsid w:val="00592363"/>
    <w:rsid w:val="00592456"/>
    <w:rsid w:val="0059401F"/>
    <w:rsid w:val="00596326"/>
    <w:rsid w:val="00597D3F"/>
    <w:rsid w:val="005A2ACA"/>
    <w:rsid w:val="005A36D8"/>
    <w:rsid w:val="005A3996"/>
    <w:rsid w:val="005A4ABF"/>
    <w:rsid w:val="005A59F3"/>
    <w:rsid w:val="005A607D"/>
    <w:rsid w:val="005B1A36"/>
    <w:rsid w:val="005B1F97"/>
    <w:rsid w:val="005B2224"/>
    <w:rsid w:val="005B261A"/>
    <w:rsid w:val="005B4148"/>
    <w:rsid w:val="005B4B79"/>
    <w:rsid w:val="005B5D38"/>
    <w:rsid w:val="005B6337"/>
    <w:rsid w:val="005B7508"/>
    <w:rsid w:val="005C02C1"/>
    <w:rsid w:val="005C313A"/>
    <w:rsid w:val="005C3E59"/>
    <w:rsid w:val="005C458E"/>
    <w:rsid w:val="005C71A1"/>
    <w:rsid w:val="005D0E1A"/>
    <w:rsid w:val="005D2231"/>
    <w:rsid w:val="005D2E40"/>
    <w:rsid w:val="005D3196"/>
    <w:rsid w:val="005D3DA7"/>
    <w:rsid w:val="005D6F0E"/>
    <w:rsid w:val="005E0F5A"/>
    <w:rsid w:val="005E2365"/>
    <w:rsid w:val="005E29E8"/>
    <w:rsid w:val="005E3313"/>
    <w:rsid w:val="005E3E22"/>
    <w:rsid w:val="005E4150"/>
    <w:rsid w:val="005E43C6"/>
    <w:rsid w:val="005E4D18"/>
    <w:rsid w:val="005E637C"/>
    <w:rsid w:val="005F34B8"/>
    <w:rsid w:val="005F357A"/>
    <w:rsid w:val="005F38AB"/>
    <w:rsid w:val="005F4FB4"/>
    <w:rsid w:val="006019C3"/>
    <w:rsid w:val="00602F03"/>
    <w:rsid w:val="0060343F"/>
    <w:rsid w:val="00603DB3"/>
    <w:rsid w:val="006052AA"/>
    <w:rsid w:val="00605CEE"/>
    <w:rsid w:val="0061032A"/>
    <w:rsid w:val="00610CBC"/>
    <w:rsid w:val="006157DD"/>
    <w:rsid w:val="0061673D"/>
    <w:rsid w:val="00620A53"/>
    <w:rsid w:val="00621EF8"/>
    <w:rsid w:val="00623153"/>
    <w:rsid w:val="00624295"/>
    <w:rsid w:val="00624E3B"/>
    <w:rsid w:val="00625EBD"/>
    <w:rsid w:val="0062748A"/>
    <w:rsid w:val="006302F1"/>
    <w:rsid w:val="00631036"/>
    <w:rsid w:val="00631D6F"/>
    <w:rsid w:val="00631D80"/>
    <w:rsid w:val="006320D2"/>
    <w:rsid w:val="00633FB9"/>
    <w:rsid w:val="00634801"/>
    <w:rsid w:val="00636EB0"/>
    <w:rsid w:val="00640613"/>
    <w:rsid w:val="006410B2"/>
    <w:rsid w:val="0064227B"/>
    <w:rsid w:val="00643372"/>
    <w:rsid w:val="00644478"/>
    <w:rsid w:val="00646082"/>
    <w:rsid w:val="0064684F"/>
    <w:rsid w:val="00647655"/>
    <w:rsid w:val="006477A8"/>
    <w:rsid w:val="006506C4"/>
    <w:rsid w:val="0065166D"/>
    <w:rsid w:val="00652A94"/>
    <w:rsid w:val="00652E16"/>
    <w:rsid w:val="006536C2"/>
    <w:rsid w:val="00653913"/>
    <w:rsid w:val="00655228"/>
    <w:rsid w:val="00657BC1"/>
    <w:rsid w:val="00661B17"/>
    <w:rsid w:val="00664417"/>
    <w:rsid w:val="00664977"/>
    <w:rsid w:val="0066497B"/>
    <w:rsid w:val="006668F3"/>
    <w:rsid w:val="00666EE7"/>
    <w:rsid w:val="00667FEB"/>
    <w:rsid w:val="00670C00"/>
    <w:rsid w:val="00670DEB"/>
    <w:rsid w:val="006710B5"/>
    <w:rsid w:val="006711F4"/>
    <w:rsid w:val="00673273"/>
    <w:rsid w:val="00675A8E"/>
    <w:rsid w:val="00680066"/>
    <w:rsid w:val="0068013A"/>
    <w:rsid w:val="00680BAA"/>
    <w:rsid w:val="00681DCF"/>
    <w:rsid w:val="006820F7"/>
    <w:rsid w:val="00683334"/>
    <w:rsid w:val="0068425C"/>
    <w:rsid w:val="00684A65"/>
    <w:rsid w:val="00685C30"/>
    <w:rsid w:val="00685D63"/>
    <w:rsid w:val="006861E9"/>
    <w:rsid w:val="00686B52"/>
    <w:rsid w:val="00687444"/>
    <w:rsid w:val="00687BCC"/>
    <w:rsid w:val="006903D9"/>
    <w:rsid w:val="006912CD"/>
    <w:rsid w:val="00692F07"/>
    <w:rsid w:val="00695328"/>
    <w:rsid w:val="006959B9"/>
    <w:rsid w:val="006A064A"/>
    <w:rsid w:val="006A1AFC"/>
    <w:rsid w:val="006A26C7"/>
    <w:rsid w:val="006A35CA"/>
    <w:rsid w:val="006A4156"/>
    <w:rsid w:val="006B074E"/>
    <w:rsid w:val="006B13C5"/>
    <w:rsid w:val="006B2823"/>
    <w:rsid w:val="006B3BA4"/>
    <w:rsid w:val="006B4234"/>
    <w:rsid w:val="006B5106"/>
    <w:rsid w:val="006B5633"/>
    <w:rsid w:val="006B5885"/>
    <w:rsid w:val="006B6C76"/>
    <w:rsid w:val="006B75C8"/>
    <w:rsid w:val="006B7877"/>
    <w:rsid w:val="006B7D31"/>
    <w:rsid w:val="006C17C9"/>
    <w:rsid w:val="006C181A"/>
    <w:rsid w:val="006C2057"/>
    <w:rsid w:val="006C496B"/>
    <w:rsid w:val="006C4FC5"/>
    <w:rsid w:val="006C6983"/>
    <w:rsid w:val="006D1874"/>
    <w:rsid w:val="006D26A5"/>
    <w:rsid w:val="006D28D2"/>
    <w:rsid w:val="006D2D72"/>
    <w:rsid w:val="006D4ED5"/>
    <w:rsid w:val="006D6D86"/>
    <w:rsid w:val="006E028D"/>
    <w:rsid w:val="006E2C0E"/>
    <w:rsid w:val="006E3EF8"/>
    <w:rsid w:val="006E40FD"/>
    <w:rsid w:val="006E5FAF"/>
    <w:rsid w:val="006E6B4D"/>
    <w:rsid w:val="006E7D0A"/>
    <w:rsid w:val="006F0304"/>
    <w:rsid w:val="006F09E8"/>
    <w:rsid w:val="006F0CE3"/>
    <w:rsid w:val="006F2B6F"/>
    <w:rsid w:val="006F4FB7"/>
    <w:rsid w:val="006F7044"/>
    <w:rsid w:val="00700F07"/>
    <w:rsid w:val="00702034"/>
    <w:rsid w:val="0070358B"/>
    <w:rsid w:val="00703B0F"/>
    <w:rsid w:val="00706623"/>
    <w:rsid w:val="00707481"/>
    <w:rsid w:val="00707CE9"/>
    <w:rsid w:val="0071076C"/>
    <w:rsid w:val="007108A9"/>
    <w:rsid w:val="00710DD3"/>
    <w:rsid w:val="00711841"/>
    <w:rsid w:val="00713932"/>
    <w:rsid w:val="00714632"/>
    <w:rsid w:val="00716EA6"/>
    <w:rsid w:val="0071761A"/>
    <w:rsid w:val="0071798C"/>
    <w:rsid w:val="00720A2C"/>
    <w:rsid w:val="00720CCA"/>
    <w:rsid w:val="00723838"/>
    <w:rsid w:val="00723C8F"/>
    <w:rsid w:val="00724CEC"/>
    <w:rsid w:val="00726C55"/>
    <w:rsid w:val="00726D52"/>
    <w:rsid w:val="00731207"/>
    <w:rsid w:val="00737AC9"/>
    <w:rsid w:val="00740437"/>
    <w:rsid w:val="00740EDD"/>
    <w:rsid w:val="00742767"/>
    <w:rsid w:val="007430DB"/>
    <w:rsid w:val="00744296"/>
    <w:rsid w:val="00745309"/>
    <w:rsid w:val="00747197"/>
    <w:rsid w:val="007476C9"/>
    <w:rsid w:val="0075138C"/>
    <w:rsid w:val="007515A7"/>
    <w:rsid w:val="00751B86"/>
    <w:rsid w:val="007530E7"/>
    <w:rsid w:val="00753785"/>
    <w:rsid w:val="007538BA"/>
    <w:rsid w:val="00755208"/>
    <w:rsid w:val="00756E29"/>
    <w:rsid w:val="00761C39"/>
    <w:rsid w:val="00762C2F"/>
    <w:rsid w:val="00764711"/>
    <w:rsid w:val="00765A1A"/>
    <w:rsid w:val="00765AC6"/>
    <w:rsid w:val="00765E4B"/>
    <w:rsid w:val="00766165"/>
    <w:rsid w:val="00766C0F"/>
    <w:rsid w:val="00766CD3"/>
    <w:rsid w:val="007714AF"/>
    <w:rsid w:val="007728A1"/>
    <w:rsid w:val="007731E1"/>
    <w:rsid w:val="007743F9"/>
    <w:rsid w:val="00777D44"/>
    <w:rsid w:val="00777EDE"/>
    <w:rsid w:val="00780144"/>
    <w:rsid w:val="0078014F"/>
    <w:rsid w:val="00781E7A"/>
    <w:rsid w:val="007838C5"/>
    <w:rsid w:val="00784C93"/>
    <w:rsid w:val="007902A1"/>
    <w:rsid w:val="00790D0C"/>
    <w:rsid w:val="007913F6"/>
    <w:rsid w:val="007918EC"/>
    <w:rsid w:val="00791D9F"/>
    <w:rsid w:val="00795193"/>
    <w:rsid w:val="00795911"/>
    <w:rsid w:val="00797449"/>
    <w:rsid w:val="007A0048"/>
    <w:rsid w:val="007A1C9B"/>
    <w:rsid w:val="007A2148"/>
    <w:rsid w:val="007A21A2"/>
    <w:rsid w:val="007A320C"/>
    <w:rsid w:val="007A36C4"/>
    <w:rsid w:val="007A3D39"/>
    <w:rsid w:val="007A4C03"/>
    <w:rsid w:val="007A5176"/>
    <w:rsid w:val="007A5257"/>
    <w:rsid w:val="007A5BB9"/>
    <w:rsid w:val="007A68FF"/>
    <w:rsid w:val="007A6909"/>
    <w:rsid w:val="007A6CB0"/>
    <w:rsid w:val="007A6E45"/>
    <w:rsid w:val="007A7D16"/>
    <w:rsid w:val="007B01E0"/>
    <w:rsid w:val="007B0ACC"/>
    <w:rsid w:val="007B2202"/>
    <w:rsid w:val="007B34B5"/>
    <w:rsid w:val="007B46F0"/>
    <w:rsid w:val="007B5D89"/>
    <w:rsid w:val="007B780C"/>
    <w:rsid w:val="007C0351"/>
    <w:rsid w:val="007C123E"/>
    <w:rsid w:val="007C31BF"/>
    <w:rsid w:val="007C5A63"/>
    <w:rsid w:val="007C6134"/>
    <w:rsid w:val="007C62A4"/>
    <w:rsid w:val="007D1FCB"/>
    <w:rsid w:val="007D28A7"/>
    <w:rsid w:val="007D2B2F"/>
    <w:rsid w:val="007D2F43"/>
    <w:rsid w:val="007D55D9"/>
    <w:rsid w:val="007D6E46"/>
    <w:rsid w:val="007E0560"/>
    <w:rsid w:val="007E6D67"/>
    <w:rsid w:val="007F0911"/>
    <w:rsid w:val="007F16C0"/>
    <w:rsid w:val="007F32A6"/>
    <w:rsid w:val="007F5096"/>
    <w:rsid w:val="007F5CC8"/>
    <w:rsid w:val="007F6AC7"/>
    <w:rsid w:val="007F7267"/>
    <w:rsid w:val="00800053"/>
    <w:rsid w:val="00801708"/>
    <w:rsid w:val="008022FF"/>
    <w:rsid w:val="00802555"/>
    <w:rsid w:val="00803FEE"/>
    <w:rsid w:val="008051DD"/>
    <w:rsid w:val="008060E8"/>
    <w:rsid w:val="00806995"/>
    <w:rsid w:val="00807DBB"/>
    <w:rsid w:val="00810739"/>
    <w:rsid w:val="00811545"/>
    <w:rsid w:val="008116F0"/>
    <w:rsid w:val="008123F8"/>
    <w:rsid w:val="008135B8"/>
    <w:rsid w:val="00815BE1"/>
    <w:rsid w:val="0082154B"/>
    <w:rsid w:val="008215B1"/>
    <w:rsid w:val="00822ABB"/>
    <w:rsid w:val="00822C81"/>
    <w:rsid w:val="008237F6"/>
    <w:rsid w:val="00823C95"/>
    <w:rsid w:val="00824F49"/>
    <w:rsid w:val="008261C6"/>
    <w:rsid w:val="008265C5"/>
    <w:rsid w:val="00830384"/>
    <w:rsid w:val="00830FFE"/>
    <w:rsid w:val="00831EA8"/>
    <w:rsid w:val="008322A5"/>
    <w:rsid w:val="0083435E"/>
    <w:rsid w:val="00835E9A"/>
    <w:rsid w:val="00835F92"/>
    <w:rsid w:val="00836864"/>
    <w:rsid w:val="00837E61"/>
    <w:rsid w:val="008409B2"/>
    <w:rsid w:val="00841440"/>
    <w:rsid w:val="00842359"/>
    <w:rsid w:val="008436F1"/>
    <w:rsid w:val="00845ADB"/>
    <w:rsid w:val="008477AF"/>
    <w:rsid w:val="00850069"/>
    <w:rsid w:val="008511D8"/>
    <w:rsid w:val="008513FA"/>
    <w:rsid w:val="00852C23"/>
    <w:rsid w:val="008533F1"/>
    <w:rsid w:val="00853AF9"/>
    <w:rsid w:val="008544DF"/>
    <w:rsid w:val="008551BF"/>
    <w:rsid w:val="0085545A"/>
    <w:rsid w:val="008569AF"/>
    <w:rsid w:val="00857043"/>
    <w:rsid w:val="00857AE5"/>
    <w:rsid w:val="00857E82"/>
    <w:rsid w:val="00860E69"/>
    <w:rsid w:val="00863561"/>
    <w:rsid w:val="00865D8E"/>
    <w:rsid w:val="0086676F"/>
    <w:rsid w:val="00871487"/>
    <w:rsid w:val="00871B4E"/>
    <w:rsid w:val="00872627"/>
    <w:rsid w:val="00872CBE"/>
    <w:rsid w:val="00874317"/>
    <w:rsid w:val="008748C2"/>
    <w:rsid w:val="00875EFE"/>
    <w:rsid w:val="00877B3B"/>
    <w:rsid w:val="008824EC"/>
    <w:rsid w:val="0088320D"/>
    <w:rsid w:val="0088434D"/>
    <w:rsid w:val="00886A2D"/>
    <w:rsid w:val="008902D5"/>
    <w:rsid w:val="00891908"/>
    <w:rsid w:val="008920C1"/>
    <w:rsid w:val="00893673"/>
    <w:rsid w:val="00893AA6"/>
    <w:rsid w:val="00896D2D"/>
    <w:rsid w:val="008975DA"/>
    <w:rsid w:val="008A0B4F"/>
    <w:rsid w:val="008A10EC"/>
    <w:rsid w:val="008A1667"/>
    <w:rsid w:val="008A1B97"/>
    <w:rsid w:val="008A1F0A"/>
    <w:rsid w:val="008A2F93"/>
    <w:rsid w:val="008A3388"/>
    <w:rsid w:val="008A3753"/>
    <w:rsid w:val="008A5082"/>
    <w:rsid w:val="008A6645"/>
    <w:rsid w:val="008A7052"/>
    <w:rsid w:val="008B065F"/>
    <w:rsid w:val="008B2405"/>
    <w:rsid w:val="008B2EEC"/>
    <w:rsid w:val="008B5C85"/>
    <w:rsid w:val="008B5CAB"/>
    <w:rsid w:val="008B6FE1"/>
    <w:rsid w:val="008C1CB0"/>
    <w:rsid w:val="008C4B16"/>
    <w:rsid w:val="008C57DE"/>
    <w:rsid w:val="008C5A5D"/>
    <w:rsid w:val="008C6CF5"/>
    <w:rsid w:val="008D06EC"/>
    <w:rsid w:val="008D12A5"/>
    <w:rsid w:val="008D1A05"/>
    <w:rsid w:val="008D20FF"/>
    <w:rsid w:val="008D4C4D"/>
    <w:rsid w:val="008D565D"/>
    <w:rsid w:val="008E1597"/>
    <w:rsid w:val="008E3F88"/>
    <w:rsid w:val="008E4416"/>
    <w:rsid w:val="008E6A0D"/>
    <w:rsid w:val="008E7303"/>
    <w:rsid w:val="008E7C04"/>
    <w:rsid w:val="008F25A3"/>
    <w:rsid w:val="008F4598"/>
    <w:rsid w:val="008F4BEA"/>
    <w:rsid w:val="008F5A49"/>
    <w:rsid w:val="00904365"/>
    <w:rsid w:val="00905CA7"/>
    <w:rsid w:val="00906229"/>
    <w:rsid w:val="009071B5"/>
    <w:rsid w:val="00910672"/>
    <w:rsid w:val="0091069C"/>
    <w:rsid w:val="00910A53"/>
    <w:rsid w:val="00910F22"/>
    <w:rsid w:val="00911124"/>
    <w:rsid w:val="00911C92"/>
    <w:rsid w:val="009127B5"/>
    <w:rsid w:val="009133E9"/>
    <w:rsid w:val="00913B41"/>
    <w:rsid w:val="00914131"/>
    <w:rsid w:val="00920F52"/>
    <w:rsid w:val="009215C5"/>
    <w:rsid w:val="009222D9"/>
    <w:rsid w:val="00922430"/>
    <w:rsid w:val="00923C5B"/>
    <w:rsid w:val="00926F97"/>
    <w:rsid w:val="00927E26"/>
    <w:rsid w:val="00930D71"/>
    <w:rsid w:val="00931636"/>
    <w:rsid w:val="00931677"/>
    <w:rsid w:val="0093211C"/>
    <w:rsid w:val="009321D1"/>
    <w:rsid w:val="00932A76"/>
    <w:rsid w:val="009376D8"/>
    <w:rsid w:val="00937E1C"/>
    <w:rsid w:val="009411E2"/>
    <w:rsid w:val="00941A59"/>
    <w:rsid w:val="00942D2F"/>
    <w:rsid w:val="0094392D"/>
    <w:rsid w:val="0094472F"/>
    <w:rsid w:val="0094484D"/>
    <w:rsid w:val="00946054"/>
    <w:rsid w:val="009462B3"/>
    <w:rsid w:val="009527B9"/>
    <w:rsid w:val="00953C6A"/>
    <w:rsid w:val="00953EB5"/>
    <w:rsid w:val="009569E1"/>
    <w:rsid w:val="00956F9F"/>
    <w:rsid w:val="009634B2"/>
    <w:rsid w:val="00964FAB"/>
    <w:rsid w:val="00965E0A"/>
    <w:rsid w:val="0096680C"/>
    <w:rsid w:val="00966862"/>
    <w:rsid w:val="00966A9E"/>
    <w:rsid w:val="0096708F"/>
    <w:rsid w:val="00967298"/>
    <w:rsid w:val="009679FB"/>
    <w:rsid w:val="009706DC"/>
    <w:rsid w:val="009714E1"/>
    <w:rsid w:val="009737E9"/>
    <w:rsid w:val="0097674E"/>
    <w:rsid w:val="009768F8"/>
    <w:rsid w:val="00976E31"/>
    <w:rsid w:val="00981E04"/>
    <w:rsid w:val="00983DA7"/>
    <w:rsid w:val="00984A26"/>
    <w:rsid w:val="00985037"/>
    <w:rsid w:val="00985706"/>
    <w:rsid w:val="00985C35"/>
    <w:rsid w:val="00985C8D"/>
    <w:rsid w:val="00987A59"/>
    <w:rsid w:val="00987A87"/>
    <w:rsid w:val="00991DB3"/>
    <w:rsid w:val="00992319"/>
    <w:rsid w:val="00992761"/>
    <w:rsid w:val="00995088"/>
    <w:rsid w:val="00997CB2"/>
    <w:rsid w:val="009A0ADA"/>
    <w:rsid w:val="009A1301"/>
    <w:rsid w:val="009A209F"/>
    <w:rsid w:val="009A2468"/>
    <w:rsid w:val="009A26F4"/>
    <w:rsid w:val="009A4C5C"/>
    <w:rsid w:val="009A737C"/>
    <w:rsid w:val="009A7A17"/>
    <w:rsid w:val="009A7B17"/>
    <w:rsid w:val="009B0550"/>
    <w:rsid w:val="009B075D"/>
    <w:rsid w:val="009B3169"/>
    <w:rsid w:val="009B4A73"/>
    <w:rsid w:val="009B5A30"/>
    <w:rsid w:val="009B70F8"/>
    <w:rsid w:val="009C10B2"/>
    <w:rsid w:val="009C113B"/>
    <w:rsid w:val="009C13A6"/>
    <w:rsid w:val="009C38CA"/>
    <w:rsid w:val="009C56A0"/>
    <w:rsid w:val="009C69E3"/>
    <w:rsid w:val="009C6B0C"/>
    <w:rsid w:val="009D0182"/>
    <w:rsid w:val="009D093A"/>
    <w:rsid w:val="009D0AB2"/>
    <w:rsid w:val="009D0B7F"/>
    <w:rsid w:val="009D0FA3"/>
    <w:rsid w:val="009D3D2B"/>
    <w:rsid w:val="009D4545"/>
    <w:rsid w:val="009D516F"/>
    <w:rsid w:val="009D6365"/>
    <w:rsid w:val="009E0245"/>
    <w:rsid w:val="009E22B3"/>
    <w:rsid w:val="009E290D"/>
    <w:rsid w:val="009E35EF"/>
    <w:rsid w:val="009E361D"/>
    <w:rsid w:val="009E3F3F"/>
    <w:rsid w:val="009E435B"/>
    <w:rsid w:val="009E52C9"/>
    <w:rsid w:val="009F0042"/>
    <w:rsid w:val="009F0789"/>
    <w:rsid w:val="009F10EF"/>
    <w:rsid w:val="009F1A00"/>
    <w:rsid w:val="009F3558"/>
    <w:rsid w:val="009F3CF5"/>
    <w:rsid w:val="009F6F02"/>
    <w:rsid w:val="009F6F44"/>
    <w:rsid w:val="009F7BA5"/>
    <w:rsid w:val="00A0025A"/>
    <w:rsid w:val="00A0075D"/>
    <w:rsid w:val="00A0165D"/>
    <w:rsid w:val="00A02C89"/>
    <w:rsid w:val="00A02E4F"/>
    <w:rsid w:val="00A033F1"/>
    <w:rsid w:val="00A053D9"/>
    <w:rsid w:val="00A05AFA"/>
    <w:rsid w:val="00A06927"/>
    <w:rsid w:val="00A1275C"/>
    <w:rsid w:val="00A129F7"/>
    <w:rsid w:val="00A12A94"/>
    <w:rsid w:val="00A13470"/>
    <w:rsid w:val="00A13862"/>
    <w:rsid w:val="00A138E8"/>
    <w:rsid w:val="00A15022"/>
    <w:rsid w:val="00A154AA"/>
    <w:rsid w:val="00A1699A"/>
    <w:rsid w:val="00A27718"/>
    <w:rsid w:val="00A31399"/>
    <w:rsid w:val="00A33CBB"/>
    <w:rsid w:val="00A34CE2"/>
    <w:rsid w:val="00A36699"/>
    <w:rsid w:val="00A36A97"/>
    <w:rsid w:val="00A37766"/>
    <w:rsid w:val="00A400F9"/>
    <w:rsid w:val="00A40CEE"/>
    <w:rsid w:val="00A42C74"/>
    <w:rsid w:val="00A42CAA"/>
    <w:rsid w:val="00A43EEB"/>
    <w:rsid w:val="00A44C63"/>
    <w:rsid w:val="00A455FB"/>
    <w:rsid w:val="00A47827"/>
    <w:rsid w:val="00A52B50"/>
    <w:rsid w:val="00A52E6C"/>
    <w:rsid w:val="00A53EC0"/>
    <w:rsid w:val="00A54866"/>
    <w:rsid w:val="00A5490B"/>
    <w:rsid w:val="00A54D4E"/>
    <w:rsid w:val="00A561D1"/>
    <w:rsid w:val="00A6013C"/>
    <w:rsid w:val="00A62D8B"/>
    <w:rsid w:val="00A64B03"/>
    <w:rsid w:val="00A7002D"/>
    <w:rsid w:val="00A713DE"/>
    <w:rsid w:val="00A71E5C"/>
    <w:rsid w:val="00A72F5C"/>
    <w:rsid w:val="00A73136"/>
    <w:rsid w:val="00A74619"/>
    <w:rsid w:val="00A74DA5"/>
    <w:rsid w:val="00A75083"/>
    <w:rsid w:val="00A7647A"/>
    <w:rsid w:val="00A776F5"/>
    <w:rsid w:val="00A80B4B"/>
    <w:rsid w:val="00A80D2D"/>
    <w:rsid w:val="00A819D4"/>
    <w:rsid w:val="00A8351A"/>
    <w:rsid w:val="00A84CAD"/>
    <w:rsid w:val="00A85158"/>
    <w:rsid w:val="00A91BF7"/>
    <w:rsid w:val="00A927F5"/>
    <w:rsid w:val="00A92A78"/>
    <w:rsid w:val="00A934C3"/>
    <w:rsid w:val="00A95090"/>
    <w:rsid w:val="00A9709A"/>
    <w:rsid w:val="00AA00C6"/>
    <w:rsid w:val="00AA0EFE"/>
    <w:rsid w:val="00AA24F3"/>
    <w:rsid w:val="00AA28B5"/>
    <w:rsid w:val="00AA474A"/>
    <w:rsid w:val="00AA6108"/>
    <w:rsid w:val="00AA6ACB"/>
    <w:rsid w:val="00AA6E74"/>
    <w:rsid w:val="00AA7770"/>
    <w:rsid w:val="00AB08BD"/>
    <w:rsid w:val="00AB65CA"/>
    <w:rsid w:val="00AC0DFE"/>
    <w:rsid w:val="00AC0FD6"/>
    <w:rsid w:val="00AC2307"/>
    <w:rsid w:val="00AC2FE4"/>
    <w:rsid w:val="00AC3123"/>
    <w:rsid w:val="00AC3CAE"/>
    <w:rsid w:val="00AC4791"/>
    <w:rsid w:val="00AC520B"/>
    <w:rsid w:val="00AC75F2"/>
    <w:rsid w:val="00AC7B4A"/>
    <w:rsid w:val="00AD026D"/>
    <w:rsid w:val="00AD20A7"/>
    <w:rsid w:val="00AD3240"/>
    <w:rsid w:val="00AD38D6"/>
    <w:rsid w:val="00AD7066"/>
    <w:rsid w:val="00AE1E50"/>
    <w:rsid w:val="00AE2C69"/>
    <w:rsid w:val="00AE35F7"/>
    <w:rsid w:val="00AE3CCF"/>
    <w:rsid w:val="00AE47DA"/>
    <w:rsid w:val="00AE57AE"/>
    <w:rsid w:val="00AE6C18"/>
    <w:rsid w:val="00AF1154"/>
    <w:rsid w:val="00AF33CD"/>
    <w:rsid w:val="00AF711A"/>
    <w:rsid w:val="00B0097E"/>
    <w:rsid w:val="00B01B91"/>
    <w:rsid w:val="00B02209"/>
    <w:rsid w:val="00B038FE"/>
    <w:rsid w:val="00B04696"/>
    <w:rsid w:val="00B04C47"/>
    <w:rsid w:val="00B07D12"/>
    <w:rsid w:val="00B10398"/>
    <w:rsid w:val="00B12E8F"/>
    <w:rsid w:val="00B13D04"/>
    <w:rsid w:val="00B14C57"/>
    <w:rsid w:val="00B16563"/>
    <w:rsid w:val="00B17825"/>
    <w:rsid w:val="00B21B21"/>
    <w:rsid w:val="00B21FA9"/>
    <w:rsid w:val="00B23324"/>
    <w:rsid w:val="00B23A28"/>
    <w:rsid w:val="00B23AE3"/>
    <w:rsid w:val="00B23F6C"/>
    <w:rsid w:val="00B278DA"/>
    <w:rsid w:val="00B30252"/>
    <w:rsid w:val="00B30CC4"/>
    <w:rsid w:val="00B32388"/>
    <w:rsid w:val="00B324F8"/>
    <w:rsid w:val="00B4150A"/>
    <w:rsid w:val="00B4319B"/>
    <w:rsid w:val="00B44773"/>
    <w:rsid w:val="00B46270"/>
    <w:rsid w:val="00B50C3E"/>
    <w:rsid w:val="00B52768"/>
    <w:rsid w:val="00B55124"/>
    <w:rsid w:val="00B5633A"/>
    <w:rsid w:val="00B56A71"/>
    <w:rsid w:val="00B57B40"/>
    <w:rsid w:val="00B60F8D"/>
    <w:rsid w:val="00B62590"/>
    <w:rsid w:val="00B63365"/>
    <w:rsid w:val="00B63564"/>
    <w:rsid w:val="00B645CE"/>
    <w:rsid w:val="00B65F1B"/>
    <w:rsid w:val="00B66D1D"/>
    <w:rsid w:val="00B679D2"/>
    <w:rsid w:val="00B70689"/>
    <w:rsid w:val="00B7103C"/>
    <w:rsid w:val="00B710C6"/>
    <w:rsid w:val="00B726D9"/>
    <w:rsid w:val="00B73F23"/>
    <w:rsid w:val="00B77A4D"/>
    <w:rsid w:val="00B77C1B"/>
    <w:rsid w:val="00B83077"/>
    <w:rsid w:val="00B836E3"/>
    <w:rsid w:val="00B8581E"/>
    <w:rsid w:val="00B87BDF"/>
    <w:rsid w:val="00B87BE0"/>
    <w:rsid w:val="00B91D27"/>
    <w:rsid w:val="00B92420"/>
    <w:rsid w:val="00B93697"/>
    <w:rsid w:val="00B93971"/>
    <w:rsid w:val="00B9624D"/>
    <w:rsid w:val="00B969A0"/>
    <w:rsid w:val="00B9731B"/>
    <w:rsid w:val="00BA02DB"/>
    <w:rsid w:val="00BA0DA7"/>
    <w:rsid w:val="00BA203E"/>
    <w:rsid w:val="00BA2208"/>
    <w:rsid w:val="00BA3000"/>
    <w:rsid w:val="00BA30FA"/>
    <w:rsid w:val="00BA42AD"/>
    <w:rsid w:val="00BA4A84"/>
    <w:rsid w:val="00BA4CDD"/>
    <w:rsid w:val="00BA540E"/>
    <w:rsid w:val="00BA5DD9"/>
    <w:rsid w:val="00BA5DDF"/>
    <w:rsid w:val="00BA6410"/>
    <w:rsid w:val="00BA707E"/>
    <w:rsid w:val="00BB1D94"/>
    <w:rsid w:val="00BB3B18"/>
    <w:rsid w:val="00BB6063"/>
    <w:rsid w:val="00BB6AD6"/>
    <w:rsid w:val="00BB6BD8"/>
    <w:rsid w:val="00BC30BE"/>
    <w:rsid w:val="00BC5820"/>
    <w:rsid w:val="00BC77C5"/>
    <w:rsid w:val="00BD0012"/>
    <w:rsid w:val="00BD02CC"/>
    <w:rsid w:val="00BD1429"/>
    <w:rsid w:val="00BD21D7"/>
    <w:rsid w:val="00BD26F0"/>
    <w:rsid w:val="00BD2D5F"/>
    <w:rsid w:val="00BD3AC5"/>
    <w:rsid w:val="00BD51DE"/>
    <w:rsid w:val="00BD7B0F"/>
    <w:rsid w:val="00BE1064"/>
    <w:rsid w:val="00BE155D"/>
    <w:rsid w:val="00BE2284"/>
    <w:rsid w:val="00BE2375"/>
    <w:rsid w:val="00BE2CE9"/>
    <w:rsid w:val="00BE5DB4"/>
    <w:rsid w:val="00BE7869"/>
    <w:rsid w:val="00BE789B"/>
    <w:rsid w:val="00BF19F9"/>
    <w:rsid w:val="00BF21AB"/>
    <w:rsid w:val="00BF2D8E"/>
    <w:rsid w:val="00BF4813"/>
    <w:rsid w:val="00BF5114"/>
    <w:rsid w:val="00C0077A"/>
    <w:rsid w:val="00C020F2"/>
    <w:rsid w:val="00C0283A"/>
    <w:rsid w:val="00C03D56"/>
    <w:rsid w:val="00C04C50"/>
    <w:rsid w:val="00C04F5D"/>
    <w:rsid w:val="00C052B5"/>
    <w:rsid w:val="00C0564E"/>
    <w:rsid w:val="00C0635F"/>
    <w:rsid w:val="00C10011"/>
    <w:rsid w:val="00C12FEC"/>
    <w:rsid w:val="00C13ED9"/>
    <w:rsid w:val="00C13F44"/>
    <w:rsid w:val="00C13FB8"/>
    <w:rsid w:val="00C14511"/>
    <w:rsid w:val="00C14DC1"/>
    <w:rsid w:val="00C1524E"/>
    <w:rsid w:val="00C16CE7"/>
    <w:rsid w:val="00C2067F"/>
    <w:rsid w:val="00C23228"/>
    <w:rsid w:val="00C242E0"/>
    <w:rsid w:val="00C30502"/>
    <w:rsid w:val="00C30A65"/>
    <w:rsid w:val="00C345D4"/>
    <w:rsid w:val="00C34EB9"/>
    <w:rsid w:val="00C35F21"/>
    <w:rsid w:val="00C36D01"/>
    <w:rsid w:val="00C40777"/>
    <w:rsid w:val="00C41842"/>
    <w:rsid w:val="00C42034"/>
    <w:rsid w:val="00C44B05"/>
    <w:rsid w:val="00C45AC2"/>
    <w:rsid w:val="00C45CEE"/>
    <w:rsid w:val="00C474AB"/>
    <w:rsid w:val="00C50152"/>
    <w:rsid w:val="00C507B5"/>
    <w:rsid w:val="00C51317"/>
    <w:rsid w:val="00C54427"/>
    <w:rsid w:val="00C55228"/>
    <w:rsid w:val="00C5548D"/>
    <w:rsid w:val="00C55F86"/>
    <w:rsid w:val="00C55FE9"/>
    <w:rsid w:val="00C57FAA"/>
    <w:rsid w:val="00C60228"/>
    <w:rsid w:val="00C60885"/>
    <w:rsid w:val="00C60AED"/>
    <w:rsid w:val="00C60EF0"/>
    <w:rsid w:val="00C60F56"/>
    <w:rsid w:val="00C61449"/>
    <w:rsid w:val="00C616F4"/>
    <w:rsid w:val="00C6386B"/>
    <w:rsid w:val="00C63D5C"/>
    <w:rsid w:val="00C64204"/>
    <w:rsid w:val="00C64269"/>
    <w:rsid w:val="00C64B22"/>
    <w:rsid w:val="00C668BD"/>
    <w:rsid w:val="00C700D0"/>
    <w:rsid w:val="00C7052D"/>
    <w:rsid w:val="00C70621"/>
    <w:rsid w:val="00C71215"/>
    <w:rsid w:val="00C71A58"/>
    <w:rsid w:val="00C726FA"/>
    <w:rsid w:val="00C743AE"/>
    <w:rsid w:val="00C743F4"/>
    <w:rsid w:val="00C76A90"/>
    <w:rsid w:val="00C80560"/>
    <w:rsid w:val="00C80658"/>
    <w:rsid w:val="00C81935"/>
    <w:rsid w:val="00C81A3F"/>
    <w:rsid w:val="00C82750"/>
    <w:rsid w:val="00C83670"/>
    <w:rsid w:val="00C8420B"/>
    <w:rsid w:val="00C85DCC"/>
    <w:rsid w:val="00C86C3B"/>
    <w:rsid w:val="00C8730A"/>
    <w:rsid w:val="00C87A6F"/>
    <w:rsid w:val="00C94632"/>
    <w:rsid w:val="00C967FD"/>
    <w:rsid w:val="00C97C5D"/>
    <w:rsid w:val="00CA3F6A"/>
    <w:rsid w:val="00CA4666"/>
    <w:rsid w:val="00CA7A69"/>
    <w:rsid w:val="00CA7BA3"/>
    <w:rsid w:val="00CB1FBD"/>
    <w:rsid w:val="00CB239A"/>
    <w:rsid w:val="00CB3DD2"/>
    <w:rsid w:val="00CB3E42"/>
    <w:rsid w:val="00CB3F33"/>
    <w:rsid w:val="00CB4D35"/>
    <w:rsid w:val="00CB4D9D"/>
    <w:rsid w:val="00CB74B2"/>
    <w:rsid w:val="00CC06AF"/>
    <w:rsid w:val="00CC09F5"/>
    <w:rsid w:val="00CC0A3E"/>
    <w:rsid w:val="00CC1F4C"/>
    <w:rsid w:val="00CC24CA"/>
    <w:rsid w:val="00CC3EF7"/>
    <w:rsid w:val="00CC4361"/>
    <w:rsid w:val="00CC48EB"/>
    <w:rsid w:val="00CC5011"/>
    <w:rsid w:val="00CC5681"/>
    <w:rsid w:val="00CC5A0B"/>
    <w:rsid w:val="00CC60AB"/>
    <w:rsid w:val="00CC6D7D"/>
    <w:rsid w:val="00CC7401"/>
    <w:rsid w:val="00CC7E20"/>
    <w:rsid w:val="00CD0BF4"/>
    <w:rsid w:val="00CD0FC3"/>
    <w:rsid w:val="00CD11E4"/>
    <w:rsid w:val="00CD11F0"/>
    <w:rsid w:val="00CD13E4"/>
    <w:rsid w:val="00CD1AE3"/>
    <w:rsid w:val="00CD2570"/>
    <w:rsid w:val="00CD53E0"/>
    <w:rsid w:val="00CD5D4E"/>
    <w:rsid w:val="00CD5E0A"/>
    <w:rsid w:val="00CD72CB"/>
    <w:rsid w:val="00CE1332"/>
    <w:rsid w:val="00CE36FD"/>
    <w:rsid w:val="00CE5920"/>
    <w:rsid w:val="00CE721B"/>
    <w:rsid w:val="00CF00C7"/>
    <w:rsid w:val="00CF3174"/>
    <w:rsid w:val="00CF5A43"/>
    <w:rsid w:val="00CF5C11"/>
    <w:rsid w:val="00CF7B44"/>
    <w:rsid w:val="00CF7E4D"/>
    <w:rsid w:val="00D01508"/>
    <w:rsid w:val="00D01549"/>
    <w:rsid w:val="00D01856"/>
    <w:rsid w:val="00D01E41"/>
    <w:rsid w:val="00D02984"/>
    <w:rsid w:val="00D04356"/>
    <w:rsid w:val="00D044FF"/>
    <w:rsid w:val="00D05344"/>
    <w:rsid w:val="00D05B58"/>
    <w:rsid w:val="00D0613E"/>
    <w:rsid w:val="00D071C5"/>
    <w:rsid w:val="00D073DA"/>
    <w:rsid w:val="00D1261E"/>
    <w:rsid w:val="00D12F79"/>
    <w:rsid w:val="00D134C7"/>
    <w:rsid w:val="00D14C82"/>
    <w:rsid w:val="00D15E9F"/>
    <w:rsid w:val="00D16E64"/>
    <w:rsid w:val="00D21998"/>
    <w:rsid w:val="00D220ED"/>
    <w:rsid w:val="00D257EC"/>
    <w:rsid w:val="00D31668"/>
    <w:rsid w:val="00D32F38"/>
    <w:rsid w:val="00D37730"/>
    <w:rsid w:val="00D41C10"/>
    <w:rsid w:val="00D42B7A"/>
    <w:rsid w:val="00D44249"/>
    <w:rsid w:val="00D4426B"/>
    <w:rsid w:val="00D449E7"/>
    <w:rsid w:val="00D45C53"/>
    <w:rsid w:val="00D4661C"/>
    <w:rsid w:val="00D514D6"/>
    <w:rsid w:val="00D5259A"/>
    <w:rsid w:val="00D53E8C"/>
    <w:rsid w:val="00D568C0"/>
    <w:rsid w:val="00D56D95"/>
    <w:rsid w:val="00D60157"/>
    <w:rsid w:val="00D6125E"/>
    <w:rsid w:val="00D62025"/>
    <w:rsid w:val="00D64780"/>
    <w:rsid w:val="00D64946"/>
    <w:rsid w:val="00D65D19"/>
    <w:rsid w:val="00D65DC8"/>
    <w:rsid w:val="00D6692A"/>
    <w:rsid w:val="00D71F54"/>
    <w:rsid w:val="00D73754"/>
    <w:rsid w:val="00D73D54"/>
    <w:rsid w:val="00D746EA"/>
    <w:rsid w:val="00D8084D"/>
    <w:rsid w:val="00D81505"/>
    <w:rsid w:val="00D8432D"/>
    <w:rsid w:val="00D86E42"/>
    <w:rsid w:val="00D87F06"/>
    <w:rsid w:val="00D912CE"/>
    <w:rsid w:val="00D935A6"/>
    <w:rsid w:val="00D947ED"/>
    <w:rsid w:val="00D94BB3"/>
    <w:rsid w:val="00D95A52"/>
    <w:rsid w:val="00D95C26"/>
    <w:rsid w:val="00D9657F"/>
    <w:rsid w:val="00DA13CD"/>
    <w:rsid w:val="00DA3F8B"/>
    <w:rsid w:val="00DA5CD3"/>
    <w:rsid w:val="00DB0937"/>
    <w:rsid w:val="00DB1D3C"/>
    <w:rsid w:val="00DB2832"/>
    <w:rsid w:val="00DB35A4"/>
    <w:rsid w:val="00DB40AC"/>
    <w:rsid w:val="00DC0184"/>
    <w:rsid w:val="00DC2BA2"/>
    <w:rsid w:val="00DC3061"/>
    <w:rsid w:val="00DC3471"/>
    <w:rsid w:val="00DC3DB3"/>
    <w:rsid w:val="00DC71A6"/>
    <w:rsid w:val="00DD0796"/>
    <w:rsid w:val="00DD10DE"/>
    <w:rsid w:val="00DD14E2"/>
    <w:rsid w:val="00DD1538"/>
    <w:rsid w:val="00DD1A10"/>
    <w:rsid w:val="00DD1A94"/>
    <w:rsid w:val="00DD1DBD"/>
    <w:rsid w:val="00DD3AFC"/>
    <w:rsid w:val="00DD3E26"/>
    <w:rsid w:val="00DD419F"/>
    <w:rsid w:val="00DD452B"/>
    <w:rsid w:val="00DD502A"/>
    <w:rsid w:val="00DD5EB5"/>
    <w:rsid w:val="00DE110C"/>
    <w:rsid w:val="00DE32DA"/>
    <w:rsid w:val="00DE34C2"/>
    <w:rsid w:val="00DE3EF5"/>
    <w:rsid w:val="00DE41C9"/>
    <w:rsid w:val="00DE44BC"/>
    <w:rsid w:val="00DE527C"/>
    <w:rsid w:val="00DE5F2D"/>
    <w:rsid w:val="00DE6C67"/>
    <w:rsid w:val="00DE7C56"/>
    <w:rsid w:val="00DF0B32"/>
    <w:rsid w:val="00DF2048"/>
    <w:rsid w:val="00DF2AFE"/>
    <w:rsid w:val="00DF624F"/>
    <w:rsid w:val="00DF733D"/>
    <w:rsid w:val="00DF76FE"/>
    <w:rsid w:val="00E068B2"/>
    <w:rsid w:val="00E13E56"/>
    <w:rsid w:val="00E14120"/>
    <w:rsid w:val="00E1511F"/>
    <w:rsid w:val="00E15480"/>
    <w:rsid w:val="00E15EC2"/>
    <w:rsid w:val="00E1641C"/>
    <w:rsid w:val="00E2044B"/>
    <w:rsid w:val="00E20BF1"/>
    <w:rsid w:val="00E217B1"/>
    <w:rsid w:val="00E21CBE"/>
    <w:rsid w:val="00E21DFD"/>
    <w:rsid w:val="00E2201F"/>
    <w:rsid w:val="00E22098"/>
    <w:rsid w:val="00E24595"/>
    <w:rsid w:val="00E2484C"/>
    <w:rsid w:val="00E263E9"/>
    <w:rsid w:val="00E27059"/>
    <w:rsid w:val="00E3374B"/>
    <w:rsid w:val="00E344BB"/>
    <w:rsid w:val="00E37C1F"/>
    <w:rsid w:val="00E37D9C"/>
    <w:rsid w:val="00E41186"/>
    <w:rsid w:val="00E41982"/>
    <w:rsid w:val="00E41AEE"/>
    <w:rsid w:val="00E44B47"/>
    <w:rsid w:val="00E455CF"/>
    <w:rsid w:val="00E4565D"/>
    <w:rsid w:val="00E45A0E"/>
    <w:rsid w:val="00E4796C"/>
    <w:rsid w:val="00E50609"/>
    <w:rsid w:val="00E5183D"/>
    <w:rsid w:val="00E52243"/>
    <w:rsid w:val="00E528B1"/>
    <w:rsid w:val="00E534F3"/>
    <w:rsid w:val="00E546E8"/>
    <w:rsid w:val="00E55004"/>
    <w:rsid w:val="00E63427"/>
    <w:rsid w:val="00E6417B"/>
    <w:rsid w:val="00E64768"/>
    <w:rsid w:val="00E64B1B"/>
    <w:rsid w:val="00E65207"/>
    <w:rsid w:val="00E65AAC"/>
    <w:rsid w:val="00E66E14"/>
    <w:rsid w:val="00E66F07"/>
    <w:rsid w:val="00E722AF"/>
    <w:rsid w:val="00E737E3"/>
    <w:rsid w:val="00E7429E"/>
    <w:rsid w:val="00E7587E"/>
    <w:rsid w:val="00E76509"/>
    <w:rsid w:val="00E7784B"/>
    <w:rsid w:val="00E80ECC"/>
    <w:rsid w:val="00E81CC1"/>
    <w:rsid w:val="00E8211B"/>
    <w:rsid w:val="00E82A87"/>
    <w:rsid w:val="00E82FE5"/>
    <w:rsid w:val="00E83906"/>
    <w:rsid w:val="00E83B73"/>
    <w:rsid w:val="00E840A2"/>
    <w:rsid w:val="00E85EB9"/>
    <w:rsid w:val="00E87033"/>
    <w:rsid w:val="00E870A3"/>
    <w:rsid w:val="00E8748B"/>
    <w:rsid w:val="00E87941"/>
    <w:rsid w:val="00E91031"/>
    <w:rsid w:val="00E91DD6"/>
    <w:rsid w:val="00E9449B"/>
    <w:rsid w:val="00E95AC3"/>
    <w:rsid w:val="00E9643B"/>
    <w:rsid w:val="00E9753A"/>
    <w:rsid w:val="00EA01B8"/>
    <w:rsid w:val="00EA0FE9"/>
    <w:rsid w:val="00EA4481"/>
    <w:rsid w:val="00EA555F"/>
    <w:rsid w:val="00EA7C49"/>
    <w:rsid w:val="00EB0F9B"/>
    <w:rsid w:val="00EB1F31"/>
    <w:rsid w:val="00EB219D"/>
    <w:rsid w:val="00EB2B20"/>
    <w:rsid w:val="00EB6405"/>
    <w:rsid w:val="00EB7431"/>
    <w:rsid w:val="00EC0F94"/>
    <w:rsid w:val="00EC1B3C"/>
    <w:rsid w:val="00EC33FD"/>
    <w:rsid w:val="00EC342C"/>
    <w:rsid w:val="00EC4CE8"/>
    <w:rsid w:val="00EC5529"/>
    <w:rsid w:val="00EC6592"/>
    <w:rsid w:val="00EC692F"/>
    <w:rsid w:val="00EC7CD2"/>
    <w:rsid w:val="00ED0CEA"/>
    <w:rsid w:val="00ED13D0"/>
    <w:rsid w:val="00ED48BC"/>
    <w:rsid w:val="00ED6A0A"/>
    <w:rsid w:val="00ED7F85"/>
    <w:rsid w:val="00EE03C6"/>
    <w:rsid w:val="00EE05E7"/>
    <w:rsid w:val="00EE076F"/>
    <w:rsid w:val="00EE2222"/>
    <w:rsid w:val="00EE34D3"/>
    <w:rsid w:val="00EE3524"/>
    <w:rsid w:val="00EE49B5"/>
    <w:rsid w:val="00EF3654"/>
    <w:rsid w:val="00EF490D"/>
    <w:rsid w:val="00EF4F2D"/>
    <w:rsid w:val="00EF769D"/>
    <w:rsid w:val="00EF77C9"/>
    <w:rsid w:val="00EF7942"/>
    <w:rsid w:val="00F02194"/>
    <w:rsid w:val="00F0321C"/>
    <w:rsid w:val="00F04DC8"/>
    <w:rsid w:val="00F11610"/>
    <w:rsid w:val="00F11D3F"/>
    <w:rsid w:val="00F1254A"/>
    <w:rsid w:val="00F138AA"/>
    <w:rsid w:val="00F13D25"/>
    <w:rsid w:val="00F15EF5"/>
    <w:rsid w:val="00F20130"/>
    <w:rsid w:val="00F2102D"/>
    <w:rsid w:val="00F210D4"/>
    <w:rsid w:val="00F21BD3"/>
    <w:rsid w:val="00F22080"/>
    <w:rsid w:val="00F22A44"/>
    <w:rsid w:val="00F23781"/>
    <w:rsid w:val="00F26EDD"/>
    <w:rsid w:val="00F279E1"/>
    <w:rsid w:val="00F334D8"/>
    <w:rsid w:val="00F343D4"/>
    <w:rsid w:val="00F36BAF"/>
    <w:rsid w:val="00F36DF2"/>
    <w:rsid w:val="00F37FD4"/>
    <w:rsid w:val="00F400FC"/>
    <w:rsid w:val="00F403E2"/>
    <w:rsid w:val="00F41E46"/>
    <w:rsid w:val="00F44630"/>
    <w:rsid w:val="00F515CC"/>
    <w:rsid w:val="00F5169A"/>
    <w:rsid w:val="00F51C24"/>
    <w:rsid w:val="00F52B6B"/>
    <w:rsid w:val="00F52B9E"/>
    <w:rsid w:val="00F53E14"/>
    <w:rsid w:val="00F5409E"/>
    <w:rsid w:val="00F5470B"/>
    <w:rsid w:val="00F54B00"/>
    <w:rsid w:val="00F54D45"/>
    <w:rsid w:val="00F557DC"/>
    <w:rsid w:val="00F558C9"/>
    <w:rsid w:val="00F56183"/>
    <w:rsid w:val="00F57919"/>
    <w:rsid w:val="00F57D4B"/>
    <w:rsid w:val="00F60388"/>
    <w:rsid w:val="00F6146B"/>
    <w:rsid w:val="00F62F12"/>
    <w:rsid w:val="00F6392D"/>
    <w:rsid w:val="00F639CB"/>
    <w:rsid w:val="00F64519"/>
    <w:rsid w:val="00F64E49"/>
    <w:rsid w:val="00F6522A"/>
    <w:rsid w:val="00F65670"/>
    <w:rsid w:val="00F65B2E"/>
    <w:rsid w:val="00F66258"/>
    <w:rsid w:val="00F66C4A"/>
    <w:rsid w:val="00F66E13"/>
    <w:rsid w:val="00F67595"/>
    <w:rsid w:val="00F67D8D"/>
    <w:rsid w:val="00F70115"/>
    <w:rsid w:val="00F71632"/>
    <w:rsid w:val="00F735F9"/>
    <w:rsid w:val="00F75B50"/>
    <w:rsid w:val="00F7748B"/>
    <w:rsid w:val="00F77EC3"/>
    <w:rsid w:val="00F80D52"/>
    <w:rsid w:val="00F84464"/>
    <w:rsid w:val="00F85141"/>
    <w:rsid w:val="00F90452"/>
    <w:rsid w:val="00F91CB5"/>
    <w:rsid w:val="00F92284"/>
    <w:rsid w:val="00F92C03"/>
    <w:rsid w:val="00F93BF1"/>
    <w:rsid w:val="00F96BA3"/>
    <w:rsid w:val="00F97660"/>
    <w:rsid w:val="00F97F19"/>
    <w:rsid w:val="00FA0A02"/>
    <w:rsid w:val="00FA0B87"/>
    <w:rsid w:val="00FA36C5"/>
    <w:rsid w:val="00FA3809"/>
    <w:rsid w:val="00FB051B"/>
    <w:rsid w:val="00FB0FC2"/>
    <w:rsid w:val="00FB13FE"/>
    <w:rsid w:val="00FB1D12"/>
    <w:rsid w:val="00FB4D42"/>
    <w:rsid w:val="00FB5E90"/>
    <w:rsid w:val="00FB600B"/>
    <w:rsid w:val="00FC007E"/>
    <w:rsid w:val="00FC0351"/>
    <w:rsid w:val="00FC1DC3"/>
    <w:rsid w:val="00FC275A"/>
    <w:rsid w:val="00FC2885"/>
    <w:rsid w:val="00FC3125"/>
    <w:rsid w:val="00FC3418"/>
    <w:rsid w:val="00FC3537"/>
    <w:rsid w:val="00FC3BF0"/>
    <w:rsid w:val="00FC407A"/>
    <w:rsid w:val="00FC709F"/>
    <w:rsid w:val="00FC71EF"/>
    <w:rsid w:val="00FC755A"/>
    <w:rsid w:val="00FC7705"/>
    <w:rsid w:val="00FD149A"/>
    <w:rsid w:val="00FD175F"/>
    <w:rsid w:val="00FD2506"/>
    <w:rsid w:val="00FD4BB4"/>
    <w:rsid w:val="00FD4F55"/>
    <w:rsid w:val="00FD5BB1"/>
    <w:rsid w:val="00FD655C"/>
    <w:rsid w:val="00FD77BC"/>
    <w:rsid w:val="00FD79E2"/>
    <w:rsid w:val="00FD7D41"/>
    <w:rsid w:val="00FE1592"/>
    <w:rsid w:val="00FE18F9"/>
    <w:rsid w:val="00FE48F0"/>
    <w:rsid w:val="00FE4B82"/>
    <w:rsid w:val="00FE641C"/>
    <w:rsid w:val="00FE7021"/>
    <w:rsid w:val="00FE7549"/>
    <w:rsid w:val="00FE75B0"/>
    <w:rsid w:val="00FE78CD"/>
    <w:rsid w:val="00FF0C7B"/>
    <w:rsid w:val="00FF2AF0"/>
    <w:rsid w:val="00FF3A6F"/>
    <w:rsid w:val="00FF3A88"/>
    <w:rsid w:val="00FF552F"/>
    <w:rsid w:val="00FF5881"/>
    <w:rsid w:val="00FF6D18"/>
    <w:rsid w:val="00FF72BB"/>
    <w:rsid w:val="00FF7C9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37"/>
    <o:shapelayout v:ext="edit">
      <o:idmap v:ext="edit" data="1"/>
    </o:shapelayout>
  </w:shapeDefaults>
  <w:decimalSymbol w:val=","/>
  <w:listSeparator w:val=";"/>
  <w15:docId w15:val="{6B094CD1-E8DE-49CF-AAE6-9CBFB3D92E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ru-RU" w:eastAsia="ru-RU"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D093A"/>
    <w:pPr>
      <w:spacing w:after="160" w:line="259" w:lineRule="auto"/>
    </w:pPr>
    <w:rPr>
      <w:lang w:eastAsia="en-US"/>
    </w:rPr>
  </w:style>
  <w:style w:type="paragraph" w:styleId="1">
    <w:name w:val="heading 1"/>
    <w:basedOn w:val="a"/>
    <w:next w:val="a"/>
    <w:link w:val="10"/>
    <w:uiPriority w:val="99"/>
    <w:qFormat/>
    <w:rsid w:val="006F7044"/>
    <w:pPr>
      <w:keepNext/>
      <w:keepLines/>
      <w:spacing w:after="126" w:line="265" w:lineRule="auto"/>
      <w:ind w:left="198" w:hanging="10"/>
      <w:jc w:val="center"/>
      <w:outlineLvl w:val="0"/>
    </w:pPr>
    <w:rPr>
      <w:rFonts w:ascii="Times New Roman" w:eastAsia="Times New Roman" w:hAnsi="Times New Roman"/>
      <w:b/>
      <w:color w:val="000000"/>
      <w:sz w:val="2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6F7044"/>
    <w:rPr>
      <w:rFonts w:ascii="Times New Roman" w:hAnsi="Times New Roman" w:cs="Times New Roman"/>
      <w:b/>
      <w:color w:val="000000"/>
      <w:sz w:val="22"/>
      <w:szCs w:val="22"/>
      <w:lang w:val="ru-RU" w:eastAsia="ru-RU" w:bidi="ar-SA"/>
    </w:rPr>
  </w:style>
  <w:style w:type="character" w:styleId="a3">
    <w:name w:val="Hyperlink"/>
    <w:basedOn w:val="a0"/>
    <w:uiPriority w:val="99"/>
    <w:rsid w:val="00073B11"/>
    <w:rPr>
      <w:rFonts w:cs="Times New Roman"/>
      <w:color w:val="0563C1"/>
      <w:u w:val="single"/>
    </w:rPr>
  </w:style>
  <w:style w:type="character" w:customStyle="1" w:styleId="UnresolvedMention">
    <w:name w:val="Unresolved Mention"/>
    <w:basedOn w:val="a0"/>
    <w:uiPriority w:val="99"/>
    <w:semiHidden/>
    <w:rsid w:val="00073B11"/>
    <w:rPr>
      <w:rFonts w:cs="Times New Roman"/>
      <w:color w:val="605E5C"/>
      <w:shd w:val="clear" w:color="auto" w:fill="E1DFDD"/>
    </w:rPr>
  </w:style>
  <w:style w:type="paragraph" w:styleId="a4">
    <w:name w:val="header"/>
    <w:basedOn w:val="a"/>
    <w:link w:val="a5"/>
    <w:uiPriority w:val="99"/>
    <w:rsid w:val="000D7BAF"/>
    <w:pPr>
      <w:tabs>
        <w:tab w:val="center" w:pos="4677"/>
        <w:tab w:val="right" w:pos="9355"/>
      </w:tabs>
      <w:spacing w:after="0" w:line="240" w:lineRule="auto"/>
    </w:pPr>
  </w:style>
  <w:style w:type="character" w:customStyle="1" w:styleId="a5">
    <w:name w:val="Верхний колонтитул Знак"/>
    <w:basedOn w:val="a0"/>
    <w:link w:val="a4"/>
    <w:uiPriority w:val="99"/>
    <w:locked/>
    <w:rsid w:val="000D7BAF"/>
    <w:rPr>
      <w:rFonts w:cs="Times New Roman"/>
    </w:rPr>
  </w:style>
  <w:style w:type="paragraph" w:styleId="a6">
    <w:name w:val="footer"/>
    <w:basedOn w:val="a"/>
    <w:link w:val="a7"/>
    <w:uiPriority w:val="99"/>
    <w:rsid w:val="000D7BAF"/>
    <w:pPr>
      <w:tabs>
        <w:tab w:val="center" w:pos="4677"/>
        <w:tab w:val="right" w:pos="9355"/>
      </w:tabs>
      <w:spacing w:after="0" w:line="240" w:lineRule="auto"/>
    </w:pPr>
  </w:style>
  <w:style w:type="character" w:customStyle="1" w:styleId="a7">
    <w:name w:val="Нижний колонтитул Знак"/>
    <w:basedOn w:val="a0"/>
    <w:link w:val="a6"/>
    <w:uiPriority w:val="99"/>
    <w:locked/>
    <w:rsid w:val="000D7BAF"/>
    <w:rPr>
      <w:rFonts w:cs="Times New Roman"/>
    </w:rPr>
  </w:style>
  <w:style w:type="table" w:styleId="a8">
    <w:name w:val="Table Grid"/>
    <w:basedOn w:val="a1"/>
    <w:uiPriority w:val="99"/>
    <w:rsid w:val="00284BDA"/>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9">
    <w:name w:val="List Paragraph"/>
    <w:basedOn w:val="a"/>
    <w:uiPriority w:val="99"/>
    <w:qFormat/>
    <w:rsid w:val="003C2901"/>
    <w:pPr>
      <w:ind w:left="720"/>
      <w:contextualSpacing/>
    </w:pPr>
  </w:style>
  <w:style w:type="paragraph" w:styleId="aa">
    <w:name w:val="Balloon Text"/>
    <w:basedOn w:val="a"/>
    <w:link w:val="ab"/>
    <w:uiPriority w:val="99"/>
    <w:semiHidden/>
    <w:rsid w:val="0059401F"/>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locked/>
    <w:rsid w:val="0059401F"/>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68003605">
      <w:marLeft w:val="0"/>
      <w:marRight w:val="0"/>
      <w:marTop w:val="0"/>
      <w:marBottom w:val="0"/>
      <w:divBdr>
        <w:top w:val="none" w:sz="0" w:space="0" w:color="auto"/>
        <w:left w:val="none" w:sz="0" w:space="0" w:color="auto"/>
        <w:bottom w:val="none" w:sz="0" w:space="0" w:color="auto"/>
        <w:right w:val="none" w:sz="0" w:space="0" w:color="auto"/>
      </w:divBdr>
    </w:div>
    <w:div w:id="568003606">
      <w:marLeft w:val="0"/>
      <w:marRight w:val="0"/>
      <w:marTop w:val="0"/>
      <w:marBottom w:val="0"/>
      <w:divBdr>
        <w:top w:val="none" w:sz="0" w:space="0" w:color="auto"/>
        <w:left w:val="none" w:sz="0" w:space="0" w:color="auto"/>
        <w:bottom w:val="none" w:sz="0" w:space="0" w:color="auto"/>
        <w:right w:val="none" w:sz="0" w:space="0" w:color="auto"/>
      </w:divBdr>
    </w:div>
    <w:div w:id="568003607">
      <w:marLeft w:val="0"/>
      <w:marRight w:val="0"/>
      <w:marTop w:val="0"/>
      <w:marBottom w:val="0"/>
      <w:divBdr>
        <w:top w:val="none" w:sz="0" w:space="0" w:color="auto"/>
        <w:left w:val="none" w:sz="0" w:space="0" w:color="auto"/>
        <w:bottom w:val="none" w:sz="0" w:space="0" w:color="auto"/>
        <w:right w:val="none" w:sz="0" w:space="0" w:color="auto"/>
      </w:divBdr>
    </w:div>
    <w:div w:id="568003608">
      <w:marLeft w:val="0"/>
      <w:marRight w:val="0"/>
      <w:marTop w:val="0"/>
      <w:marBottom w:val="0"/>
      <w:divBdr>
        <w:top w:val="none" w:sz="0" w:space="0" w:color="auto"/>
        <w:left w:val="none" w:sz="0" w:space="0" w:color="auto"/>
        <w:bottom w:val="none" w:sz="0" w:space="0" w:color="auto"/>
        <w:right w:val="none" w:sz="0" w:space="0" w:color="auto"/>
      </w:divBdr>
    </w:div>
    <w:div w:id="568003609">
      <w:marLeft w:val="0"/>
      <w:marRight w:val="0"/>
      <w:marTop w:val="0"/>
      <w:marBottom w:val="0"/>
      <w:divBdr>
        <w:top w:val="none" w:sz="0" w:space="0" w:color="auto"/>
        <w:left w:val="none" w:sz="0" w:space="0" w:color="auto"/>
        <w:bottom w:val="none" w:sz="0" w:space="0" w:color="auto"/>
        <w:right w:val="none" w:sz="0" w:space="0" w:color="auto"/>
      </w:divBdr>
    </w:div>
    <w:div w:id="568003610">
      <w:marLeft w:val="0"/>
      <w:marRight w:val="0"/>
      <w:marTop w:val="0"/>
      <w:marBottom w:val="0"/>
      <w:divBdr>
        <w:top w:val="none" w:sz="0" w:space="0" w:color="auto"/>
        <w:left w:val="none" w:sz="0" w:space="0" w:color="auto"/>
        <w:bottom w:val="none" w:sz="0" w:space="0" w:color="auto"/>
        <w:right w:val="none" w:sz="0" w:space="0" w:color="auto"/>
      </w:divBdr>
    </w:div>
    <w:div w:id="568003611">
      <w:marLeft w:val="0"/>
      <w:marRight w:val="0"/>
      <w:marTop w:val="0"/>
      <w:marBottom w:val="0"/>
      <w:divBdr>
        <w:top w:val="none" w:sz="0" w:space="0" w:color="auto"/>
        <w:left w:val="none" w:sz="0" w:space="0" w:color="auto"/>
        <w:bottom w:val="none" w:sz="0" w:space="0" w:color="auto"/>
        <w:right w:val="none" w:sz="0" w:space="0" w:color="auto"/>
      </w:divBdr>
    </w:div>
    <w:div w:id="568003612">
      <w:marLeft w:val="0"/>
      <w:marRight w:val="0"/>
      <w:marTop w:val="0"/>
      <w:marBottom w:val="0"/>
      <w:divBdr>
        <w:top w:val="none" w:sz="0" w:space="0" w:color="auto"/>
        <w:left w:val="none" w:sz="0" w:space="0" w:color="auto"/>
        <w:bottom w:val="none" w:sz="0" w:space="0" w:color="auto"/>
        <w:right w:val="none" w:sz="0" w:space="0" w:color="auto"/>
      </w:divBdr>
    </w:div>
    <w:div w:id="568003613">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7.png"/><Relationship Id="rId18" Type="http://schemas.openxmlformats.org/officeDocument/2006/relationships/hyperlink" Target="https://ukrstat.gov.ua/operativ/operativ2021/zd/ztpu_ks/ztpu_ks_u/arh_ztpu_ks_2021.htm" TargetMode="External"/><Relationship Id="rId26" Type="http://schemas.openxmlformats.org/officeDocument/2006/relationships/hyperlink" Target="https://www.inss.org.il/publication/economic-relations-israel-europe-selected-issues/" TargetMode="External"/><Relationship Id="rId39" Type="http://schemas.openxmlformats.org/officeDocument/2006/relationships/hyperlink" Target="http://data.imf.org/?sk=7A51304B-6426-40C0-83DD-CA473CA1FD52&amp;sId=1542635306163" TargetMode="External"/><Relationship Id="rId21" Type="http://schemas.openxmlformats.org/officeDocument/2006/relationships/hyperlink" Target="https://www.arabianbusiness.com/politics-economics/uae-foreign-trade-hits-600bn" TargetMode="External"/><Relationship Id="rId34" Type="http://schemas.openxmlformats.org/officeDocument/2006/relationships/hyperlink" Target="https://www.state.gov/u-s-relations-with-israel-2/" TargetMode="External"/><Relationship Id="rId42" Type="http://schemas.openxmlformats.org/officeDocument/2006/relationships/hyperlink" Target="https://www.boi.org.il/boi_files/Statistics/y_tab02e.xls" TargetMode="External"/><Relationship Id="rId47" Type="http://schemas.openxmlformats.org/officeDocument/2006/relationships/hyperlink" Target="https://www.boi.org.il/media/rlpepxk2/part-two-2.pdf" TargetMode="External"/><Relationship Id="rId50" Type="http://schemas.openxmlformats.org/officeDocument/2006/relationships/hyperlink" Target="https://www.boi.org.il/boi_files/Statistics/iipsh_past_e.xls" TargetMode="External"/><Relationship Id="rId55" Type="http://schemas.openxmlformats.org/officeDocument/2006/relationships/theme" Target="theme/theme1.xm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hyperlink" Target="https://gmk.center/ua/news/ukraina-aktivizuie-torgovelno-ekonomichne-partnerstvo-z-oae/" TargetMode="External"/><Relationship Id="rId33" Type="http://schemas.openxmlformats.org/officeDocument/2006/relationships/hyperlink" Target="https://www.state.gov/u-s-relations-with-united-arab-emirates/" TargetMode="External"/><Relationship Id="rId38" Type="http://schemas.openxmlformats.org/officeDocument/2006/relationships/hyperlink" Target="http://data.imf.org/?sk=7A51304B-6426-40C0-83DD-CA473CA1FD52&amp;sId=1542635306163" TargetMode="External"/><Relationship Id="rId46" Type="http://schemas.openxmlformats.org/officeDocument/2006/relationships/hyperlink" Target="https://www.boi.org.il/media/5p2amf42/part-two-2.pdf" TargetMode="External"/><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hyperlink" Target="https://ukrstat.gov.ua/operativ/operativ2020/zd_inv_new/arh_inv_zd.htm" TargetMode="External"/><Relationship Id="rId29" Type="http://schemas.openxmlformats.org/officeDocument/2006/relationships/hyperlink" Target="https://www.investopedia.com/articles/company-insights/082316/worlds-top-10-oil-exporters.asp" TargetMode="External"/><Relationship Id="rId41" Type="http://schemas.openxmlformats.org/officeDocument/2006/relationships/hyperlink" Target="https://www.boi.org.il/boi_files/Statistics/y_tab01e.xls" TargetMode="External"/><Relationship Id="rId54"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hyperlink" Target="https://www.eiu.com/n/solutions/viewpoint/?utm_source=google&amp;utm_medium" TargetMode="External"/><Relationship Id="rId32" Type="http://schemas.openxmlformats.org/officeDocument/2006/relationships/hyperlink" Target="https://data.worldbank.org/indicator/BX.KLT.DINV.CD.WD?locations=AE" TargetMode="External"/><Relationship Id="rId37" Type="http://schemas.openxmlformats.org/officeDocument/2006/relationships/hyperlink" Target="http://data.imf.org/?sk=7A51304B-6426-40C0-83DD-CA473CA1FD52&amp;sId=1542635306163" TargetMode="External"/><Relationship Id="rId40" Type="http://schemas.openxmlformats.org/officeDocument/2006/relationships/hyperlink" Target="https://www.boi.org.il/boi_files/Statistics/y_indicators_e.xlsx" TargetMode="External"/><Relationship Id="rId45" Type="http://schemas.openxmlformats.org/officeDocument/2006/relationships/hyperlink" Target="https://www.boi.org.il/media/h5pjpirt/part-two-3.pdf" TargetMode="External"/><Relationship Id="rId53"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hyperlink" Target="https://www.worldstopexports.com/uaes-top-10-exports/" TargetMode="External"/><Relationship Id="rId28" Type="http://schemas.openxmlformats.org/officeDocument/2006/relationships/hyperlink" Target="https://data.imf.org/regular.aspx?key=62805740" TargetMode="External"/><Relationship Id="rId36" Type="http://schemas.openxmlformats.org/officeDocument/2006/relationships/hyperlink" Target="http://data.imf.org/?sk=7A51304B-6426-40C0-83DD-CA473CA1FD52&amp;sId=1542635306163" TargetMode="External"/><Relationship Id="rId49" Type="http://schemas.openxmlformats.org/officeDocument/2006/relationships/hyperlink" Target="https://www.boi.org.il/boi_files/Statistics/q_sec01e.xls" TargetMode="External"/><Relationship Id="rId10" Type="http://schemas.openxmlformats.org/officeDocument/2006/relationships/image" Target="media/image4.png"/><Relationship Id="rId19" Type="http://schemas.openxmlformats.org/officeDocument/2006/relationships/hyperlink" Target="https://ukrstat.gov.ua/operativ/operativ2019/zd/ztt/ztt_u/ztt1219_u.htm" TargetMode="External"/><Relationship Id="rId31" Type="http://schemas.openxmlformats.org/officeDocument/2006/relationships/hyperlink" Target="https://www.washingtoninstitute.org/policy-analysis/israel-uae-economic-cooperation-has-deep-roots-and-broad-dividends" TargetMode="External"/><Relationship Id="rId44" Type="http://schemas.openxmlformats.org/officeDocument/2006/relationships/hyperlink" Target="https://www.boi.org.il/media/5ptamxt2/basic-account.pdf" TargetMode="External"/><Relationship Id="rId52" Type="http://schemas.openxmlformats.org/officeDocument/2006/relationships/hyperlink" Target="https://www.boi.org.il/22537" TargetMode="Externa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hyperlink" Target="https://www.worldstopexports.com/israels-top-trading-partners/" TargetMode="External"/><Relationship Id="rId27" Type="http://schemas.openxmlformats.org/officeDocument/2006/relationships/hyperlink" Target="https://data.imf.org/regular.aspx?key=62805740" TargetMode="External"/><Relationship Id="rId30" Type="http://schemas.openxmlformats.org/officeDocument/2006/relationships/hyperlink" Target="https://www.statista.com/topics/2703/united-arab-emirates/" TargetMode="External"/><Relationship Id="rId35" Type="http://schemas.openxmlformats.org/officeDocument/2006/relationships/hyperlink" Target="http://data.imf.org/?sk=7A51304B-6426-40C0-83DD-CA473CA1FD52&amp;sId=1542635306163" TargetMode="External"/><Relationship Id="rId43" Type="http://schemas.openxmlformats.org/officeDocument/2006/relationships/hyperlink" Target="https://www.boi.org.il/boi_files/Statistics/y_tab03e.xls" TargetMode="External"/><Relationship Id="rId48" Type="http://schemas.openxmlformats.org/officeDocument/2006/relationships/hyperlink" Target="https://www.boi.org.il/boi_files/Statistics/iipsh_e.xls" TargetMode="External"/><Relationship Id="rId8" Type="http://schemas.openxmlformats.org/officeDocument/2006/relationships/image" Target="media/image2.png"/><Relationship Id="rId51" Type="http://schemas.openxmlformats.org/officeDocument/2006/relationships/hyperlink" Target="https://www.boi.org.il/en/communication-and-publications/regular-publications/statistical-publications/statistical-bulletin-2020/" TargetMode="External"/><Relationship Id="rId3"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42</Pages>
  <Words>9624</Words>
  <Characters>54858</Characters>
  <Application>Microsoft Office Word</Application>
  <DocSecurity>0</DocSecurity>
  <Lines>457</Lines>
  <Paragraphs>128</Paragraphs>
  <ScaleCrop>false</ScaleCrop>
  <Company>Hewlett-Packard</Company>
  <LinksUpToDate>false</LinksUpToDate>
  <CharactersWithSpaces>64354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ОДЕСЬКИЙ НАЦІОНАЛЬНИЙ УНІВЕРСИТЕТ ІМЕНІ І</dc:title>
  <dc:subject/>
  <dc:creator>iMac</dc:creator>
  <cp:keywords/>
  <dc:description/>
  <cp:lastModifiedBy>libonu</cp:lastModifiedBy>
  <cp:revision>3</cp:revision>
  <dcterms:created xsi:type="dcterms:W3CDTF">2023-06-12T08:15:00Z</dcterms:created>
  <dcterms:modified xsi:type="dcterms:W3CDTF">2024-02-19T10:20:00Z</dcterms:modified>
</cp:coreProperties>
</file>